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theme/themeOverride3.xml" ContentType="application/vnd.openxmlformats-officedocument.themeOverride+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B40FC" w14:textId="43D3FD01" w:rsidR="00993C89" w:rsidRPr="00CD2EEF" w:rsidRDefault="00993C89" w:rsidP="0048611D">
      <w:pPr>
        <w:pStyle w:val="LPnavadensredina"/>
        <w:rPr>
          <w:lang w:val="en-GB"/>
        </w:rPr>
      </w:pPr>
      <w:r w:rsidRPr="00CD2EEF">
        <w:rPr>
          <w:noProof/>
          <w:lang w:val="en-GB"/>
        </w:rPr>
        <w:drawing>
          <wp:inline distT="0" distB="0" distL="0" distR="0" wp14:anchorId="549220A9" wp14:editId="04FBD1F5">
            <wp:extent cx="333375" cy="438150"/>
            <wp:effectExtent l="0" t="0" r="9525" b="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1248E7CE" w14:textId="77777777" w:rsidR="00993C89" w:rsidRPr="00CD2EEF" w:rsidRDefault="00993C89" w:rsidP="0048611D">
      <w:pPr>
        <w:pStyle w:val="LP-navadenpomanjansredina"/>
        <w:rPr>
          <w:rFonts w:cs="Arial"/>
          <w:lang w:val="en-GB"/>
        </w:rPr>
      </w:pPr>
      <w:r w:rsidRPr="00CD2EEF">
        <w:rPr>
          <w:rFonts w:cs="Arial"/>
          <w:lang w:val="en-GB"/>
        </w:rPr>
        <w:t>REPUBLIC OF SLOVENIA</w:t>
      </w:r>
    </w:p>
    <w:p w14:paraId="11F17ED0" w14:textId="77777777" w:rsidR="00993C89" w:rsidRPr="00CD2EEF" w:rsidRDefault="00993C89" w:rsidP="0048611D">
      <w:pPr>
        <w:pStyle w:val="LP-navadenpomanjansredina"/>
        <w:rPr>
          <w:rFonts w:cs="Arial"/>
          <w:lang w:val="en-GB"/>
        </w:rPr>
      </w:pPr>
      <w:r w:rsidRPr="00CD2EEF">
        <w:rPr>
          <w:rFonts w:cs="Arial"/>
          <w:lang w:val="en-GB"/>
        </w:rPr>
        <w:t>MINISTRY OF THE ENVIRONMENT AND SPATIAL PLANNING</w:t>
      </w:r>
    </w:p>
    <w:p w14:paraId="789AB525" w14:textId="470D54D9" w:rsidR="00993C89" w:rsidRDefault="00817C9F" w:rsidP="0048611D">
      <w:pPr>
        <w:pStyle w:val="LPnavaden"/>
        <w:jc w:val="center"/>
        <w:rPr>
          <w:lang w:val="en-GB"/>
        </w:rPr>
      </w:pPr>
      <w:r w:rsidRPr="00CD2EEF">
        <w:rPr>
          <w:noProof/>
          <w:lang w:val="en-GB"/>
        </w:rPr>
        <w:drawing>
          <wp:anchor distT="0" distB="0" distL="114300" distR="114300" simplePos="0" relativeHeight="251687936" behindDoc="0" locked="0" layoutInCell="1" allowOverlap="1" wp14:anchorId="59515323" wp14:editId="327EF092">
            <wp:simplePos x="0" y="0"/>
            <wp:positionH relativeFrom="column">
              <wp:posOffset>-890547</wp:posOffset>
            </wp:positionH>
            <wp:positionV relativeFrom="page">
              <wp:posOffset>4707779</wp:posOffset>
            </wp:positionV>
            <wp:extent cx="7553325" cy="5989320"/>
            <wp:effectExtent l="0" t="0" r="9525" b="0"/>
            <wp:wrapSquare wrapText="bothSides"/>
            <wp:docPr id="49" name="Slika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3325" cy="5989320"/>
                    </a:xfrm>
                    <a:prstGeom prst="rect">
                      <a:avLst/>
                    </a:prstGeom>
                  </pic:spPr>
                </pic:pic>
              </a:graphicData>
            </a:graphic>
            <wp14:sizeRelH relativeFrom="margin">
              <wp14:pctWidth>0</wp14:pctWidth>
            </wp14:sizeRelH>
            <wp14:sizeRelV relativeFrom="margin">
              <wp14:pctHeight>0</wp14:pctHeight>
            </wp14:sizeRelV>
          </wp:anchor>
        </w:drawing>
      </w:r>
      <w:r w:rsidR="00993C89" w:rsidRPr="00CD2EEF">
        <w:rPr>
          <w:rStyle w:val="LPnavadenpomanjankrepko"/>
          <w:rFonts w:cs="Arial"/>
          <w:lang w:val="en-GB"/>
        </w:rPr>
        <w:t>SLOVENIAN NUCLEAR SAFETY ADMINISTRATION</w:t>
      </w:r>
      <w:r w:rsidR="00993C89" w:rsidRPr="00CD2EEF" w:rsidDel="00A9618A">
        <w:rPr>
          <w:lang w:val="en-GB"/>
        </w:rPr>
        <w:t xml:space="preserve"> </w:t>
      </w:r>
    </w:p>
    <w:tbl>
      <w:tblPr>
        <w:tblpPr w:leftFromText="141" w:rightFromText="141" w:vertAnchor="text" w:horzAnchor="margin" w:tblpXSpec="center" w:tblpY="145"/>
        <w:tblW w:w="11970" w:type="dxa"/>
        <w:shd w:val="clear" w:color="auto" w:fill="1F65A7"/>
        <w:tblLayout w:type="fixed"/>
        <w:tblLook w:val="01E0" w:firstRow="1" w:lastRow="1" w:firstColumn="1" w:lastColumn="1" w:noHBand="0" w:noVBand="0"/>
      </w:tblPr>
      <w:tblGrid>
        <w:gridCol w:w="11970"/>
      </w:tblGrid>
      <w:tr w:rsidR="00817C9F" w:rsidRPr="00CD2EEF" w14:paraId="52ECDE10" w14:textId="77777777" w:rsidTr="00817C9F">
        <w:trPr>
          <w:trHeight w:val="4270"/>
        </w:trPr>
        <w:tc>
          <w:tcPr>
            <w:tcW w:w="11970" w:type="dxa"/>
            <w:shd w:val="clear" w:color="auto" w:fill="1F65A7"/>
            <w:vAlign w:val="center"/>
          </w:tcPr>
          <w:p w14:paraId="78EA0813" w14:textId="77777777" w:rsidR="00817C9F" w:rsidRPr="00CD2EEF" w:rsidRDefault="00817C9F" w:rsidP="00817C9F">
            <w:pPr>
              <w:pStyle w:val="LPnavadennaslovnaslovnica"/>
              <w:rPr>
                <w:rFonts w:ascii="Garamond" w:hAnsi="Garamond" w:cs="Arial"/>
                <w:sz w:val="52"/>
                <w:szCs w:val="52"/>
                <w:lang w:val="en-GB"/>
              </w:rPr>
            </w:pPr>
            <w:r w:rsidRPr="00CD2EEF">
              <w:rPr>
                <w:rFonts w:ascii="Garamond" w:hAnsi="Garamond" w:cs="Arial"/>
                <w:sz w:val="52"/>
                <w:szCs w:val="52"/>
                <w:lang w:val="en-GB"/>
              </w:rPr>
              <w:t>2021 Annual Report</w:t>
            </w:r>
          </w:p>
          <w:p w14:paraId="4544B351" w14:textId="77777777" w:rsidR="00817C9F" w:rsidRPr="00CD2EEF" w:rsidRDefault="00817C9F" w:rsidP="00817C9F">
            <w:pPr>
              <w:pStyle w:val="LPnavadennaslovnaslovnica"/>
              <w:rPr>
                <w:rFonts w:ascii="Garamond" w:hAnsi="Garamond" w:cs="Arial"/>
                <w:sz w:val="52"/>
                <w:szCs w:val="52"/>
                <w:lang w:val="en-GB"/>
              </w:rPr>
            </w:pPr>
            <w:r w:rsidRPr="00CD2EEF">
              <w:rPr>
                <w:rFonts w:ascii="Garamond" w:hAnsi="Garamond" w:cs="Arial"/>
                <w:sz w:val="52"/>
                <w:szCs w:val="52"/>
                <w:lang w:val="en-GB"/>
              </w:rPr>
              <w:t>on Radiation and Nuclear Safety</w:t>
            </w:r>
          </w:p>
          <w:p w14:paraId="77A01259" w14:textId="77777777" w:rsidR="00817C9F" w:rsidRPr="00CD2EEF" w:rsidRDefault="00817C9F" w:rsidP="00817C9F">
            <w:pPr>
              <w:pStyle w:val="LPnavadennaslovnaslovnica"/>
              <w:tabs>
                <w:tab w:val="center" w:pos="4536"/>
                <w:tab w:val="right" w:pos="9072"/>
              </w:tabs>
              <w:ind w:left="340"/>
              <w:rPr>
                <w:lang w:val="en-GB"/>
              </w:rPr>
            </w:pPr>
            <w:r w:rsidRPr="00CD2EEF">
              <w:rPr>
                <w:rFonts w:ascii="Garamond" w:hAnsi="Garamond" w:cs="Arial"/>
                <w:sz w:val="52"/>
                <w:szCs w:val="52"/>
                <w:lang w:val="en-GB"/>
              </w:rPr>
              <w:t>in the Republic of Slovenia</w:t>
            </w:r>
          </w:p>
        </w:tc>
      </w:tr>
    </w:tbl>
    <w:p w14:paraId="34457ECD" w14:textId="77777777" w:rsidR="00993C89" w:rsidRPr="00CD2EEF" w:rsidRDefault="00993C89" w:rsidP="0048611D">
      <w:pPr>
        <w:pStyle w:val="LPnavaden"/>
        <w:rPr>
          <w:lang w:val="en-GB"/>
        </w:rPr>
        <w:sectPr w:rsidR="00993C89" w:rsidRPr="00CD2EEF" w:rsidSect="00A441C7">
          <w:pgSz w:w="11906" w:h="16838"/>
          <w:pgMar w:top="1417" w:right="1417" w:bottom="1417" w:left="1417" w:header="708" w:footer="708" w:gutter="0"/>
          <w:cols w:space="708"/>
          <w:docGrid w:linePitch="360"/>
        </w:sectPr>
      </w:pPr>
    </w:p>
    <w:p w14:paraId="691E4A99" w14:textId="7094BB21" w:rsidR="00993C89" w:rsidRPr="00CD2EEF" w:rsidRDefault="00993C89" w:rsidP="0064782A">
      <w:pPr>
        <w:pStyle w:val="LPnavaden"/>
        <w:tabs>
          <w:tab w:val="left" w:pos="10773"/>
        </w:tabs>
        <w:rPr>
          <w:lang w:val="en-GB"/>
        </w:rPr>
        <w:sectPr w:rsidR="00993C89" w:rsidRPr="00CD2EEF" w:rsidSect="002F2361">
          <w:type w:val="continuous"/>
          <w:pgSz w:w="11906" w:h="16838" w:code="9"/>
          <w:pgMar w:top="1418" w:right="0" w:bottom="0" w:left="0" w:header="709" w:footer="709" w:gutter="0"/>
          <w:pgNumType w:fmt="lowerRoman"/>
          <w:cols w:space="708"/>
          <w:docGrid w:linePitch="360"/>
        </w:sectPr>
      </w:pPr>
    </w:p>
    <w:p w14:paraId="4A20BE67" w14:textId="77777777" w:rsidR="00993C89" w:rsidRPr="00CD2EEF" w:rsidRDefault="00993C89" w:rsidP="00A96196">
      <w:pPr>
        <w:pStyle w:val="LP-navadenpomanjansredina"/>
        <w:rPr>
          <w:lang w:val="en-GB"/>
        </w:rPr>
      </w:pPr>
      <w:r w:rsidRPr="00CD2EEF">
        <w:rPr>
          <w:noProof/>
          <w:lang w:val="en-GB"/>
        </w:rPr>
        <w:lastRenderedPageBreak/>
        <w:drawing>
          <wp:inline distT="0" distB="0" distL="0" distR="0" wp14:anchorId="6FAADA8B" wp14:editId="088F00EF">
            <wp:extent cx="333375" cy="438150"/>
            <wp:effectExtent l="0" t="0" r="9525"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653541B1" w14:textId="77777777" w:rsidR="00993C89" w:rsidRPr="00CD2EEF" w:rsidRDefault="00993C89" w:rsidP="0048611D">
      <w:pPr>
        <w:pStyle w:val="LP-navadenpomanjansredina"/>
        <w:rPr>
          <w:rFonts w:cs="Arial"/>
          <w:sz w:val="22"/>
          <w:szCs w:val="22"/>
          <w:lang w:val="en-GB"/>
        </w:rPr>
      </w:pPr>
      <w:r w:rsidRPr="00CD2EEF">
        <w:rPr>
          <w:rFonts w:cs="Arial"/>
          <w:sz w:val="22"/>
          <w:szCs w:val="22"/>
          <w:lang w:val="en-GB"/>
        </w:rPr>
        <w:t>REPUBLIC OF SLOVENIA</w:t>
      </w:r>
    </w:p>
    <w:p w14:paraId="4726200E" w14:textId="5C6C6B06" w:rsidR="00993C89" w:rsidRPr="00CD2EEF" w:rsidRDefault="00993C89" w:rsidP="0048611D">
      <w:pPr>
        <w:pStyle w:val="LP-navadenpomanjansredina"/>
        <w:rPr>
          <w:rFonts w:cs="Arial"/>
          <w:sz w:val="22"/>
          <w:szCs w:val="22"/>
          <w:lang w:val="en-GB"/>
        </w:rPr>
      </w:pPr>
      <w:r w:rsidRPr="00CD2EEF">
        <w:rPr>
          <w:rFonts w:cs="Arial"/>
          <w:sz w:val="22"/>
          <w:szCs w:val="22"/>
          <w:lang w:val="en-GB"/>
        </w:rPr>
        <w:t>MINISTRY OF THE ENVIRONMENT AND SPATIAL PLANNING</w:t>
      </w:r>
    </w:p>
    <w:p w14:paraId="1CA8A37D" w14:textId="77777777" w:rsidR="00993C89" w:rsidRPr="00CD2EEF" w:rsidRDefault="00993C89" w:rsidP="0048611D">
      <w:pPr>
        <w:pStyle w:val="LPnavadensredina"/>
        <w:rPr>
          <w:rStyle w:val="LPnavadenpomanjankrepko"/>
          <w:rFonts w:cs="Arial"/>
          <w:sz w:val="26"/>
          <w:szCs w:val="26"/>
          <w:lang w:val="en-GB"/>
        </w:rPr>
      </w:pPr>
      <w:r w:rsidRPr="00CD2EEF">
        <w:rPr>
          <w:rStyle w:val="LPnavadenpomanjankrepko"/>
          <w:rFonts w:cs="Arial"/>
          <w:sz w:val="26"/>
          <w:szCs w:val="26"/>
          <w:lang w:val="en-GB"/>
        </w:rPr>
        <w:t>SLOVENIAN NUCLEAR SAFETY ADMINISTRATION</w:t>
      </w:r>
    </w:p>
    <w:p w14:paraId="0C94A331" w14:textId="77777777" w:rsidR="00993C89" w:rsidRPr="00CD2EEF" w:rsidRDefault="00993C89" w:rsidP="0048611D">
      <w:pPr>
        <w:pStyle w:val="LPnavaden"/>
        <w:rPr>
          <w:lang w:val="en-GB"/>
        </w:rPr>
      </w:pPr>
    </w:p>
    <w:p w14:paraId="3D454BCB" w14:textId="77777777" w:rsidR="00993C89" w:rsidRPr="00CD2EEF" w:rsidRDefault="00993C89" w:rsidP="0048611D">
      <w:pPr>
        <w:pStyle w:val="LPnavaden"/>
        <w:rPr>
          <w:lang w:val="en-GB"/>
        </w:rPr>
      </w:pPr>
    </w:p>
    <w:p w14:paraId="26797F0B" w14:textId="77777777" w:rsidR="00993C89" w:rsidRPr="00CD2EEF" w:rsidRDefault="00993C89" w:rsidP="0048611D">
      <w:pPr>
        <w:pStyle w:val="LPnavaden"/>
        <w:rPr>
          <w:lang w:val="en-GB"/>
        </w:rPr>
      </w:pPr>
    </w:p>
    <w:p w14:paraId="1E0B89BD" w14:textId="77777777" w:rsidR="00993C89" w:rsidRPr="00CD2EEF" w:rsidRDefault="00993C89" w:rsidP="0048611D">
      <w:pPr>
        <w:pStyle w:val="LPnavaden"/>
        <w:rPr>
          <w:lang w:val="en-GB"/>
        </w:rPr>
      </w:pPr>
    </w:p>
    <w:p w14:paraId="3BAFC8BD" w14:textId="77777777" w:rsidR="00993C89" w:rsidRPr="00CD2EEF" w:rsidRDefault="00993C89" w:rsidP="0048611D">
      <w:pPr>
        <w:pStyle w:val="LPnavaden"/>
        <w:rPr>
          <w:lang w:val="en-GB"/>
        </w:rPr>
      </w:pPr>
    </w:p>
    <w:p w14:paraId="61B4D386" w14:textId="77777777" w:rsidR="00993C89" w:rsidRPr="00CD2EEF" w:rsidRDefault="00993C89" w:rsidP="0048611D">
      <w:pPr>
        <w:pStyle w:val="LPnavaden"/>
        <w:rPr>
          <w:lang w:val="en-GB"/>
        </w:rPr>
      </w:pPr>
    </w:p>
    <w:p w14:paraId="7123A5DA" w14:textId="77777777" w:rsidR="00993C89" w:rsidRPr="00CD2EEF" w:rsidRDefault="00993C89" w:rsidP="0048611D">
      <w:pPr>
        <w:pStyle w:val="LPnavaden"/>
        <w:rPr>
          <w:lang w:val="en-GB"/>
        </w:rPr>
      </w:pPr>
    </w:p>
    <w:p w14:paraId="7F9E84CB" w14:textId="77777777" w:rsidR="00993C89" w:rsidRPr="00CD2EEF" w:rsidRDefault="00993C89" w:rsidP="0048611D">
      <w:pPr>
        <w:pStyle w:val="LPnavaden"/>
        <w:rPr>
          <w:lang w:val="en-GB"/>
        </w:rPr>
      </w:pPr>
    </w:p>
    <w:p w14:paraId="7F594F76" w14:textId="77777777" w:rsidR="00993C89" w:rsidRPr="00CD2EEF" w:rsidRDefault="00993C89" w:rsidP="0048611D">
      <w:pPr>
        <w:pStyle w:val="LPnavaden"/>
        <w:rPr>
          <w:lang w:val="en-GB"/>
        </w:rPr>
      </w:pPr>
    </w:p>
    <w:p w14:paraId="204A5B7A" w14:textId="77777777" w:rsidR="00993C89" w:rsidRPr="00CD2EEF" w:rsidRDefault="00993C89" w:rsidP="0048611D">
      <w:pPr>
        <w:pStyle w:val="LPnavaden"/>
        <w:rPr>
          <w:lang w:val="en-GB"/>
        </w:rPr>
      </w:pPr>
    </w:p>
    <w:p w14:paraId="5FA429AA" w14:textId="77777777" w:rsidR="00993C89" w:rsidRPr="00CD2EEF" w:rsidRDefault="00993C89" w:rsidP="0048611D">
      <w:pPr>
        <w:pStyle w:val="LPnavaden"/>
        <w:rPr>
          <w:lang w:val="en-GB"/>
        </w:rPr>
      </w:pPr>
    </w:p>
    <w:p w14:paraId="37DF5080" w14:textId="77777777" w:rsidR="00993C89" w:rsidRPr="00CD2EEF" w:rsidRDefault="00993C89" w:rsidP="0048611D">
      <w:pPr>
        <w:pStyle w:val="LPnavaden"/>
        <w:rPr>
          <w:lang w:val="en-GB"/>
        </w:rPr>
      </w:pPr>
    </w:p>
    <w:p w14:paraId="0D200E01" w14:textId="77777777" w:rsidR="00993C89" w:rsidRPr="00CD2EEF" w:rsidRDefault="00993C89" w:rsidP="0048611D">
      <w:pPr>
        <w:pStyle w:val="LPnavadennaslovnaslovnica"/>
        <w:rPr>
          <w:rFonts w:ascii="Garamond" w:hAnsi="Garamond" w:cs="Arial"/>
          <w:color w:val="auto"/>
          <w:sz w:val="48"/>
          <w:szCs w:val="48"/>
          <w:lang w:val="en-GB"/>
        </w:rPr>
      </w:pPr>
      <w:r w:rsidRPr="00CD2EEF">
        <w:rPr>
          <w:rFonts w:ascii="Garamond" w:hAnsi="Garamond" w:cs="Arial"/>
          <w:color w:val="auto"/>
          <w:sz w:val="48"/>
          <w:szCs w:val="48"/>
          <w:lang w:val="en-GB"/>
        </w:rPr>
        <w:t>2021 Annual Report</w:t>
      </w:r>
    </w:p>
    <w:p w14:paraId="21C5E520" w14:textId="77777777" w:rsidR="00993C89" w:rsidRPr="00CD2EEF" w:rsidRDefault="00993C89" w:rsidP="0048611D">
      <w:pPr>
        <w:pStyle w:val="LPnavadennaslovnaslovnica"/>
        <w:rPr>
          <w:rFonts w:ascii="Garamond" w:hAnsi="Garamond" w:cs="Arial"/>
          <w:color w:val="auto"/>
          <w:sz w:val="48"/>
          <w:szCs w:val="48"/>
          <w:lang w:val="en-GB"/>
        </w:rPr>
      </w:pPr>
      <w:r w:rsidRPr="00CD2EEF">
        <w:rPr>
          <w:rFonts w:ascii="Garamond" w:hAnsi="Garamond" w:cs="Arial"/>
          <w:color w:val="auto"/>
          <w:sz w:val="48"/>
          <w:szCs w:val="48"/>
          <w:lang w:val="en-GB"/>
        </w:rPr>
        <w:t>on Radiation and Nuclear Safety</w:t>
      </w:r>
    </w:p>
    <w:p w14:paraId="3FF3CF45" w14:textId="77777777" w:rsidR="00993C89" w:rsidRPr="00CD2EEF" w:rsidRDefault="00993C89" w:rsidP="0048611D">
      <w:pPr>
        <w:pStyle w:val="LPnavadennaslov"/>
        <w:rPr>
          <w:sz w:val="48"/>
          <w:szCs w:val="48"/>
          <w:lang w:val="en-GB"/>
        </w:rPr>
      </w:pPr>
      <w:r w:rsidRPr="00CD2EEF">
        <w:rPr>
          <w:rFonts w:cs="Arial"/>
          <w:sz w:val="48"/>
          <w:szCs w:val="48"/>
          <w:lang w:val="en-GB"/>
        </w:rPr>
        <w:t>in the Republic of Slovenia</w:t>
      </w:r>
      <w:r w:rsidRPr="00CD2EEF" w:rsidDel="00A9618A">
        <w:rPr>
          <w:sz w:val="48"/>
          <w:szCs w:val="48"/>
          <w:lang w:val="en-GB"/>
        </w:rPr>
        <w:t xml:space="preserve"> </w:t>
      </w:r>
    </w:p>
    <w:p w14:paraId="07637152" w14:textId="77777777" w:rsidR="00993C89" w:rsidRPr="00CD2EEF" w:rsidRDefault="00993C89" w:rsidP="0048611D">
      <w:pPr>
        <w:pStyle w:val="LPnavaden"/>
        <w:rPr>
          <w:lang w:val="en-GB"/>
        </w:rPr>
      </w:pPr>
    </w:p>
    <w:p w14:paraId="0CFF15CF" w14:textId="77777777" w:rsidR="00993C89" w:rsidRPr="00CD2EEF" w:rsidRDefault="00993C89" w:rsidP="0048611D">
      <w:pPr>
        <w:pStyle w:val="LPnavaden"/>
        <w:rPr>
          <w:lang w:val="en-GB"/>
        </w:rPr>
      </w:pPr>
    </w:p>
    <w:p w14:paraId="30F45076" w14:textId="77777777" w:rsidR="00993C89" w:rsidRPr="00CD2EEF" w:rsidRDefault="00993C89" w:rsidP="0048611D">
      <w:pPr>
        <w:pStyle w:val="LPnavaden"/>
        <w:rPr>
          <w:lang w:val="en-GB"/>
        </w:rPr>
      </w:pPr>
    </w:p>
    <w:p w14:paraId="27BF836E" w14:textId="77777777" w:rsidR="00993C89" w:rsidRPr="00CD2EEF" w:rsidRDefault="00993C89" w:rsidP="0048611D">
      <w:pPr>
        <w:pStyle w:val="LPnavaden"/>
        <w:rPr>
          <w:lang w:val="en-GB"/>
        </w:rPr>
      </w:pPr>
    </w:p>
    <w:p w14:paraId="7921CE27" w14:textId="77777777" w:rsidR="00993C89" w:rsidRPr="00CD2EEF" w:rsidRDefault="00993C89" w:rsidP="0048611D">
      <w:pPr>
        <w:pStyle w:val="LPnavaden"/>
        <w:rPr>
          <w:lang w:val="en-GB"/>
        </w:rPr>
      </w:pPr>
    </w:p>
    <w:p w14:paraId="20EE9B0A" w14:textId="77777777" w:rsidR="00993C89" w:rsidRPr="00CD2EEF" w:rsidRDefault="00993C89" w:rsidP="0048611D">
      <w:pPr>
        <w:pStyle w:val="LPnavaden"/>
        <w:rPr>
          <w:lang w:val="en-GB"/>
        </w:rPr>
      </w:pPr>
    </w:p>
    <w:p w14:paraId="7CBEA59F" w14:textId="77777777" w:rsidR="00993C89" w:rsidRPr="00CD2EEF" w:rsidRDefault="00993C89" w:rsidP="0048611D">
      <w:pPr>
        <w:pStyle w:val="LPnavaden"/>
        <w:rPr>
          <w:lang w:val="en-GB"/>
        </w:rPr>
      </w:pPr>
    </w:p>
    <w:p w14:paraId="38E4C08B" w14:textId="77777777" w:rsidR="00993C89" w:rsidRPr="00CD2EEF" w:rsidRDefault="00993C89" w:rsidP="0048611D">
      <w:pPr>
        <w:pStyle w:val="LPnavaden"/>
        <w:rPr>
          <w:lang w:val="en-GB"/>
        </w:rPr>
      </w:pPr>
    </w:p>
    <w:p w14:paraId="3ABB7108" w14:textId="77777777" w:rsidR="00993C89" w:rsidRPr="00CD2EEF" w:rsidRDefault="00993C89" w:rsidP="0048611D">
      <w:pPr>
        <w:pStyle w:val="LPnavaden"/>
        <w:rPr>
          <w:lang w:val="en-GB"/>
        </w:rPr>
      </w:pPr>
    </w:p>
    <w:p w14:paraId="43EC2642" w14:textId="77777777" w:rsidR="00993C89" w:rsidRPr="00CD2EEF" w:rsidRDefault="00993C89" w:rsidP="0048611D">
      <w:pPr>
        <w:pStyle w:val="LPnavaden"/>
        <w:rPr>
          <w:lang w:val="en-GB"/>
        </w:rPr>
      </w:pPr>
    </w:p>
    <w:p w14:paraId="55849076" w14:textId="77777777" w:rsidR="00993C89" w:rsidRPr="00CD2EEF" w:rsidRDefault="00993C89" w:rsidP="0048611D">
      <w:pPr>
        <w:pStyle w:val="LPnavaden"/>
        <w:rPr>
          <w:lang w:val="en-GB"/>
        </w:rPr>
      </w:pPr>
    </w:p>
    <w:p w14:paraId="59A6DA94" w14:textId="77777777" w:rsidR="00993C89" w:rsidRPr="00CD2EEF" w:rsidRDefault="00993C89" w:rsidP="0048611D">
      <w:pPr>
        <w:pStyle w:val="LPnavaden"/>
        <w:rPr>
          <w:lang w:val="en-GB"/>
        </w:rPr>
      </w:pPr>
    </w:p>
    <w:p w14:paraId="711C4631" w14:textId="77777777" w:rsidR="00993C89" w:rsidRPr="00CD2EEF" w:rsidRDefault="00993C89" w:rsidP="0048611D">
      <w:pPr>
        <w:pStyle w:val="LPnavaden"/>
        <w:rPr>
          <w:lang w:val="en-GB"/>
        </w:rPr>
      </w:pPr>
    </w:p>
    <w:p w14:paraId="64BDAB40" w14:textId="34B90ABE" w:rsidR="00993C89" w:rsidRPr="00CD2EEF" w:rsidRDefault="00993C89" w:rsidP="0048611D">
      <w:pPr>
        <w:pStyle w:val="LPnavadensredina"/>
        <w:rPr>
          <w:rFonts w:cs="Arial"/>
          <w:lang w:val="en-GB"/>
        </w:rPr>
        <w:sectPr w:rsidR="00993C89" w:rsidRPr="00CD2EEF" w:rsidSect="0064782A">
          <w:headerReference w:type="even" r:id="rId10"/>
          <w:headerReference w:type="default" r:id="rId11"/>
          <w:footerReference w:type="even" r:id="rId12"/>
          <w:footerReference w:type="default" r:id="rId13"/>
          <w:pgSz w:w="11906" w:h="16838" w:code="9"/>
          <w:pgMar w:top="1418" w:right="1418" w:bottom="1418" w:left="1418" w:header="709" w:footer="709" w:gutter="0"/>
          <w:pgNumType w:fmt="lowerRoman" w:start="1"/>
          <w:cols w:space="708"/>
          <w:docGrid w:linePitch="360"/>
        </w:sectPr>
      </w:pPr>
      <w:r w:rsidRPr="00CD2EEF">
        <w:rPr>
          <w:rFonts w:cs="Arial"/>
          <w:lang w:val="en-GB"/>
        </w:rPr>
        <w:t>January 2023</w:t>
      </w:r>
    </w:p>
    <w:p w14:paraId="5B5FB45A" w14:textId="77777777" w:rsidR="00993C89" w:rsidRPr="00CD2EEF" w:rsidRDefault="00993C89" w:rsidP="0048611D">
      <w:pPr>
        <w:pStyle w:val="LPnavadenpomanjan0"/>
        <w:rPr>
          <w:lang w:val="en-GB"/>
        </w:rPr>
      </w:pPr>
    </w:p>
    <w:p w14:paraId="0196D570" w14:textId="77777777" w:rsidR="00993C89" w:rsidRPr="00CD2EEF" w:rsidRDefault="00993C89" w:rsidP="0048611D">
      <w:pPr>
        <w:pStyle w:val="LPnavadenpomanjan0"/>
        <w:rPr>
          <w:lang w:val="en-GB"/>
        </w:rPr>
      </w:pPr>
    </w:p>
    <w:p w14:paraId="1286DD04" w14:textId="77777777" w:rsidR="00993C89" w:rsidRPr="00CD2EEF" w:rsidRDefault="00993C89" w:rsidP="0048611D">
      <w:pPr>
        <w:pStyle w:val="LPnavadenpomanjan0"/>
        <w:rPr>
          <w:lang w:val="en-GB"/>
        </w:rPr>
      </w:pPr>
    </w:p>
    <w:p w14:paraId="5AD9A630" w14:textId="77777777" w:rsidR="00993C89" w:rsidRPr="00CD2EEF" w:rsidRDefault="00993C89" w:rsidP="0048611D">
      <w:pPr>
        <w:pStyle w:val="LPnavadenpomanjan0"/>
        <w:rPr>
          <w:lang w:val="en-GB"/>
        </w:rPr>
      </w:pPr>
    </w:p>
    <w:p w14:paraId="6AC96C91" w14:textId="77777777" w:rsidR="00993C89" w:rsidRPr="00CD2EEF" w:rsidRDefault="00993C89" w:rsidP="0048611D">
      <w:pPr>
        <w:pStyle w:val="LPnavadenpomanjan0"/>
        <w:rPr>
          <w:lang w:val="en-GB"/>
        </w:rPr>
      </w:pPr>
    </w:p>
    <w:p w14:paraId="4C56F933" w14:textId="77777777" w:rsidR="00993C89" w:rsidRPr="00CD2EEF" w:rsidRDefault="00993C89" w:rsidP="0048611D">
      <w:pPr>
        <w:pStyle w:val="LPnavadenpomanjan0"/>
        <w:rPr>
          <w:lang w:val="en-GB"/>
        </w:rPr>
      </w:pPr>
    </w:p>
    <w:p w14:paraId="3FA3038D" w14:textId="77777777" w:rsidR="00993C89" w:rsidRPr="00CD2EEF" w:rsidRDefault="00993C89" w:rsidP="0048611D">
      <w:pPr>
        <w:pStyle w:val="LPnavadenpomanjan0"/>
        <w:rPr>
          <w:lang w:val="en-GB"/>
        </w:rPr>
      </w:pPr>
    </w:p>
    <w:p w14:paraId="6BCC12E2" w14:textId="77777777" w:rsidR="00993C89" w:rsidRPr="00CD2EEF" w:rsidRDefault="00993C89" w:rsidP="0048611D">
      <w:pPr>
        <w:pStyle w:val="LPnavadenpomanjan0"/>
        <w:rPr>
          <w:lang w:val="en-GB"/>
        </w:rPr>
      </w:pPr>
    </w:p>
    <w:p w14:paraId="0EFD6011" w14:textId="77777777" w:rsidR="00993C89" w:rsidRPr="00CD2EEF" w:rsidRDefault="00993C89" w:rsidP="0048611D">
      <w:pPr>
        <w:pStyle w:val="LPnavadenpomanjan0"/>
        <w:rPr>
          <w:lang w:val="en-GB"/>
        </w:rPr>
      </w:pPr>
    </w:p>
    <w:p w14:paraId="295B184F" w14:textId="77777777" w:rsidR="00993C89" w:rsidRPr="00CD2EEF" w:rsidRDefault="00993C89" w:rsidP="0048611D">
      <w:pPr>
        <w:pStyle w:val="LPnavadenpomanjan0"/>
        <w:rPr>
          <w:lang w:val="en-GB"/>
        </w:rPr>
      </w:pPr>
    </w:p>
    <w:p w14:paraId="26C06804" w14:textId="77777777" w:rsidR="00993C89" w:rsidRPr="00CD2EEF" w:rsidRDefault="00993C89" w:rsidP="0048611D">
      <w:pPr>
        <w:pStyle w:val="LPnavadenpomanjan0"/>
        <w:rPr>
          <w:lang w:val="en-GB"/>
        </w:rPr>
      </w:pPr>
    </w:p>
    <w:p w14:paraId="3E6328B6" w14:textId="77777777" w:rsidR="00993C89" w:rsidRPr="00CD2EEF" w:rsidRDefault="00993C89" w:rsidP="0048611D">
      <w:pPr>
        <w:pStyle w:val="LPnavadenpomanjan0"/>
        <w:rPr>
          <w:lang w:val="en-GB"/>
        </w:rPr>
      </w:pPr>
    </w:p>
    <w:p w14:paraId="7D1D9DFD" w14:textId="77777777" w:rsidR="00993C89" w:rsidRPr="00CD2EEF" w:rsidRDefault="00993C89" w:rsidP="0048611D">
      <w:pPr>
        <w:pStyle w:val="LPnavadenpomanjan0"/>
        <w:rPr>
          <w:lang w:val="en-GB"/>
        </w:rPr>
      </w:pPr>
    </w:p>
    <w:p w14:paraId="7442E4E0" w14:textId="77777777" w:rsidR="00993C89" w:rsidRPr="00CD2EEF" w:rsidRDefault="00993C89" w:rsidP="0048611D">
      <w:pPr>
        <w:pStyle w:val="LPnavadenpomanjan0"/>
        <w:rPr>
          <w:lang w:val="en-GB"/>
        </w:rPr>
      </w:pPr>
    </w:p>
    <w:p w14:paraId="455349DB" w14:textId="77777777" w:rsidR="00993C89" w:rsidRPr="00CD2EEF" w:rsidRDefault="00993C89" w:rsidP="0048611D">
      <w:pPr>
        <w:pStyle w:val="LPnavadenpomanjan0"/>
        <w:rPr>
          <w:lang w:val="en-GB"/>
        </w:rPr>
      </w:pPr>
    </w:p>
    <w:p w14:paraId="2745205D" w14:textId="77777777" w:rsidR="00993C89" w:rsidRPr="00CD2EEF" w:rsidRDefault="00993C89" w:rsidP="0048611D">
      <w:pPr>
        <w:pStyle w:val="LPnavadenpomanjan0"/>
        <w:rPr>
          <w:lang w:val="en-GB"/>
        </w:rPr>
      </w:pPr>
    </w:p>
    <w:p w14:paraId="21F76668" w14:textId="77777777" w:rsidR="00993C89" w:rsidRPr="00CD2EEF" w:rsidRDefault="00993C89" w:rsidP="0048611D">
      <w:pPr>
        <w:pStyle w:val="LPnavadenpomanjan0"/>
        <w:rPr>
          <w:lang w:val="en-GB"/>
        </w:rPr>
      </w:pPr>
    </w:p>
    <w:p w14:paraId="2B20565C" w14:textId="77777777" w:rsidR="00993C89" w:rsidRPr="00CD2EEF" w:rsidRDefault="00993C89" w:rsidP="0048611D">
      <w:pPr>
        <w:pStyle w:val="LPnavadenpomanjan0"/>
        <w:rPr>
          <w:lang w:val="en-GB"/>
        </w:rPr>
      </w:pPr>
    </w:p>
    <w:p w14:paraId="129DD234" w14:textId="77777777" w:rsidR="00993C89" w:rsidRPr="00CD2EEF" w:rsidRDefault="00993C89" w:rsidP="0048611D">
      <w:pPr>
        <w:pStyle w:val="LPnavadenpomanjan0"/>
        <w:rPr>
          <w:lang w:val="en-GB"/>
        </w:rPr>
      </w:pPr>
    </w:p>
    <w:p w14:paraId="4B95D301" w14:textId="77777777" w:rsidR="00993C89" w:rsidRPr="00CD2EEF" w:rsidRDefault="00993C89" w:rsidP="0048611D">
      <w:pPr>
        <w:pStyle w:val="LPnavadenpomanjan"/>
        <w:rPr>
          <w:lang w:val="en-GB"/>
        </w:rPr>
      </w:pPr>
      <w:r w:rsidRPr="00CD2EEF">
        <w:rPr>
          <w:lang w:val="en-GB"/>
        </w:rPr>
        <w:t xml:space="preserve">Prepared by the </w:t>
      </w:r>
      <w:r w:rsidRPr="00CD2EEF">
        <w:rPr>
          <w:b/>
          <w:lang w:val="en-GB"/>
        </w:rPr>
        <w:t>Slovenian Nuclear Safety Administration</w:t>
      </w:r>
      <w:r w:rsidRPr="00CD2EEF">
        <w:rPr>
          <w:lang w:val="en-GB"/>
        </w:rPr>
        <w:t xml:space="preserve"> in cooperation with:</w:t>
      </w:r>
    </w:p>
    <w:p w14:paraId="4DCCBD75" w14:textId="77777777" w:rsidR="00993C89" w:rsidRPr="00CD2EEF" w:rsidRDefault="00993C89" w:rsidP="0048611D">
      <w:pPr>
        <w:pStyle w:val="LPnavadenpomanjan"/>
        <w:rPr>
          <w:lang w:val="en-GB"/>
        </w:rPr>
      </w:pPr>
    </w:p>
    <w:p w14:paraId="428D0127" w14:textId="77777777" w:rsidR="00993C89" w:rsidRPr="00CD2EEF" w:rsidRDefault="00993C89" w:rsidP="0048611D">
      <w:pPr>
        <w:pStyle w:val="LPnavadenpomanjan"/>
        <w:rPr>
          <w:lang w:val="en-GB"/>
        </w:rPr>
      </w:pPr>
      <w:r w:rsidRPr="00CD2EEF">
        <w:rPr>
          <w:lang w:val="en-GB"/>
        </w:rPr>
        <w:t>The Slovenian Radiation Protection Administration;</w:t>
      </w:r>
    </w:p>
    <w:p w14:paraId="3672123B" w14:textId="77777777" w:rsidR="00993C89" w:rsidRPr="00CD2EEF" w:rsidRDefault="00993C89" w:rsidP="0048611D">
      <w:pPr>
        <w:pStyle w:val="LPnavadenpomanjan"/>
        <w:rPr>
          <w:lang w:val="en-GB"/>
        </w:rPr>
      </w:pPr>
      <w:r w:rsidRPr="00CD2EEF">
        <w:rPr>
          <w:lang w:val="en-GB"/>
        </w:rPr>
        <w:t>The Administration of the Republic of Slovenia for Civil Protection and Disaster Relief;</w:t>
      </w:r>
    </w:p>
    <w:p w14:paraId="51322BD6" w14:textId="77777777" w:rsidR="00993C89" w:rsidRPr="00CD2EEF" w:rsidRDefault="00993C89" w:rsidP="0048611D">
      <w:pPr>
        <w:pStyle w:val="LPnavadenpomanjan"/>
        <w:rPr>
          <w:lang w:val="en-GB"/>
        </w:rPr>
      </w:pPr>
      <w:r w:rsidRPr="00CD2EEF">
        <w:rPr>
          <w:lang w:val="en-GB"/>
        </w:rPr>
        <w:t>The Ministry of Infrastructure;</w:t>
      </w:r>
    </w:p>
    <w:p w14:paraId="0CC898BF" w14:textId="77777777" w:rsidR="00993C89" w:rsidRPr="00CD2EEF" w:rsidRDefault="00993C89" w:rsidP="0048611D">
      <w:pPr>
        <w:pStyle w:val="LPnavadenpomanjan"/>
        <w:rPr>
          <w:lang w:val="en-GB"/>
        </w:rPr>
      </w:pPr>
      <w:r w:rsidRPr="00CD2EEF">
        <w:rPr>
          <w:lang w:val="en-GB"/>
        </w:rPr>
        <w:t>The Administration of the Republic of Slovenia for Food Safety, Veterinary and Plant Protection;</w:t>
      </w:r>
    </w:p>
    <w:p w14:paraId="06988F5D" w14:textId="77777777" w:rsidR="00993C89" w:rsidRPr="00CD2EEF" w:rsidRDefault="00993C89" w:rsidP="0048611D">
      <w:pPr>
        <w:pStyle w:val="LPnavadenpomanjan"/>
        <w:rPr>
          <w:lang w:val="en-GB"/>
        </w:rPr>
      </w:pPr>
      <w:r w:rsidRPr="00CD2EEF">
        <w:rPr>
          <w:lang w:val="en-GB"/>
        </w:rPr>
        <w:t xml:space="preserve">The Ministry of the Interior; </w:t>
      </w:r>
    </w:p>
    <w:p w14:paraId="25C08A33" w14:textId="77777777" w:rsidR="00993C89" w:rsidRPr="00CD2EEF" w:rsidRDefault="00993C89" w:rsidP="0048611D">
      <w:pPr>
        <w:pStyle w:val="LPnavadenpomanjan"/>
        <w:rPr>
          <w:lang w:val="en-GB"/>
        </w:rPr>
      </w:pPr>
      <w:r w:rsidRPr="00CD2EEF">
        <w:rPr>
          <w:lang w:val="en-GB"/>
        </w:rPr>
        <w:t>The Agency for Radwaste Management;</w:t>
      </w:r>
    </w:p>
    <w:p w14:paraId="66828ED5" w14:textId="77777777" w:rsidR="00993C89" w:rsidRPr="00CD2EEF" w:rsidRDefault="00993C89" w:rsidP="0048611D">
      <w:pPr>
        <w:pStyle w:val="LPnavadenpomanjan"/>
        <w:rPr>
          <w:lang w:val="en-GB"/>
        </w:rPr>
      </w:pPr>
      <w:r w:rsidRPr="00CD2EEF">
        <w:rPr>
          <w:lang w:val="en-GB"/>
        </w:rPr>
        <w:t>The Nuclear Insurance and Reinsurance Pool;</w:t>
      </w:r>
    </w:p>
    <w:p w14:paraId="39AE6615" w14:textId="77777777" w:rsidR="00993C89" w:rsidRPr="00CD2EEF" w:rsidRDefault="00993C89" w:rsidP="0048611D">
      <w:pPr>
        <w:pStyle w:val="LPnavadenpomanjan"/>
        <w:rPr>
          <w:lang w:val="en-GB"/>
        </w:rPr>
      </w:pPr>
      <w:r w:rsidRPr="00CD2EEF">
        <w:rPr>
          <w:lang w:val="en-GB"/>
        </w:rPr>
        <w:t>The Fund for Financing the Decommissioning of the Krško Nuclear Power Plant;</w:t>
      </w:r>
    </w:p>
    <w:p w14:paraId="728F1243" w14:textId="77777777" w:rsidR="00993C89" w:rsidRPr="00CD2EEF" w:rsidRDefault="00993C89" w:rsidP="0048611D">
      <w:pPr>
        <w:pStyle w:val="LPnavadenpomanjan"/>
        <w:rPr>
          <w:lang w:val="en-GB"/>
        </w:rPr>
      </w:pPr>
      <w:r w:rsidRPr="00CD2EEF">
        <w:rPr>
          <w:lang w:val="en-GB"/>
        </w:rPr>
        <w:t>The Krško Nuclear Power Plant;</w:t>
      </w:r>
    </w:p>
    <w:p w14:paraId="75BC7DFC" w14:textId="77777777" w:rsidR="00993C89" w:rsidRPr="00CD2EEF" w:rsidRDefault="00993C89" w:rsidP="0048611D">
      <w:pPr>
        <w:pStyle w:val="LPnavadenpomanjan"/>
        <w:rPr>
          <w:lang w:val="en-GB"/>
        </w:rPr>
      </w:pPr>
      <w:r w:rsidRPr="00CD2EEF">
        <w:rPr>
          <w:lang w:val="en-GB"/>
        </w:rPr>
        <w:t xml:space="preserve">Žirovski Vrh </w:t>
      </w:r>
      <w:r w:rsidRPr="003603DF">
        <w:rPr>
          <w:lang w:val="en-GB"/>
        </w:rPr>
        <w:t>Mine d. o. o.;</w:t>
      </w:r>
    </w:p>
    <w:p w14:paraId="5B3A313E" w14:textId="77777777" w:rsidR="00993C89" w:rsidRPr="00CD2EEF" w:rsidRDefault="00993C89" w:rsidP="0048611D">
      <w:pPr>
        <w:pStyle w:val="LPnavadenpomanjan"/>
        <w:rPr>
          <w:lang w:val="en-GB"/>
        </w:rPr>
      </w:pPr>
      <w:r w:rsidRPr="00CD2EEF">
        <w:rPr>
          <w:lang w:val="en-GB"/>
        </w:rPr>
        <w:t>Jožef Stefan Institute; and</w:t>
      </w:r>
    </w:p>
    <w:p w14:paraId="62800BBC" w14:textId="77777777" w:rsidR="00993C89" w:rsidRPr="00CD2EEF" w:rsidRDefault="00993C89" w:rsidP="0048611D">
      <w:pPr>
        <w:pStyle w:val="LPnavadenpomanjan"/>
        <w:rPr>
          <w:lang w:val="en-GB"/>
        </w:rPr>
      </w:pPr>
      <w:r w:rsidRPr="00CD2EEF">
        <w:rPr>
          <w:lang w:val="en-GB"/>
        </w:rPr>
        <w:t>The Institute of Occupational Safety.</w:t>
      </w:r>
    </w:p>
    <w:p w14:paraId="654F20EF" w14:textId="77777777" w:rsidR="00993C89" w:rsidRPr="00CD2EEF" w:rsidRDefault="00993C89" w:rsidP="0048611D">
      <w:pPr>
        <w:pStyle w:val="LPnavadenpomanjan"/>
        <w:rPr>
          <w:lang w:val="en-GB"/>
        </w:rPr>
      </w:pPr>
    </w:p>
    <w:p w14:paraId="27AF5169" w14:textId="77777777" w:rsidR="00993C89" w:rsidRPr="00CD2EEF" w:rsidRDefault="00993C89" w:rsidP="0048611D">
      <w:pPr>
        <w:pStyle w:val="LPnavadenpomanjan"/>
        <w:rPr>
          <w:lang w:val="en-GB"/>
        </w:rPr>
      </w:pPr>
    </w:p>
    <w:p w14:paraId="0BD2E1CB" w14:textId="52DBD309" w:rsidR="00993C89" w:rsidRDefault="00993C89" w:rsidP="0048611D">
      <w:pPr>
        <w:pStyle w:val="LPnavadenpomanjan"/>
        <w:rPr>
          <w:lang w:val="en-GB"/>
        </w:rPr>
      </w:pPr>
      <w:r w:rsidRPr="00625CA8">
        <w:rPr>
          <w:lang w:val="en-GB"/>
        </w:rPr>
        <w:t>Editors: Igor Sirc and Nina Ledinek</w:t>
      </w:r>
      <w:r w:rsidRPr="00CD2EEF">
        <w:rPr>
          <w:lang w:val="en-GB"/>
        </w:rPr>
        <w:t xml:space="preserve"> </w:t>
      </w:r>
    </w:p>
    <w:p w14:paraId="342CE883" w14:textId="77777777" w:rsidR="00993C89" w:rsidRPr="00B73FE6" w:rsidRDefault="00993C89" w:rsidP="0048611D">
      <w:pPr>
        <w:pStyle w:val="LPnavadenpomanjan"/>
        <w:rPr>
          <w:lang w:val="it-IT"/>
        </w:rPr>
      </w:pPr>
      <w:r w:rsidRPr="00B73FE6">
        <w:rPr>
          <w:lang w:val="it-IT"/>
        </w:rPr>
        <w:t>Slovenian Nuclear Safety Administration</w:t>
      </w:r>
    </w:p>
    <w:p w14:paraId="39E0B32C" w14:textId="77777777" w:rsidR="00993C89" w:rsidRPr="00B73FE6" w:rsidRDefault="00993C89" w:rsidP="0048611D">
      <w:pPr>
        <w:pStyle w:val="LPnavadenpomanjan"/>
        <w:rPr>
          <w:lang w:val="it-IT"/>
        </w:rPr>
      </w:pPr>
      <w:r w:rsidRPr="00B73FE6">
        <w:rPr>
          <w:lang w:val="it-IT"/>
        </w:rPr>
        <w:t>Litostrojska cesta 54</w:t>
      </w:r>
    </w:p>
    <w:p w14:paraId="7C4660B1" w14:textId="77777777" w:rsidR="00993C89" w:rsidRPr="00B73FE6" w:rsidRDefault="00993C89" w:rsidP="0048611D">
      <w:pPr>
        <w:pStyle w:val="LPnavadenpomanjan"/>
        <w:rPr>
          <w:lang w:val="it-IT"/>
        </w:rPr>
      </w:pPr>
      <w:r w:rsidRPr="00B73FE6">
        <w:rPr>
          <w:lang w:val="it-IT"/>
        </w:rPr>
        <w:t>1000 Ljubljana, Slovenia</w:t>
      </w:r>
    </w:p>
    <w:p w14:paraId="32F871F8" w14:textId="77777777" w:rsidR="00993C89" w:rsidRPr="00CD2EEF" w:rsidRDefault="00993C89" w:rsidP="0048611D">
      <w:pPr>
        <w:pStyle w:val="LPnavadenpomanjan"/>
        <w:rPr>
          <w:lang w:val="en-GB"/>
        </w:rPr>
      </w:pPr>
      <w:r w:rsidRPr="00CD2EEF">
        <w:rPr>
          <w:lang w:val="en-GB"/>
        </w:rPr>
        <w:t>Telephone: +386-1/472 11 00</w:t>
      </w:r>
    </w:p>
    <w:p w14:paraId="003900C1" w14:textId="77777777" w:rsidR="00993C89" w:rsidRPr="00CD2EEF" w:rsidRDefault="00993C89" w:rsidP="0048611D">
      <w:pPr>
        <w:pStyle w:val="LPnavadenpomanjan"/>
        <w:rPr>
          <w:lang w:val="en-GB"/>
        </w:rPr>
      </w:pPr>
      <w:r w:rsidRPr="00CD2EEF">
        <w:rPr>
          <w:lang w:val="en-GB"/>
        </w:rPr>
        <w:t>Fax: +386-1/472 11 99</w:t>
      </w:r>
    </w:p>
    <w:p w14:paraId="25DE8E6F" w14:textId="77777777" w:rsidR="00993C89" w:rsidRPr="00CD2EEF" w:rsidRDefault="00447204" w:rsidP="0048611D">
      <w:pPr>
        <w:pStyle w:val="LPnavadenpomanjan"/>
        <w:rPr>
          <w:lang w:val="en-GB"/>
        </w:rPr>
      </w:pPr>
      <w:hyperlink r:id="rId14" w:history="1">
        <w:r w:rsidR="00993C89" w:rsidRPr="00CD2EEF">
          <w:rPr>
            <w:lang w:val="en-GB"/>
          </w:rPr>
          <w:t>gp.ursjv@gov.si</w:t>
        </w:r>
      </w:hyperlink>
    </w:p>
    <w:p w14:paraId="660AF324" w14:textId="77777777" w:rsidR="00993C89" w:rsidRPr="00CD2EEF" w:rsidRDefault="00993C89" w:rsidP="0048611D">
      <w:pPr>
        <w:pStyle w:val="LPnavadenpomanjan"/>
        <w:rPr>
          <w:lang w:val="en-GB"/>
        </w:rPr>
      </w:pPr>
      <w:r w:rsidRPr="00CD2EEF">
        <w:rPr>
          <w:lang w:val="en-GB"/>
        </w:rPr>
        <w:t xml:space="preserve">URL: </w:t>
      </w:r>
      <w:hyperlink r:id="rId15" w:history="1">
        <w:r w:rsidRPr="00CD2EEF">
          <w:rPr>
            <w:rStyle w:val="Hiperpovezava"/>
            <w:lang w:val="en-GB"/>
          </w:rPr>
          <w:t>https://www.gov.si/en/state-authorities/bodies-within-ministries/slovenian-nuclear-safety-administration/</w:t>
        </w:r>
      </w:hyperlink>
      <w:r w:rsidRPr="00CD2EEF">
        <w:rPr>
          <w:lang w:val="en-GB"/>
        </w:rPr>
        <w:t xml:space="preserve"> </w:t>
      </w:r>
    </w:p>
    <w:p w14:paraId="20974CE3" w14:textId="77777777" w:rsidR="0017414F" w:rsidRPr="00625CA8" w:rsidRDefault="0017414F" w:rsidP="0017414F">
      <w:pPr>
        <w:pStyle w:val="LPnavadenpomanjan"/>
        <w:rPr>
          <w:lang w:val="en-GB"/>
        </w:rPr>
      </w:pPr>
      <w:r w:rsidRPr="00625CA8">
        <w:rPr>
          <w:lang w:val="en-GB"/>
        </w:rPr>
        <w:t>English language editor: Dean J. DeVos</w:t>
      </w:r>
    </w:p>
    <w:p w14:paraId="4D1EAADB" w14:textId="44D90176" w:rsidR="00993C89" w:rsidRDefault="0017414F" w:rsidP="0048611D">
      <w:pPr>
        <w:pStyle w:val="LPnavadenpomanjan"/>
        <w:rPr>
          <w:lang w:val="en-GB"/>
        </w:rPr>
      </w:pPr>
      <w:r>
        <w:rPr>
          <w:lang w:val="en-GB"/>
        </w:rPr>
        <w:t>AMIDAS d.o.o.</w:t>
      </w:r>
    </w:p>
    <w:p w14:paraId="63509C71" w14:textId="77777777" w:rsidR="0017414F" w:rsidRPr="0017414F" w:rsidRDefault="0017414F" w:rsidP="0017414F">
      <w:pPr>
        <w:pStyle w:val="LPnavaden"/>
        <w:rPr>
          <w:lang w:val="en-GB" w:eastAsia="sl-SI"/>
        </w:rPr>
      </w:pPr>
    </w:p>
    <w:p w14:paraId="2C8D7A49" w14:textId="1013B324" w:rsidR="00993C89" w:rsidRPr="00CD2EEF" w:rsidRDefault="00993C89" w:rsidP="00291E8E">
      <w:pPr>
        <w:pStyle w:val="LPnavadenpomanjan"/>
        <w:rPr>
          <w:lang w:val="en-GB"/>
        </w:rPr>
      </w:pPr>
      <w:r w:rsidRPr="00CD2EEF">
        <w:rPr>
          <w:lang w:val="en-GB"/>
        </w:rPr>
        <w:t>Ljubljana, January 2023</w:t>
      </w:r>
    </w:p>
    <w:p w14:paraId="4A991D7B" w14:textId="77777777" w:rsidR="00993C89" w:rsidRPr="00CD2EEF" w:rsidRDefault="00993C89" w:rsidP="0048611D">
      <w:pPr>
        <w:pStyle w:val="LPnavadenpomanjan"/>
        <w:rPr>
          <w:lang w:val="en-GB"/>
        </w:rPr>
      </w:pPr>
      <w:r w:rsidRPr="00CD2EEF">
        <w:rPr>
          <w:lang w:val="en-GB"/>
        </w:rPr>
        <w:t>URSJV/RP-120/2022</w:t>
      </w:r>
    </w:p>
    <w:p w14:paraId="6F0CE527" w14:textId="77777777" w:rsidR="00993C89" w:rsidRPr="00CD2EEF" w:rsidRDefault="00993C89" w:rsidP="0048611D">
      <w:pPr>
        <w:pStyle w:val="LPnavadenpomanjan"/>
        <w:rPr>
          <w:lang w:val="en-GB"/>
        </w:rPr>
      </w:pPr>
      <w:r w:rsidRPr="00CD2EEF">
        <w:rPr>
          <w:lang w:val="en-GB"/>
        </w:rPr>
        <w:t>ISSN 2536-4227</w:t>
      </w:r>
    </w:p>
    <w:p w14:paraId="5CBFF177" w14:textId="77777777" w:rsidR="00993C89" w:rsidRPr="00CD2EEF" w:rsidRDefault="00993C89" w:rsidP="008063E8">
      <w:pPr>
        <w:rPr>
          <w:lang w:val="en-GB"/>
        </w:rPr>
        <w:sectPr w:rsidR="00993C89" w:rsidRPr="00CD2EEF" w:rsidSect="00291E8E">
          <w:pgSz w:w="11906" w:h="16838"/>
          <w:pgMar w:top="1417" w:right="1417" w:bottom="1417" w:left="1417" w:header="708" w:footer="708" w:gutter="0"/>
          <w:pgNumType w:fmt="lowerRoman"/>
          <w:cols w:space="708"/>
          <w:docGrid w:linePitch="360"/>
        </w:sectPr>
      </w:pPr>
    </w:p>
    <w:p w14:paraId="4A9F5C70" w14:textId="199BCFDF" w:rsidR="00993C89" w:rsidRPr="00CD2EEF" w:rsidRDefault="00993C89" w:rsidP="0048611D">
      <w:pPr>
        <w:pStyle w:val="LPNaslov1"/>
        <w:numPr>
          <w:ilvl w:val="0"/>
          <w:numId w:val="0"/>
        </w:numPr>
        <w:ind w:left="709" w:hanging="709"/>
        <w:outlineLvl w:val="9"/>
        <w:rPr>
          <w:lang w:val="en-GB"/>
        </w:rPr>
      </w:pPr>
      <w:r w:rsidRPr="00CD2EEF">
        <w:rPr>
          <w:lang w:val="en-GB"/>
        </w:rPr>
        <w:lastRenderedPageBreak/>
        <w:t>SUMMARY</w:t>
      </w:r>
    </w:p>
    <w:p w14:paraId="5EAA1857" w14:textId="18226D6F" w:rsidR="00993C89" w:rsidRPr="00CD2EEF" w:rsidRDefault="00993C89" w:rsidP="00884EEA">
      <w:pPr>
        <w:pStyle w:val="LPnavaden"/>
        <w:rPr>
          <w:lang w:val="en-GB"/>
        </w:rPr>
      </w:pPr>
      <w:r w:rsidRPr="00CD2EEF">
        <w:rPr>
          <w:lang w:val="en-GB"/>
        </w:rPr>
        <w:t xml:space="preserve">In 2021, the Krško Nuclear Power Plant (NPP) operated safely. </w:t>
      </w:r>
      <w:r w:rsidR="001B146F">
        <w:rPr>
          <w:lang w:val="en-GB"/>
        </w:rPr>
        <w:t>The Krško NPP</w:t>
      </w:r>
      <w:r w:rsidRPr="00CD2EEF">
        <w:rPr>
          <w:lang w:val="en-GB"/>
        </w:rPr>
        <w:t xml:space="preserve"> reported two events, which did not affect the population or the environment.</w:t>
      </w:r>
    </w:p>
    <w:p w14:paraId="3E74B1C6" w14:textId="3192FBCD" w:rsidR="00993C89" w:rsidRPr="00CD2EEF" w:rsidRDefault="00993C89" w:rsidP="00884EEA">
      <w:pPr>
        <w:pStyle w:val="LPnavaden"/>
        <w:rPr>
          <w:lang w:val="en-GB"/>
        </w:rPr>
      </w:pPr>
      <w:r w:rsidRPr="00CD2EEF">
        <w:rPr>
          <w:lang w:val="en-GB"/>
        </w:rPr>
        <w:t>During the outage, which took place in spring 2021, almost all work under the third phase of</w:t>
      </w:r>
      <w:r w:rsidR="00B12C79">
        <w:rPr>
          <w:lang w:val="en-GB"/>
        </w:rPr>
        <w:t xml:space="preserve"> the</w:t>
      </w:r>
      <w:r w:rsidRPr="00CD2EEF">
        <w:rPr>
          <w:lang w:val="en-GB"/>
        </w:rPr>
        <w:t xml:space="preserve"> security improvements from the Safety Upgrade Programme (SUP) were completed. By installing additional safety systems, </w:t>
      </w:r>
      <w:r w:rsidR="001B146F">
        <w:rPr>
          <w:lang w:val="en-GB"/>
        </w:rPr>
        <w:t>the Krško NPP</w:t>
      </w:r>
      <w:r w:rsidRPr="00CD2EEF">
        <w:rPr>
          <w:lang w:val="en-GB"/>
        </w:rPr>
        <w:t xml:space="preserve"> increased the plant</w:t>
      </w:r>
      <w:r w:rsidR="00F21D56">
        <w:rPr>
          <w:lang w:val="en-GB"/>
        </w:rPr>
        <w:t>’</w:t>
      </w:r>
      <w:r w:rsidRPr="00CD2EEF">
        <w:rPr>
          <w:lang w:val="en-GB"/>
        </w:rPr>
        <w:t xml:space="preserve">s resilience to natural and other unlikely extreme events, </w:t>
      </w:r>
      <w:r w:rsidR="00B12C79">
        <w:rPr>
          <w:lang w:val="en-GB"/>
        </w:rPr>
        <w:t xml:space="preserve">thus </w:t>
      </w:r>
      <w:r w:rsidRPr="00CD2EEF">
        <w:rPr>
          <w:lang w:val="en-GB"/>
        </w:rPr>
        <w:t>approaching the safety level of new power plants.</w:t>
      </w:r>
    </w:p>
    <w:p w14:paraId="1DD4CF8D" w14:textId="20D3E090" w:rsidR="00993C89" w:rsidRPr="00CD2EEF" w:rsidRDefault="00993C89" w:rsidP="00884EEA">
      <w:pPr>
        <w:pStyle w:val="LPnavaden"/>
        <w:rPr>
          <w:lang w:val="en-GB"/>
        </w:rPr>
      </w:pPr>
      <w:r w:rsidRPr="00CD2EEF">
        <w:rPr>
          <w:lang w:val="en-GB"/>
        </w:rPr>
        <w:t>The only activity of the last period of the SUP, which is still not entirely completed, is the construction of a dry spent fuel storage facility. The construction started in April 2021 and is planned to</w:t>
      </w:r>
      <w:r w:rsidR="00B12C79">
        <w:rPr>
          <w:lang w:val="en-GB"/>
        </w:rPr>
        <w:t xml:space="preserve"> be</w:t>
      </w:r>
      <w:r w:rsidRPr="00CD2EEF">
        <w:rPr>
          <w:lang w:val="en-GB"/>
        </w:rPr>
        <w:t xml:space="preserve"> finish</w:t>
      </w:r>
      <w:r w:rsidR="00B12C79">
        <w:rPr>
          <w:lang w:val="en-GB"/>
        </w:rPr>
        <w:t>ed</w:t>
      </w:r>
      <w:r w:rsidRPr="00CD2EEF">
        <w:rPr>
          <w:lang w:val="en-GB"/>
        </w:rPr>
        <w:t xml:space="preserve"> in 2022, while the transfer of the first part of the spent fuel elements to the dry storage facility is planned for 2023.</w:t>
      </w:r>
    </w:p>
    <w:p w14:paraId="082B06CE" w14:textId="0761CDBF" w:rsidR="00993C89" w:rsidRPr="00CD2EEF" w:rsidRDefault="00993C89" w:rsidP="00884EEA">
      <w:pPr>
        <w:pStyle w:val="LPnavaden"/>
        <w:rPr>
          <w:lang w:val="en-GB"/>
        </w:rPr>
      </w:pPr>
      <w:r w:rsidRPr="00CD2EEF">
        <w:rPr>
          <w:lang w:val="en-GB"/>
        </w:rPr>
        <w:t xml:space="preserve">In 2021, the Third Periodic Safety Review (PSR) began in </w:t>
      </w:r>
      <w:r w:rsidR="001B146F">
        <w:rPr>
          <w:lang w:val="en-GB"/>
        </w:rPr>
        <w:t>the Krško NPP</w:t>
      </w:r>
      <w:r w:rsidRPr="00CD2EEF">
        <w:rPr>
          <w:lang w:val="en-GB"/>
        </w:rPr>
        <w:t>. The final safety review report</w:t>
      </w:r>
      <w:r w:rsidR="00B12C79">
        <w:rPr>
          <w:lang w:val="en-GB"/>
        </w:rPr>
        <w:t>,</w:t>
      </w:r>
      <w:r w:rsidRPr="00CD2EEF">
        <w:rPr>
          <w:lang w:val="en-GB"/>
        </w:rPr>
        <w:t xml:space="preserve"> which will also include a comprehensive assessment of the facility</w:t>
      </w:r>
      <w:r w:rsidR="00F21D56">
        <w:rPr>
          <w:lang w:val="en-GB"/>
        </w:rPr>
        <w:t>’</w:t>
      </w:r>
      <w:r w:rsidRPr="00CD2EEF">
        <w:rPr>
          <w:lang w:val="en-GB"/>
        </w:rPr>
        <w:t>s safety and a plan of modifications and improvements based on the findings of the review, will be submitted for review and approval to the Slovenian Nuclear Safety Administration (</w:t>
      </w:r>
      <w:r w:rsidR="00E63423">
        <w:rPr>
          <w:lang w:val="en-GB"/>
        </w:rPr>
        <w:t>the SNSA</w:t>
      </w:r>
      <w:r w:rsidRPr="00CD2EEF">
        <w:rPr>
          <w:lang w:val="en-GB"/>
        </w:rPr>
        <w:t xml:space="preserve">) in 2023. </w:t>
      </w:r>
      <w:r w:rsidR="00A726E8">
        <w:rPr>
          <w:lang w:val="en-GB"/>
        </w:rPr>
        <w:t>The</w:t>
      </w:r>
      <w:r w:rsidR="00E63423">
        <w:rPr>
          <w:lang w:val="en-GB"/>
        </w:rPr>
        <w:t xml:space="preserve"> SNSA</w:t>
      </w:r>
      <w:r w:rsidR="00F21D56">
        <w:rPr>
          <w:lang w:val="en-GB"/>
        </w:rPr>
        <w:t>’</w:t>
      </w:r>
      <w:r w:rsidRPr="00CD2EEF">
        <w:rPr>
          <w:lang w:val="en-GB"/>
        </w:rPr>
        <w:t>s approval is a condition for</w:t>
      </w:r>
      <w:r w:rsidR="00B12C79">
        <w:rPr>
          <w:lang w:val="en-GB"/>
        </w:rPr>
        <w:t xml:space="preserve"> a</w:t>
      </w:r>
      <w:r w:rsidRPr="00CD2EEF">
        <w:rPr>
          <w:lang w:val="en-GB"/>
        </w:rPr>
        <w:t xml:space="preserve"> further ten years of operation.</w:t>
      </w:r>
    </w:p>
    <w:p w14:paraId="75B0B140" w14:textId="0E6B8FDE" w:rsidR="00993C89" w:rsidRPr="00CD2EEF" w:rsidRDefault="00993C89" w:rsidP="00884EEA">
      <w:pPr>
        <w:pStyle w:val="LPnavaden"/>
        <w:rPr>
          <w:lang w:val="en-GB"/>
        </w:rPr>
      </w:pPr>
      <w:r w:rsidRPr="00CD2EEF">
        <w:rPr>
          <w:lang w:val="en-GB"/>
        </w:rPr>
        <w:t>In 2021,</w:t>
      </w:r>
      <w:r w:rsidR="00F21D56">
        <w:rPr>
          <w:lang w:val="en-GB"/>
        </w:rPr>
        <w:t xml:space="preserve"> </w:t>
      </w:r>
      <w:r w:rsidRPr="00CD2EEF">
        <w:rPr>
          <w:lang w:val="en-GB"/>
        </w:rPr>
        <w:t xml:space="preserve">the process of obtaining environmental approval to extend the operating period of </w:t>
      </w:r>
      <w:r w:rsidR="001B146F">
        <w:rPr>
          <w:lang w:val="en-GB"/>
        </w:rPr>
        <w:t>the Krško NPP</w:t>
      </w:r>
      <w:r w:rsidRPr="00CD2EEF">
        <w:rPr>
          <w:lang w:val="en-GB"/>
        </w:rPr>
        <w:t xml:space="preserve"> from 40 to 60 years was also initiated.</w:t>
      </w:r>
    </w:p>
    <w:p w14:paraId="168CC8BB" w14:textId="7FFF2841" w:rsidR="00993C89" w:rsidRPr="00CD2EEF" w:rsidRDefault="00993C89" w:rsidP="0073299C">
      <w:pPr>
        <w:pStyle w:val="LPnavaden"/>
        <w:rPr>
          <w:lang w:val="en-GB"/>
        </w:rPr>
      </w:pPr>
      <w:r w:rsidRPr="00CD2EEF">
        <w:rPr>
          <w:lang w:val="en-GB"/>
        </w:rPr>
        <w:t xml:space="preserve">The Agency for Radwaste Management (ARAO) continued its activities for the construction of a low- and intermediate-level radioactive waste repository in Vrbina near Krško. In 2021, following the completion of the public exhibition and cross-border assessment, an environmental approval was issued, but not yet a building permit. Given the dynamics of the implementation of the activities and </w:t>
      </w:r>
      <w:r w:rsidR="00F21D56">
        <w:rPr>
          <w:lang w:val="en-GB"/>
        </w:rPr>
        <w:t>conduct</w:t>
      </w:r>
      <w:r w:rsidR="00F21D56" w:rsidRPr="00CD2EEF">
        <w:rPr>
          <w:lang w:val="en-GB"/>
        </w:rPr>
        <w:t xml:space="preserve"> </w:t>
      </w:r>
      <w:r w:rsidRPr="00CD2EEF">
        <w:rPr>
          <w:lang w:val="en-GB"/>
        </w:rPr>
        <w:t xml:space="preserve">of the authorities involved, the challenge that the storage facilities for such waste at </w:t>
      </w:r>
      <w:r w:rsidR="001B146F">
        <w:rPr>
          <w:lang w:val="en-GB"/>
        </w:rPr>
        <w:t>the Krško NPP</w:t>
      </w:r>
      <w:r w:rsidRPr="00CD2EEF">
        <w:rPr>
          <w:lang w:val="en-GB"/>
        </w:rPr>
        <w:t xml:space="preserve"> will be filled up and that there will be no repository available, remains very relevant. </w:t>
      </w:r>
    </w:p>
    <w:p w14:paraId="31FD77BD" w14:textId="38AB0530" w:rsidR="00993C89" w:rsidRPr="00CD2EEF" w:rsidRDefault="00993C89" w:rsidP="0073299C">
      <w:pPr>
        <w:pStyle w:val="LPnavaden"/>
        <w:rPr>
          <w:lang w:val="en-GB"/>
        </w:rPr>
      </w:pPr>
      <w:r w:rsidRPr="00CD2EEF">
        <w:rPr>
          <w:lang w:val="en-GB"/>
        </w:rPr>
        <w:t xml:space="preserve">At the Boršt hydrometallurgical tailings site of the former uranium mine in Žirovski Vrh, the problems due to rock landslides have not been resolved, so </w:t>
      </w:r>
      <w:r w:rsidR="002C5313">
        <w:rPr>
          <w:lang w:val="en-GB"/>
        </w:rPr>
        <w:t>a</w:t>
      </w:r>
      <w:r w:rsidR="002C5313" w:rsidRPr="00CD2EEF">
        <w:rPr>
          <w:lang w:val="en-GB"/>
        </w:rPr>
        <w:t xml:space="preserve"> </w:t>
      </w:r>
      <w:r w:rsidRPr="00CD2EEF">
        <w:rPr>
          <w:lang w:val="en-GB"/>
        </w:rPr>
        <w:t xml:space="preserve">search for solutions </w:t>
      </w:r>
      <w:r w:rsidR="00AF4919">
        <w:rPr>
          <w:lang w:val="en-GB"/>
        </w:rPr>
        <w:t>to</w:t>
      </w:r>
      <w:r w:rsidR="00AF4919" w:rsidRPr="00CD2EEF">
        <w:rPr>
          <w:lang w:val="en-GB"/>
        </w:rPr>
        <w:t xml:space="preserve"> </w:t>
      </w:r>
      <w:r w:rsidRPr="00CD2EEF">
        <w:rPr>
          <w:lang w:val="en-GB"/>
        </w:rPr>
        <w:t>closing the landfill continues.</w:t>
      </w:r>
    </w:p>
    <w:p w14:paraId="63E76447" w14:textId="7AB83FBE" w:rsidR="00993C89" w:rsidRPr="00CD2EEF" w:rsidRDefault="00993C89" w:rsidP="00993C89">
      <w:pPr>
        <w:pStyle w:val="LPnavaden"/>
        <w:rPr>
          <w:lang w:val="en-GB"/>
        </w:rPr>
      </w:pPr>
      <w:r w:rsidRPr="00CD2EEF">
        <w:rPr>
          <w:lang w:val="en-GB"/>
        </w:rPr>
        <w:t xml:space="preserve">In 2021, the planned monitoring of radioactivity in the environment went smoothly. Based on the results of the measurements, we established that the dose to the population of Slovenia due to the presence of artificial radionuclides in the environment is below all statutory limits and is comparable to previous years. Furthermore, operational monitoring of all facilities was carried out according to the planned annual programmes, and the activities of released radioactive substances into the environment were below the </w:t>
      </w:r>
      <w:r w:rsidRPr="00304876">
        <w:rPr>
          <w:lang w:val="en-GB"/>
        </w:rPr>
        <w:t>author</w:t>
      </w:r>
      <w:r w:rsidR="00837F00" w:rsidRPr="00BE025A">
        <w:rPr>
          <w:lang w:val="en-GB"/>
        </w:rPr>
        <w:t>is</w:t>
      </w:r>
      <w:r w:rsidRPr="00304876">
        <w:rPr>
          <w:lang w:val="en-GB"/>
        </w:rPr>
        <w:t>ed</w:t>
      </w:r>
      <w:r w:rsidRPr="00CD2EEF">
        <w:rPr>
          <w:lang w:val="en-GB"/>
        </w:rPr>
        <w:t xml:space="preserve"> limit values. As a result, the burden on the population was lower than prescribed and negligible compared to the natural background.</w:t>
      </w:r>
    </w:p>
    <w:p w14:paraId="3EFED0BC" w14:textId="0752491E" w:rsidR="00993C89" w:rsidRPr="00CD2EEF" w:rsidRDefault="00993C89" w:rsidP="0073299C">
      <w:pPr>
        <w:pStyle w:val="LPnavaden"/>
        <w:rPr>
          <w:rStyle w:val="LPpobarvan1"/>
          <w:shd w:val="clear" w:color="auto" w:fill="auto"/>
          <w:lang w:val="en-GB"/>
        </w:rPr>
      </w:pPr>
      <w:r w:rsidRPr="00CD2EEF">
        <w:rPr>
          <w:lang w:val="en-GB"/>
        </w:rPr>
        <w:t>In 2021, there were no major problems for radiation practitioners</w:t>
      </w:r>
      <w:r w:rsidR="00E63423">
        <w:rPr>
          <w:lang w:val="en-GB"/>
        </w:rPr>
        <w:t>. The SNSA</w:t>
      </w:r>
      <w:r w:rsidRPr="00CD2EEF">
        <w:rPr>
          <w:lang w:val="en-GB"/>
        </w:rPr>
        <w:t xml:space="preserve"> dealt with a total of 35 intervention cases, of which most were related to </w:t>
      </w:r>
      <w:r w:rsidR="008A0878">
        <w:rPr>
          <w:lang w:val="en-GB"/>
        </w:rPr>
        <w:t xml:space="preserve">the </w:t>
      </w:r>
      <w:r w:rsidRPr="00CD2EEF">
        <w:rPr>
          <w:lang w:val="en-GB"/>
        </w:rPr>
        <w:t xml:space="preserve">supervision of </w:t>
      </w:r>
      <w:r w:rsidRPr="00CD2EEF">
        <w:rPr>
          <w:rStyle w:val="LPpobarvan1"/>
          <w:shd w:val="clear" w:color="auto" w:fill="auto"/>
          <w:lang w:val="en-GB"/>
        </w:rPr>
        <w:t xml:space="preserve">new practitioners regarding their obligations </w:t>
      </w:r>
      <w:r w:rsidR="008A0878">
        <w:rPr>
          <w:rStyle w:val="LPpobarvan1"/>
          <w:shd w:val="clear" w:color="auto" w:fill="auto"/>
          <w:lang w:val="en-GB"/>
        </w:rPr>
        <w:t>with reference to carrying out</w:t>
      </w:r>
      <w:r w:rsidR="008A0878" w:rsidRPr="00CD2EEF">
        <w:rPr>
          <w:rStyle w:val="LPpobarvan1"/>
          <w:shd w:val="clear" w:color="auto" w:fill="auto"/>
          <w:lang w:val="en-GB"/>
        </w:rPr>
        <w:t xml:space="preserve"> </w:t>
      </w:r>
      <w:r w:rsidRPr="00CD2EEF">
        <w:rPr>
          <w:rStyle w:val="LPpobarvan1"/>
          <w:shd w:val="clear" w:color="auto" w:fill="auto"/>
          <w:lang w:val="en-GB"/>
        </w:rPr>
        <w:t>radiation measurements (radioactive waste facilities).</w:t>
      </w:r>
    </w:p>
    <w:p w14:paraId="509A8713" w14:textId="1E4701EF" w:rsidR="00993C89" w:rsidRPr="00CD2EEF" w:rsidRDefault="00993C89" w:rsidP="0073299C">
      <w:pPr>
        <w:pStyle w:val="LPnavaden"/>
        <w:rPr>
          <w:lang w:val="en-GB"/>
        </w:rPr>
      </w:pPr>
      <w:r w:rsidRPr="00CD2EEF">
        <w:rPr>
          <w:lang w:val="en-GB"/>
        </w:rPr>
        <w:t xml:space="preserve">The year 2021 was still marked </w:t>
      </w:r>
      <w:r w:rsidRPr="00CD2EEF">
        <w:rPr>
          <w:rStyle w:val="LPpobarvan1"/>
          <w:shd w:val="clear" w:color="auto" w:fill="auto"/>
          <w:lang w:val="en-GB"/>
        </w:rPr>
        <w:t xml:space="preserve">by the </w:t>
      </w:r>
      <w:r w:rsidR="001829DD">
        <w:rPr>
          <w:rStyle w:val="LPpobarvan1"/>
          <w:shd w:val="clear" w:color="auto" w:fill="auto"/>
          <w:lang w:val="en-GB"/>
        </w:rPr>
        <w:t>Covid</w:t>
      </w:r>
      <w:r w:rsidRPr="00CD2EEF">
        <w:rPr>
          <w:rStyle w:val="LPpobarvan1"/>
          <w:shd w:val="clear" w:color="auto" w:fill="auto"/>
          <w:lang w:val="en-GB"/>
        </w:rPr>
        <w:t xml:space="preserve">-19 </w:t>
      </w:r>
      <w:r w:rsidR="00BE025A">
        <w:rPr>
          <w:rStyle w:val="LPpobarvan1"/>
          <w:shd w:val="clear" w:color="auto" w:fill="auto"/>
          <w:lang w:val="en-GB"/>
        </w:rPr>
        <w:t>epi</w:t>
      </w:r>
      <w:r w:rsidRPr="00BE025A">
        <w:rPr>
          <w:rStyle w:val="LPpobarvan1"/>
          <w:shd w:val="clear" w:color="auto" w:fill="auto"/>
          <w:lang w:val="en-GB"/>
        </w:rPr>
        <w:t>demic</w:t>
      </w:r>
      <w:r w:rsidRPr="00BE025A">
        <w:rPr>
          <w:lang w:val="en-GB"/>
        </w:rPr>
        <w:t xml:space="preserve">. </w:t>
      </w:r>
      <w:r w:rsidR="001B146F" w:rsidRPr="00BE025A">
        <w:rPr>
          <w:lang w:val="en-GB"/>
        </w:rPr>
        <w:t>The Krško NPP</w:t>
      </w:r>
      <w:r w:rsidRPr="00BE025A">
        <w:rPr>
          <w:lang w:val="en-GB"/>
        </w:rPr>
        <w:t xml:space="preserve"> and other licensees adapted their work to the conditions, thus preventing the </w:t>
      </w:r>
      <w:r w:rsidR="00BE025A">
        <w:rPr>
          <w:lang w:val="en-GB"/>
        </w:rPr>
        <w:t>epi</w:t>
      </w:r>
      <w:r w:rsidRPr="00BE025A">
        <w:rPr>
          <w:lang w:val="en-GB"/>
        </w:rPr>
        <w:t xml:space="preserve">demic from having harmful effects on nuclear and radiation safety. It should be noted that during the </w:t>
      </w:r>
      <w:r w:rsidR="00BE025A">
        <w:rPr>
          <w:lang w:val="en-GB"/>
        </w:rPr>
        <w:t>epi</w:t>
      </w:r>
      <w:r w:rsidRPr="00BE025A">
        <w:rPr>
          <w:lang w:val="en-GB"/>
        </w:rPr>
        <w:t>demic</w:t>
      </w:r>
      <w:r w:rsidRPr="00CD2EEF">
        <w:rPr>
          <w:lang w:val="en-GB"/>
        </w:rPr>
        <w:t xml:space="preserve"> </w:t>
      </w:r>
      <w:r w:rsidR="001B146F">
        <w:rPr>
          <w:lang w:val="en-GB"/>
        </w:rPr>
        <w:t>the Krško NPP</w:t>
      </w:r>
      <w:r w:rsidRPr="00CD2EEF">
        <w:rPr>
          <w:lang w:val="en-GB"/>
        </w:rPr>
        <w:t xml:space="preserve"> successfully carried out all planned activities during the one-month outage, which was a result of good preparation and </w:t>
      </w:r>
      <w:r w:rsidR="00813B33">
        <w:rPr>
          <w:lang w:val="en-GB"/>
        </w:rPr>
        <w:t xml:space="preserve">the </w:t>
      </w:r>
      <w:r w:rsidRPr="00CD2EEF">
        <w:rPr>
          <w:lang w:val="en-GB"/>
        </w:rPr>
        <w:t xml:space="preserve">effective implementation of all necessary protective measures at the facility. As part of its activities, </w:t>
      </w:r>
      <w:r w:rsidR="00E63423">
        <w:rPr>
          <w:lang w:val="en-GB"/>
        </w:rPr>
        <w:t>the SNSA</w:t>
      </w:r>
      <w:r w:rsidRPr="00CD2EEF">
        <w:rPr>
          <w:lang w:val="en-GB"/>
        </w:rPr>
        <w:t xml:space="preserve"> and other administrative bodies also monitored the </w:t>
      </w:r>
      <w:r w:rsidRPr="00CD2EEF">
        <w:rPr>
          <w:lang w:val="en-GB"/>
        </w:rPr>
        <w:lastRenderedPageBreak/>
        <w:t xml:space="preserve">impact of Covid-19 on nuclear and radiation safety and adapted their work to the </w:t>
      </w:r>
      <w:r w:rsidR="008017DB" w:rsidRPr="00CD2EEF">
        <w:rPr>
          <w:lang w:val="en-GB"/>
        </w:rPr>
        <w:t>epidemio</w:t>
      </w:r>
      <w:r w:rsidR="008017DB">
        <w:rPr>
          <w:lang w:val="en-GB"/>
        </w:rPr>
        <w:t>logical</w:t>
      </w:r>
      <w:r w:rsidR="008017DB" w:rsidRPr="00CD2EEF">
        <w:rPr>
          <w:lang w:val="en-GB"/>
        </w:rPr>
        <w:t xml:space="preserve"> </w:t>
      </w:r>
      <w:r w:rsidRPr="00CD2EEF">
        <w:rPr>
          <w:lang w:val="en-GB"/>
        </w:rPr>
        <w:t xml:space="preserve">conditions by always performing </w:t>
      </w:r>
      <w:r w:rsidR="00813B33">
        <w:rPr>
          <w:lang w:val="en-GB"/>
        </w:rPr>
        <w:t>their</w:t>
      </w:r>
      <w:r w:rsidR="00813B33" w:rsidRPr="00CD2EEF">
        <w:rPr>
          <w:lang w:val="en-GB"/>
        </w:rPr>
        <w:t xml:space="preserve"> </w:t>
      </w:r>
      <w:r w:rsidRPr="00CD2EEF">
        <w:rPr>
          <w:lang w:val="en-GB"/>
        </w:rPr>
        <w:t>administrative and supervisory tasks effectively.</w:t>
      </w:r>
    </w:p>
    <w:p w14:paraId="533CC861" w14:textId="35B0123A" w:rsidR="00993C89" w:rsidRPr="00CD2EEF" w:rsidRDefault="00993C89" w:rsidP="0073299C">
      <w:pPr>
        <w:pStyle w:val="LPnavaden"/>
        <w:rPr>
          <w:lang w:val="en-GB"/>
        </w:rPr>
      </w:pPr>
      <w:r w:rsidRPr="00CD2EEF">
        <w:rPr>
          <w:rStyle w:val="LPpobarvan1"/>
          <w:shd w:val="clear" w:color="auto" w:fill="auto"/>
          <w:lang w:val="en-GB"/>
        </w:rPr>
        <w:t>Taking into consideration</w:t>
      </w:r>
      <w:r w:rsidRPr="00CD2EEF">
        <w:rPr>
          <w:lang w:val="en-GB"/>
        </w:rPr>
        <w:t xml:space="preserve"> the climate change and energy crisis, the possibility of expanding the programme of the use of nuclear energy for peaceful purposes has also been seriously considered in the Republic of Slovenia </w:t>
      </w:r>
      <w:r w:rsidRPr="00CD2EEF">
        <w:rPr>
          <w:rStyle w:val="LPpobarvan1"/>
          <w:shd w:val="clear" w:color="auto" w:fill="auto"/>
          <w:lang w:val="en-GB"/>
        </w:rPr>
        <w:t>for some time</w:t>
      </w:r>
      <w:r w:rsidRPr="00CD2EEF">
        <w:rPr>
          <w:lang w:val="en-GB"/>
        </w:rPr>
        <w:t>. The experience</w:t>
      </w:r>
      <w:r w:rsidR="008F45E7">
        <w:rPr>
          <w:lang w:val="en-GB"/>
        </w:rPr>
        <w:t>s</w:t>
      </w:r>
      <w:r w:rsidRPr="00CD2EEF">
        <w:rPr>
          <w:lang w:val="en-GB"/>
        </w:rPr>
        <w:t xml:space="preserve"> of comparable countries in Europe and worldwide show that one of the preconditions for such </w:t>
      </w:r>
      <w:r w:rsidR="00AB5094">
        <w:rPr>
          <w:lang w:val="en-GB"/>
        </w:rPr>
        <w:t xml:space="preserve">an </w:t>
      </w:r>
      <w:r w:rsidRPr="00CD2EEF">
        <w:rPr>
          <w:lang w:val="en-GB"/>
        </w:rPr>
        <w:t xml:space="preserve">expansion is the timely strengthening of the institutional-administrative framework. </w:t>
      </w:r>
      <w:r w:rsidRPr="00CD2EEF">
        <w:rPr>
          <w:rStyle w:val="LPpobarvan1"/>
          <w:shd w:val="clear" w:color="auto" w:fill="auto"/>
          <w:lang w:val="en-GB"/>
        </w:rPr>
        <w:t xml:space="preserve">For </w:t>
      </w:r>
      <w:r w:rsidR="00AB5094">
        <w:rPr>
          <w:rStyle w:val="LPpobarvan1"/>
          <w:shd w:val="clear" w:color="auto" w:fill="auto"/>
          <w:lang w:val="en-GB"/>
        </w:rPr>
        <w:t>some time</w:t>
      </w:r>
      <w:r w:rsidRPr="00CD2EEF">
        <w:rPr>
          <w:lang w:val="en-GB"/>
        </w:rPr>
        <w:t xml:space="preserve">, </w:t>
      </w:r>
      <w:r w:rsidR="00E63423">
        <w:rPr>
          <w:lang w:val="en-GB"/>
        </w:rPr>
        <w:t>the SNSA</w:t>
      </w:r>
      <w:r w:rsidRPr="00CD2EEF">
        <w:rPr>
          <w:lang w:val="en-GB"/>
        </w:rPr>
        <w:t xml:space="preserve"> has been pointing out that in Slovenia we are increasingly facing the challenge of providing enough experts with the necessary </w:t>
      </w:r>
      <w:r w:rsidR="002C3735">
        <w:rPr>
          <w:lang w:val="en-GB"/>
        </w:rPr>
        <w:t>competencies</w:t>
      </w:r>
      <w:r w:rsidRPr="00CD2EEF">
        <w:rPr>
          <w:lang w:val="en-GB"/>
        </w:rPr>
        <w:t xml:space="preserve"> in various areas of nuclear and radiation safety, also considering the change </w:t>
      </w:r>
      <w:r w:rsidR="00AB5094">
        <w:rPr>
          <w:lang w:val="en-GB"/>
        </w:rPr>
        <w:t>in</w:t>
      </w:r>
      <w:r w:rsidR="00AB5094" w:rsidRPr="00CD2EEF">
        <w:rPr>
          <w:lang w:val="en-GB"/>
        </w:rPr>
        <w:t xml:space="preserve"> </w:t>
      </w:r>
      <w:r w:rsidRPr="00CD2EEF">
        <w:rPr>
          <w:lang w:val="en-GB"/>
        </w:rPr>
        <w:t xml:space="preserve">generations. </w:t>
      </w:r>
      <w:r w:rsidR="00D804F8">
        <w:rPr>
          <w:lang w:val="en-GB"/>
        </w:rPr>
        <w:t>While</w:t>
      </w:r>
      <w:r w:rsidR="00D804F8" w:rsidRPr="00CD2EEF">
        <w:rPr>
          <w:lang w:val="en-GB"/>
        </w:rPr>
        <w:t xml:space="preserve"> </w:t>
      </w:r>
      <w:r w:rsidRPr="00CD2EEF">
        <w:rPr>
          <w:lang w:val="en-GB"/>
        </w:rPr>
        <w:t xml:space="preserve">there is a current noticeable shortage, particularly in the public sector, the shortage will also affect all other stakeholders in the face of additional needs, and it should therefore be analysed as soon as possible by assessing the envisaged need to provide the necessary </w:t>
      </w:r>
      <w:r w:rsidR="002C3735">
        <w:rPr>
          <w:lang w:val="en-GB"/>
        </w:rPr>
        <w:t>competencies</w:t>
      </w:r>
      <w:r w:rsidRPr="00CD2EEF">
        <w:rPr>
          <w:lang w:val="en-GB"/>
        </w:rPr>
        <w:t xml:space="preserve"> in the various areas of nuclear and radiation safety and by providing mechanisms to ensure them.</w:t>
      </w:r>
    </w:p>
    <w:p w14:paraId="5DE02154" w14:textId="08D4704D" w:rsidR="00993C89" w:rsidRPr="00CD2EEF" w:rsidRDefault="00993C89" w:rsidP="008063E8">
      <w:pPr>
        <w:rPr>
          <w:lang w:val="en-GB"/>
        </w:rPr>
      </w:pPr>
    </w:p>
    <w:p w14:paraId="26A49291" w14:textId="56142212" w:rsidR="00F32DE1" w:rsidRPr="00CD2EEF" w:rsidRDefault="00F32DE1" w:rsidP="00F32DE1">
      <w:pPr>
        <w:pStyle w:val="LPNaslov1"/>
        <w:numPr>
          <w:ilvl w:val="0"/>
          <w:numId w:val="0"/>
        </w:numPr>
        <w:ind w:left="709" w:hanging="709"/>
        <w:outlineLvl w:val="9"/>
        <w:rPr>
          <w:lang w:val="en-GB"/>
        </w:rPr>
      </w:pPr>
      <w:r w:rsidRPr="00CD2EEF">
        <w:rPr>
          <w:lang w:val="en-GB"/>
        </w:rPr>
        <w:lastRenderedPageBreak/>
        <w:t>TABLE OF CONTENTS</w:t>
      </w:r>
      <w:r w:rsidR="00D435EB">
        <w:rPr>
          <w:lang w:val="en-GB"/>
        </w:rPr>
        <w:t xml:space="preserve"> </w:t>
      </w:r>
    </w:p>
    <w:sdt>
      <w:sdtPr>
        <w:rPr>
          <w:rFonts w:ascii="Times New Roman" w:eastAsia="Times New Roman" w:hAnsi="Times New Roman" w:cs="Times New Roman"/>
          <w:color w:val="auto"/>
          <w:sz w:val="24"/>
          <w:szCs w:val="24"/>
          <w:lang w:val="en-GB" w:eastAsia="ar-SA"/>
        </w:rPr>
        <w:id w:val="-870298494"/>
        <w:docPartObj>
          <w:docPartGallery w:val="Table of Contents"/>
          <w:docPartUnique/>
        </w:docPartObj>
      </w:sdtPr>
      <w:sdtEndPr>
        <w:rPr>
          <w:b/>
          <w:bCs/>
        </w:rPr>
      </w:sdtEndPr>
      <w:sdtContent>
        <w:p w14:paraId="32F5698B" w14:textId="35A404DF" w:rsidR="00B47790" w:rsidRPr="00CD2EEF" w:rsidRDefault="00B47790">
          <w:pPr>
            <w:pStyle w:val="NaslovTOC"/>
            <w:rPr>
              <w:lang w:val="en-GB"/>
            </w:rPr>
          </w:pPr>
        </w:p>
        <w:p w14:paraId="780D99A6" w14:textId="7B8071BC" w:rsidR="007D1E97" w:rsidRDefault="00B47790">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rsidRPr="00CD2EEF">
            <w:rPr>
              <w:lang w:val="en-GB"/>
            </w:rPr>
            <w:fldChar w:fldCharType="begin"/>
          </w:r>
          <w:r w:rsidRPr="00CD2EEF">
            <w:rPr>
              <w:lang w:val="en-GB"/>
            </w:rPr>
            <w:instrText xml:space="preserve"> TOC \o "1-3" \h \z \u </w:instrText>
          </w:r>
          <w:r w:rsidRPr="00CD2EEF">
            <w:rPr>
              <w:lang w:val="en-GB"/>
            </w:rPr>
            <w:fldChar w:fldCharType="separate"/>
          </w:r>
          <w:hyperlink w:anchor="_Toc126311986" w:history="1">
            <w:r w:rsidR="007D1E97" w:rsidRPr="009213A1">
              <w:rPr>
                <w:rStyle w:val="Hiperpovezava"/>
                <w:noProof/>
                <w:lang w:val="en-GB"/>
              </w:rPr>
              <w:t>1</w:t>
            </w:r>
            <w:r w:rsidR="007D1E97">
              <w:rPr>
                <w:rFonts w:asciiTheme="minorHAnsi" w:eastAsiaTheme="minorEastAsia" w:hAnsiTheme="minorHAnsi" w:cstheme="minorBidi"/>
                <w:b w:val="0"/>
                <w:bCs w:val="0"/>
                <w:caps w:val="0"/>
                <w:noProof/>
                <w:sz w:val="22"/>
                <w:szCs w:val="22"/>
                <w:lang w:eastAsia="sl-SI"/>
              </w:rPr>
              <w:tab/>
            </w:r>
            <w:r w:rsidR="007D1E97" w:rsidRPr="009213A1">
              <w:rPr>
                <w:rStyle w:val="Hiperpovezava"/>
                <w:noProof/>
                <w:lang w:val="en-GB"/>
              </w:rPr>
              <w:t>INTRODUCTION</w:t>
            </w:r>
            <w:r w:rsidR="007D1E97">
              <w:rPr>
                <w:noProof/>
                <w:webHidden/>
              </w:rPr>
              <w:tab/>
            </w:r>
            <w:r w:rsidR="007D1E97">
              <w:rPr>
                <w:noProof/>
                <w:webHidden/>
              </w:rPr>
              <w:fldChar w:fldCharType="begin"/>
            </w:r>
            <w:r w:rsidR="007D1E97">
              <w:rPr>
                <w:noProof/>
                <w:webHidden/>
              </w:rPr>
              <w:instrText xml:space="preserve"> PAGEREF _Toc126311986 \h </w:instrText>
            </w:r>
            <w:r w:rsidR="007D1E97">
              <w:rPr>
                <w:noProof/>
                <w:webHidden/>
              </w:rPr>
            </w:r>
            <w:r w:rsidR="007D1E97">
              <w:rPr>
                <w:noProof/>
                <w:webHidden/>
              </w:rPr>
              <w:fldChar w:fldCharType="separate"/>
            </w:r>
            <w:r w:rsidR="007D1E97">
              <w:rPr>
                <w:noProof/>
                <w:webHidden/>
              </w:rPr>
              <w:t>8</w:t>
            </w:r>
            <w:r w:rsidR="007D1E97">
              <w:rPr>
                <w:noProof/>
                <w:webHidden/>
              </w:rPr>
              <w:fldChar w:fldCharType="end"/>
            </w:r>
          </w:hyperlink>
        </w:p>
        <w:p w14:paraId="3CCC76DB" w14:textId="48AF9AE4"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1987" w:history="1">
            <w:r w:rsidRPr="009213A1">
              <w:rPr>
                <w:rStyle w:val="Hiperpovezava"/>
                <w:noProof/>
                <w:lang w:val="en-GB"/>
              </w:rPr>
              <w:t>2</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OPERATIONAL SAFETY</w:t>
            </w:r>
            <w:r>
              <w:rPr>
                <w:noProof/>
                <w:webHidden/>
              </w:rPr>
              <w:tab/>
            </w:r>
            <w:r>
              <w:rPr>
                <w:noProof/>
                <w:webHidden/>
              </w:rPr>
              <w:fldChar w:fldCharType="begin"/>
            </w:r>
            <w:r>
              <w:rPr>
                <w:noProof/>
                <w:webHidden/>
              </w:rPr>
              <w:instrText xml:space="preserve"> PAGEREF _Toc126311987 \h </w:instrText>
            </w:r>
            <w:r>
              <w:rPr>
                <w:noProof/>
                <w:webHidden/>
              </w:rPr>
            </w:r>
            <w:r>
              <w:rPr>
                <w:noProof/>
                <w:webHidden/>
              </w:rPr>
              <w:fldChar w:fldCharType="separate"/>
            </w:r>
            <w:r>
              <w:rPr>
                <w:noProof/>
                <w:webHidden/>
              </w:rPr>
              <w:t>9</w:t>
            </w:r>
            <w:r>
              <w:rPr>
                <w:noProof/>
                <w:webHidden/>
              </w:rPr>
              <w:fldChar w:fldCharType="end"/>
            </w:r>
          </w:hyperlink>
        </w:p>
        <w:p w14:paraId="0AF88BA6" w14:textId="21C254AD"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1988" w:history="1">
            <w:r w:rsidRPr="009213A1">
              <w:rPr>
                <w:rStyle w:val="Hiperpovezava"/>
                <w:noProof/>
                <w:lang w:val="en-GB"/>
              </w:rPr>
              <w:t>2.1</w:t>
            </w:r>
            <w:r>
              <w:rPr>
                <w:rFonts w:asciiTheme="minorHAnsi" w:eastAsiaTheme="minorEastAsia" w:hAnsiTheme="minorHAnsi" w:cstheme="minorBidi"/>
                <w:smallCaps w:val="0"/>
                <w:noProof/>
                <w:sz w:val="22"/>
                <w:szCs w:val="22"/>
                <w:lang w:eastAsia="sl-SI"/>
              </w:rPr>
              <w:tab/>
            </w:r>
            <w:r w:rsidRPr="009213A1">
              <w:rPr>
                <w:rStyle w:val="Hiperpovezava"/>
                <w:noProof/>
                <w:lang w:val="en-GB"/>
              </w:rPr>
              <w:t>OPERATION OF NUCLEAR AND RADIATION FACILITIES</w:t>
            </w:r>
            <w:r>
              <w:rPr>
                <w:noProof/>
                <w:webHidden/>
              </w:rPr>
              <w:tab/>
            </w:r>
            <w:r>
              <w:rPr>
                <w:noProof/>
                <w:webHidden/>
              </w:rPr>
              <w:fldChar w:fldCharType="begin"/>
            </w:r>
            <w:r>
              <w:rPr>
                <w:noProof/>
                <w:webHidden/>
              </w:rPr>
              <w:instrText xml:space="preserve"> PAGEREF _Toc126311988 \h </w:instrText>
            </w:r>
            <w:r>
              <w:rPr>
                <w:noProof/>
                <w:webHidden/>
              </w:rPr>
            </w:r>
            <w:r>
              <w:rPr>
                <w:noProof/>
                <w:webHidden/>
              </w:rPr>
              <w:fldChar w:fldCharType="separate"/>
            </w:r>
            <w:r>
              <w:rPr>
                <w:noProof/>
                <w:webHidden/>
              </w:rPr>
              <w:t>9</w:t>
            </w:r>
            <w:r>
              <w:rPr>
                <w:noProof/>
                <w:webHidden/>
              </w:rPr>
              <w:fldChar w:fldCharType="end"/>
            </w:r>
          </w:hyperlink>
        </w:p>
        <w:p w14:paraId="7C121BD8" w14:textId="38821AA6" w:rsidR="007D1E97" w:rsidRDefault="007D1E97">
          <w:pPr>
            <w:pStyle w:val="Kazalovsebine3"/>
            <w:rPr>
              <w:rFonts w:asciiTheme="minorHAnsi" w:eastAsiaTheme="minorEastAsia" w:hAnsiTheme="minorHAnsi" w:cstheme="minorBidi"/>
              <w:iCs w:val="0"/>
              <w:noProof/>
              <w:sz w:val="22"/>
              <w:szCs w:val="22"/>
              <w:lang w:eastAsia="sl-SI"/>
            </w:rPr>
          </w:pPr>
          <w:hyperlink w:anchor="_Toc126311989" w:history="1">
            <w:r w:rsidRPr="009213A1">
              <w:rPr>
                <w:rStyle w:val="Hiperpovezava"/>
                <w:noProof/>
                <w:lang w:val="en-GB"/>
              </w:rPr>
              <w:t>2.1.1</w:t>
            </w:r>
            <w:r>
              <w:rPr>
                <w:rFonts w:asciiTheme="minorHAnsi" w:eastAsiaTheme="minorEastAsia" w:hAnsiTheme="minorHAnsi" w:cstheme="minorBidi"/>
                <w:iCs w:val="0"/>
                <w:noProof/>
                <w:sz w:val="22"/>
                <w:szCs w:val="22"/>
                <w:lang w:eastAsia="sl-SI"/>
              </w:rPr>
              <w:tab/>
            </w:r>
            <w:r w:rsidRPr="009213A1">
              <w:rPr>
                <w:rStyle w:val="Hiperpovezava"/>
                <w:noProof/>
                <w:lang w:val="en-GB"/>
              </w:rPr>
              <w:t>Krško Nuclear Power Plant</w:t>
            </w:r>
            <w:r>
              <w:rPr>
                <w:noProof/>
                <w:webHidden/>
              </w:rPr>
              <w:tab/>
            </w:r>
            <w:r>
              <w:rPr>
                <w:noProof/>
                <w:webHidden/>
              </w:rPr>
              <w:fldChar w:fldCharType="begin"/>
            </w:r>
            <w:r>
              <w:rPr>
                <w:noProof/>
                <w:webHidden/>
              </w:rPr>
              <w:instrText xml:space="preserve"> PAGEREF _Toc126311989 \h </w:instrText>
            </w:r>
            <w:r>
              <w:rPr>
                <w:noProof/>
                <w:webHidden/>
              </w:rPr>
            </w:r>
            <w:r>
              <w:rPr>
                <w:noProof/>
                <w:webHidden/>
              </w:rPr>
              <w:fldChar w:fldCharType="separate"/>
            </w:r>
            <w:r>
              <w:rPr>
                <w:noProof/>
                <w:webHidden/>
              </w:rPr>
              <w:t>9</w:t>
            </w:r>
            <w:r>
              <w:rPr>
                <w:noProof/>
                <w:webHidden/>
              </w:rPr>
              <w:fldChar w:fldCharType="end"/>
            </w:r>
          </w:hyperlink>
        </w:p>
        <w:p w14:paraId="5DC324AE" w14:textId="56408D13" w:rsidR="007D1E97" w:rsidRDefault="007D1E97">
          <w:pPr>
            <w:pStyle w:val="Kazalovsebine3"/>
            <w:rPr>
              <w:rFonts w:asciiTheme="minorHAnsi" w:eastAsiaTheme="minorEastAsia" w:hAnsiTheme="minorHAnsi" w:cstheme="minorBidi"/>
              <w:iCs w:val="0"/>
              <w:noProof/>
              <w:sz w:val="22"/>
              <w:szCs w:val="22"/>
              <w:lang w:eastAsia="sl-SI"/>
            </w:rPr>
          </w:pPr>
          <w:hyperlink w:anchor="_Toc126311990" w:history="1">
            <w:r w:rsidRPr="009213A1">
              <w:rPr>
                <w:rStyle w:val="Hiperpovezava"/>
                <w:noProof/>
                <w:lang w:val="en-GB"/>
              </w:rPr>
              <w:t>2.1.2</w:t>
            </w:r>
            <w:r>
              <w:rPr>
                <w:rFonts w:asciiTheme="minorHAnsi" w:eastAsiaTheme="minorEastAsia" w:hAnsiTheme="minorHAnsi" w:cstheme="minorBidi"/>
                <w:iCs w:val="0"/>
                <w:noProof/>
                <w:sz w:val="22"/>
                <w:szCs w:val="22"/>
                <w:lang w:eastAsia="sl-SI"/>
              </w:rPr>
              <w:tab/>
            </w:r>
            <w:r w:rsidRPr="009213A1">
              <w:rPr>
                <w:rStyle w:val="Hiperpovezava"/>
                <w:noProof/>
                <w:lang w:val="en-GB"/>
              </w:rPr>
              <w:t>The TRIGA Mark II Research Reactor in Brinje</w:t>
            </w:r>
            <w:r>
              <w:rPr>
                <w:noProof/>
                <w:webHidden/>
              </w:rPr>
              <w:tab/>
            </w:r>
            <w:r>
              <w:rPr>
                <w:noProof/>
                <w:webHidden/>
              </w:rPr>
              <w:fldChar w:fldCharType="begin"/>
            </w:r>
            <w:r>
              <w:rPr>
                <w:noProof/>
                <w:webHidden/>
              </w:rPr>
              <w:instrText xml:space="preserve"> PAGEREF _Toc126311990 \h </w:instrText>
            </w:r>
            <w:r>
              <w:rPr>
                <w:noProof/>
                <w:webHidden/>
              </w:rPr>
            </w:r>
            <w:r>
              <w:rPr>
                <w:noProof/>
                <w:webHidden/>
              </w:rPr>
              <w:fldChar w:fldCharType="separate"/>
            </w:r>
            <w:r>
              <w:rPr>
                <w:noProof/>
                <w:webHidden/>
              </w:rPr>
              <w:t>27</w:t>
            </w:r>
            <w:r>
              <w:rPr>
                <w:noProof/>
                <w:webHidden/>
              </w:rPr>
              <w:fldChar w:fldCharType="end"/>
            </w:r>
          </w:hyperlink>
        </w:p>
        <w:p w14:paraId="226300C1" w14:textId="257EFE3B" w:rsidR="007D1E97" w:rsidRDefault="007D1E97">
          <w:pPr>
            <w:pStyle w:val="Kazalovsebine3"/>
            <w:rPr>
              <w:rFonts w:asciiTheme="minorHAnsi" w:eastAsiaTheme="minorEastAsia" w:hAnsiTheme="minorHAnsi" w:cstheme="minorBidi"/>
              <w:iCs w:val="0"/>
              <w:noProof/>
              <w:sz w:val="22"/>
              <w:szCs w:val="22"/>
              <w:lang w:eastAsia="sl-SI"/>
            </w:rPr>
          </w:pPr>
          <w:hyperlink w:anchor="_Toc126311991" w:history="1">
            <w:r w:rsidRPr="009213A1">
              <w:rPr>
                <w:rStyle w:val="Hiperpovezava"/>
                <w:noProof/>
                <w:lang w:val="en-GB"/>
              </w:rPr>
              <w:t>2.1.3</w:t>
            </w:r>
            <w:r>
              <w:rPr>
                <w:rFonts w:asciiTheme="minorHAnsi" w:eastAsiaTheme="minorEastAsia" w:hAnsiTheme="minorHAnsi" w:cstheme="minorBidi"/>
                <w:iCs w:val="0"/>
                <w:noProof/>
                <w:sz w:val="22"/>
                <w:szCs w:val="22"/>
                <w:lang w:eastAsia="sl-SI"/>
              </w:rPr>
              <w:tab/>
            </w:r>
            <w:r w:rsidRPr="009213A1">
              <w:rPr>
                <w:rStyle w:val="Hiperpovezava"/>
                <w:noProof/>
                <w:lang w:val="en-GB"/>
              </w:rPr>
              <w:t>The Central Radioactive Waste Facility (CSRW)</w:t>
            </w:r>
            <w:r>
              <w:rPr>
                <w:noProof/>
                <w:webHidden/>
              </w:rPr>
              <w:tab/>
            </w:r>
            <w:r>
              <w:rPr>
                <w:noProof/>
                <w:webHidden/>
              </w:rPr>
              <w:fldChar w:fldCharType="begin"/>
            </w:r>
            <w:r>
              <w:rPr>
                <w:noProof/>
                <w:webHidden/>
              </w:rPr>
              <w:instrText xml:space="preserve"> PAGEREF _Toc126311991 \h </w:instrText>
            </w:r>
            <w:r>
              <w:rPr>
                <w:noProof/>
                <w:webHidden/>
              </w:rPr>
            </w:r>
            <w:r>
              <w:rPr>
                <w:noProof/>
                <w:webHidden/>
              </w:rPr>
              <w:fldChar w:fldCharType="separate"/>
            </w:r>
            <w:r>
              <w:rPr>
                <w:noProof/>
                <w:webHidden/>
              </w:rPr>
              <w:t>29</w:t>
            </w:r>
            <w:r>
              <w:rPr>
                <w:noProof/>
                <w:webHidden/>
              </w:rPr>
              <w:fldChar w:fldCharType="end"/>
            </w:r>
          </w:hyperlink>
        </w:p>
        <w:p w14:paraId="4B20A1E9" w14:textId="6900C10E" w:rsidR="007D1E97" w:rsidRDefault="007D1E97">
          <w:pPr>
            <w:pStyle w:val="Kazalovsebine3"/>
            <w:rPr>
              <w:rFonts w:asciiTheme="minorHAnsi" w:eastAsiaTheme="minorEastAsia" w:hAnsiTheme="minorHAnsi" w:cstheme="minorBidi"/>
              <w:iCs w:val="0"/>
              <w:noProof/>
              <w:sz w:val="22"/>
              <w:szCs w:val="22"/>
              <w:lang w:eastAsia="sl-SI"/>
            </w:rPr>
          </w:pPr>
          <w:hyperlink w:anchor="_Toc126311992" w:history="1">
            <w:r w:rsidRPr="009213A1">
              <w:rPr>
                <w:rStyle w:val="Hiperpovezava"/>
                <w:noProof/>
                <w:lang w:val="en-GB"/>
              </w:rPr>
              <w:t>2.1.4</w:t>
            </w:r>
            <w:r>
              <w:rPr>
                <w:rFonts w:asciiTheme="minorHAnsi" w:eastAsiaTheme="minorEastAsia" w:hAnsiTheme="minorHAnsi" w:cstheme="minorBidi"/>
                <w:iCs w:val="0"/>
                <w:noProof/>
                <w:sz w:val="22"/>
                <w:szCs w:val="22"/>
                <w:lang w:eastAsia="sl-SI"/>
              </w:rPr>
              <w:tab/>
            </w:r>
            <w:r w:rsidRPr="009213A1">
              <w:rPr>
                <w:rStyle w:val="Hiperpovezava"/>
                <w:noProof/>
                <w:lang w:val="en-GB"/>
              </w:rPr>
              <w:t>The Former Žirovski Vrh Uranium Mine</w:t>
            </w:r>
            <w:r>
              <w:rPr>
                <w:noProof/>
                <w:webHidden/>
              </w:rPr>
              <w:tab/>
            </w:r>
            <w:r>
              <w:rPr>
                <w:noProof/>
                <w:webHidden/>
              </w:rPr>
              <w:fldChar w:fldCharType="begin"/>
            </w:r>
            <w:r>
              <w:rPr>
                <w:noProof/>
                <w:webHidden/>
              </w:rPr>
              <w:instrText xml:space="preserve"> PAGEREF _Toc126311992 \h </w:instrText>
            </w:r>
            <w:r>
              <w:rPr>
                <w:noProof/>
                <w:webHidden/>
              </w:rPr>
            </w:r>
            <w:r>
              <w:rPr>
                <w:noProof/>
                <w:webHidden/>
              </w:rPr>
              <w:fldChar w:fldCharType="separate"/>
            </w:r>
            <w:r>
              <w:rPr>
                <w:noProof/>
                <w:webHidden/>
              </w:rPr>
              <w:t>29</w:t>
            </w:r>
            <w:r>
              <w:rPr>
                <w:noProof/>
                <w:webHidden/>
              </w:rPr>
              <w:fldChar w:fldCharType="end"/>
            </w:r>
          </w:hyperlink>
        </w:p>
        <w:p w14:paraId="3DF05185" w14:textId="28548A46"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1993" w:history="1">
            <w:r w:rsidRPr="009213A1">
              <w:rPr>
                <w:rStyle w:val="Hiperpovezava"/>
                <w:noProof/>
                <w:lang w:val="en-GB"/>
              </w:rPr>
              <w:t>2.2</w:t>
            </w:r>
            <w:r>
              <w:rPr>
                <w:rFonts w:asciiTheme="minorHAnsi" w:eastAsiaTheme="minorEastAsia" w:hAnsiTheme="minorHAnsi" w:cstheme="minorBidi"/>
                <w:smallCaps w:val="0"/>
                <w:noProof/>
                <w:sz w:val="22"/>
                <w:szCs w:val="22"/>
                <w:lang w:eastAsia="sl-SI"/>
              </w:rPr>
              <w:tab/>
            </w:r>
            <w:r w:rsidRPr="009213A1">
              <w:rPr>
                <w:rStyle w:val="Hiperpovezava"/>
                <w:noProof/>
                <w:lang w:val="en-GB"/>
              </w:rPr>
              <w:t>RADIATION PRACTICES AND THE USE OF RADIATION SOURCES</w:t>
            </w:r>
            <w:r>
              <w:rPr>
                <w:noProof/>
                <w:webHidden/>
              </w:rPr>
              <w:tab/>
            </w:r>
            <w:r>
              <w:rPr>
                <w:noProof/>
                <w:webHidden/>
              </w:rPr>
              <w:fldChar w:fldCharType="begin"/>
            </w:r>
            <w:r>
              <w:rPr>
                <w:noProof/>
                <w:webHidden/>
              </w:rPr>
              <w:instrText xml:space="preserve"> PAGEREF _Toc126311993 \h </w:instrText>
            </w:r>
            <w:r>
              <w:rPr>
                <w:noProof/>
                <w:webHidden/>
              </w:rPr>
            </w:r>
            <w:r>
              <w:rPr>
                <w:noProof/>
                <w:webHidden/>
              </w:rPr>
              <w:fldChar w:fldCharType="separate"/>
            </w:r>
            <w:r>
              <w:rPr>
                <w:noProof/>
                <w:webHidden/>
              </w:rPr>
              <w:t>30</w:t>
            </w:r>
            <w:r>
              <w:rPr>
                <w:noProof/>
                <w:webHidden/>
              </w:rPr>
              <w:fldChar w:fldCharType="end"/>
            </w:r>
          </w:hyperlink>
        </w:p>
        <w:p w14:paraId="4774280B" w14:textId="5D3DF2E6" w:rsidR="007D1E97" w:rsidRDefault="007D1E97">
          <w:pPr>
            <w:pStyle w:val="Kazalovsebine3"/>
            <w:rPr>
              <w:rFonts w:asciiTheme="minorHAnsi" w:eastAsiaTheme="minorEastAsia" w:hAnsiTheme="minorHAnsi" w:cstheme="minorBidi"/>
              <w:iCs w:val="0"/>
              <w:noProof/>
              <w:sz w:val="22"/>
              <w:szCs w:val="22"/>
              <w:lang w:eastAsia="sl-SI"/>
            </w:rPr>
          </w:pPr>
          <w:hyperlink w:anchor="_Toc126311994" w:history="1">
            <w:r w:rsidRPr="009213A1">
              <w:rPr>
                <w:rStyle w:val="Hiperpovezava"/>
                <w:noProof/>
                <w:lang w:val="en-GB"/>
              </w:rPr>
              <w:t>2.2.1</w:t>
            </w:r>
            <w:r>
              <w:rPr>
                <w:rFonts w:asciiTheme="minorHAnsi" w:eastAsiaTheme="minorEastAsia" w:hAnsiTheme="minorHAnsi" w:cstheme="minorBidi"/>
                <w:iCs w:val="0"/>
                <w:noProof/>
                <w:sz w:val="22"/>
                <w:szCs w:val="22"/>
                <w:lang w:eastAsia="sl-SI"/>
              </w:rPr>
              <w:tab/>
            </w:r>
            <w:r w:rsidRPr="009213A1">
              <w:rPr>
                <w:rStyle w:val="Hiperpovezava"/>
                <w:noProof/>
                <w:lang w:val="en-GB"/>
              </w:rPr>
              <w:t>Use of Ionising Sources in Industry, Research, and Education</w:t>
            </w:r>
            <w:r>
              <w:rPr>
                <w:noProof/>
                <w:webHidden/>
              </w:rPr>
              <w:tab/>
            </w:r>
            <w:r>
              <w:rPr>
                <w:noProof/>
                <w:webHidden/>
              </w:rPr>
              <w:fldChar w:fldCharType="begin"/>
            </w:r>
            <w:r>
              <w:rPr>
                <w:noProof/>
                <w:webHidden/>
              </w:rPr>
              <w:instrText xml:space="preserve"> PAGEREF _Toc126311994 \h </w:instrText>
            </w:r>
            <w:r>
              <w:rPr>
                <w:noProof/>
                <w:webHidden/>
              </w:rPr>
            </w:r>
            <w:r>
              <w:rPr>
                <w:noProof/>
                <w:webHidden/>
              </w:rPr>
              <w:fldChar w:fldCharType="separate"/>
            </w:r>
            <w:r>
              <w:rPr>
                <w:noProof/>
                <w:webHidden/>
              </w:rPr>
              <w:t>30</w:t>
            </w:r>
            <w:r>
              <w:rPr>
                <w:noProof/>
                <w:webHidden/>
              </w:rPr>
              <w:fldChar w:fldCharType="end"/>
            </w:r>
          </w:hyperlink>
        </w:p>
        <w:p w14:paraId="4E3107D6" w14:textId="09CB4386" w:rsidR="007D1E97" w:rsidRDefault="007D1E97">
          <w:pPr>
            <w:pStyle w:val="Kazalovsebine3"/>
            <w:rPr>
              <w:rFonts w:asciiTheme="minorHAnsi" w:eastAsiaTheme="minorEastAsia" w:hAnsiTheme="minorHAnsi" w:cstheme="minorBidi"/>
              <w:iCs w:val="0"/>
              <w:noProof/>
              <w:sz w:val="22"/>
              <w:szCs w:val="22"/>
              <w:lang w:eastAsia="sl-SI"/>
            </w:rPr>
          </w:pPr>
          <w:hyperlink w:anchor="_Toc126311995" w:history="1">
            <w:r w:rsidRPr="009213A1">
              <w:rPr>
                <w:rStyle w:val="Hiperpovezava"/>
                <w:noProof/>
                <w:lang w:val="en-GB"/>
              </w:rPr>
              <w:t>2.2.2</w:t>
            </w:r>
            <w:r>
              <w:rPr>
                <w:rFonts w:asciiTheme="minorHAnsi" w:eastAsiaTheme="minorEastAsia" w:hAnsiTheme="minorHAnsi" w:cstheme="minorBidi"/>
                <w:iCs w:val="0"/>
                <w:noProof/>
                <w:sz w:val="22"/>
                <w:szCs w:val="22"/>
                <w:lang w:eastAsia="sl-SI"/>
              </w:rPr>
              <w:tab/>
            </w:r>
            <w:r w:rsidRPr="009213A1">
              <w:rPr>
                <w:rStyle w:val="Hiperpovezava"/>
                <w:noProof/>
                <w:lang w:val="en-GB"/>
              </w:rPr>
              <w:t>Inspections of Sources in Industry, Research, and Education</w:t>
            </w:r>
            <w:r>
              <w:rPr>
                <w:noProof/>
                <w:webHidden/>
              </w:rPr>
              <w:tab/>
            </w:r>
            <w:r>
              <w:rPr>
                <w:noProof/>
                <w:webHidden/>
              </w:rPr>
              <w:fldChar w:fldCharType="begin"/>
            </w:r>
            <w:r>
              <w:rPr>
                <w:noProof/>
                <w:webHidden/>
              </w:rPr>
              <w:instrText xml:space="preserve"> PAGEREF _Toc126311995 \h </w:instrText>
            </w:r>
            <w:r>
              <w:rPr>
                <w:noProof/>
                <w:webHidden/>
              </w:rPr>
            </w:r>
            <w:r>
              <w:rPr>
                <w:noProof/>
                <w:webHidden/>
              </w:rPr>
              <w:fldChar w:fldCharType="separate"/>
            </w:r>
            <w:r>
              <w:rPr>
                <w:noProof/>
                <w:webHidden/>
              </w:rPr>
              <w:t>31</w:t>
            </w:r>
            <w:r>
              <w:rPr>
                <w:noProof/>
                <w:webHidden/>
              </w:rPr>
              <w:fldChar w:fldCharType="end"/>
            </w:r>
          </w:hyperlink>
        </w:p>
        <w:p w14:paraId="4A066E6A" w14:textId="6FEC65AC" w:rsidR="007D1E97" w:rsidRDefault="007D1E97">
          <w:pPr>
            <w:pStyle w:val="Kazalovsebine3"/>
            <w:rPr>
              <w:rFonts w:asciiTheme="minorHAnsi" w:eastAsiaTheme="minorEastAsia" w:hAnsiTheme="minorHAnsi" w:cstheme="minorBidi"/>
              <w:iCs w:val="0"/>
              <w:noProof/>
              <w:sz w:val="22"/>
              <w:szCs w:val="22"/>
              <w:lang w:eastAsia="sl-SI"/>
            </w:rPr>
          </w:pPr>
          <w:hyperlink w:anchor="_Toc126311996" w:history="1">
            <w:r w:rsidRPr="009213A1">
              <w:rPr>
                <w:rStyle w:val="Hiperpovezava"/>
                <w:noProof/>
                <w:lang w:val="en-GB"/>
              </w:rPr>
              <w:t>2.2.3</w:t>
            </w:r>
            <w:r>
              <w:rPr>
                <w:rFonts w:asciiTheme="minorHAnsi" w:eastAsiaTheme="minorEastAsia" w:hAnsiTheme="minorHAnsi" w:cstheme="minorBidi"/>
                <w:iCs w:val="0"/>
                <w:noProof/>
                <w:sz w:val="22"/>
                <w:szCs w:val="22"/>
                <w:lang w:eastAsia="sl-SI"/>
              </w:rPr>
              <w:tab/>
            </w:r>
            <w:r w:rsidRPr="009213A1">
              <w:rPr>
                <w:rStyle w:val="Hiperpovezava"/>
                <w:noProof/>
                <w:lang w:val="en-GB"/>
              </w:rPr>
              <w:t>The Use of Radiation Sources in Medicine and Veterinary Medicine</w:t>
            </w:r>
            <w:r>
              <w:rPr>
                <w:noProof/>
                <w:webHidden/>
              </w:rPr>
              <w:tab/>
            </w:r>
            <w:r>
              <w:rPr>
                <w:noProof/>
                <w:webHidden/>
              </w:rPr>
              <w:fldChar w:fldCharType="begin"/>
            </w:r>
            <w:r>
              <w:rPr>
                <w:noProof/>
                <w:webHidden/>
              </w:rPr>
              <w:instrText xml:space="preserve"> PAGEREF _Toc126311996 \h </w:instrText>
            </w:r>
            <w:r>
              <w:rPr>
                <w:noProof/>
                <w:webHidden/>
              </w:rPr>
            </w:r>
            <w:r>
              <w:rPr>
                <w:noProof/>
                <w:webHidden/>
              </w:rPr>
              <w:fldChar w:fldCharType="separate"/>
            </w:r>
            <w:r>
              <w:rPr>
                <w:noProof/>
                <w:webHidden/>
              </w:rPr>
              <w:t>34</w:t>
            </w:r>
            <w:r>
              <w:rPr>
                <w:noProof/>
                <w:webHidden/>
              </w:rPr>
              <w:fldChar w:fldCharType="end"/>
            </w:r>
          </w:hyperlink>
        </w:p>
        <w:p w14:paraId="73C6B1E5" w14:textId="7FAD5077" w:rsidR="007D1E97" w:rsidRDefault="007D1E97">
          <w:pPr>
            <w:pStyle w:val="Kazalovsebine3"/>
            <w:rPr>
              <w:rFonts w:asciiTheme="minorHAnsi" w:eastAsiaTheme="minorEastAsia" w:hAnsiTheme="minorHAnsi" w:cstheme="minorBidi"/>
              <w:iCs w:val="0"/>
              <w:noProof/>
              <w:sz w:val="22"/>
              <w:szCs w:val="22"/>
              <w:lang w:eastAsia="sl-SI"/>
            </w:rPr>
          </w:pPr>
          <w:hyperlink w:anchor="_Toc126311997" w:history="1">
            <w:r w:rsidRPr="009213A1">
              <w:rPr>
                <w:rStyle w:val="Hiperpovezava"/>
                <w:noProof/>
                <w:lang w:val="en-GB"/>
              </w:rPr>
              <w:t>2.2.4</w:t>
            </w:r>
            <w:r>
              <w:rPr>
                <w:rFonts w:asciiTheme="minorHAnsi" w:eastAsiaTheme="minorEastAsia" w:hAnsiTheme="minorHAnsi" w:cstheme="minorBidi"/>
                <w:iCs w:val="0"/>
                <w:noProof/>
                <w:sz w:val="22"/>
                <w:szCs w:val="22"/>
                <w:lang w:eastAsia="sl-SI"/>
              </w:rPr>
              <w:tab/>
            </w:r>
            <w:r w:rsidRPr="009213A1">
              <w:rPr>
                <w:rStyle w:val="Hiperpovezava"/>
                <w:noProof/>
                <w:lang w:val="en-GB"/>
              </w:rPr>
              <w:t>The Transport of Radioactive and Nuclear Materials</w:t>
            </w:r>
            <w:r>
              <w:rPr>
                <w:noProof/>
                <w:webHidden/>
              </w:rPr>
              <w:tab/>
            </w:r>
            <w:r>
              <w:rPr>
                <w:noProof/>
                <w:webHidden/>
              </w:rPr>
              <w:fldChar w:fldCharType="begin"/>
            </w:r>
            <w:r>
              <w:rPr>
                <w:noProof/>
                <w:webHidden/>
              </w:rPr>
              <w:instrText xml:space="preserve"> PAGEREF _Toc126311997 \h </w:instrText>
            </w:r>
            <w:r>
              <w:rPr>
                <w:noProof/>
                <w:webHidden/>
              </w:rPr>
            </w:r>
            <w:r>
              <w:rPr>
                <w:noProof/>
                <w:webHidden/>
              </w:rPr>
              <w:fldChar w:fldCharType="separate"/>
            </w:r>
            <w:r>
              <w:rPr>
                <w:noProof/>
                <w:webHidden/>
              </w:rPr>
              <w:t>37</w:t>
            </w:r>
            <w:r>
              <w:rPr>
                <w:noProof/>
                <w:webHidden/>
              </w:rPr>
              <w:fldChar w:fldCharType="end"/>
            </w:r>
          </w:hyperlink>
        </w:p>
        <w:p w14:paraId="28A392C8" w14:textId="340B5EB0" w:rsidR="007D1E97" w:rsidRDefault="007D1E97">
          <w:pPr>
            <w:pStyle w:val="Kazalovsebine3"/>
            <w:rPr>
              <w:rFonts w:asciiTheme="minorHAnsi" w:eastAsiaTheme="minorEastAsia" w:hAnsiTheme="minorHAnsi" w:cstheme="minorBidi"/>
              <w:iCs w:val="0"/>
              <w:noProof/>
              <w:sz w:val="22"/>
              <w:szCs w:val="22"/>
              <w:lang w:eastAsia="sl-SI"/>
            </w:rPr>
          </w:pPr>
          <w:hyperlink w:anchor="_Toc126311998" w:history="1">
            <w:r w:rsidRPr="009213A1">
              <w:rPr>
                <w:rStyle w:val="Hiperpovezava"/>
                <w:noProof/>
                <w:lang w:val="en-GB"/>
              </w:rPr>
              <w:t>2.2.5 The Import/Shipment Into Slovenia, Transit, and Export/Shipment Out of Slovenia of Radioactive and Nuclear Material</w:t>
            </w:r>
            <w:r>
              <w:rPr>
                <w:noProof/>
                <w:webHidden/>
              </w:rPr>
              <w:tab/>
            </w:r>
            <w:r>
              <w:rPr>
                <w:noProof/>
                <w:webHidden/>
              </w:rPr>
              <w:fldChar w:fldCharType="begin"/>
            </w:r>
            <w:r>
              <w:rPr>
                <w:noProof/>
                <w:webHidden/>
              </w:rPr>
              <w:instrText xml:space="preserve"> PAGEREF _Toc126311998 \h </w:instrText>
            </w:r>
            <w:r>
              <w:rPr>
                <w:noProof/>
                <w:webHidden/>
              </w:rPr>
            </w:r>
            <w:r>
              <w:rPr>
                <w:noProof/>
                <w:webHidden/>
              </w:rPr>
              <w:fldChar w:fldCharType="separate"/>
            </w:r>
            <w:r>
              <w:rPr>
                <w:noProof/>
                <w:webHidden/>
              </w:rPr>
              <w:t>38</w:t>
            </w:r>
            <w:r>
              <w:rPr>
                <w:noProof/>
                <w:webHidden/>
              </w:rPr>
              <w:fldChar w:fldCharType="end"/>
            </w:r>
          </w:hyperlink>
        </w:p>
        <w:p w14:paraId="2642CE69" w14:textId="20535855"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1999" w:history="1">
            <w:r w:rsidRPr="009213A1">
              <w:rPr>
                <w:rStyle w:val="Hiperpovezava"/>
                <w:noProof/>
                <w:lang w:val="en-GB"/>
              </w:rPr>
              <w:t>3</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RADIOACTIVITY IN THE ENVIRONMENT</w:t>
            </w:r>
            <w:r>
              <w:rPr>
                <w:noProof/>
                <w:webHidden/>
              </w:rPr>
              <w:tab/>
            </w:r>
            <w:r>
              <w:rPr>
                <w:noProof/>
                <w:webHidden/>
              </w:rPr>
              <w:fldChar w:fldCharType="begin"/>
            </w:r>
            <w:r>
              <w:rPr>
                <w:noProof/>
                <w:webHidden/>
              </w:rPr>
              <w:instrText xml:space="preserve"> PAGEREF _Toc126311999 \h </w:instrText>
            </w:r>
            <w:r>
              <w:rPr>
                <w:noProof/>
                <w:webHidden/>
              </w:rPr>
            </w:r>
            <w:r>
              <w:rPr>
                <w:noProof/>
                <w:webHidden/>
              </w:rPr>
              <w:fldChar w:fldCharType="separate"/>
            </w:r>
            <w:r>
              <w:rPr>
                <w:noProof/>
                <w:webHidden/>
              </w:rPr>
              <w:t>39</w:t>
            </w:r>
            <w:r>
              <w:rPr>
                <w:noProof/>
                <w:webHidden/>
              </w:rPr>
              <w:fldChar w:fldCharType="end"/>
            </w:r>
          </w:hyperlink>
        </w:p>
        <w:p w14:paraId="6BF55E1F" w14:textId="362BB5C8"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00" w:history="1">
            <w:r w:rsidRPr="009213A1">
              <w:rPr>
                <w:rStyle w:val="Hiperpovezava"/>
                <w:noProof/>
                <w:lang w:val="en-GB"/>
              </w:rPr>
              <w:t>3.1</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EARLY WARNING SYSTEM FOR RADIATION IN THE ENVIRONMENT</w:t>
            </w:r>
            <w:r>
              <w:rPr>
                <w:noProof/>
                <w:webHidden/>
              </w:rPr>
              <w:tab/>
            </w:r>
            <w:r>
              <w:rPr>
                <w:noProof/>
                <w:webHidden/>
              </w:rPr>
              <w:fldChar w:fldCharType="begin"/>
            </w:r>
            <w:r>
              <w:rPr>
                <w:noProof/>
                <w:webHidden/>
              </w:rPr>
              <w:instrText xml:space="preserve"> PAGEREF _Toc126312000 \h </w:instrText>
            </w:r>
            <w:r>
              <w:rPr>
                <w:noProof/>
                <w:webHidden/>
              </w:rPr>
            </w:r>
            <w:r>
              <w:rPr>
                <w:noProof/>
                <w:webHidden/>
              </w:rPr>
              <w:fldChar w:fldCharType="separate"/>
            </w:r>
            <w:r>
              <w:rPr>
                <w:noProof/>
                <w:webHidden/>
              </w:rPr>
              <w:t>39</w:t>
            </w:r>
            <w:r>
              <w:rPr>
                <w:noProof/>
                <w:webHidden/>
              </w:rPr>
              <w:fldChar w:fldCharType="end"/>
            </w:r>
          </w:hyperlink>
        </w:p>
        <w:p w14:paraId="3F28AC25" w14:textId="0A164010"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01" w:history="1">
            <w:r w:rsidRPr="009213A1">
              <w:rPr>
                <w:rStyle w:val="Hiperpovezava"/>
                <w:noProof/>
                <w:lang w:val="en-GB"/>
              </w:rPr>
              <w:t>3.2</w:t>
            </w:r>
            <w:r>
              <w:rPr>
                <w:rFonts w:asciiTheme="minorHAnsi" w:eastAsiaTheme="minorEastAsia" w:hAnsiTheme="minorHAnsi" w:cstheme="minorBidi"/>
                <w:smallCaps w:val="0"/>
                <w:noProof/>
                <w:sz w:val="22"/>
                <w:szCs w:val="22"/>
                <w:lang w:eastAsia="sl-SI"/>
              </w:rPr>
              <w:tab/>
            </w:r>
            <w:r w:rsidRPr="009213A1">
              <w:rPr>
                <w:rStyle w:val="Hiperpovezava"/>
                <w:noProof/>
                <w:lang w:val="en-GB"/>
              </w:rPr>
              <w:t>ENVIRONMENTAL RADIOACTIVITY MONITORING</w:t>
            </w:r>
            <w:r>
              <w:rPr>
                <w:noProof/>
                <w:webHidden/>
              </w:rPr>
              <w:tab/>
            </w:r>
            <w:r>
              <w:rPr>
                <w:noProof/>
                <w:webHidden/>
              </w:rPr>
              <w:fldChar w:fldCharType="begin"/>
            </w:r>
            <w:r>
              <w:rPr>
                <w:noProof/>
                <w:webHidden/>
              </w:rPr>
              <w:instrText xml:space="preserve"> PAGEREF _Toc126312001 \h </w:instrText>
            </w:r>
            <w:r>
              <w:rPr>
                <w:noProof/>
                <w:webHidden/>
              </w:rPr>
            </w:r>
            <w:r>
              <w:rPr>
                <w:noProof/>
                <w:webHidden/>
              </w:rPr>
              <w:fldChar w:fldCharType="separate"/>
            </w:r>
            <w:r>
              <w:rPr>
                <w:noProof/>
                <w:webHidden/>
              </w:rPr>
              <w:t>40</w:t>
            </w:r>
            <w:r>
              <w:rPr>
                <w:noProof/>
                <w:webHidden/>
              </w:rPr>
              <w:fldChar w:fldCharType="end"/>
            </w:r>
          </w:hyperlink>
        </w:p>
        <w:p w14:paraId="1660DC0A" w14:textId="7AB99168"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02" w:history="1">
            <w:r w:rsidRPr="009213A1">
              <w:rPr>
                <w:rStyle w:val="Hiperpovezava"/>
                <w:noProof/>
                <w:lang w:val="en-GB"/>
              </w:rPr>
              <w:t>3.3</w:t>
            </w:r>
            <w:r>
              <w:rPr>
                <w:rFonts w:asciiTheme="minorHAnsi" w:eastAsiaTheme="minorEastAsia" w:hAnsiTheme="minorHAnsi" w:cstheme="minorBidi"/>
                <w:smallCaps w:val="0"/>
                <w:noProof/>
                <w:sz w:val="22"/>
                <w:szCs w:val="22"/>
                <w:lang w:eastAsia="sl-SI"/>
              </w:rPr>
              <w:tab/>
            </w:r>
            <w:r w:rsidRPr="009213A1">
              <w:rPr>
                <w:rStyle w:val="Hiperpovezava"/>
                <w:noProof/>
                <w:lang w:val="en-GB"/>
              </w:rPr>
              <w:t>OPERATIONAL MONITORING IN NUCLEAR AND RADIATION FACILITIES</w:t>
            </w:r>
            <w:r>
              <w:rPr>
                <w:noProof/>
                <w:webHidden/>
              </w:rPr>
              <w:tab/>
            </w:r>
            <w:r>
              <w:rPr>
                <w:noProof/>
                <w:webHidden/>
              </w:rPr>
              <w:fldChar w:fldCharType="begin"/>
            </w:r>
            <w:r>
              <w:rPr>
                <w:noProof/>
                <w:webHidden/>
              </w:rPr>
              <w:instrText xml:space="preserve"> PAGEREF _Toc126312002 \h </w:instrText>
            </w:r>
            <w:r>
              <w:rPr>
                <w:noProof/>
                <w:webHidden/>
              </w:rPr>
            </w:r>
            <w:r>
              <w:rPr>
                <w:noProof/>
                <w:webHidden/>
              </w:rPr>
              <w:fldChar w:fldCharType="separate"/>
            </w:r>
            <w:r>
              <w:rPr>
                <w:noProof/>
                <w:webHidden/>
              </w:rPr>
              <w:t>43</w:t>
            </w:r>
            <w:r>
              <w:rPr>
                <w:noProof/>
                <w:webHidden/>
              </w:rPr>
              <w:fldChar w:fldCharType="end"/>
            </w:r>
          </w:hyperlink>
        </w:p>
        <w:p w14:paraId="1CE621E2" w14:textId="0AD728DD" w:rsidR="007D1E97" w:rsidRDefault="007D1E97">
          <w:pPr>
            <w:pStyle w:val="Kazalovsebine3"/>
            <w:rPr>
              <w:rFonts w:asciiTheme="minorHAnsi" w:eastAsiaTheme="minorEastAsia" w:hAnsiTheme="minorHAnsi" w:cstheme="minorBidi"/>
              <w:iCs w:val="0"/>
              <w:noProof/>
              <w:sz w:val="22"/>
              <w:szCs w:val="22"/>
              <w:lang w:eastAsia="sl-SI"/>
            </w:rPr>
          </w:pPr>
          <w:hyperlink w:anchor="_Toc126312003" w:history="1">
            <w:r w:rsidRPr="009213A1">
              <w:rPr>
                <w:rStyle w:val="Hiperpovezava"/>
                <w:noProof/>
                <w:lang w:val="en-GB"/>
              </w:rPr>
              <w:t>3.3.1</w:t>
            </w:r>
            <w:r>
              <w:rPr>
                <w:rFonts w:asciiTheme="minorHAnsi" w:eastAsiaTheme="minorEastAsia" w:hAnsiTheme="minorHAnsi" w:cstheme="minorBidi"/>
                <w:iCs w:val="0"/>
                <w:noProof/>
                <w:sz w:val="22"/>
                <w:szCs w:val="22"/>
                <w:lang w:eastAsia="sl-SI"/>
              </w:rPr>
              <w:tab/>
            </w:r>
            <w:r w:rsidRPr="009213A1">
              <w:rPr>
                <w:rStyle w:val="Hiperpovezava"/>
                <w:noProof/>
                <w:lang w:val="en-GB"/>
              </w:rPr>
              <w:t>The Krško Nuclear Power Plant</w:t>
            </w:r>
            <w:r>
              <w:rPr>
                <w:noProof/>
                <w:webHidden/>
              </w:rPr>
              <w:tab/>
            </w:r>
            <w:r>
              <w:rPr>
                <w:noProof/>
                <w:webHidden/>
              </w:rPr>
              <w:fldChar w:fldCharType="begin"/>
            </w:r>
            <w:r>
              <w:rPr>
                <w:noProof/>
                <w:webHidden/>
              </w:rPr>
              <w:instrText xml:space="preserve"> PAGEREF _Toc126312003 \h </w:instrText>
            </w:r>
            <w:r>
              <w:rPr>
                <w:noProof/>
                <w:webHidden/>
              </w:rPr>
            </w:r>
            <w:r>
              <w:rPr>
                <w:noProof/>
                <w:webHidden/>
              </w:rPr>
              <w:fldChar w:fldCharType="separate"/>
            </w:r>
            <w:r>
              <w:rPr>
                <w:noProof/>
                <w:webHidden/>
              </w:rPr>
              <w:t>43</w:t>
            </w:r>
            <w:r>
              <w:rPr>
                <w:noProof/>
                <w:webHidden/>
              </w:rPr>
              <w:fldChar w:fldCharType="end"/>
            </w:r>
          </w:hyperlink>
        </w:p>
        <w:p w14:paraId="43AEA20F" w14:textId="5B03962D" w:rsidR="007D1E97" w:rsidRDefault="007D1E97">
          <w:pPr>
            <w:pStyle w:val="Kazalovsebine3"/>
            <w:rPr>
              <w:rFonts w:asciiTheme="minorHAnsi" w:eastAsiaTheme="minorEastAsia" w:hAnsiTheme="minorHAnsi" w:cstheme="minorBidi"/>
              <w:iCs w:val="0"/>
              <w:noProof/>
              <w:sz w:val="22"/>
              <w:szCs w:val="22"/>
              <w:lang w:eastAsia="sl-SI"/>
            </w:rPr>
          </w:pPr>
          <w:hyperlink w:anchor="_Toc126312004" w:history="1">
            <w:r w:rsidRPr="009213A1">
              <w:rPr>
                <w:rStyle w:val="Hiperpovezava"/>
                <w:noProof/>
                <w:lang w:val="en-GB"/>
              </w:rPr>
              <w:t>3.3.2</w:t>
            </w:r>
            <w:r>
              <w:rPr>
                <w:rFonts w:asciiTheme="minorHAnsi" w:eastAsiaTheme="minorEastAsia" w:hAnsiTheme="minorHAnsi" w:cstheme="minorBidi"/>
                <w:iCs w:val="0"/>
                <w:noProof/>
                <w:sz w:val="22"/>
                <w:szCs w:val="22"/>
                <w:lang w:eastAsia="sl-SI"/>
              </w:rPr>
              <w:tab/>
            </w:r>
            <w:r w:rsidRPr="009213A1">
              <w:rPr>
                <w:rStyle w:val="Hiperpovezava"/>
                <w:noProof/>
                <w:lang w:val="en-GB"/>
              </w:rPr>
              <w:t>The TRIGA Mark II Research Reactor and the Central Storage for Radioactive Waste at Brinje</w:t>
            </w:r>
            <w:r>
              <w:rPr>
                <w:noProof/>
                <w:webHidden/>
              </w:rPr>
              <w:tab/>
            </w:r>
            <w:r>
              <w:rPr>
                <w:noProof/>
                <w:webHidden/>
              </w:rPr>
              <w:fldChar w:fldCharType="begin"/>
            </w:r>
            <w:r>
              <w:rPr>
                <w:noProof/>
                <w:webHidden/>
              </w:rPr>
              <w:instrText xml:space="preserve"> PAGEREF _Toc126312004 \h </w:instrText>
            </w:r>
            <w:r>
              <w:rPr>
                <w:noProof/>
                <w:webHidden/>
              </w:rPr>
            </w:r>
            <w:r>
              <w:rPr>
                <w:noProof/>
                <w:webHidden/>
              </w:rPr>
              <w:fldChar w:fldCharType="separate"/>
            </w:r>
            <w:r>
              <w:rPr>
                <w:noProof/>
                <w:webHidden/>
              </w:rPr>
              <w:t>46</w:t>
            </w:r>
            <w:r>
              <w:rPr>
                <w:noProof/>
                <w:webHidden/>
              </w:rPr>
              <w:fldChar w:fldCharType="end"/>
            </w:r>
          </w:hyperlink>
        </w:p>
        <w:p w14:paraId="1D8BF3D1" w14:textId="11ABE184" w:rsidR="007D1E97" w:rsidRDefault="007D1E97">
          <w:pPr>
            <w:pStyle w:val="Kazalovsebine3"/>
            <w:rPr>
              <w:rFonts w:asciiTheme="minorHAnsi" w:eastAsiaTheme="minorEastAsia" w:hAnsiTheme="minorHAnsi" w:cstheme="minorBidi"/>
              <w:iCs w:val="0"/>
              <w:noProof/>
              <w:sz w:val="22"/>
              <w:szCs w:val="22"/>
              <w:lang w:eastAsia="sl-SI"/>
            </w:rPr>
          </w:pPr>
          <w:hyperlink w:anchor="_Toc126312005" w:history="1">
            <w:r w:rsidRPr="009213A1">
              <w:rPr>
                <w:rStyle w:val="Hiperpovezava"/>
                <w:noProof/>
                <w:lang w:val="en-GB"/>
              </w:rPr>
              <w:t>3.3.3</w:t>
            </w:r>
            <w:r>
              <w:rPr>
                <w:rFonts w:asciiTheme="minorHAnsi" w:eastAsiaTheme="minorEastAsia" w:hAnsiTheme="minorHAnsi" w:cstheme="minorBidi"/>
                <w:iCs w:val="0"/>
                <w:noProof/>
                <w:sz w:val="22"/>
                <w:szCs w:val="22"/>
                <w:lang w:eastAsia="sl-SI"/>
              </w:rPr>
              <w:tab/>
            </w:r>
            <w:r w:rsidRPr="009213A1">
              <w:rPr>
                <w:rStyle w:val="Hiperpovezava"/>
                <w:noProof/>
                <w:lang w:val="en-GB"/>
              </w:rPr>
              <w:t>The Former Žirovski Vrh Uranium Mine</w:t>
            </w:r>
            <w:r>
              <w:rPr>
                <w:noProof/>
                <w:webHidden/>
              </w:rPr>
              <w:tab/>
            </w:r>
            <w:r>
              <w:rPr>
                <w:noProof/>
                <w:webHidden/>
              </w:rPr>
              <w:fldChar w:fldCharType="begin"/>
            </w:r>
            <w:r>
              <w:rPr>
                <w:noProof/>
                <w:webHidden/>
              </w:rPr>
              <w:instrText xml:space="preserve"> PAGEREF _Toc126312005 \h </w:instrText>
            </w:r>
            <w:r>
              <w:rPr>
                <w:noProof/>
                <w:webHidden/>
              </w:rPr>
            </w:r>
            <w:r>
              <w:rPr>
                <w:noProof/>
                <w:webHidden/>
              </w:rPr>
              <w:fldChar w:fldCharType="separate"/>
            </w:r>
            <w:r>
              <w:rPr>
                <w:noProof/>
                <w:webHidden/>
              </w:rPr>
              <w:t>48</w:t>
            </w:r>
            <w:r>
              <w:rPr>
                <w:noProof/>
                <w:webHidden/>
              </w:rPr>
              <w:fldChar w:fldCharType="end"/>
            </w:r>
          </w:hyperlink>
        </w:p>
        <w:p w14:paraId="1D154EA7" w14:textId="04CE124B" w:rsidR="007D1E97" w:rsidRDefault="007D1E97">
          <w:pPr>
            <w:pStyle w:val="Kazalovsebine3"/>
            <w:rPr>
              <w:rFonts w:asciiTheme="minorHAnsi" w:eastAsiaTheme="minorEastAsia" w:hAnsiTheme="minorHAnsi" w:cstheme="minorBidi"/>
              <w:iCs w:val="0"/>
              <w:noProof/>
              <w:sz w:val="22"/>
              <w:szCs w:val="22"/>
              <w:lang w:eastAsia="sl-SI"/>
            </w:rPr>
          </w:pPr>
          <w:hyperlink w:anchor="_Toc126312006" w:history="1">
            <w:r w:rsidRPr="009213A1">
              <w:rPr>
                <w:rStyle w:val="Hiperpovezava"/>
                <w:noProof/>
                <w:lang w:val="en-GB"/>
              </w:rPr>
              <w:t>3.3.4</w:t>
            </w:r>
            <w:r>
              <w:rPr>
                <w:rFonts w:asciiTheme="minorHAnsi" w:eastAsiaTheme="minorEastAsia" w:hAnsiTheme="minorHAnsi" w:cstheme="minorBidi"/>
                <w:iCs w:val="0"/>
                <w:noProof/>
                <w:sz w:val="22"/>
                <w:szCs w:val="22"/>
                <w:lang w:eastAsia="sl-SI"/>
              </w:rPr>
              <w:tab/>
            </w:r>
            <w:r w:rsidRPr="009213A1">
              <w:rPr>
                <w:rStyle w:val="Hiperpovezava"/>
                <w:noProof/>
                <w:lang w:val="en-GB"/>
              </w:rPr>
              <w:t>Operational Monitoring Inspections</w:t>
            </w:r>
            <w:r>
              <w:rPr>
                <w:noProof/>
                <w:webHidden/>
              </w:rPr>
              <w:tab/>
            </w:r>
            <w:r>
              <w:rPr>
                <w:noProof/>
                <w:webHidden/>
              </w:rPr>
              <w:fldChar w:fldCharType="begin"/>
            </w:r>
            <w:r>
              <w:rPr>
                <w:noProof/>
                <w:webHidden/>
              </w:rPr>
              <w:instrText xml:space="preserve"> PAGEREF _Toc126312006 \h </w:instrText>
            </w:r>
            <w:r>
              <w:rPr>
                <w:noProof/>
                <w:webHidden/>
              </w:rPr>
            </w:r>
            <w:r>
              <w:rPr>
                <w:noProof/>
                <w:webHidden/>
              </w:rPr>
              <w:fldChar w:fldCharType="separate"/>
            </w:r>
            <w:r>
              <w:rPr>
                <w:noProof/>
                <w:webHidden/>
              </w:rPr>
              <w:t>51</w:t>
            </w:r>
            <w:r>
              <w:rPr>
                <w:noProof/>
                <w:webHidden/>
              </w:rPr>
              <w:fldChar w:fldCharType="end"/>
            </w:r>
          </w:hyperlink>
        </w:p>
        <w:p w14:paraId="55771936" w14:textId="1B79D376"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07" w:history="1">
            <w:r w:rsidRPr="009213A1">
              <w:rPr>
                <w:rStyle w:val="Hiperpovezava"/>
                <w:noProof/>
                <w:lang w:val="en-GB"/>
              </w:rPr>
              <w:t>3.4</w:t>
            </w:r>
            <w:r>
              <w:rPr>
                <w:rFonts w:asciiTheme="minorHAnsi" w:eastAsiaTheme="minorEastAsia" w:hAnsiTheme="minorHAnsi" w:cstheme="minorBidi"/>
                <w:smallCaps w:val="0"/>
                <w:noProof/>
                <w:sz w:val="22"/>
                <w:szCs w:val="22"/>
                <w:lang w:eastAsia="sl-SI"/>
              </w:rPr>
              <w:tab/>
            </w:r>
            <w:r w:rsidRPr="009213A1">
              <w:rPr>
                <w:rStyle w:val="Hiperpovezava"/>
                <w:noProof/>
                <w:lang w:val="en-GB"/>
              </w:rPr>
              <w:t>RADIATION EXPOSURE OF THE POPULATION IN SLOVENIA</w:t>
            </w:r>
            <w:r>
              <w:rPr>
                <w:noProof/>
                <w:webHidden/>
              </w:rPr>
              <w:tab/>
            </w:r>
            <w:r>
              <w:rPr>
                <w:noProof/>
                <w:webHidden/>
              </w:rPr>
              <w:fldChar w:fldCharType="begin"/>
            </w:r>
            <w:r>
              <w:rPr>
                <w:noProof/>
                <w:webHidden/>
              </w:rPr>
              <w:instrText xml:space="preserve"> PAGEREF _Toc126312007 \h </w:instrText>
            </w:r>
            <w:r>
              <w:rPr>
                <w:noProof/>
                <w:webHidden/>
              </w:rPr>
            </w:r>
            <w:r>
              <w:rPr>
                <w:noProof/>
                <w:webHidden/>
              </w:rPr>
              <w:fldChar w:fldCharType="separate"/>
            </w:r>
            <w:r>
              <w:rPr>
                <w:noProof/>
                <w:webHidden/>
              </w:rPr>
              <w:t>52</w:t>
            </w:r>
            <w:r>
              <w:rPr>
                <w:noProof/>
                <w:webHidden/>
              </w:rPr>
              <w:fldChar w:fldCharType="end"/>
            </w:r>
          </w:hyperlink>
        </w:p>
        <w:p w14:paraId="550EFD77" w14:textId="2D832D75" w:rsidR="007D1E97" w:rsidRDefault="007D1E97">
          <w:pPr>
            <w:pStyle w:val="Kazalovsebine3"/>
            <w:rPr>
              <w:rFonts w:asciiTheme="minorHAnsi" w:eastAsiaTheme="minorEastAsia" w:hAnsiTheme="minorHAnsi" w:cstheme="minorBidi"/>
              <w:iCs w:val="0"/>
              <w:noProof/>
              <w:sz w:val="22"/>
              <w:szCs w:val="22"/>
              <w:lang w:eastAsia="sl-SI"/>
            </w:rPr>
          </w:pPr>
          <w:hyperlink w:anchor="_Toc126312008" w:history="1">
            <w:r w:rsidRPr="009213A1">
              <w:rPr>
                <w:rStyle w:val="Hiperpovezava"/>
                <w:noProof/>
                <w:lang w:val="en-GB"/>
              </w:rPr>
              <w:t>3.4.1</w:t>
            </w:r>
            <w:r>
              <w:rPr>
                <w:rFonts w:asciiTheme="minorHAnsi" w:eastAsiaTheme="minorEastAsia" w:hAnsiTheme="minorHAnsi" w:cstheme="minorBidi"/>
                <w:iCs w:val="0"/>
                <w:noProof/>
                <w:sz w:val="22"/>
                <w:szCs w:val="22"/>
                <w:lang w:eastAsia="sl-SI"/>
              </w:rPr>
              <w:tab/>
            </w:r>
            <w:r w:rsidRPr="009213A1">
              <w:rPr>
                <w:rStyle w:val="Hiperpovezava"/>
                <w:noProof/>
                <w:lang w:val="en-GB"/>
              </w:rPr>
              <w:t>Exposure to Natural Radiation</w:t>
            </w:r>
            <w:r>
              <w:rPr>
                <w:noProof/>
                <w:webHidden/>
              </w:rPr>
              <w:tab/>
            </w:r>
            <w:r>
              <w:rPr>
                <w:noProof/>
                <w:webHidden/>
              </w:rPr>
              <w:fldChar w:fldCharType="begin"/>
            </w:r>
            <w:r>
              <w:rPr>
                <w:noProof/>
                <w:webHidden/>
              </w:rPr>
              <w:instrText xml:space="preserve"> PAGEREF _Toc126312008 \h </w:instrText>
            </w:r>
            <w:r>
              <w:rPr>
                <w:noProof/>
                <w:webHidden/>
              </w:rPr>
            </w:r>
            <w:r>
              <w:rPr>
                <w:noProof/>
                <w:webHidden/>
              </w:rPr>
              <w:fldChar w:fldCharType="separate"/>
            </w:r>
            <w:r>
              <w:rPr>
                <w:noProof/>
                <w:webHidden/>
              </w:rPr>
              <w:t>52</w:t>
            </w:r>
            <w:r>
              <w:rPr>
                <w:noProof/>
                <w:webHidden/>
              </w:rPr>
              <w:fldChar w:fldCharType="end"/>
            </w:r>
          </w:hyperlink>
        </w:p>
        <w:p w14:paraId="3B1E97B2" w14:textId="1ADC68BC" w:rsidR="007D1E97" w:rsidRDefault="007D1E97">
          <w:pPr>
            <w:pStyle w:val="Kazalovsebine3"/>
            <w:rPr>
              <w:rFonts w:asciiTheme="minorHAnsi" w:eastAsiaTheme="minorEastAsia" w:hAnsiTheme="minorHAnsi" w:cstheme="minorBidi"/>
              <w:iCs w:val="0"/>
              <w:noProof/>
              <w:sz w:val="22"/>
              <w:szCs w:val="22"/>
              <w:lang w:eastAsia="sl-SI"/>
            </w:rPr>
          </w:pPr>
          <w:hyperlink w:anchor="_Toc126312009" w:history="1">
            <w:r w:rsidRPr="009213A1">
              <w:rPr>
                <w:rStyle w:val="Hiperpovezava"/>
                <w:noProof/>
                <w:lang w:val="en-GB"/>
              </w:rPr>
              <w:t>3.4.2</w:t>
            </w:r>
            <w:r>
              <w:rPr>
                <w:rFonts w:asciiTheme="minorHAnsi" w:eastAsiaTheme="minorEastAsia" w:hAnsiTheme="minorHAnsi" w:cstheme="minorBidi"/>
                <w:iCs w:val="0"/>
                <w:noProof/>
                <w:sz w:val="22"/>
                <w:szCs w:val="22"/>
                <w:lang w:eastAsia="sl-SI"/>
              </w:rPr>
              <w:tab/>
            </w:r>
            <w:r w:rsidRPr="009213A1">
              <w:rPr>
                <w:rStyle w:val="Hiperpovezava"/>
                <w:noProof/>
                <w:lang w:val="en-GB"/>
              </w:rPr>
              <w:t>The Programme for the Systematic Inspection of Industrial Activities</w:t>
            </w:r>
            <w:r>
              <w:rPr>
                <w:noProof/>
                <w:webHidden/>
              </w:rPr>
              <w:tab/>
            </w:r>
            <w:r>
              <w:rPr>
                <w:noProof/>
                <w:webHidden/>
              </w:rPr>
              <w:fldChar w:fldCharType="begin"/>
            </w:r>
            <w:r>
              <w:rPr>
                <w:noProof/>
                <w:webHidden/>
              </w:rPr>
              <w:instrText xml:space="preserve"> PAGEREF _Toc126312009 \h </w:instrText>
            </w:r>
            <w:r>
              <w:rPr>
                <w:noProof/>
                <w:webHidden/>
              </w:rPr>
            </w:r>
            <w:r>
              <w:rPr>
                <w:noProof/>
                <w:webHidden/>
              </w:rPr>
              <w:fldChar w:fldCharType="separate"/>
            </w:r>
            <w:r>
              <w:rPr>
                <w:noProof/>
                <w:webHidden/>
              </w:rPr>
              <w:t>52</w:t>
            </w:r>
            <w:r>
              <w:rPr>
                <w:noProof/>
                <w:webHidden/>
              </w:rPr>
              <w:fldChar w:fldCharType="end"/>
            </w:r>
          </w:hyperlink>
        </w:p>
        <w:p w14:paraId="1FAE5CDC" w14:textId="1BC3BCB1" w:rsidR="007D1E97" w:rsidRDefault="007D1E97">
          <w:pPr>
            <w:pStyle w:val="Kazalovsebine3"/>
            <w:rPr>
              <w:rFonts w:asciiTheme="minorHAnsi" w:eastAsiaTheme="minorEastAsia" w:hAnsiTheme="minorHAnsi" w:cstheme="minorBidi"/>
              <w:iCs w:val="0"/>
              <w:noProof/>
              <w:sz w:val="22"/>
              <w:szCs w:val="22"/>
              <w:lang w:eastAsia="sl-SI"/>
            </w:rPr>
          </w:pPr>
          <w:hyperlink w:anchor="_Toc126312010" w:history="1">
            <w:r w:rsidRPr="009213A1">
              <w:rPr>
                <w:rStyle w:val="Hiperpovezava"/>
                <w:noProof/>
                <w:lang w:val="en-GB"/>
              </w:rPr>
              <w:t>3.4.3</w:t>
            </w:r>
            <w:r>
              <w:rPr>
                <w:rFonts w:asciiTheme="minorHAnsi" w:eastAsiaTheme="minorEastAsia" w:hAnsiTheme="minorHAnsi" w:cstheme="minorBidi"/>
                <w:iCs w:val="0"/>
                <w:noProof/>
                <w:sz w:val="22"/>
                <w:szCs w:val="22"/>
                <w:lang w:eastAsia="sl-SI"/>
              </w:rPr>
              <w:tab/>
            </w:r>
            <w:r w:rsidRPr="009213A1">
              <w:rPr>
                <w:rStyle w:val="Hiperpovezava"/>
                <w:noProof/>
                <w:lang w:val="en-GB"/>
              </w:rPr>
              <w:t>Programme of Systematic Surveillance and Measurements of Radon in Working and Living Environments</w:t>
            </w:r>
            <w:r>
              <w:rPr>
                <w:noProof/>
                <w:webHidden/>
              </w:rPr>
              <w:tab/>
            </w:r>
            <w:r>
              <w:rPr>
                <w:noProof/>
                <w:webHidden/>
              </w:rPr>
              <w:fldChar w:fldCharType="begin"/>
            </w:r>
            <w:r>
              <w:rPr>
                <w:noProof/>
                <w:webHidden/>
              </w:rPr>
              <w:instrText xml:space="preserve"> PAGEREF _Toc126312010 \h </w:instrText>
            </w:r>
            <w:r>
              <w:rPr>
                <w:noProof/>
                <w:webHidden/>
              </w:rPr>
            </w:r>
            <w:r>
              <w:rPr>
                <w:noProof/>
                <w:webHidden/>
              </w:rPr>
              <w:fldChar w:fldCharType="separate"/>
            </w:r>
            <w:r>
              <w:rPr>
                <w:noProof/>
                <w:webHidden/>
              </w:rPr>
              <w:t>53</w:t>
            </w:r>
            <w:r>
              <w:rPr>
                <w:noProof/>
                <w:webHidden/>
              </w:rPr>
              <w:fldChar w:fldCharType="end"/>
            </w:r>
          </w:hyperlink>
        </w:p>
        <w:p w14:paraId="7F2D2B8D" w14:textId="46D486DD" w:rsidR="007D1E97" w:rsidRDefault="007D1E97">
          <w:pPr>
            <w:pStyle w:val="Kazalovsebine3"/>
            <w:rPr>
              <w:rFonts w:asciiTheme="minorHAnsi" w:eastAsiaTheme="minorEastAsia" w:hAnsiTheme="minorHAnsi" w:cstheme="minorBidi"/>
              <w:iCs w:val="0"/>
              <w:noProof/>
              <w:sz w:val="22"/>
              <w:szCs w:val="22"/>
              <w:lang w:eastAsia="sl-SI"/>
            </w:rPr>
          </w:pPr>
          <w:hyperlink w:anchor="_Toc126312011" w:history="1">
            <w:r w:rsidRPr="009213A1">
              <w:rPr>
                <w:rStyle w:val="Hiperpovezava"/>
                <w:noProof/>
                <w:lang w:val="en-GB"/>
              </w:rPr>
              <w:t>3.4.4</w:t>
            </w:r>
            <w:r>
              <w:rPr>
                <w:rFonts w:asciiTheme="minorHAnsi" w:eastAsiaTheme="minorEastAsia" w:hAnsiTheme="minorHAnsi" w:cstheme="minorBidi"/>
                <w:iCs w:val="0"/>
                <w:noProof/>
                <w:sz w:val="22"/>
                <w:szCs w:val="22"/>
                <w:lang w:eastAsia="sl-SI"/>
              </w:rPr>
              <w:tab/>
            </w:r>
            <w:r w:rsidRPr="009213A1">
              <w:rPr>
                <w:rStyle w:val="Hiperpovezava"/>
                <w:noProof/>
                <w:lang w:val="en-GB"/>
              </w:rPr>
              <w:t>Radiation Exposure of the Population Due to Human Activities</w:t>
            </w:r>
            <w:r>
              <w:rPr>
                <w:noProof/>
                <w:webHidden/>
              </w:rPr>
              <w:tab/>
            </w:r>
            <w:r>
              <w:rPr>
                <w:noProof/>
                <w:webHidden/>
              </w:rPr>
              <w:fldChar w:fldCharType="begin"/>
            </w:r>
            <w:r>
              <w:rPr>
                <w:noProof/>
                <w:webHidden/>
              </w:rPr>
              <w:instrText xml:space="preserve"> PAGEREF _Toc126312011 \h </w:instrText>
            </w:r>
            <w:r>
              <w:rPr>
                <w:noProof/>
                <w:webHidden/>
              </w:rPr>
            </w:r>
            <w:r>
              <w:rPr>
                <w:noProof/>
                <w:webHidden/>
              </w:rPr>
              <w:fldChar w:fldCharType="separate"/>
            </w:r>
            <w:r>
              <w:rPr>
                <w:noProof/>
                <w:webHidden/>
              </w:rPr>
              <w:t>55</w:t>
            </w:r>
            <w:r>
              <w:rPr>
                <w:noProof/>
                <w:webHidden/>
              </w:rPr>
              <w:fldChar w:fldCharType="end"/>
            </w:r>
          </w:hyperlink>
        </w:p>
        <w:p w14:paraId="02ECB2F1" w14:textId="38FB64E3"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12" w:history="1">
            <w:r w:rsidRPr="009213A1">
              <w:rPr>
                <w:rStyle w:val="Hiperpovezava"/>
                <w:noProof/>
                <w:lang w:val="en-GB"/>
              </w:rPr>
              <w:t>4</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RADIATION PROTECTION OF EXPOSED WORKERS</w:t>
            </w:r>
            <w:r>
              <w:rPr>
                <w:noProof/>
                <w:webHidden/>
              </w:rPr>
              <w:tab/>
            </w:r>
            <w:r>
              <w:rPr>
                <w:noProof/>
                <w:webHidden/>
              </w:rPr>
              <w:fldChar w:fldCharType="begin"/>
            </w:r>
            <w:r>
              <w:rPr>
                <w:noProof/>
                <w:webHidden/>
              </w:rPr>
              <w:instrText xml:space="preserve"> PAGEREF _Toc126312012 \h </w:instrText>
            </w:r>
            <w:r>
              <w:rPr>
                <w:noProof/>
                <w:webHidden/>
              </w:rPr>
            </w:r>
            <w:r>
              <w:rPr>
                <w:noProof/>
                <w:webHidden/>
              </w:rPr>
              <w:fldChar w:fldCharType="separate"/>
            </w:r>
            <w:r>
              <w:rPr>
                <w:noProof/>
                <w:webHidden/>
              </w:rPr>
              <w:t>56</w:t>
            </w:r>
            <w:r>
              <w:rPr>
                <w:noProof/>
                <w:webHidden/>
              </w:rPr>
              <w:fldChar w:fldCharType="end"/>
            </w:r>
          </w:hyperlink>
        </w:p>
        <w:p w14:paraId="4D997E9F" w14:textId="4C34D255"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13" w:history="1">
            <w:r w:rsidRPr="009213A1">
              <w:rPr>
                <w:rStyle w:val="Hiperpovezava"/>
                <w:noProof/>
                <w:lang w:val="en-GB"/>
              </w:rPr>
              <w:t>5</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EXPOSURE DUE TO MEDICAL USE OF IONISING RADIATION</w:t>
            </w:r>
            <w:r>
              <w:rPr>
                <w:noProof/>
                <w:webHidden/>
              </w:rPr>
              <w:tab/>
            </w:r>
            <w:r>
              <w:rPr>
                <w:noProof/>
                <w:webHidden/>
              </w:rPr>
              <w:fldChar w:fldCharType="begin"/>
            </w:r>
            <w:r>
              <w:rPr>
                <w:noProof/>
                <w:webHidden/>
              </w:rPr>
              <w:instrText xml:space="preserve"> PAGEREF _Toc126312013 \h </w:instrText>
            </w:r>
            <w:r>
              <w:rPr>
                <w:noProof/>
                <w:webHidden/>
              </w:rPr>
            </w:r>
            <w:r>
              <w:rPr>
                <w:noProof/>
                <w:webHidden/>
              </w:rPr>
              <w:fldChar w:fldCharType="separate"/>
            </w:r>
            <w:r>
              <w:rPr>
                <w:noProof/>
                <w:webHidden/>
              </w:rPr>
              <w:t>59</w:t>
            </w:r>
            <w:r>
              <w:rPr>
                <w:noProof/>
                <w:webHidden/>
              </w:rPr>
              <w:fldChar w:fldCharType="end"/>
            </w:r>
          </w:hyperlink>
        </w:p>
        <w:p w14:paraId="149B8703" w14:textId="27A080A2"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14" w:history="1">
            <w:r w:rsidRPr="009213A1">
              <w:rPr>
                <w:rStyle w:val="Hiperpovezava"/>
                <w:b/>
                <w:caps/>
                <w:noProof/>
                <w:lang w:val="en-GB"/>
              </w:rPr>
              <w:t>5.1</w:t>
            </w:r>
            <w:r>
              <w:rPr>
                <w:rFonts w:asciiTheme="minorHAnsi" w:eastAsiaTheme="minorEastAsia" w:hAnsiTheme="minorHAnsi" w:cstheme="minorBidi"/>
                <w:smallCaps w:val="0"/>
                <w:noProof/>
                <w:sz w:val="22"/>
                <w:szCs w:val="22"/>
                <w:lang w:eastAsia="sl-SI"/>
              </w:rPr>
              <w:tab/>
            </w:r>
            <w:r w:rsidRPr="009213A1">
              <w:rPr>
                <w:rStyle w:val="Hiperpovezava"/>
                <w:b/>
                <w:caps/>
                <w:noProof/>
                <w:lang w:val="en-GB"/>
              </w:rPr>
              <w:t>DIAGNOSTIC REFERENCE LEVELS</w:t>
            </w:r>
            <w:r>
              <w:rPr>
                <w:noProof/>
                <w:webHidden/>
              </w:rPr>
              <w:tab/>
            </w:r>
            <w:r>
              <w:rPr>
                <w:noProof/>
                <w:webHidden/>
              </w:rPr>
              <w:fldChar w:fldCharType="begin"/>
            </w:r>
            <w:r>
              <w:rPr>
                <w:noProof/>
                <w:webHidden/>
              </w:rPr>
              <w:instrText xml:space="preserve"> PAGEREF _Toc126312014 \h </w:instrText>
            </w:r>
            <w:r>
              <w:rPr>
                <w:noProof/>
                <w:webHidden/>
              </w:rPr>
            </w:r>
            <w:r>
              <w:rPr>
                <w:noProof/>
                <w:webHidden/>
              </w:rPr>
              <w:fldChar w:fldCharType="separate"/>
            </w:r>
            <w:r>
              <w:rPr>
                <w:noProof/>
                <w:webHidden/>
              </w:rPr>
              <w:t>60</w:t>
            </w:r>
            <w:r>
              <w:rPr>
                <w:noProof/>
                <w:webHidden/>
              </w:rPr>
              <w:fldChar w:fldCharType="end"/>
            </w:r>
          </w:hyperlink>
        </w:p>
        <w:p w14:paraId="2D974220" w14:textId="2408B0FB"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15" w:history="1">
            <w:r w:rsidRPr="009213A1">
              <w:rPr>
                <w:rStyle w:val="Hiperpovezava"/>
                <w:noProof/>
                <w:lang w:val="en-GB"/>
              </w:rPr>
              <w:t>6</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MANAGEMENT OF RADIOACTIVE WASTE AND IRRADIATED FUEL</w:t>
            </w:r>
            <w:r>
              <w:rPr>
                <w:noProof/>
                <w:webHidden/>
              </w:rPr>
              <w:tab/>
            </w:r>
            <w:r>
              <w:rPr>
                <w:noProof/>
                <w:webHidden/>
              </w:rPr>
              <w:fldChar w:fldCharType="begin"/>
            </w:r>
            <w:r>
              <w:rPr>
                <w:noProof/>
                <w:webHidden/>
              </w:rPr>
              <w:instrText xml:space="preserve"> PAGEREF _Toc126312015 \h </w:instrText>
            </w:r>
            <w:r>
              <w:rPr>
                <w:noProof/>
                <w:webHidden/>
              </w:rPr>
            </w:r>
            <w:r>
              <w:rPr>
                <w:noProof/>
                <w:webHidden/>
              </w:rPr>
              <w:fldChar w:fldCharType="separate"/>
            </w:r>
            <w:r>
              <w:rPr>
                <w:noProof/>
                <w:webHidden/>
              </w:rPr>
              <w:t>62</w:t>
            </w:r>
            <w:r>
              <w:rPr>
                <w:noProof/>
                <w:webHidden/>
              </w:rPr>
              <w:fldChar w:fldCharType="end"/>
            </w:r>
          </w:hyperlink>
        </w:p>
        <w:p w14:paraId="1ED09CC5" w14:textId="627CC024"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16" w:history="1">
            <w:r w:rsidRPr="009213A1">
              <w:rPr>
                <w:rStyle w:val="Hiperpovezava"/>
                <w:noProof/>
                <w:lang w:val="en-GB"/>
              </w:rPr>
              <w:t>6.1</w:t>
            </w:r>
            <w:r>
              <w:rPr>
                <w:rFonts w:asciiTheme="minorHAnsi" w:eastAsiaTheme="minorEastAsia" w:hAnsiTheme="minorHAnsi" w:cstheme="minorBidi"/>
                <w:smallCaps w:val="0"/>
                <w:noProof/>
                <w:sz w:val="22"/>
                <w:szCs w:val="22"/>
                <w:lang w:eastAsia="sl-SI"/>
              </w:rPr>
              <w:tab/>
            </w:r>
            <w:r w:rsidRPr="009213A1">
              <w:rPr>
                <w:rStyle w:val="Hiperpovezava"/>
                <w:noProof/>
                <w:lang w:val="en-GB"/>
              </w:rPr>
              <w:t>IRRADIATED FUEL AND RADIOACTIVE WASTE AT THE KRŠKO NPP</w:t>
            </w:r>
            <w:r>
              <w:rPr>
                <w:noProof/>
                <w:webHidden/>
              </w:rPr>
              <w:tab/>
            </w:r>
            <w:r>
              <w:rPr>
                <w:noProof/>
                <w:webHidden/>
              </w:rPr>
              <w:fldChar w:fldCharType="begin"/>
            </w:r>
            <w:r>
              <w:rPr>
                <w:noProof/>
                <w:webHidden/>
              </w:rPr>
              <w:instrText xml:space="preserve"> PAGEREF _Toc126312016 \h </w:instrText>
            </w:r>
            <w:r>
              <w:rPr>
                <w:noProof/>
                <w:webHidden/>
              </w:rPr>
            </w:r>
            <w:r>
              <w:rPr>
                <w:noProof/>
                <w:webHidden/>
              </w:rPr>
              <w:fldChar w:fldCharType="separate"/>
            </w:r>
            <w:r>
              <w:rPr>
                <w:noProof/>
                <w:webHidden/>
              </w:rPr>
              <w:t>62</w:t>
            </w:r>
            <w:r>
              <w:rPr>
                <w:noProof/>
                <w:webHidden/>
              </w:rPr>
              <w:fldChar w:fldCharType="end"/>
            </w:r>
          </w:hyperlink>
        </w:p>
        <w:p w14:paraId="441AEE8F" w14:textId="683F77ED" w:rsidR="007D1E97" w:rsidRDefault="007D1E97">
          <w:pPr>
            <w:pStyle w:val="Kazalovsebine3"/>
            <w:rPr>
              <w:rFonts w:asciiTheme="minorHAnsi" w:eastAsiaTheme="minorEastAsia" w:hAnsiTheme="minorHAnsi" w:cstheme="minorBidi"/>
              <w:iCs w:val="0"/>
              <w:noProof/>
              <w:sz w:val="22"/>
              <w:szCs w:val="22"/>
              <w:lang w:eastAsia="sl-SI"/>
            </w:rPr>
          </w:pPr>
          <w:hyperlink w:anchor="_Toc126312017" w:history="1">
            <w:r w:rsidRPr="009213A1">
              <w:rPr>
                <w:rStyle w:val="Hiperpovezava"/>
                <w:noProof/>
                <w:lang w:val="en-GB"/>
              </w:rPr>
              <w:t>6.1.1</w:t>
            </w:r>
            <w:r>
              <w:rPr>
                <w:rFonts w:asciiTheme="minorHAnsi" w:eastAsiaTheme="minorEastAsia" w:hAnsiTheme="minorHAnsi" w:cstheme="minorBidi"/>
                <w:iCs w:val="0"/>
                <w:noProof/>
                <w:sz w:val="22"/>
                <w:szCs w:val="22"/>
                <w:lang w:eastAsia="sl-SI"/>
              </w:rPr>
              <w:tab/>
            </w:r>
            <w:r w:rsidRPr="009213A1">
              <w:rPr>
                <w:rStyle w:val="Hiperpovezava"/>
                <w:noProof/>
                <w:lang w:val="en-GB"/>
              </w:rPr>
              <w:t>Management of Low- and Intermediate-Level Waste</w:t>
            </w:r>
            <w:r>
              <w:rPr>
                <w:noProof/>
                <w:webHidden/>
              </w:rPr>
              <w:tab/>
            </w:r>
            <w:r>
              <w:rPr>
                <w:noProof/>
                <w:webHidden/>
              </w:rPr>
              <w:fldChar w:fldCharType="begin"/>
            </w:r>
            <w:r>
              <w:rPr>
                <w:noProof/>
                <w:webHidden/>
              </w:rPr>
              <w:instrText xml:space="preserve"> PAGEREF _Toc126312017 \h </w:instrText>
            </w:r>
            <w:r>
              <w:rPr>
                <w:noProof/>
                <w:webHidden/>
              </w:rPr>
            </w:r>
            <w:r>
              <w:rPr>
                <w:noProof/>
                <w:webHidden/>
              </w:rPr>
              <w:fldChar w:fldCharType="separate"/>
            </w:r>
            <w:r>
              <w:rPr>
                <w:noProof/>
                <w:webHidden/>
              </w:rPr>
              <w:t>62</w:t>
            </w:r>
            <w:r>
              <w:rPr>
                <w:noProof/>
                <w:webHidden/>
              </w:rPr>
              <w:fldChar w:fldCharType="end"/>
            </w:r>
          </w:hyperlink>
        </w:p>
        <w:p w14:paraId="583EB83E" w14:textId="5A123E3B" w:rsidR="007D1E97" w:rsidRDefault="007D1E97">
          <w:pPr>
            <w:pStyle w:val="Kazalovsebine3"/>
            <w:rPr>
              <w:rFonts w:asciiTheme="minorHAnsi" w:eastAsiaTheme="minorEastAsia" w:hAnsiTheme="minorHAnsi" w:cstheme="minorBidi"/>
              <w:iCs w:val="0"/>
              <w:noProof/>
              <w:sz w:val="22"/>
              <w:szCs w:val="22"/>
              <w:lang w:eastAsia="sl-SI"/>
            </w:rPr>
          </w:pPr>
          <w:hyperlink w:anchor="_Toc126312018" w:history="1">
            <w:r w:rsidRPr="009213A1">
              <w:rPr>
                <w:rStyle w:val="Hiperpovezava"/>
                <w:noProof/>
                <w:lang w:val="en-GB"/>
              </w:rPr>
              <w:t>6.1.2</w:t>
            </w:r>
            <w:r>
              <w:rPr>
                <w:rFonts w:asciiTheme="minorHAnsi" w:eastAsiaTheme="minorEastAsia" w:hAnsiTheme="minorHAnsi" w:cstheme="minorBidi"/>
                <w:iCs w:val="0"/>
                <w:noProof/>
                <w:sz w:val="22"/>
                <w:szCs w:val="22"/>
                <w:lang w:eastAsia="sl-SI"/>
              </w:rPr>
              <w:tab/>
            </w:r>
            <w:r w:rsidRPr="009213A1">
              <w:rPr>
                <w:rStyle w:val="Hiperpovezava"/>
                <w:noProof/>
                <w:lang w:val="en-GB"/>
              </w:rPr>
              <w:t>Management of Spent Fuel</w:t>
            </w:r>
            <w:r>
              <w:rPr>
                <w:noProof/>
                <w:webHidden/>
              </w:rPr>
              <w:tab/>
            </w:r>
            <w:r>
              <w:rPr>
                <w:noProof/>
                <w:webHidden/>
              </w:rPr>
              <w:fldChar w:fldCharType="begin"/>
            </w:r>
            <w:r>
              <w:rPr>
                <w:noProof/>
                <w:webHidden/>
              </w:rPr>
              <w:instrText xml:space="preserve"> PAGEREF _Toc126312018 \h </w:instrText>
            </w:r>
            <w:r>
              <w:rPr>
                <w:noProof/>
                <w:webHidden/>
              </w:rPr>
            </w:r>
            <w:r>
              <w:rPr>
                <w:noProof/>
                <w:webHidden/>
              </w:rPr>
              <w:fldChar w:fldCharType="separate"/>
            </w:r>
            <w:r>
              <w:rPr>
                <w:noProof/>
                <w:webHidden/>
              </w:rPr>
              <w:t>63</w:t>
            </w:r>
            <w:r>
              <w:rPr>
                <w:noProof/>
                <w:webHidden/>
              </w:rPr>
              <w:fldChar w:fldCharType="end"/>
            </w:r>
          </w:hyperlink>
        </w:p>
        <w:p w14:paraId="792F099F" w14:textId="427B26F5"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19" w:history="1">
            <w:r w:rsidRPr="009213A1">
              <w:rPr>
                <w:rStyle w:val="Hiperpovezava"/>
                <w:noProof/>
                <w:lang w:val="en-GB"/>
              </w:rPr>
              <w:t>6.2</w:t>
            </w:r>
            <w:r>
              <w:rPr>
                <w:rFonts w:asciiTheme="minorHAnsi" w:eastAsiaTheme="minorEastAsia" w:hAnsiTheme="minorHAnsi" w:cstheme="minorBidi"/>
                <w:smallCaps w:val="0"/>
                <w:noProof/>
                <w:sz w:val="22"/>
                <w:szCs w:val="22"/>
                <w:lang w:eastAsia="sl-SI"/>
              </w:rPr>
              <w:tab/>
            </w:r>
            <w:r w:rsidRPr="009213A1">
              <w:rPr>
                <w:rStyle w:val="Hiperpovezava"/>
                <w:noProof/>
                <w:lang w:val="en-GB"/>
              </w:rPr>
              <w:t>RADIOACTIVE WASTE AT THE JOŽEF STEFAN INSTITUTE</w:t>
            </w:r>
            <w:r>
              <w:rPr>
                <w:noProof/>
                <w:webHidden/>
              </w:rPr>
              <w:tab/>
            </w:r>
            <w:r>
              <w:rPr>
                <w:noProof/>
                <w:webHidden/>
              </w:rPr>
              <w:fldChar w:fldCharType="begin"/>
            </w:r>
            <w:r>
              <w:rPr>
                <w:noProof/>
                <w:webHidden/>
              </w:rPr>
              <w:instrText xml:space="preserve"> PAGEREF _Toc126312019 \h </w:instrText>
            </w:r>
            <w:r>
              <w:rPr>
                <w:noProof/>
                <w:webHidden/>
              </w:rPr>
            </w:r>
            <w:r>
              <w:rPr>
                <w:noProof/>
                <w:webHidden/>
              </w:rPr>
              <w:fldChar w:fldCharType="separate"/>
            </w:r>
            <w:r>
              <w:rPr>
                <w:noProof/>
                <w:webHidden/>
              </w:rPr>
              <w:t>63</w:t>
            </w:r>
            <w:r>
              <w:rPr>
                <w:noProof/>
                <w:webHidden/>
              </w:rPr>
              <w:fldChar w:fldCharType="end"/>
            </w:r>
          </w:hyperlink>
        </w:p>
        <w:p w14:paraId="1C911692" w14:textId="4BED5088"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20" w:history="1">
            <w:r w:rsidRPr="009213A1">
              <w:rPr>
                <w:rStyle w:val="Hiperpovezava"/>
                <w:noProof/>
                <w:lang w:val="en-GB"/>
              </w:rPr>
              <w:t>6.3</w:t>
            </w:r>
            <w:r>
              <w:rPr>
                <w:rFonts w:asciiTheme="minorHAnsi" w:eastAsiaTheme="minorEastAsia" w:hAnsiTheme="minorHAnsi" w:cstheme="minorBidi"/>
                <w:smallCaps w:val="0"/>
                <w:noProof/>
                <w:sz w:val="22"/>
                <w:szCs w:val="22"/>
                <w:lang w:eastAsia="sl-SI"/>
              </w:rPr>
              <w:tab/>
            </w:r>
            <w:r w:rsidRPr="009213A1">
              <w:rPr>
                <w:rStyle w:val="Hiperpovezava"/>
                <w:noProof/>
                <w:lang w:val="en-GB"/>
              </w:rPr>
              <w:t>RADIOACTIVE WASTE IN MEDICINE</w:t>
            </w:r>
            <w:r>
              <w:rPr>
                <w:noProof/>
                <w:webHidden/>
              </w:rPr>
              <w:tab/>
            </w:r>
            <w:r>
              <w:rPr>
                <w:noProof/>
                <w:webHidden/>
              </w:rPr>
              <w:fldChar w:fldCharType="begin"/>
            </w:r>
            <w:r>
              <w:rPr>
                <w:noProof/>
                <w:webHidden/>
              </w:rPr>
              <w:instrText xml:space="preserve"> PAGEREF _Toc126312020 \h </w:instrText>
            </w:r>
            <w:r>
              <w:rPr>
                <w:noProof/>
                <w:webHidden/>
              </w:rPr>
            </w:r>
            <w:r>
              <w:rPr>
                <w:noProof/>
                <w:webHidden/>
              </w:rPr>
              <w:fldChar w:fldCharType="separate"/>
            </w:r>
            <w:r>
              <w:rPr>
                <w:noProof/>
                <w:webHidden/>
              </w:rPr>
              <w:t>64</w:t>
            </w:r>
            <w:r>
              <w:rPr>
                <w:noProof/>
                <w:webHidden/>
              </w:rPr>
              <w:fldChar w:fldCharType="end"/>
            </w:r>
          </w:hyperlink>
        </w:p>
        <w:p w14:paraId="051B919F" w14:textId="7A7C9FFA"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21" w:history="1">
            <w:r w:rsidRPr="009213A1">
              <w:rPr>
                <w:rStyle w:val="Hiperpovezava"/>
                <w:noProof/>
                <w:lang w:val="en-GB"/>
              </w:rPr>
              <w:t>6.4</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COMMERCIAL PUBLIC SERVICE OF RADIOACTIVE WASTE MANAGEMENT</w:t>
            </w:r>
            <w:r>
              <w:rPr>
                <w:noProof/>
                <w:webHidden/>
              </w:rPr>
              <w:tab/>
            </w:r>
            <w:r>
              <w:rPr>
                <w:noProof/>
                <w:webHidden/>
              </w:rPr>
              <w:fldChar w:fldCharType="begin"/>
            </w:r>
            <w:r>
              <w:rPr>
                <w:noProof/>
                <w:webHidden/>
              </w:rPr>
              <w:instrText xml:space="preserve"> PAGEREF _Toc126312021 \h </w:instrText>
            </w:r>
            <w:r>
              <w:rPr>
                <w:noProof/>
                <w:webHidden/>
              </w:rPr>
            </w:r>
            <w:r>
              <w:rPr>
                <w:noProof/>
                <w:webHidden/>
              </w:rPr>
              <w:fldChar w:fldCharType="separate"/>
            </w:r>
            <w:r>
              <w:rPr>
                <w:noProof/>
                <w:webHidden/>
              </w:rPr>
              <w:t>64</w:t>
            </w:r>
            <w:r>
              <w:rPr>
                <w:noProof/>
                <w:webHidden/>
              </w:rPr>
              <w:fldChar w:fldCharType="end"/>
            </w:r>
          </w:hyperlink>
        </w:p>
        <w:p w14:paraId="0DAE252E" w14:textId="0438B116" w:rsidR="007D1E97" w:rsidRDefault="007D1E97">
          <w:pPr>
            <w:pStyle w:val="Kazalovsebine3"/>
            <w:rPr>
              <w:rFonts w:asciiTheme="minorHAnsi" w:eastAsiaTheme="minorEastAsia" w:hAnsiTheme="minorHAnsi" w:cstheme="minorBidi"/>
              <w:iCs w:val="0"/>
              <w:noProof/>
              <w:sz w:val="22"/>
              <w:szCs w:val="22"/>
              <w:lang w:eastAsia="sl-SI"/>
            </w:rPr>
          </w:pPr>
          <w:hyperlink w:anchor="_Toc126312022" w:history="1">
            <w:r w:rsidRPr="009213A1">
              <w:rPr>
                <w:rStyle w:val="Hiperpovezava"/>
                <w:noProof/>
                <w:lang w:val="en-GB"/>
              </w:rPr>
              <w:t>6.4.1</w:t>
            </w:r>
            <w:r>
              <w:rPr>
                <w:rFonts w:asciiTheme="minorHAnsi" w:eastAsiaTheme="minorEastAsia" w:hAnsiTheme="minorHAnsi" w:cstheme="minorBidi"/>
                <w:iCs w:val="0"/>
                <w:noProof/>
                <w:sz w:val="22"/>
                <w:szCs w:val="22"/>
                <w:lang w:eastAsia="sl-SI"/>
              </w:rPr>
              <w:tab/>
            </w:r>
            <w:r w:rsidRPr="009213A1">
              <w:rPr>
                <w:rStyle w:val="Hiperpovezava"/>
                <w:noProof/>
                <w:lang w:val="en-GB"/>
              </w:rPr>
              <w:t>Radioactive Waste that is Not Waste from Nuclear Facilities for Energy Production (i.e. Institutional Radioactive Waste from Small Producers)</w:t>
            </w:r>
            <w:r>
              <w:rPr>
                <w:noProof/>
                <w:webHidden/>
              </w:rPr>
              <w:tab/>
            </w:r>
            <w:r>
              <w:rPr>
                <w:noProof/>
                <w:webHidden/>
              </w:rPr>
              <w:fldChar w:fldCharType="begin"/>
            </w:r>
            <w:r>
              <w:rPr>
                <w:noProof/>
                <w:webHidden/>
              </w:rPr>
              <w:instrText xml:space="preserve"> PAGEREF _Toc126312022 \h </w:instrText>
            </w:r>
            <w:r>
              <w:rPr>
                <w:noProof/>
                <w:webHidden/>
              </w:rPr>
            </w:r>
            <w:r>
              <w:rPr>
                <w:noProof/>
                <w:webHidden/>
              </w:rPr>
              <w:fldChar w:fldCharType="separate"/>
            </w:r>
            <w:r>
              <w:rPr>
                <w:noProof/>
                <w:webHidden/>
              </w:rPr>
              <w:t>64</w:t>
            </w:r>
            <w:r>
              <w:rPr>
                <w:noProof/>
                <w:webHidden/>
              </w:rPr>
              <w:fldChar w:fldCharType="end"/>
            </w:r>
          </w:hyperlink>
        </w:p>
        <w:p w14:paraId="6CD513D3" w14:textId="377FE085" w:rsidR="007D1E97" w:rsidRDefault="007D1E97">
          <w:pPr>
            <w:pStyle w:val="Kazalovsebine3"/>
            <w:rPr>
              <w:rFonts w:asciiTheme="minorHAnsi" w:eastAsiaTheme="minorEastAsia" w:hAnsiTheme="minorHAnsi" w:cstheme="minorBidi"/>
              <w:iCs w:val="0"/>
              <w:noProof/>
              <w:sz w:val="22"/>
              <w:szCs w:val="22"/>
              <w:lang w:eastAsia="sl-SI"/>
            </w:rPr>
          </w:pPr>
          <w:hyperlink w:anchor="_Toc126312023" w:history="1">
            <w:r w:rsidRPr="009213A1">
              <w:rPr>
                <w:rStyle w:val="Hiperpovezava"/>
                <w:noProof/>
                <w:lang w:val="en-GB"/>
              </w:rPr>
              <w:t>6.4.2</w:t>
            </w:r>
            <w:r>
              <w:rPr>
                <w:rFonts w:asciiTheme="minorHAnsi" w:eastAsiaTheme="minorEastAsia" w:hAnsiTheme="minorHAnsi" w:cstheme="minorBidi"/>
                <w:iCs w:val="0"/>
                <w:noProof/>
                <w:sz w:val="22"/>
                <w:szCs w:val="22"/>
                <w:lang w:eastAsia="sl-SI"/>
              </w:rPr>
              <w:tab/>
            </w:r>
            <w:r w:rsidRPr="009213A1">
              <w:rPr>
                <w:rStyle w:val="Hiperpovezava"/>
                <w:noProof/>
                <w:lang w:val="en-GB"/>
              </w:rPr>
              <w:t>The Management, Long-term Control, and Maintenance of the Jazbec Mine Tailings Disposal Site</w:t>
            </w:r>
            <w:r>
              <w:rPr>
                <w:noProof/>
                <w:webHidden/>
              </w:rPr>
              <w:tab/>
            </w:r>
            <w:r>
              <w:rPr>
                <w:noProof/>
                <w:webHidden/>
              </w:rPr>
              <w:fldChar w:fldCharType="begin"/>
            </w:r>
            <w:r>
              <w:rPr>
                <w:noProof/>
                <w:webHidden/>
              </w:rPr>
              <w:instrText xml:space="preserve"> PAGEREF _Toc126312023 \h </w:instrText>
            </w:r>
            <w:r>
              <w:rPr>
                <w:noProof/>
                <w:webHidden/>
              </w:rPr>
            </w:r>
            <w:r>
              <w:rPr>
                <w:noProof/>
                <w:webHidden/>
              </w:rPr>
              <w:fldChar w:fldCharType="separate"/>
            </w:r>
            <w:r>
              <w:rPr>
                <w:noProof/>
                <w:webHidden/>
              </w:rPr>
              <w:t>65</w:t>
            </w:r>
            <w:r>
              <w:rPr>
                <w:noProof/>
                <w:webHidden/>
              </w:rPr>
              <w:fldChar w:fldCharType="end"/>
            </w:r>
          </w:hyperlink>
        </w:p>
        <w:p w14:paraId="456675BF" w14:textId="74C32E9C" w:rsidR="007D1E97" w:rsidRDefault="007D1E97">
          <w:pPr>
            <w:pStyle w:val="Kazalovsebine3"/>
            <w:rPr>
              <w:rFonts w:asciiTheme="minorHAnsi" w:eastAsiaTheme="minorEastAsia" w:hAnsiTheme="minorHAnsi" w:cstheme="minorBidi"/>
              <w:iCs w:val="0"/>
              <w:noProof/>
              <w:sz w:val="22"/>
              <w:szCs w:val="22"/>
              <w:lang w:eastAsia="sl-SI"/>
            </w:rPr>
          </w:pPr>
          <w:hyperlink w:anchor="_Toc126312024" w:history="1">
            <w:r w:rsidRPr="009213A1">
              <w:rPr>
                <w:rStyle w:val="Hiperpovezava"/>
                <w:noProof/>
                <w:lang w:val="en-GB"/>
              </w:rPr>
              <w:t>6.4.3</w:t>
            </w:r>
            <w:r>
              <w:rPr>
                <w:rFonts w:asciiTheme="minorHAnsi" w:eastAsiaTheme="minorEastAsia" w:hAnsiTheme="minorHAnsi" w:cstheme="minorBidi"/>
                <w:iCs w:val="0"/>
                <w:noProof/>
                <w:sz w:val="22"/>
                <w:szCs w:val="22"/>
                <w:lang w:eastAsia="sl-SI"/>
              </w:rPr>
              <w:tab/>
            </w:r>
            <w:r w:rsidRPr="009213A1">
              <w:rPr>
                <w:rStyle w:val="Hiperpovezava"/>
                <w:noProof/>
                <w:lang w:val="en-GB"/>
              </w:rPr>
              <w:t>Disposal of Radioactive Waste</w:t>
            </w:r>
            <w:r>
              <w:rPr>
                <w:noProof/>
                <w:webHidden/>
              </w:rPr>
              <w:tab/>
            </w:r>
            <w:r>
              <w:rPr>
                <w:noProof/>
                <w:webHidden/>
              </w:rPr>
              <w:fldChar w:fldCharType="begin"/>
            </w:r>
            <w:r>
              <w:rPr>
                <w:noProof/>
                <w:webHidden/>
              </w:rPr>
              <w:instrText xml:space="preserve"> PAGEREF _Toc126312024 \h </w:instrText>
            </w:r>
            <w:r>
              <w:rPr>
                <w:noProof/>
                <w:webHidden/>
              </w:rPr>
            </w:r>
            <w:r>
              <w:rPr>
                <w:noProof/>
                <w:webHidden/>
              </w:rPr>
              <w:fldChar w:fldCharType="separate"/>
            </w:r>
            <w:r>
              <w:rPr>
                <w:noProof/>
                <w:webHidden/>
              </w:rPr>
              <w:t>65</w:t>
            </w:r>
            <w:r>
              <w:rPr>
                <w:noProof/>
                <w:webHidden/>
              </w:rPr>
              <w:fldChar w:fldCharType="end"/>
            </w:r>
          </w:hyperlink>
        </w:p>
        <w:p w14:paraId="06BFF00A" w14:textId="21125465"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25" w:history="1">
            <w:r w:rsidRPr="009213A1">
              <w:rPr>
                <w:rStyle w:val="Hiperpovezava"/>
                <w:iCs/>
                <w:noProof/>
                <w:lang w:val="en-GB"/>
              </w:rPr>
              <w:t>6.5</w:t>
            </w:r>
            <w:r>
              <w:rPr>
                <w:rFonts w:asciiTheme="minorHAnsi" w:eastAsiaTheme="minorEastAsia" w:hAnsiTheme="minorHAnsi" w:cstheme="minorBidi"/>
                <w:smallCaps w:val="0"/>
                <w:noProof/>
                <w:sz w:val="22"/>
                <w:szCs w:val="22"/>
                <w:lang w:eastAsia="sl-SI"/>
              </w:rPr>
              <w:tab/>
            </w:r>
            <w:r w:rsidRPr="009213A1">
              <w:rPr>
                <w:rStyle w:val="Hiperpovezava"/>
                <w:iCs/>
                <w:noProof/>
                <w:lang w:val="en-GB"/>
              </w:rPr>
              <w:t>REMEDIATION OF THE ŽIROVSKI VRH URANIUM MINE</w:t>
            </w:r>
            <w:r>
              <w:rPr>
                <w:noProof/>
                <w:webHidden/>
              </w:rPr>
              <w:tab/>
            </w:r>
            <w:r>
              <w:rPr>
                <w:noProof/>
                <w:webHidden/>
              </w:rPr>
              <w:fldChar w:fldCharType="begin"/>
            </w:r>
            <w:r>
              <w:rPr>
                <w:noProof/>
                <w:webHidden/>
              </w:rPr>
              <w:instrText xml:space="preserve"> PAGEREF _Toc126312025 \h </w:instrText>
            </w:r>
            <w:r>
              <w:rPr>
                <w:noProof/>
                <w:webHidden/>
              </w:rPr>
            </w:r>
            <w:r>
              <w:rPr>
                <w:noProof/>
                <w:webHidden/>
              </w:rPr>
              <w:fldChar w:fldCharType="separate"/>
            </w:r>
            <w:r>
              <w:rPr>
                <w:noProof/>
                <w:webHidden/>
              </w:rPr>
              <w:t>67</w:t>
            </w:r>
            <w:r>
              <w:rPr>
                <w:noProof/>
                <w:webHidden/>
              </w:rPr>
              <w:fldChar w:fldCharType="end"/>
            </w:r>
          </w:hyperlink>
        </w:p>
        <w:p w14:paraId="0C686655" w14:textId="469E62EA"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26" w:history="1">
            <w:r w:rsidRPr="009213A1">
              <w:rPr>
                <w:rStyle w:val="Hiperpovezava"/>
                <w:rFonts w:eastAsia="Calibri"/>
                <w:noProof/>
                <w:lang w:val="en-GB"/>
              </w:rPr>
              <w:t>6.6</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FUND FOR FINANCING THE DECOMMISSIONING OF THE KRŠKO NPP AND THE DISPOSAL OF RADIOACTIVE WASTE FROM THE KRŠKO NPP</w:t>
            </w:r>
            <w:r>
              <w:rPr>
                <w:noProof/>
                <w:webHidden/>
              </w:rPr>
              <w:tab/>
            </w:r>
            <w:r>
              <w:rPr>
                <w:noProof/>
                <w:webHidden/>
              </w:rPr>
              <w:fldChar w:fldCharType="begin"/>
            </w:r>
            <w:r>
              <w:rPr>
                <w:noProof/>
                <w:webHidden/>
              </w:rPr>
              <w:instrText xml:space="preserve"> PAGEREF _Toc126312026 \h </w:instrText>
            </w:r>
            <w:r>
              <w:rPr>
                <w:noProof/>
                <w:webHidden/>
              </w:rPr>
            </w:r>
            <w:r>
              <w:rPr>
                <w:noProof/>
                <w:webHidden/>
              </w:rPr>
              <w:fldChar w:fldCharType="separate"/>
            </w:r>
            <w:r>
              <w:rPr>
                <w:noProof/>
                <w:webHidden/>
              </w:rPr>
              <w:t>69</w:t>
            </w:r>
            <w:r>
              <w:rPr>
                <w:noProof/>
                <w:webHidden/>
              </w:rPr>
              <w:fldChar w:fldCharType="end"/>
            </w:r>
          </w:hyperlink>
        </w:p>
        <w:p w14:paraId="1C2A9549" w14:textId="7DE902E6" w:rsidR="007D1E97" w:rsidRDefault="007D1E97">
          <w:pPr>
            <w:pStyle w:val="Kazalovsebine3"/>
            <w:rPr>
              <w:rFonts w:asciiTheme="minorHAnsi" w:eastAsiaTheme="minorEastAsia" w:hAnsiTheme="minorHAnsi" w:cstheme="minorBidi"/>
              <w:iCs w:val="0"/>
              <w:noProof/>
              <w:sz w:val="22"/>
              <w:szCs w:val="22"/>
              <w:lang w:eastAsia="sl-SI"/>
            </w:rPr>
          </w:pPr>
          <w:hyperlink w:anchor="_Toc126312027" w:history="1">
            <w:r w:rsidRPr="009213A1">
              <w:rPr>
                <w:rStyle w:val="Hiperpovezava"/>
                <w:noProof/>
                <w:lang w:val="en-GB"/>
              </w:rPr>
              <w:t>6.6.1</w:t>
            </w:r>
            <w:r>
              <w:rPr>
                <w:rFonts w:asciiTheme="minorHAnsi" w:eastAsiaTheme="minorEastAsia" w:hAnsiTheme="minorHAnsi" w:cstheme="minorBidi"/>
                <w:iCs w:val="0"/>
                <w:noProof/>
                <w:sz w:val="22"/>
                <w:szCs w:val="22"/>
                <w:lang w:eastAsia="sl-SI"/>
              </w:rPr>
              <w:tab/>
            </w:r>
            <w:r w:rsidRPr="009213A1">
              <w:rPr>
                <w:rStyle w:val="Hiperpovezava"/>
                <w:noProof/>
                <w:lang w:val="en-GB"/>
              </w:rPr>
              <w:t>Fulfilment of Legislative and Contractual Obligations and Proceeds from the Contributions for Decommissioning</w:t>
            </w:r>
            <w:r>
              <w:rPr>
                <w:noProof/>
                <w:webHidden/>
              </w:rPr>
              <w:tab/>
            </w:r>
            <w:r>
              <w:rPr>
                <w:noProof/>
                <w:webHidden/>
              </w:rPr>
              <w:fldChar w:fldCharType="begin"/>
            </w:r>
            <w:r>
              <w:rPr>
                <w:noProof/>
                <w:webHidden/>
              </w:rPr>
              <w:instrText xml:space="preserve"> PAGEREF _Toc126312027 \h </w:instrText>
            </w:r>
            <w:r>
              <w:rPr>
                <w:noProof/>
                <w:webHidden/>
              </w:rPr>
            </w:r>
            <w:r>
              <w:rPr>
                <w:noProof/>
                <w:webHidden/>
              </w:rPr>
              <w:fldChar w:fldCharType="separate"/>
            </w:r>
            <w:r>
              <w:rPr>
                <w:noProof/>
                <w:webHidden/>
              </w:rPr>
              <w:t>69</w:t>
            </w:r>
            <w:r>
              <w:rPr>
                <w:noProof/>
                <w:webHidden/>
              </w:rPr>
              <w:fldChar w:fldCharType="end"/>
            </w:r>
          </w:hyperlink>
        </w:p>
        <w:p w14:paraId="28ADD329" w14:textId="0B23C937" w:rsidR="007D1E97" w:rsidRDefault="007D1E97">
          <w:pPr>
            <w:pStyle w:val="Kazalovsebine3"/>
            <w:rPr>
              <w:rFonts w:asciiTheme="minorHAnsi" w:eastAsiaTheme="minorEastAsia" w:hAnsiTheme="minorHAnsi" w:cstheme="minorBidi"/>
              <w:iCs w:val="0"/>
              <w:noProof/>
              <w:sz w:val="22"/>
              <w:szCs w:val="22"/>
              <w:lang w:eastAsia="sl-SI"/>
            </w:rPr>
          </w:pPr>
          <w:hyperlink w:anchor="_Toc126312028" w:history="1">
            <w:r w:rsidRPr="009213A1">
              <w:rPr>
                <w:rStyle w:val="Hiperpovezava"/>
                <w:noProof/>
                <w:lang w:val="en-GB"/>
              </w:rPr>
              <w:t>6.6.2</w:t>
            </w:r>
            <w:r>
              <w:rPr>
                <w:rFonts w:asciiTheme="minorHAnsi" w:eastAsiaTheme="minorEastAsia" w:hAnsiTheme="minorHAnsi" w:cstheme="minorBidi"/>
                <w:iCs w:val="0"/>
                <w:noProof/>
                <w:sz w:val="22"/>
                <w:szCs w:val="22"/>
                <w:lang w:eastAsia="sl-SI"/>
              </w:rPr>
              <w:tab/>
            </w:r>
            <w:r w:rsidRPr="009213A1">
              <w:rPr>
                <w:rStyle w:val="Hiperpovezava"/>
                <w:noProof/>
                <w:lang w:val="en-GB"/>
              </w:rPr>
              <w:t>Investments and Business Operations in 2021</w:t>
            </w:r>
            <w:r>
              <w:rPr>
                <w:noProof/>
                <w:webHidden/>
              </w:rPr>
              <w:tab/>
            </w:r>
            <w:r>
              <w:rPr>
                <w:noProof/>
                <w:webHidden/>
              </w:rPr>
              <w:fldChar w:fldCharType="begin"/>
            </w:r>
            <w:r>
              <w:rPr>
                <w:noProof/>
                <w:webHidden/>
              </w:rPr>
              <w:instrText xml:space="preserve"> PAGEREF _Toc126312028 \h </w:instrText>
            </w:r>
            <w:r>
              <w:rPr>
                <w:noProof/>
                <w:webHidden/>
              </w:rPr>
            </w:r>
            <w:r>
              <w:rPr>
                <w:noProof/>
                <w:webHidden/>
              </w:rPr>
              <w:fldChar w:fldCharType="separate"/>
            </w:r>
            <w:r>
              <w:rPr>
                <w:noProof/>
                <w:webHidden/>
              </w:rPr>
              <w:t>71</w:t>
            </w:r>
            <w:r>
              <w:rPr>
                <w:noProof/>
                <w:webHidden/>
              </w:rPr>
              <w:fldChar w:fldCharType="end"/>
            </w:r>
          </w:hyperlink>
        </w:p>
        <w:p w14:paraId="2F8A83DE" w14:textId="41B7F069"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29" w:history="1">
            <w:r w:rsidRPr="009213A1">
              <w:rPr>
                <w:rStyle w:val="Hiperpovezava"/>
                <w:noProof/>
                <w:lang w:val="en-GB"/>
              </w:rPr>
              <w:t>7</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EMERGENCY PREPAREDNESS</w:t>
            </w:r>
            <w:r>
              <w:rPr>
                <w:noProof/>
                <w:webHidden/>
              </w:rPr>
              <w:tab/>
            </w:r>
            <w:r>
              <w:rPr>
                <w:noProof/>
                <w:webHidden/>
              </w:rPr>
              <w:fldChar w:fldCharType="begin"/>
            </w:r>
            <w:r>
              <w:rPr>
                <w:noProof/>
                <w:webHidden/>
              </w:rPr>
              <w:instrText xml:space="preserve"> PAGEREF _Toc126312029 \h </w:instrText>
            </w:r>
            <w:r>
              <w:rPr>
                <w:noProof/>
                <w:webHidden/>
              </w:rPr>
            </w:r>
            <w:r>
              <w:rPr>
                <w:noProof/>
                <w:webHidden/>
              </w:rPr>
              <w:fldChar w:fldCharType="separate"/>
            </w:r>
            <w:r>
              <w:rPr>
                <w:noProof/>
                <w:webHidden/>
              </w:rPr>
              <w:t>73</w:t>
            </w:r>
            <w:r>
              <w:rPr>
                <w:noProof/>
                <w:webHidden/>
              </w:rPr>
              <w:fldChar w:fldCharType="end"/>
            </w:r>
          </w:hyperlink>
        </w:p>
        <w:p w14:paraId="6FF1A96C" w14:textId="33FF8F02"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30" w:history="1">
            <w:r w:rsidRPr="009213A1">
              <w:rPr>
                <w:rStyle w:val="Hiperpovezava"/>
                <w:noProof/>
                <w:lang w:val="en-GB"/>
              </w:rPr>
              <w:t>7.1</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SLOVENIAN NUCLEAR SAFETY ADMINISTRATION</w:t>
            </w:r>
            <w:r>
              <w:rPr>
                <w:noProof/>
                <w:webHidden/>
              </w:rPr>
              <w:tab/>
            </w:r>
            <w:r>
              <w:rPr>
                <w:noProof/>
                <w:webHidden/>
              </w:rPr>
              <w:fldChar w:fldCharType="begin"/>
            </w:r>
            <w:r>
              <w:rPr>
                <w:noProof/>
                <w:webHidden/>
              </w:rPr>
              <w:instrText xml:space="preserve"> PAGEREF _Toc126312030 \h </w:instrText>
            </w:r>
            <w:r>
              <w:rPr>
                <w:noProof/>
                <w:webHidden/>
              </w:rPr>
            </w:r>
            <w:r>
              <w:rPr>
                <w:noProof/>
                <w:webHidden/>
              </w:rPr>
              <w:fldChar w:fldCharType="separate"/>
            </w:r>
            <w:r>
              <w:rPr>
                <w:noProof/>
                <w:webHidden/>
              </w:rPr>
              <w:t>73</w:t>
            </w:r>
            <w:r>
              <w:rPr>
                <w:noProof/>
                <w:webHidden/>
              </w:rPr>
              <w:fldChar w:fldCharType="end"/>
            </w:r>
          </w:hyperlink>
        </w:p>
        <w:p w14:paraId="24FD82E8" w14:textId="7F7767EA"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31" w:history="1">
            <w:r w:rsidRPr="009213A1">
              <w:rPr>
                <w:rStyle w:val="Hiperpovezava"/>
                <w:noProof/>
                <w:lang w:val="en-GB"/>
              </w:rPr>
              <w:t>7.2</w:t>
            </w:r>
            <w:r>
              <w:rPr>
                <w:rFonts w:asciiTheme="minorHAnsi" w:eastAsiaTheme="minorEastAsia" w:hAnsiTheme="minorHAnsi" w:cstheme="minorBidi"/>
                <w:smallCaps w:val="0"/>
                <w:noProof/>
                <w:sz w:val="22"/>
                <w:szCs w:val="22"/>
                <w:lang w:eastAsia="sl-SI"/>
              </w:rPr>
              <w:tab/>
            </w:r>
            <w:r w:rsidRPr="009213A1">
              <w:rPr>
                <w:rStyle w:val="Hiperpovezava"/>
                <w:noProof/>
                <w:lang w:val="en-GB"/>
              </w:rPr>
              <w:t>ADMINISTRATION OF THE REPUBLIC OF SLOVENIA FOR CIVIL PROTECTION AND DISASTER RELIEF</w:t>
            </w:r>
            <w:r>
              <w:rPr>
                <w:noProof/>
                <w:webHidden/>
              </w:rPr>
              <w:tab/>
            </w:r>
            <w:r>
              <w:rPr>
                <w:noProof/>
                <w:webHidden/>
              </w:rPr>
              <w:fldChar w:fldCharType="begin"/>
            </w:r>
            <w:r>
              <w:rPr>
                <w:noProof/>
                <w:webHidden/>
              </w:rPr>
              <w:instrText xml:space="preserve"> PAGEREF _Toc126312031 \h </w:instrText>
            </w:r>
            <w:r>
              <w:rPr>
                <w:noProof/>
                <w:webHidden/>
              </w:rPr>
            </w:r>
            <w:r>
              <w:rPr>
                <w:noProof/>
                <w:webHidden/>
              </w:rPr>
              <w:fldChar w:fldCharType="separate"/>
            </w:r>
            <w:r>
              <w:rPr>
                <w:noProof/>
                <w:webHidden/>
              </w:rPr>
              <w:t>75</w:t>
            </w:r>
            <w:r>
              <w:rPr>
                <w:noProof/>
                <w:webHidden/>
              </w:rPr>
              <w:fldChar w:fldCharType="end"/>
            </w:r>
          </w:hyperlink>
        </w:p>
        <w:p w14:paraId="2C93BCB3" w14:textId="62B689F3"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32" w:history="1">
            <w:r w:rsidRPr="009213A1">
              <w:rPr>
                <w:rStyle w:val="Hiperpovezava"/>
                <w:noProof/>
                <w:lang w:val="en-GB"/>
              </w:rPr>
              <w:t>7.3</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KRŠKO NPP</w:t>
            </w:r>
            <w:r>
              <w:rPr>
                <w:noProof/>
                <w:webHidden/>
              </w:rPr>
              <w:tab/>
            </w:r>
            <w:r>
              <w:rPr>
                <w:noProof/>
                <w:webHidden/>
              </w:rPr>
              <w:fldChar w:fldCharType="begin"/>
            </w:r>
            <w:r>
              <w:rPr>
                <w:noProof/>
                <w:webHidden/>
              </w:rPr>
              <w:instrText xml:space="preserve"> PAGEREF _Toc126312032 \h </w:instrText>
            </w:r>
            <w:r>
              <w:rPr>
                <w:noProof/>
                <w:webHidden/>
              </w:rPr>
            </w:r>
            <w:r>
              <w:rPr>
                <w:noProof/>
                <w:webHidden/>
              </w:rPr>
              <w:fldChar w:fldCharType="separate"/>
            </w:r>
            <w:r>
              <w:rPr>
                <w:noProof/>
                <w:webHidden/>
              </w:rPr>
              <w:t>75</w:t>
            </w:r>
            <w:r>
              <w:rPr>
                <w:noProof/>
                <w:webHidden/>
              </w:rPr>
              <w:fldChar w:fldCharType="end"/>
            </w:r>
          </w:hyperlink>
        </w:p>
        <w:p w14:paraId="3ABADE44" w14:textId="18F2969A"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33" w:history="1">
            <w:r w:rsidRPr="009213A1">
              <w:rPr>
                <w:rStyle w:val="Hiperpovezava"/>
                <w:noProof/>
                <w:lang w:val="en-GB"/>
              </w:rPr>
              <w:t>8</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SUPERVISION OF RADIATION AND NUCLEAR SAFETY</w:t>
            </w:r>
            <w:r>
              <w:rPr>
                <w:noProof/>
                <w:webHidden/>
              </w:rPr>
              <w:tab/>
            </w:r>
            <w:r>
              <w:rPr>
                <w:noProof/>
                <w:webHidden/>
              </w:rPr>
              <w:fldChar w:fldCharType="begin"/>
            </w:r>
            <w:r>
              <w:rPr>
                <w:noProof/>
                <w:webHidden/>
              </w:rPr>
              <w:instrText xml:space="preserve"> PAGEREF _Toc126312033 \h </w:instrText>
            </w:r>
            <w:r>
              <w:rPr>
                <w:noProof/>
                <w:webHidden/>
              </w:rPr>
            </w:r>
            <w:r>
              <w:rPr>
                <w:noProof/>
                <w:webHidden/>
              </w:rPr>
              <w:fldChar w:fldCharType="separate"/>
            </w:r>
            <w:r>
              <w:rPr>
                <w:noProof/>
                <w:webHidden/>
              </w:rPr>
              <w:t>77</w:t>
            </w:r>
            <w:r>
              <w:rPr>
                <w:noProof/>
                <w:webHidden/>
              </w:rPr>
              <w:fldChar w:fldCharType="end"/>
            </w:r>
          </w:hyperlink>
        </w:p>
        <w:p w14:paraId="2DEDBC3B" w14:textId="3F1B8DC4"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34" w:history="1">
            <w:r w:rsidRPr="009213A1">
              <w:rPr>
                <w:rStyle w:val="Hiperpovezava"/>
                <w:noProof/>
                <w:lang w:val="en-GB"/>
              </w:rPr>
              <w:t>8.1</w:t>
            </w:r>
            <w:r>
              <w:rPr>
                <w:rFonts w:asciiTheme="minorHAnsi" w:eastAsiaTheme="minorEastAsia" w:hAnsiTheme="minorHAnsi" w:cstheme="minorBidi"/>
                <w:smallCaps w:val="0"/>
                <w:noProof/>
                <w:sz w:val="22"/>
                <w:szCs w:val="22"/>
                <w:lang w:eastAsia="sl-SI"/>
              </w:rPr>
              <w:tab/>
            </w:r>
            <w:r w:rsidRPr="009213A1">
              <w:rPr>
                <w:rStyle w:val="Hiperpovezava"/>
                <w:noProof/>
                <w:lang w:val="en-GB"/>
              </w:rPr>
              <w:t>ACHIEVING THE GOALS UNDER THE RESOLUTION ON NUCLEAR AND RADIATION SAFETY</w:t>
            </w:r>
            <w:r>
              <w:rPr>
                <w:noProof/>
                <w:webHidden/>
              </w:rPr>
              <w:tab/>
            </w:r>
            <w:r>
              <w:rPr>
                <w:noProof/>
                <w:webHidden/>
              </w:rPr>
              <w:fldChar w:fldCharType="begin"/>
            </w:r>
            <w:r>
              <w:rPr>
                <w:noProof/>
                <w:webHidden/>
              </w:rPr>
              <w:instrText xml:space="preserve"> PAGEREF _Toc126312034 \h </w:instrText>
            </w:r>
            <w:r>
              <w:rPr>
                <w:noProof/>
                <w:webHidden/>
              </w:rPr>
            </w:r>
            <w:r>
              <w:rPr>
                <w:noProof/>
                <w:webHidden/>
              </w:rPr>
              <w:fldChar w:fldCharType="separate"/>
            </w:r>
            <w:r>
              <w:rPr>
                <w:noProof/>
                <w:webHidden/>
              </w:rPr>
              <w:t>77</w:t>
            </w:r>
            <w:r>
              <w:rPr>
                <w:noProof/>
                <w:webHidden/>
              </w:rPr>
              <w:fldChar w:fldCharType="end"/>
            </w:r>
          </w:hyperlink>
        </w:p>
        <w:p w14:paraId="145B01FF" w14:textId="630DAEEF"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35" w:history="1">
            <w:r w:rsidRPr="009213A1">
              <w:rPr>
                <w:rStyle w:val="Hiperpovezava"/>
                <w:noProof/>
                <w:lang w:val="en-GB"/>
              </w:rPr>
              <w:t>8.2</w:t>
            </w:r>
            <w:r>
              <w:rPr>
                <w:rFonts w:asciiTheme="minorHAnsi" w:eastAsiaTheme="minorEastAsia" w:hAnsiTheme="minorHAnsi" w:cstheme="minorBidi"/>
                <w:smallCaps w:val="0"/>
                <w:noProof/>
                <w:sz w:val="22"/>
                <w:szCs w:val="22"/>
                <w:lang w:eastAsia="sl-SI"/>
              </w:rPr>
              <w:tab/>
            </w:r>
            <w:r w:rsidRPr="009213A1">
              <w:rPr>
                <w:rStyle w:val="Hiperpovezava"/>
                <w:noProof/>
                <w:lang w:val="en-GB"/>
              </w:rPr>
              <w:t>IMPLEMENTATION OF THE RESOLUTION ON THE NATIONAL PROGRAMME FOR RADIOACTIVE WASTE AND SPENT NUCLEAR FUEL MANAGEMENT</w:t>
            </w:r>
            <w:r>
              <w:rPr>
                <w:noProof/>
                <w:webHidden/>
              </w:rPr>
              <w:tab/>
            </w:r>
            <w:r>
              <w:rPr>
                <w:noProof/>
                <w:webHidden/>
              </w:rPr>
              <w:fldChar w:fldCharType="begin"/>
            </w:r>
            <w:r>
              <w:rPr>
                <w:noProof/>
                <w:webHidden/>
              </w:rPr>
              <w:instrText xml:space="preserve"> PAGEREF _Toc126312035 \h </w:instrText>
            </w:r>
            <w:r>
              <w:rPr>
                <w:noProof/>
                <w:webHidden/>
              </w:rPr>
            </w:r>
            <w:r>
              <w:rPr>
                <w:noProof/>
                <w:webHidden/>
              </w:rPr>
              <w:fldChar w:fldCharType="separate"/>
            </w:r>
            <w:r>
              <w:rPr>
                <w:noProof/>
                <w:webHidden/>
              </w:rPr>
              <w:t>86</w:t>
            </w:r>
            <w:r>
              <w:rPr>
                <w:noProof/>
                <w:webHidden/>
              </w:rPr>
              <w:fldChar w:fldCharType="end"/>
            </w:r>
          </w:hyperlink>
        </w:p>
        <w:p w14:paraId="02684FF5" w14:textId="2165D431"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36" w:history="1">
            <w:r w:rsidRPr="009213A1">
              <w:rPr>
                <w:rStyle w:val="Hiperpovezava"/>
                <w:noProof/>
                <w:lang w:val="en-GB"/>
              </w:rPr>
              <w:t>8.3</w:t>
            </w:r>
            <w:r>
              <w:rPr>
                <w:rFonts w:asciiTheme="minorHAnsi" w:eastAsiaTheme="minorEastAsia" w:hAnsiTheme="minorHAnsi" w:cstheme="minorBidi"/>
                <w:smallCaps w:val="0"/>
                <w:noProof/>
                <w:sz w:val="22"/>
                <w:szCs w:val="22"/>
                <w:lang w:eastAsia="sl-SI"/>
              </w:rPr>
              <w:tab/>
            </w:r>
            <w:r w:rsidRPr="009213A1">
              <w:rPr>
                <w:rStyle w:val="Hiperpovezava"/>
                <w:noProof/>
                <w:lang w:val="en-GB"/>
              </w:rPr>
              <w:t>LEGISLATION IN THE FIELD OF NUCLEAR AND RADIATION SAFETY</w:t>
            </w:r>
            <w:r>
              <w:rPr>
                <w:noProof/>
                <w:webHidden/>
              </w:rPr>
              <w:tab/>
            </w:r>
            <w:r>
              <w:rPr>
                <w:noProof/>
                <w:webHidden/>
              </w:rPr>
              <w:fldChar w:fldCharType="begin"/>
            </w:r>
            <w:r>
              <w:rPr>
                <w:noProof/>
                <w:webHidden/>
              </w:rPr>
              <w:instrText xml:space="preserve"> PAGEREF _Toc126312036 \h </w:instrText>
            </w:r>
            <w:r>
              <w:rPr>
                <w:noProof/>
                <w:webHidden/>
              </w:rPr>
            </w:r>
            <w:r>
              <w:rPr>
                <w:noProof/>
                <w:webHidden/>
              </w:rPr>
              <w:fldChar w:fldCharType="separate"/>
            </w:r>
            <w:r>
              <w:rPr>
                <w:noProof/>
                <w:webHidden/>
              </w:rPr>
              <w:t>94</w:t>
            </w:r>
            <w:r>
              <w:rPr>
                <w:noProof/>
                <w:webHidden/>
              </w:rPr>
              <w:fldChar w:fldCharType="end"/>
            </w:r>
          </w:hyperlink>
        </w:p>
        <w:p w14:paraId="76D025F2" w14:textId="3A3181D1"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37" w:history="1">
            <w:r w:rsidRPr="009213A1">
              <w:rPr>
                <w:rStyle w:val="Hiperpovezava"/>
                <w:noProof/>
                <w:lang w:val="en-GB"/>
              </w:rPr>
              <w:t>8.4</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EXPERT COUNCIL FOR RADIATION AND NUCLEAR SAFETY</w:t>
            </w:r>
            <w:r>
              <w:rPr>
                <w:noProof/>
                <w:webHidden/>
              </w:rPr>
              <w:tab/>
            </w:r>
            <w:r>
              <w:rPr>
                <w:noProof/>
                <w:webHidden/>
              </w:rPr>
              <w:fldChar w:fldCharType="begin"/>
            </w:r>
            <w:r>
              <w:rPr>
                <w:noProof/>
                <w:webHidden/>
              </w:rPr>
              <w:instrText xml:space="preserve"> PAGEREF _Toc126312037 \h </w:instrText>
            </w:r>
            <w:r>
              <w:rPr>
                <w:noProof/>
                <w:webHidden/>
              </w:rPr>
            </w:r>
            <w:r>
              <w:rPr>
                <w:noProof/>
                <w:webHidden/>
              </w:rPr>
              <w:fldChar w:fldCharType="separate"/>
            </w:r>
            <w:r>
              <w:rPr>
                <w:noProof/>
                <w:webHidden/>
              </w:rPr>
              <w:t>97</w:t>
            </w:r>
            <w:r>
              <w:rPr>
                <w:noProof/>
                <w:webHidden/>
              </w:rPr>
              <w:fldChar w:fldCharType="end"/>
            </w:r>
          </w:hyperlink>
        </w:p>
        <w:p w14:paraId="2A4C9ABF" w14:textId="4EE4739D"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38" w:history="1">
            <w:r w:rsidRPr="009213A1">
              <w:rPr>
                <w:rStyle w:val="Hiperpovezava"/>
                <w:noProof/>
                <w:lang w:val="en-GB"/>
              </w:rPr>
              <w:t>8.5</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SLOVENIAN NUCLEAR SAFETY ADMINISTRATION</w:t>
            </w:r>
            <w:r>
              <w:rPr>
                <w:noProof/>
                <w:webHidden/>
              </w:rPr>
              <w:tab/>
            </w:r>
            <w:r>
              <w:rPr>
                <w:noProof/>
                <w:webHidden/>
              </w:rPr>
              <w:fldChar w:fldCharType="begin"/>
            </w:r>
            <w:r>
              <w:rPr>
                <w:noProof/>
                <w:webHidden/>
              </w:rPr>
              <w:instrText xml:space="preserve"> PAGEREF _Toc126312038 \h </w:instrText>
            </w:r>
            <w:r>
              <w:rPr>
                <w:noProof/>
                <w:webHidden/>
              </w:rPr>
            </w:r>
            <w:r>
              <w:rPr>
                <w:noProof/>
                <w:webHidden/>
              </w:rPr>
              <w:fldChar w:fldCharType="separate"/>
            </w:r>
            <w:r>
              <w:rPr>
                <w:noProof/>
                <w:webHidden/>
              </w:rPr>
              <w:t>98</w:t>
            </w:r>
            <w:r>
              <w:rPr>
                <w:noProof/>
                <w:webHidden/>
              </w:rPr>
              <w:fldChar w:fldCharType="end"/>
            </w:r>
          </w:hyperlink>
        </w:p>
        <w:p w14:paraId="57D95618" w14:textId="0155B34B" w:rsidR="007D1E97" w:rsidRDefault="007D1E97">
          <w:pPr>
            <w:pStyle w:val="Kazalovsebine3"/>
            <w:rPr>
              <w:rFonts w:asciiTheme="minorHAnsi" w:eastAsiaTheme="minorEastAsia" w:hAnsiTheme="minorHAnsi" w:cstheme="minorBidi"/>
              <w:iCs w:val="0"/>
              <w:noProof/>
              <w:sz w:val="22"/>
              <w:szCs w:val="22"/>
              <w:lang w:eastAsia="sl-SI"/>
            </w:rPr>
          </w:pPr>
          <w:hyperlink w:anchor="_Toc126312039" w:history="1">
            <w:r w:rsidRPr="009213A1">
              <w:rPr>
                <w:rStyle w:val="Hiperpovezava"/>
                <w:noProof/>
                <w:lang w:val="en-GB"/>
              </w:rPr>
              <w:t>8.5.1</w:t>
            </w:r>
            <w:r>
              <w:rPr>
                <w:rFonts w:asciiTheme="minorHAnsi" w:eastAsiaTheme="minorEastAsia" w:hAnsiTheme="minorHAnsi" w:cstheme="minorBidi"/>
                <w:iCs w:val="0"/>
                <w:noProof/>
                <w:sz w:val="22"/>
                <w:szCs w:val="22"/>
                <w:lang w:eastAsia="sl-SI"/>
              </w:rPr>
              <w:tab/>
            </w:r>
            <w:r w:rsidRPr="009213A1">
              <w:rPr>
                <w:rStyle w:val="Hiperpovezava"/>
                <w:noProof/>
                <w:lang w:val="en-GB"/>
              </w:rPr>
              <w:t>The SNSA During the Covid-19 Epidemic</w:t>
            </w:r>
            <w:r>
              <w:rPr>
                <w:noProof/>
                <w:webHidden/>
              </w:rPr>
              <w:tab/>
            </w:r>
            <w:r>
              <w:rPr>
                <w:noProof/>
                <w:webHidden/>
              </w:rPr>
              <w:fldChar w:fldCharType="begin"/>
            </w:r>
            <w:r>
              <w:rPr>
                <w:noProof/>
                <w:webHidden/>
              </w:rPr>
              <w:instrText xml:space="preserve"> PAGEREF _Toc126312039 \h </w:instrText>
            </w:r>
            <w:r>
              <w:rPr>
                <w:noProof/>
                <w:webHidden/>
              </w:rPr>
            </w:r>
            <w:r>
              <w:rPr>
                <w:noProof/>
                <w:webHidden/>
              </w:rPr>
              <w:fldChar w:fldCharType="separate"/>
            </w:r>
            <w:r>
              <w:rPr>
                <w:noProof/>
                <w:webHidden/>
              </w:rPr>
              <w:t>98</w:t>
            </w:r>
            <w:r>
              <w:rPr>
                <w:noProof/>
                <w:webHidden/>
              </w:rPr>
              <w:fldChar w:fldCharType="end"/>
            </w:r>
          </w:hyperlink>
        </w:p>
        <w:p w14:paraId="47C8C636" w14:textId="140F5536" w:rsidR="007D1E97" w:rsidRDefault="007D1E97">
          <w:pPr>
            <w:pStyle w:val="Kazalovsebine3"/>
            <w:rPr>
              <w:rFonts w:asciiTheme="minorHAnsi" w:eastAsiaTheme="minorEastAsia" w:hAnsiTheme="minorHAnsi" w:cstheme="minorBidi"/>
              <w:iCs w:val="0"/>
              <w:noProof/>
              <w:sz w:val="22"/>
              <w:szCs w:val="22"/>
              <w:lang w:eastAsia="sl-SI"/>
            </w:rPr>
          </w:pPr>
          <w:hyperlink w:anchor="_Toc126312040" w:history="1">
            <w:r w:rsidRPr="009213A1">
              <w:rPr>
                <w:rStyle w:val="Hiperpovezava"/>
                <w:noProof/>
                <w:lang w:val="en-GB"/>
              </w:rPr>
              <w:t>8.5.2</w:t>
            </w:r>
            <w:r>
              <w:rPr>
                <w:rFonts w:asciiTheme="minorHAnsi" w:eastAsiaTheme="minorEastAsia" w:hAnsiTheme="minorHAnsi" w:cstheme="minorBidi"/>
                <w:iCs w:val="0"/>
                <w:noProof/>
                <w:sz w:val="22"/>
                <w:szCs w:val="22"/>
                <w:lang w:eastAsia="sl-SI"/>
              </w:rPr>
              <w:tab/>
            </w:r>
            <w:r w:rsidRPr="009213A1">
              <w:rPr>
                <w:rStyle w:val="Hiperpovezava"/>
                <w:noProof/>
                <w:lang w:val="en-GB"/>
              </w:rPr>
              <w:t>Organisational Chart of the SNSA</w:t>
            </w:r>
            <w:r>
              <w:rPr>
                <w:noProof/>
                <w:webHidden/>
              </w:rPr>
              <w:tab/>
            </w:r>
            <w:r>
              <w:rPr>
                <w:noProof/>
                <w:webHidden/>
              </w:rPr>
              <w:fldChar w:fldCharType="begin"/>
            </w:r>
            <w:r>
              <w:rPr>
                <w:noProof/>
                <w:webHidden/>
              </w:rPr>
              <w:instrText xml:space="preserve"> PAGEREF _Toc126312040 \h </w:instrText>
            </w:r>
            <w:r>
              <w:rPr>
                <w:noProof/>
                <w:webHidden/>
              </w:rPr>
            </w:r>
            <w:r>
              <w:rPr>
                <w:noProof/>
                <w:webHidden/>
              </w:rPr>
              <w:fldChar w:fldCharType="separate"/>
            </w:r>
            <w:r>
              <w:rPr>
                <w:noProof/>
                <w:webHidden/>
              </w:rPr>
              <w:t>100</w:t>
            </w:r>
            <w:r>
              <w:rPr>
                <w:noProof/>
                <w:webHidden/>
              </w:rPr>
              <w:fldChar w:fldCharType="end"/>
            </w:r>
          </w:hyperlink>
        </w:p>
        <w:p w14:paraId="7C68EA3E" w14:textId="7154F06E" w:rsidR="007D1E97" w:rsidRDefault="007D1E97">
          <w:pPr>
            <w:pStyle w:val="Kazalovsebine3"/>
            <w:rPr>
              <w:rFonts w:asciiTheme="minorHAnsi" w:eastAsiaTheme="minorEastAsia" w:hAnsiTheme="minorHAnsi" w:cstheme="minorBidi"/>
              <w:iCs w:val="0"/>
              <w:noProof/>
              <w:sz w:val="22"/>
              <w:szCs w:val="22"/>
              <w:lang w:eastAsia="sl-SI"/>
            </w:rPr>
          </w:pPr>
          <w:hyperlink w:anchor="_Toc126312041" w:history="1">
            <w:r w:rsidRPr="009213A1">
              <w:rPr>
                <w:rStyle w:val="Hiperpovezava"/>
                <w:noProof/>
                <w:lang w:val="en-GB"/>
              </w:rPr>
              <w:t>8.5.3</w:t>
            </w:r>
            <w:r>
              <w:rPr>
                <w:rFonts w:asciiTheme="minorHAnsi" w:eastAsiaTheme="minorEastAsia" w:hAnsiTheme="minorHAnsi" w:cstheme="minorBidi"/>
                <w:iCs w:val="0"/>
                <w:noProof/>
                <w:sz w:val="22"/>
                <w:szCs w:val="22"/>
                <w:lang w:eastAsia="sl-SI"/>
              </w:rPr>
              <w:tab/>
            </w:r>
            <w:r w:rsidRPr="009213A1">
              <w:rPr>
                <w:rStyle w:val="Hiperpovezava"/>
                <w:noProof/>
                <w:lang w:val="en-GB"/>
              </w:rPr>
              <w:t>Training</w:t>
            </w:r>
            <w:r>
              <w:rPr>
                <w:noProof/>
                <w:webHidden/>
              </w:rPr>
              <w:tab/>
            </w:r>
            <w:r>
              <w:rPr>
                <w:noProof/>
                <w:webHidden/>
              </w:rPr>
              <w:fldChar w:fldCharType="begin"/>
            </w:r>
            <w:r>
              <w:rPr>
                <w:noProof/>
                <w:webHidden/>
              </w:rPr>
              <w:instrText xml:space="preserve"> PAGEREF _Toc126312041 \h </w:instrText>
            </w:r>
            <w:r>
              <w:rPr>
                <w:noProof/>
                <w:webHidden/>
              </w:rPr>
            </w:r>
            <w:r>
              <w:rPr>
                <w:noProof/>
                <w:webHidden/>
              </w:rPr>
              <w:fldChar w:fldCharType="separate"/>
            </w:r>
            <w:r>
              <w:rPr>
                <w:noProof/>
                <w:webHidden/>
              </w:rPr>
              <w:t>101</w:t>
            </w:r>
            <w:r>
              <w:rPr>
                <w:noProof/>
                <w:webHidden/>
              </w:rPr>
              <w:fldChar w:fldCharType="end"/>
            </w:r>
          </w:hyperlink>
        </w:p>
        <w:p w14:paraId="5FEF4A8D" w14:textId="51F92953" w:rsidR="007D1E97" w:rsidRDefault="007D1E97">
          <w:pPr>
            <w:pStyle w:val="Kazalovsebine3"/>
            <w:rPr>
              <w:rFonts w:asciiTheme="minorHAnsi" w:eastAsiaTheme="minorEastAsia" w:hAnsiTheme="minorHAnsi" w:cstheme="minorBidi"/>
              <w:iCs w:val="0"/>
              <w:noProof/>
              <w:sz w:val="22"/>
              <w:szCs w:val="22"/>
              <w:lang w:eastAsia="sl-SI"/>
            </w:rPr>
          </w:pPr>
          <w:hyperlink w:anchor="_Toc126312042" w:history="1">
            <w:r w:rsidRPr="009213A1">
              <w:rPr>
                <w:rStyle w:val="Hiperpovezava"/>
                <w:noProof/>
                <w:lang w:val="en-GB"/>
              </w:rPr>
              <w:t>8.5.4</w:t>
            </w:r>
            <w:r>
              <w:rPr>
                <w:rFonts w:asciiTheme="minorHAnsi" w:eastAsiaTheme="minorEastAsia" w:hAnsiTheme="minorHAnsi" w:cstheme="minorBidi"/>
                <w:iCs w:val="0"/>
                <w:noProof/>
                <w:sz w:val="22"/>
                <w:szCs w:val="22"/>
                <w:lang w:eastAsia="sl-SI"/>
              </w:rPr>
              <w:tab/>
            </w:r>
            <w:r w:rsidRPr="009213A1">
              <w:rPr>
                <w:rStyle w:val="Hiperpovezava"/>
                <w:noProof/>
                <w:lang w:val="en-GB"/>
              </w:rPr>
              <w:t>Informing the Public</w:t>
            </w:r>
            <w:r>
              <w:rPr>
                <w:noProof/>
                <w:webHidden/>
              </w:rPr>
              <w:tab/>
            </w:r>
            <w:r>
              <w:rPr>
                <w:noProof/>
                <w:webHidden/>
              </w:rPr>
              <w:fldChar w:fldCharType="begin"/>
            </w:r>
            <w:r>
              <w:rPr>
                <w:noProof/>
                <w:webHidden/>
              </w:rPr>
              <w:instrText xml:space="preserve"> PAGEREF _Toc126312042 \h </w:instrText>
            </w:r>
            <w:r>
              <w:rPr>
                <w:noProof/>
                <w:webHidden/>
              </w:rPr>
            </w:r>
            <w:r>
              <w:rPr>
                <w:noProof/>
                <w:webHidden/>
              </w:rPr>
              <w:fldChar w:fldCharType="separate"/>
            </w:r>
            <w:r>
              <w:rPr>
                <w:noProof/>
                <w:webHidden/>
              </w:rPr>
              <w:t>102</w:t>
            </w:r>
            <w:r>
              <w:rPr>
                <w:noProof/>
                <w:webHidden/>
              </w:rPr>
              <w:fldChar w:fldCharType="end"/>
            </w:r>
          </w:hyperlink>
        </w:p>
        <w:p w14:paraId="7A0BF124" w14:textId="5F7BB5AE" w:rsidR="007D1E97" w:rsidRDefault="007D1E97">
          <w:pPr>
            <w:pStyle w:val="Kazalovsebine3"/>
            <w:rPr>
              <w:rFonts w:asciiTheme="minorHAnsi" w:eastAsiaTheme="minorEastAsia" w:hAnsiTheme="minorHAnsi" w:cstheme="minorBidi"/>
              <w:iCs w:val="0"/>
              <w:noProof/>
              <w:sz w:val="22"/>
              <w:szCs w:val="22"/>
              <w:lang w:eastAsia="sl-SI"/>
            </w:rPr>
          </w:pPr>
          <w:hyperlink w:anchor="_Toc126312043" w:history="1">
            <w:r w:rsidRPr="009213A1">
              <w:rPr>
                <w:rStyle w:val="Hiperpovezava"/>
                <w:noProof/>
                <w:lang w:val="en-GB"/>
              </w:rPr>
              <w:t>8.5.5</w:t>
            </w:r>
            <w:r>
              <w:rPr>
                <w:rFonts w:asciiTheme="minorHAnsi" w:eastAsiaTheme="minorEastAsia" w:hAnsiTheme="minorHAnsi" w:cstheme="minorBidi"/>
                <w:iCs w:val="0"/>
                <w:noProof/>
                <w:sz w:val="22"/>
                <w:szCs w:val="22"/>
                <w:lang w:eastAsia="sl-SI"/>
              </w:rPr>
              <w:tab/>
            </w:r>
            <w:r w:rsidRPr="009213A1">
              <w:rPr>
                <w:rStyle w:val="Hiperpovezava"/>
                <w:noProof/>
                <w:lang w:val="en-GB"/>
              </w:rPr>
              <w:t>The Expert Commission for the Verification of Professional Competencies and the Fulfilment of Other Requirements in Respect of Workers Performing Duties and Tasks in Nuclear and Radiation Facilities</w:t>
            </w:r>
            <w:r>
              <w:rPr>
                <w:noProof/>
                <w:webHidden/>
              </w:rPr>
              <w:tab/>
            </w:r>
            <w:r>
              <w:rPr>
                <w:noProof/>
                <w:webHidden/>
              </w:rPr>
              <w:fldChar w:fldCharType="begin"/>
            </w:r>
            <w:r>
              <w:rPr>
                <w:noProof/>
                <w:webHidden/>
              </w:rPr>
              <w:instrText xml:space="preserve"> PAGEREF _Toc126312043 \h </w:instrText>
            </w:r>
            <w:r>
              <w:rPr>
                <w:noProof/>
                <w:webHidden/>
              </w:rPr>
            </w:r>
            <w:r>
              <w:rPr>
                <w:noProof/>
                <w:webHidden/>
              </w:rPr>
              <w:fldChar w:fldCharType="separate"/>
            </w:r>
            <w:r>
              <w:rPr>
                <w:noProof/>
                <w:webHidden/>
              </w:rPr>
              <w:t>104</w:t>
            </w:r>
            <w:r>
              <w:rPr>
                <w:noProof/>
                <w:webHidden/>
              </w:rPr>
              <w:fldChar w:fldCharType="end"/>
            </w:r>
          </w:hyperlink>
        </w:p>
        <w:p w14:paraId="372EDDD3" w14:textId="17E03521"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44" w:history="1">
            <w:r w:rsidRPr="009213A1">
              <w:rPr>
                <w:rStyle w:val="Hiperpovezava"/>
                <w:noProof/>
                <w:lang w:val="en-GB"/>
              </w:rPr>
              <w:t>8.6</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SLOVENIAN RADIATION PROTECTION ADMINISTRATION</w:t>
            </w:r>
            <w:r>
              <w:rPr>
                <w:noProof/>
                <w:webHidden/>
              </w:rPr>
              <w:tab/>
            </w:r>
            <w:r>
              <w:rPr>
                <w:noProof/>
                <w:webHidden/>
              </w:rPr>
              <w:fldChar w:fldCharType="begin"/>
            </w:r>
            <w:r>
              <w:rPr>
                <w:noProof/>
                <w:webHidden/>
              </w:rPr>
              <w:instrText xml:space="preserve"> PAGEREF _Toc126312044 \h </w:instrText>
            </w:r>
            <w:r>
              <w:rPr>
                <w:noProof/>
                <w:webHidden/>
              </w:rPr>
            </w:r>
            <w:r>
              <w:rPr>
                <w:noProof/>
                <w:webHidden/>
              </w:rPr>
              <w:fldChar w:fldCharType="separate"/>
            </w:r>
            <w:r>
              <w:rPr>
                <w:noProof/>
                <w:webHidden/>
              </w:rPr>
              <w:t>104</w:t>
            </w:r>
            <w:r>
              <w:rPr>
                <w:noProof/>
                <w:webHidden/>
              </w:rPr>
              <w:fldChar w:fldCharType="end"/>
            </w:r>
          </w:hyperlink>
        </w:p>
        <w:p w14:paraId="1C00C949" w14:textId="62A3DD34"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45" w:history="1">
            <w:r w:rsidRPr="009213A1">
              <w:rPr>
                <w:rStyle w:val="Hiperpovezava"/>
                <w:noProof/>
                <w:lang w:val="en-GB"/>
              </w:rPr>
              <w:t>8.7</w:t>
            </w:r>
            <w:r>
              <w:rPr>
                <w:rFonts w:asciiTheme="minorHAnsi" w:eastAsiaTheme="minorEastAsia" w:hAnsiTheme="minorHAnsi" w:cstheme="minorBidi"/>
                <w:smallCaps w:val="0"/>
                <w:noProof/>
                <w:sz w:val="22"/>
                <w:szCs w:val="22"/>
                <w:lang w:eastAsia="sl-SI"/>
              </w:rPr>
              <w:tab/>
            </w:r>
            <w:r w:rsidRPr="009213A1">
              <w:rPr>
                <w:rStyle w:val="Hiperpovezava"/>
                <w:noProof/>
                <w:lang w:val="en-GB"/>
              </w:rPr>
              <w:t>AUTHORISED EXPERTS</w:t>
            </w:r>
            <w:r>
              <w:rPr>
                <w:noProof/>
                <w:webHidden/>
              </w:rPr>
              <w:tab/>
            </w:r>
            <w:r>
              <w:rPr>
                <w:noProof/>
                <w:webHidden/>
              </w:rPr>
              <w:fldChar w:fldCharType="begin"/>
            </w:r>
            <w:r>
              <w:rPr>
                <w:noProof/>
                <w:webHidden/>
              </w:rPr>
              <w:instrText xml:space="preserve"> PAGEREF _Toc126312045 \h </w:instrText>
            </w:r>
            <w:r>
              <w:rPr>
                <w:noProof/>
                <w:webHidden/>
              </w:rPr>
            </w:r>
            <w:r>
              <w:rPr>
                <w:noProof/>
                <w:webHidden/>
              </w:rPr>
              <w:fldChar w:fldCharType="separate"/>
            </w:r>
            <w:r>
              <w:rPr>
                <w:noProof/>
                <w:webHidden/>
              </w:rPr>
              <w:t>106</w:t>
            </w:r>
            <w:r>
              <w:rPr>
                <w:noProof/>
                <w:webHidden/>
              </w:rPr>
              <w:fldChar w:fldCharType="end"/>
            </w:r>
          </w:hyperlink>
        </w:p>
        <w:p w14:paraId="6536C2FE" w14:textId="68473C28"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46" w:history="1">
            <w:r w:rsidRPr="009213A1">
              <w:rPr>
                <w:rStyle w:val="Hiperpovezava"/>
                <w:noProof/>
                <w:lang w:val="en-GB"/>
              </w:rPr>
              <w:t>8.8</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NUCLEAR INSURANCE AND REINSURANCE POOL</w:t>
            </w:r>
            <w:r>
              <w:rPr>
                <w:noProof/>
                <w:webHidden/>
              </w:rPr>
              <w:tab/>
            </w:r>
            <w:r>
              <w:rPr>
                <w:noProof/>
                <w:webHidden/>
              </w:rPr>
              <w:fldChar w:fldCharType="begin"/>
            </w:r>
            <w:r>
              <w:rPr>
                <w:noProof/>
                <w:webHidden/>
              </w:rPr>
              <w:instrText xml:space="preserve"> PAGEREF _Toc126312046 \h </w:instrText>
            </w:r>
            <w:r>
              <w:rPr>
                <w:noProof/>
                <w:webHidden/>
              </w:rPr>
            </w:r>
            <w:r>
              <w:rPr>
                <w:noProof/>
                <w:webHidden/>
              </w:rPr>
              <w:fldChar w:fldCharType="separate"/>
            </w:r>
            <w:r>
              <w:rPr>
                <w:noProof/>
                <w:webHidden/>
              </w:rPr>
              <w:t>107</w:t>
            </w:r>
            <w:r>
              <w:rPr>
                <w:noProof/>
                <w:webHidden/>
              </w:rPr>
              <w:fldChar w:fldCharType="end"/>
            </w:r>
          </w:hyperlink>
        </w:p>
        <w:p w14:paraId="00E38370" w14:textId="3A92CAF8"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47" w:history="1">
            <w:r w:rsidRPr="009213A1">
              <w:rPr>
                <w:rStyle w:val="Hiperpovezava"/>
                <w:noProof/>
                <w:lang w:val="en-GB"/>
              </w:rPr>
              <w:t>9</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NON-PROLIFERATION AND NUCLEAR SECURITY</w:t>
            </w:r>
            <w:r>
              <w:rPr>
                <w:noProof/>
                <w:webHidden/>
              </w:rPr>
              <w:tab/>
            </w:r>
            <w:r>
              <w:rPr>
                <w:noProof/>
                <w:webHidden/>
              </w:rPr>
              <w:fldChar w:fldCharType="begin"/>
            </w:r>
            <w:r>
              <w:rPr>
                <w:noProof/>
                <w:webHidden/>
              </w:rPr>
              <w:instrText xml:space="preserve"> PAGEREF _Toc126312047 \h </w:instrText>
            </w:r>
            <w:r>
              <w:rPr>
                <w:noProof/>
                <w:webHidden/>
              </w:rPr>
            </w:r>
            <w:r>
              <w:rPr>
                <w:noProof/>
                <w:webHidden/>
              </w:rPr>
              <w:fldChar w:fldCharType="separate"/>
            </w:r>
            <w:r>
              <w:rPr>
                <w:noProof/>
                <w:webHidden/>
              </w:rPr>
              <w:t>109</w:t>
            </w:r>
            <w:r>
              <w:rPr>
                <w:noProof/>
                <w:webHidden/>
              </w:rPr>
              <w:fldChar w:fldCharType="end"/>
            </w:r>
          </w:hyperlink>
        </w:p>
        <w:p w14:paraId="33360826" w14:textId="785B124C"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48" w:history="1">
            <w:r w:rsidRPr="009213A1">
              <w:rPr>
                <w:rStyle w:val="Hiperpovezava"/>
                <w:noProof/>
                <w:lang w:val="en-GB"/>
              </w:rPr>
              <w:t>9.1</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TREATY ON THE NON-PROLIFERATION OF NUCLEAR WEAPONS</w:t>
            </w:r>
            <w:r>
              <w:rPr>
                <w:noProof/>
                <w:webHidden/>
              </w:rPr>
              <w:tab/>
            </w:r>
            <w:r>
              <w:rPr>
                <w:noProof/>
                <w:webHidden/>
              </w:rPr>
              <w:fldChar w:fldCharType="begin"/>
            </w:r>
            <w:r>
              <w:rPr>
                <w:noProof/>
                <w:webHidden/>
              </w:rPr>
              <w:instrText xml:space="preserve"> PAGEREF _Toc126312048 \h </w:instrText>
            </w:r>
            <w:r>
              <w:rPr>
                <w:noProof/>
                <w:webHidden/>
              </w:rPr>
            </w:r>
            <w:r>
              <w:rPr>
                <w:noProof/>
                <w:webHidden/>
              </w:rPr>
              <w:fldChar w:fldCharType="separate"/>
            </w:r>
            <w:r>
              <w:rPr>
                <w:noProof/>
                <w:webHidden/>
              </w:rPr>
              <w:t>109</w:t>
            </w:r>
            <w:r>
              <w:rPr>
                <w:noProof/>
                <w:webHidden/>
              </w:rPr>
              <w:fldChar w:fldCharType="end"/>
            </w:r>
          </w:hyperlink>
        </w:p>
        <w:p w14:paraId="3AE376F1" w14:textId="02CB4919"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49" w:history="1">
            <w:r w:rsidRPr="009213A1">
              <w:rPr>
                <w:rStyle w:val="Hiperpovezava"/>
                <w:noProof/>
                <w:lang w:val="en-GB"/>
              </w:rPr>
              <w:t>9.2</w:t>
            </w:r>
            <w:r>
              <w:rPr>
                <w:rFonts w:asciiTheme="minorHAnsi" w:eastAsiaTheme="minorEastAsia" w:hAnsiTheme="minorHAnsi" w:cstheme="minorBidi"/>
                <w:smallCaps w:val="0"/>
                <w:noProof/>
                <w:sz w:val="22"/>
                <w:szCs w:val="22"/>
                <w:lang w:eastAsia="sl-SI"/>
              </w:rPr>
              <w:tab/>
            </w:r>
            <w:r w:rsidRPr="009213A1">
              <w:rPr>
                <w:rStyle w:val="Hiperpovezava"/>
                <w:noProof/>
                <w:lang w:val="en-GB"/>
              </w:rPr>
              <w:t>COMPREHENSIVE NUCLEAR-TEST-BAN TREATY</w:t>
            </w:r>
            <w:r>
              <w:rPr>
                <w:noProof/>
                <w:webHidden/>
              </w:rPr>
              <w:tab/>
            </w:r>
            <w:r>
              <w:rPr>
                <w:noProof/>
                <w:webHidden/>
              </w:rPr>
              <w:fldChar w:fldCharType="begin"/>
            </w:r>
            <w:r>
              <w:rPr>
                <w:noProof/>
                <w:webHidden/>
              </w:rPr>
              <w:instrText xml:space="preserve"> PAGEREF _Toc126312049 \h </w:instrText>
            </w:r>
            <w:r>
              <w:rPr>
                <w:noProof/>
                <w:webHidden/>
              </w:rPr>
            </w:r>
            <w:r>
              <w:rPr>
                <w:noProof/>
                <w:webHidden/>
              </w:rPr>
              <w:fldChar w:fldCharType="separate"/>
            </w:r>
            <w:r>
              <w:rPr>
                <w:noProof/>
                <w:webHidden/>
              </w:rPr>
              <w:t>109</w:t>
            </w:r>
            <w:r>
              <w:rPr>
                <w:noProof/>
                <w:webHidden/>
              </w:rPr>
              <w:fldChar w:fldCharType="end"/>
            </w:r>
          </w:hyperlink>
        </w:p>
        <w:p w14:paraId="4356D86D" w14:textId="7DA4CF0D"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50" w:history="1">
            <w:r w:rsidRPr="009213A1">
              <w:rPr>
                <w:rStyle w:val="Hiperpovezava"/>
                <w:noProof/>
                <w:lang w:val="en-GB"/>
              </w:rPr>
              <w:t>9.3</w:t>
            </w:r>
            <w:r>
              <w:rPr>
                <w:rFonts w:asciiTheme="minorHAnsi" w:eastAsiaTheme="minorEastAsia" w:hAnsiTheme="minorHAnsi" w:cstheme="minorBidi"/>
                <w:smallCaps w:val="0"/>
                <w:noProof/>
                <w:sz w:val="22"/>
                <w:szCs w:val="22"/>
                <w:lang w:eastAsia="sl-SI"/>
              </w:rPr>
              <w:tab/>
            </w:r>
            <w:r w:rsidRPr="009213A1">
              <w:rPr>
                <w:rStyle w:val="Hiperpovezava"/>
                <w:noProof/>
                <w:lang w:val="en-GB"/>
              </w:rPr>
              <w:t>NUCLEAR SAFEGUARDS IN SLOVENIA</w:t>
            </w:r>
            <w:r>
              <w:rPr>
                <w:noProof/>
                <w:webHidden/>
              </w:rPr>
              <w:tab/>
            </w:r>
            <w:r>
              <w:rPr>
                <w:noProof/>
                <w:webHidden/>
              </w:rPr>
              <w:fldChar w:fldCharType="begin"/>
            </w:r>
            <w:r>
              <w:rPr>
                <w:noProof/>
                <w:webHidden/>
              </w:rPr>
              <w:instrText xml:space="preserve"> PAGEREF _Toc126312050 \h </w:instrText>
            </w:r>
            <w:r>
              <w:rPr>
                <w:noProof/>
                <w:webHidden/>
              </w:rPr>
            </w:r>
            <w:r>
              <w:rPr>
                <w:noProof/>
                <w:webHidden/>
              </w:rPr>
              <w:fldChar w:fldCharType="separate"/>
            </w:r>
            <w:r>
              <w:rPr>
                <w:noProof/>
                <w:webHidden/>
              </w:rPr>
              <w:t>110</w:t>
            </w:r>
            <w:r>
              <w:rPr>
                <w:noProof/>
                <w:webHidden/>
              </w:rPr>
              <w:fldChar w:fldCharType="end"/>
            </w:r>
          </w:hyperlink>
        </w:p>
        <w:p w14:paraId="75B999B9" w14:textId="1C2B80AB"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51" w:history="1">
            <w:r w:rsidRPr="009213A1">
              <w:rPr>
                <w:rStyle w:val="Hiperpovezava"/>
                <w:noProof/>
                <w:lang w:val="en-GB"/>
              </w:rPr>
              <w:t>9.4</w:t>
            </w:r>
            <w:r>
              <w:rPr>
                <w:rFonts w:asciiTheme="minorHAnsi" w:eastAsiaTheme="minorEastAsia" w:hAnsiTheme="minorHAnsi" w:cstheme="minorBidi"/>
                <w:smallCaps w:val="0"/>
                <w:noProof/>
                <w:sz w:val="22"/>
                <w:szCs w:val="22"/>
                <w:lang w:eastAsia="sl-SI"/>
              </w:rPr>
              <w:tab/>
            </w:r>
            <w:r w:rsidRPr="009213A1">
              <w:rPr>
                <w:rStyle w:val="Hiperpovezava"/>
                <w:noProof/>
                <w:lang w:val="en-GB"/>
              </w:rPr>
              <w:t>EXPORT CONTROL OF DUAL-USE ITEMS</w:t>
            </w:r>
            <w:r>
              <w:rPr>
                <w:noProof/>
                <w:webHidden/>
              </w:rPr>
              <w:tab/>
            </w:r>
            <w:r>
              <w:rPr>
                <w:noProof/>
                <w:webHidden/>
              </w:rPr>
              <w:fldChar w:fldCharType="begin"/>
            </w:r>
            <w:r>
              <w:rPr>
                <w:noProof/>
                <w:webHidden/>
              </w:rPr>
              <w:instrText xml:space="preserve"> PAGEREF _Toc126312051 \h </w:instrText>
            </w:r>
            <w:r>
              <w:rPr>
                <w:noProof/>
                <w:webHidden/>
              </w:rPr>
            </w:r>
            <w:r>
              <w:rPr>
                <w:noProof/>
                <w:webHidden/>
              </w:rPr>
              <w:fldChar w:fldCharType="separate"/>
            </w:r>
            <w:r>
              <w:rPr>
                <w:noProof/>
                <w:webHidden/>
              </w:rPr>
              <w:t>110</w:t>
            </w:r>
            <w:r>
              <w:rPr>
                <w:noProof/>
                <w:webHidden/>
              </w:rPr>
              <w:fldChar w:fldCharType="end"/>
            </w:r>
          </w:hyperlink>
        </w:p>
        <w:p w14:paraId="6C4B3D06" w14:textId="741C6544"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52" w:history="1">
            <w:r w:rsidRPr="009213A1">
              <w:rPr>
                <w:rStyle w:val="Hiperpovezava"/>
                <w:noProof/>
                <w:lang w:val="en-GB"/>
              </w:rPr>
              <w:t>9.5</w:t>
            </w:r>
            <w:r>
              <w:rPr>
                <w:rFonts w:asciiTheme="minorHAnsi" w:eastAsiaTheme="minorEastAsia" w:hAnsiTheme="minorHAnsi" w:cstheme="minorBidi"/>
                <w:smallCaps w:val="0"/>
                <w:noProof/>
                <w:sz w:val="22"/>
                <w:szCs w:val="22"/>
                <w:lang w:eastAsia="sl-SI"/>
              </w:rPr>
              <w:tab/>
            </w:r>
            <w:r w:rsidRPr="009213A1">
              <w:rPr>
                <w:rStyle w:val="Hiperpovezava"/>
                <w:noProof/>
                <w:lang w:val="en-GB"/>
              </w:rPr>
              <w:t>PHYSICAL PROTECTION OF NUCLEAR MATERIAL AND FACILITIES</w:t>
            </w:r>
            <w:r>
              <w:rPr>
                <w:noProof/>
                <w:webHidden/>
              </w:rPr>
              <w:tab/>
            </w:r>
            <w:r>
              <w:rPr>
                <w:noProof/>
                <w:webHidden/>
              </w:rPr>
              <w:fldChar w:fldCharType="begin"/>
            </w:r>
            <w:r>
              <w:rPr>
                <w:noProof/>
                <w:webHidden/>
              </w:rPr>
              <w:instrText xml:space="preserve"> PAGEREF _Toc126312052 \h </w:instrText>
            </w:r>
            <w:r>
              <w:rPr>
                <w:noProof/>
                <w:webHidden/>
              </w:rPr>
            </w:r>
            <w:r>
              <w:rPr>
                <w:noProof/>
                <w:webHidden/>
              </w:rPr>
              <w:fldChar w:fldCharType="separate"/>
            </w:r>
            <w:r>
              <w:rPr>
                <w:noProof/>
                <w:webHidden/>
              </w:rPr>
              <w:t>111</w:t>
            </w:r>
            <w:r>
              <w:rPr>
                <w:noProof/>
                <w:webHidden/>
              </w:rPr>
              <w:fldChar w:fldCharType="end"/>
            </w:r>
          </w:hyperlink>
        </w:p>
        <w:p w14:paraId="1D7101E6" w14:textId="0A16D885"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53" w:history="1">
            <w:r w:rsidRPr="009213A1">
              <w:rPr>
                <w:rStyle w:val="Hiperpovezava"/>
                <w:noProof/>
                <w:lang w:val="en-GB"/>
              </w:rPr>
              <w:t>9.6</w:t>
            </w:r>
            <w:r>
              <w:rPr>
                <w:rFonts w:asciiTheme="minorHAnsi" w:eastAsiaTheme="minorEastAsia" w:hAnsiTheme="minorHAnsi" w:cstheme="minorBidi"/>
                <w:smallCaps w:val="0"/>
                <w:noProof/>
                <w:sz w:val="22"/>
                <w:szCs w:val="22"/>
                <w:lang w:eastAsia="sl-SI"/>
              </w:rPr>
              <w:tab/>
            </w:r>
            <w:r w:rsidRPr="009213A1">
              <w:rPr>
                <w:rStyle w:val="Hiperpovezava"/>
                <w:noProof/>
                <w:lang w:val="en-GB"/>
              </w:rPr>
              <w:t>CYBERSECURITY</w:t>
            </w:r>
            <w:r>
              <w:rPr>
                <w:noProof/>
                <w:webHidden/>
              </w:rPr>
              <w:tab/>
            </w:r>
            <w:r>
              <w:rPr>
                <w:noProof/>
                <w:webHidden/>
              </w:rPr>
              <w:fldChar w:fldCharType="begin"/>
            </w:r>
            <w:r>
              <w:rPr>
                <w:noProof/>
                <w:webHidden/>
              </w:rPr>
              <w:instrText xml:space="preserve"> PAGEREF _Toc126312053 \h </w:instrText>
            </w:r>
            <w:r>
              <w:rPr>
                <w:noProof/>
                <w:webHidden/>
              </w:rPr>
            </w:r>
            <w:r>
              <w:rPr>
                <w:noProof/>
                <w:webHidden/>
              </w:rPr>
              <w:fldChar w:fldCharType="separate"/>
            </w:r>
            <w:r>
              <w:rPr>
                <w:noProof/>
                <w:webHidden/>
              </w:rPr>
              <w:t>112</w:t>
            </w:r>
            <w:r>
              <w:rPr>
                <w:noProof/>
                <w:webHidden/>
              </w:rPr>
              <w:fldChar w:fldCharType="end"/>
            </w:r>
          </w:hyperlink>
        </w:p>
        <w:p w14:paraId="13628BA1" w14:textId="3D8EA8B8"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54" w:history="1">
            <w:r w:rsidRPr="009213A1">
              <w:rPr>
                <w:rStyle w:val="Hiperpovezava"/>
                <w:noProof/>
                <w:lang w:val="en-GB"/>
              </w:rPr>
              <w:t>9.7</w:t>
            </w:r>
            <w:r>
              <w:rPr>
                <w:rFonts w:asciiTheme="minorHAnsi" w:eastAsiaTheme="minorEastAsia" w:hAnsiTheme="minorHAnsi" w:cstheme="minorBidi"/>
                <w:smallCaps w:val="0"/>
                <w:noProof/>
                <w:sz w:val="22"/>
                <w:szCs w:val="22"/>
                <w:lang w:eastAsia="sl-SI"/>
              </w:rPr>
              <w:tab/>
            </w:r>
            <w:r w:rsidRPr="009213A1">
              <w:rPr>
                <w:rStyle w:val="Hiperpovezava"/>
                <w:noProof/>
                <w:lang w:val="en-GB"/>
              </w:rPr>
              <w:t>ILLICIT TRAFFICKING IN NUCLEAR AND RADIOACTIVE MATERIALS</w:t>
            </w:r>
            <w:r>
              <w:rPr>
                <w:noProof/>
                <w:webHidden/>
              </w:rPr>
              <w:tab/>
            </w:r>
            <w:r>
              <w:rPr>
                <w:noProof/>
                <w:webHidden/>
              </w:rPr>
              <w:fldChar w:fldCharType="begin"/>
            </w:r>
            <w:r>
              <w:rPr>
                <w:noProof/>
                <w:webHidden/>
              </w:rPr>
              <w:instrText xml:space="preserve"> PAGEREF _Toc126312054 \h </w:instrText>
            </w:r>
            <w:r>
              <w:rPr>
                <w:noProof/>
                <w:webHidden/>
              </w:rPr>
            </w:r>
            <w:r>
              <w:rPr>
                <w:noProof/>
                <w:webHidden/>
              </w:rPr>
              <w:fldChar w:fldCharType="separate"/>
            </w:r>
            <w:r>
              <w:rPr>
                <w:noProof/>
                <w:webHidden/>
              </w:rPr>
              <w:t>113</w:t>
            </w:r>
            <w:r>
              <w:rPr>
                <w:noProof/>
                <w:webHidden/>
              </w:rPr>
              <w:fldChar w:fldCharType="end"/>
            </w:r>
          </w:hyperlink>
        </w:p>
        <w:p w14:paraId="4693665F" w14:textId="25471DFB"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55" w:history="1">
            <w:r w:rsidRPr="009213A1">
              <w:rPr>
                <w:rStyle w:val="Hiperpovezava"/>
                <w:noProof/>
                <w:lang w:val="en-GB"/>
              </w:rPr>
              <w:t>10</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INTERNATIONAL COOPERATION</w:t>
            </w:r>
            <w:r>
              <w:rPr>
                <w:noProof/>
                <w:webHidden/>
              </w:rPr>
              <w:tab/>
            </w:r>
            <w:r>
              <w:rPr>
                <w:noProof/>
                <w:webHidden/>
              </w:rPr>
              <w:fldChar w:fldCharType="begin"/>
            </w:r>
            <w:r>
              <w:rPr>
                <w:noProof/>
                <w:webHidden/>
              </w:rPr>
              <w:instrText xml:space="preserve"> PAGEREF _Toc126312055 \h </w:instrText>
            </w:r>
            <w:r>
              <w:rPr>
                <w:noProof/>
                <w:webHidden/>
              </w:rPr>
            </w:r>
            <w:r>
              <w:rPr>
                <w:noProof/>
                <w:webHidden/>
              </w:rPr>
              <w:fldChar w:fldCharType="separate"/>
            </w:r>
            <w:r>
              <w:rPr>
                <w:noProof/>
                <w:webHidden/>
              </w:rPr>
              <w:t>115</w:t>
            </w:r>
            <w:r>
              <w:rPr>
                <w:noProof/>
                <w:webHidden/>
              </w:rPr>
              <w:fldChar w:fldCharType="end"/>
            </w:r>
          </w:hyperlink>
        </w:p>
        <w:p w14:paraId="1FCB1DE9" w14:textId="6622FCED"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56" w:history="1">
            <w:r w:rsidRPr="009213A1">
              <w:rPr>
                <w:rStyle w:val="Hiperpovezava"/>
                <w:noProof/>
                <w:lang w:val="en-GB"/>
              </w:rPr>
              <w:t>10.1</w:t>
            </w:r>
            <w:r>
              <w:rPr>
                <w:rFonts w:asciiTheme="minorHAnsi" w:eastAsiaTheme="minorEastAsia" w:hAnsiTheme="minorHAnsi" w:cstheme="minorBidi"/>
                <w:smallCaps w:val="0"/>
                <w:noProof/>
                <w:sz w:val="22"/>
                <w:szCs w:val="22"/>
                <w:lang w:eastAsia="sl-SI"/>
              </w:rPr>
              <w:tab/>
            </w:r>
            <w:r w:rsidRPr="009213A1">
              <w:rPr>
                <w:rStyle w:val="Hiperpovezava"/>
                <w:noProof/>
                <w:lang w:val="en-GB"/>
              </w:rPr>
              <w:t>COOPERATION WITH THE EUROPEAN UNION</w:t>
            </w:r>
            <w:r>
              <w:rPr>
                <w:noProof/>
                <w:webHidden/>
              </w:rPr>
              <w:tab/>
            </w:r>
            <w:r>
              <w:rPr>
                <w:noProof/>
                <w:webHidden/>
              </w:rPr>
              <w:fldChar w:fldCharType="begin"/>
            </w:r>
            <w:r>
              <w:rPr>
                <w:noProof/>
                <w:webHidden/>
              </w:rPr>
              <w:instrText xml:space="preserve"> PAGEREF _Toc126312056 \h </w:instrText>
            </w:r>
            <w:r>
              <w:rPr>
                <w:noProof/>
                <w:webHidden/>
              </w:rPr>
            </w:r>
            <w:r>
              <w:rPr>
                <w:noProof/>
                <w:webHidden/>
              </w:rPr>
              <w:fldChar w:fldCharType="separate"/>
            </w:r>
            <w:r>
              <w:rPr>
                <w:noProof/>
                <w:webHidden/>
              </w:rPr>
              <w:t>115</w:t>
            </w:r>
            <w:r>
              <w:rPr>
                <w:noProof/>
                <w:webHidden/>
              </w:rPr>
              <w:fldChar w:fldCharType="end"/>
            </w:r>
          </w:hyperlink>
        </w:p>
        <w:p w14:paraId="4E472D7D" w14:textId="6BB0732D" w:rsidR="007D1E97" w:rsidRDefault="007D1E97">
          <w:pPr>
            <w:pStyle w:val="Kazalovsebine3"/>
            <w:rPr>
              <w:rFonts w:asciiTheme="minorHAnsi" w:eastAsiaTheme="minorEastAsia" w:hAnsiTheme="minorHAnsi" w:cstheme="minorBidi"/>
              <w:iCs w:val="0"/>
              <w:noProof/>
              <w:sz w:val="22"/>
              <w:szCs w:val="22"/>
              <w:lang w:eastAsia="sl-SI"/>
            </w:rPr>
          </w:pPr>
          <w:hyperlink w:anchor="_Toc126312057" w:history="1">
            <w:r w:rsidRPr="009213A1">
              <w:rPr>
                <w:rStyle w:val="Hiperpovezava"/>
                <w:noProof/>
                <w:lang w:val="en-GB"/>
              </w:rPr>
              <w:t>10.1.1</w:t>
            </w:r>
            <w:r>
              <w:rPr>
                <w:rFonts w:asciiTheme="minorHAnsi" w:eastAsiaTheme="minorEastAsia" w:hAnsiTheme="minorHAnsi" w:cstheme="minorBidi"/>
                <w:iCs w:val="0"/>
                <w:noProof/>
                <w:sz w:val="22"/>
                <w:szCs w:val="22"/>
                <w:lang w:eastAsia="sl-SI"/>
              </w:rPr>
              <w:tab/>
            </w:r>
            <w:r w:rsidRPr="009213A1">
              <w:rPr>
                <w:rStyle w:val="Hiperpovezava"/>
                <w:noProof/>
                <w:lang w:val="en-GB"/>
              </w:rPr>
              <w:t>Cooperation in EU Projects</w:t>
            </w:r>
            <w:r>
              <w:rPr>
                <w:noProof/>
                <w:webHidden/>
              </w:rPr>
              <w:tab/>
            </w:r>
            <w:r>
              <w:rPr>
                <w:noProof/>
                <w:webHidden/>
              </w:rPr>
              <w:fldChar w:fldCharType="begin"/>
            </w:r>
            <w:r>
              <w:rPr>
                <w:noProof/>
                <w:webHidden/>
              </w:rPr>
              <w:instrText xml:space="preserve"> PAGEREF _Toc126312057 \h </w:instrText>
            </w:r>
            <w:r>
              <w:rPr>
                <w:noProof/>
                <w:webHidden/>
              </w:rPr>
            </w:r>
            <w:r>
              <w:rPr>
                <w:noProof/>
                <w:webHidden/>
              </w:rPr>
              <w:fldChar w:fldCharType="separate"/>
            </w:r>
            <w:r>
              <w:rPr>
                <w:noProof/>
                <w:webHidden/>
              </w:rPr>
              <w:t>116</w:t>
            </w:r>
            <w:r>
              <w:rPr>
                <w:noProof/>
                <w:webHidden/>
              </w:rPr>
              <w:fldChar w:fldCharType="end"/>
            </w:r>
          </w:hyperlink>
        </w:p>
        <w:p w14:paraId="1BA8F6F2" w14:textId="7DD445D3"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58" w:history="1">
            <w:r w:rsidRPr="009213A1">
              <w:rPr>
                <w:rStyle w:val="Hiperpovezava"/>
                <w:noProof/>
                <w:lang w:val="en-GB"/>
              </w:rPr>
              <w:t>10.2</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INTERNATIONAL ATOMIC ENERGY AGENCY</w:t>
            </w:r>
            <w:r>
              <w:rPr>
                <w:noProof/>
                <w:webHidden/>
              </w:rPr>
              <w:tab/>
            </w:r>
            <w:r>
              <w:rPr>
                <w:noProof/>
                <w:webHidden/>
              </w:rPr>
              <w:fldChar w:fldCharType="begin"/>
            </w:r>
            <w:r>
              <w:rPr>
                <w:noProof/>
                <w:webHidden/>
              </w:rPr>
              <w:instrText xml:space="preserve"> PAGEREF _Toc126312058 \h </w:instrText>
            </w:r>
            <w:r>
              <w:rPr>
                <w:noProof/>
                <w:webHidden/>
              </w:rPr>
            </w:r>
            <w:r>
              <w:rPr>
                <w:noProof/>
                <w:webHidden/>
              </w:rPr>
              <w:fldChar w:fldCharType="separate"/>
            </w:r>
            <w:r>
              <w:rPr>
                <w:noProof/>
                <w:webHidden/>
              </w:rPr>
              <w:t>117</w:t>
            </w:r>
            <w:r>
              <w:rPr>
                <w:noProof/>
                <w:webHidden/>
              </w:rPr>
              <w:fldChar w:fldCharType="end"/>
            </w:r>
          </w:hyperlink>
        </w:p>
        <w:p w14:paraId="3C164FEC" w14:textId="1B4F189B"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59" w:history="1">
            <w:r w:rsidRPr="009213A1">
              <w:rPr>
                <w:rStyle w:val="Hiperpovezava"/>
                <w:noProof/>
                <w:lang w:val="en-GB"/>
              </w:rPr>
              <w:t>10.3</w:t>
            </w:r>
            <w:r>
              <w:rPr>
                <w:rFonts w:asciiTheme="minorHAnsi" w:eastAsiaTheme="minorEastAsia" w:hAnsiTheme="minorHAnsi" w:cstheme="minorBidi"/>
                <w:smallCaps w:val="0"/>
                <w:noProof/>
                <w:sz w:val="22"/>
                <w:szCs w:val="22"/>
                <w:lang w:eastAsia="sl-SI"/>
              </w:rPr>
              <w:tab/>
            </w:r>
            <w:r w:rsidRPr="009213A1">
              <w:rPr>
                <w:rStyle w:val="Hiperpovezava"/>
                <w:noProof/>
                <w:lang w:val="en-GB"/>
              </w:rPr>
              <w:t>THE NUCLEAR ENERGY AGENCY (NEA) OF THE OECD</w:t>
            </w:r>
            <w:r>
              <w:rPr>
                <w:noProof/>
                <w:webHidden/>
              </w:rPr>
              <w:tab/>
            </w:r>
            <w:r>
              <w:rPr>
                <w:noProof/>
                <w:webHidden/>
              </w:rPr>
              <w:fldChar w:fldCharType="begin"/>
            </w:r>
            <w:r>
              <w:rPr>
                <w:noProof/>
                <w:webHidden/>
              </w:rPr>
              <w:instrText xml:space="preserve"> PAGEREF _Toc126312059 \h </w:instrText>
            </w:r>
            <w:r>
              <w:rPr>
                <w:noProof/>
                <w:webHidden/>
              </w:rPr>
            </w:r>
            <w:r>
              <w:rPr>
                <w:noProof/>
                <w:webHidden/>
              </w:rPr>
              <w:fldChar w:fldCharType="separate"/>
            </w:r>
            <w:r>
              <w:rPr>
                <w:noProof/>
                <w:webHidden/>
              </w:rPr>
              <w:t>119</w:t>
            </w:r>
            <w:r>
              <w:rPr>
                <w:noProof/>
                <w:webHidden/>
              </w:rPr>
              <w:fldChar w:fldCharType="end"/>
            </w:r>
          </w:hyperlink>
        </w:p>
        <w:p w14:paraId="3F04D871" w14:textId="4F6CD014"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60" w:history="1">
            <w:r w:rsidRPr="009213A1">
              <w:rPr>
                <w:rStyle w:val="Hiperpovezava"/>
                <w:noProof/>
                <w:lang w:val="en-GB"/>
              </w:rPr>
              <w:t>10.4</w:t>
            </w:r>
            <w:r>
              <w:rPr>
                <w:rFonts w:asciiTheme="minorHAnsi" w:eastAsiaTheme="minorEastAsia" w:hAnsiTheme="minorHAnsi" w:cstheme="minorBidi"/>
                <w:smallCaps w:val="0"/>
                <w:noProof/>
                <w:sz w:val="22"/>
                <w:szCs w:val="22"/>
                <w:lang w:eastAsia="sl-SI"/>
              </w:rPr>
              <w:tab/>
            </w:r>
            <w:r w:rsidRPr="009213A1">
              <w:rPr>
                <w:rStyle w:val="Hiperpovezava"/>
                <w:noProof/>
                <w:lang w:val="en-GB"/>
              </w:rPr>
              <w:t>COOPERATION WITH OTHER ASSOCIATIONS</w:t>
            </w:r>
            <w:r>
              <w:rPr>
                <w:noProof/>
                <w:webHidden/>
              </w:rPr>
              <w:tab/>
            </w:r>
            <w:r>
              <w:rPr>
                <w:noProof/>
                <w:webHidden/>
              </w:rPr>
              <w:fldChar w:fldCharType="begin"/>
            </w:r>
            <w:r>
              <w:rPr>
                <w:noProof/>
                <w:webHidden/>
              </w:rPr>
              <w:instrText xml:space="preserve"> PAGEREF _Toc126312060 \h </w:instrText>
            </w:r>
            <w:r>
              <w:rPr>
                <w:noProof/>
                <w:webHidden/>
              </w:rPr>
            </w:r>
            <w:r>
              <w:rPr>
                <w:noProof/>
                <w:webHidden/>
              </w:rPr>
              <w:fldChar w:fldCharType="separate"/>
            </w:r>
            <w:r>
              <w:rPr>
                <w:noProof/>
                <w:webHidden/>
              </w:rPr>
              <w:t>120</w:t>
            </w:r>
            <w:r>
              <w:rPr>
                <w:noProof/>
                <w:webHidden/>
              </w:rPr>
              <w:fldChar w:fldCharType="end"/>
            </w:r>
          </w:hyperlink>
        </w:p>
        <w:p w14:paraId="37F03A5F" w14:textId="2BFE384E"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61" w:history="1">
            <w:r w:rsidRPr="009213A1">
              <w:rPr>
                <w:rStyle w:val="Hiperpovezava"/>
                <w:noProof/>
                <w:lang w:val="en-GB"/>
              </w:rPr>
              <w:t>10.5</w:t>
            </w:r>
            <w:r>
              <w:rPr>
                <w:rFonts w:asciiTheme="minorHAnsi" w:eastAsiaTheme="minorEastAsia" w:hAnsiTheme="minorHAnsi" w:cstheme="minorBidi"/>
                <w:smallCaps w:val="0"/>
                <w:noProof/>
                <w:sz w:val="22"/>
                <w:szCs w:val="22"/>
                <w:lang w:eastAsia="sl-SI"/>
              </w:rPr>
              <w:tab/>
            </w:r>
            <w:r w:rsidRPr="009213A1">
              <w:rPr>
                <w:rStyle w:val="Hiperpovezava"/>
                <w:noProof/>
                <w:lang w:val="en-GB"/>
              </w:rPr>
              <w:t>AGREEMENT ON THE CO-OWNERSHIP OF THE KRŠKO NUCLEAR POWER PLANT</w:t>
            </w:r>
            <w:r>
              <w:rPr>
                <w:noProof/>
                <w:webHidden/>
              </w:rPr>
              <w:tab/>
            </w:r>
            <w:r>
              <w:rPr>
                <w:noProof/>
                <w:webHidden/>
              </w:rPr>
              <w:fldChar w:fldCharType="begin"/>
            </w:r>
            <w:r>
              <w:rPr>
                <w:noProof/>
                <w:webHidden/>
              </w:rPr>
              <w:instrText xml:space="preserve"> PAGEREF _Toc126312061 \h </w:instrText>
            </w:r>
            <w:r>
              <w:rPr>
                <w:noProof/>
                <w:webHidden/>
              </w:rPr>
            </w:r>
            <w:r>
              <w:rPr>
                <w:noProof/>
                <w:webHidden/>
              </w:rPr>
              <w:fldChar w:fldCharType="separate"/>
            </w:r>
            <w:r>
              <w:rPr>
                <w:noProof/>
                <w:webHidden/>
              </w:rPr>
              <w:t>123</w:t>
            </w:r>
            <w:r>
              <w:rPr>
                <w:noProof/>
                <w:webHidden/>
              </w:rPr>
              <w:fldChar w:fldCharType="end"/>
            </w:r>
          </w:hyperlink>
        </w:p>
        <w:p w14:paraId="15FC27C1" w14:textId="302E4906" w:rsidR="007D1E97" w:rsidRDefault="007D1E97">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126312062" w:history="1">
            <w:r w:rsidRPr="009213A1">
              <w:rPr>
                <w:rStyle w:val="Hiperpovezava"/>
                <w:noProof/>
                <w:lang w:val="en-GB"/>
              </w:rPr>
              <w:t>10.6</w:t>
            </w:r>
            <w:r>
              <w:rPr>
                <w:rFonts w:asciiTheme="minorHAnsi" w:eastAsiaTheme="minorEastAsia" w:hAnsiTheme="minorHAnsi" w:cstheme="minorBidi"/>
                <w:smallCaps w:val="0"/>
                <w:noProof/>
                <w:sz w:val="22"/>
                <w:szCs w:val="22"/>
                <w:lang w:eastAsia="sl-SI"/>
              </w:rPr>
              <w:tab/>
            </w:r>
            <w:r w:rsidRPr="009213A1">
              <w:rPr>
                <w:rStyle w:val="Hiperpovezava"/>
                <w:noProof/>
                <w:lang w:val="en-GB"/>
              </w:rPr>
              <w:t>COOPERATION WITHIN THE FRAMEWORK OF INTERNATIONAL AGREEMENTS</w:t>
            </w:r>
            <w:r>
              <w:rPr>
                <w:noProof/>
                <w:webHidden/>
              </w:rPr>
              <w:tab/>
            </w:r>
            <w:r>
              <w:rPr>
                <w:noProof/>
                <w:webHidden/>
              </w:rPr>
              <w:fldChar w:fldCharType="begin"/>
            </w:r>
            <w:r>
              <w:rPr>
                <w:noProof/>
                <w:webHidden/>
              </w:rPr>
              <w:instrText xml:space="preserve"> PAGEREF _Toc126312062 \h </w:instrText>
            </w:r>
            <w:r>
              <w:rPr>
                <w:noProof/>
                <w:webHidden/>
              </w:rPr>
            </w:r>
            <w:r>
              <w:rPr>
                <w:noProof/>
                <w:webHidden/>
              </w:rPr>
              <w:fldChar w:fldCharType="separate"/>
            </w:r>
            <w:r>
              <w:rPr>
                <w:noProof/>
                <w:webHidden/>
              </w:rPr>
              <w:t>124</w:t>
            </w:r>
            <w:r>
              <w:rPr>
                <w:noProof/>
                <w:webHidden/>
              </w:rPr>
              <w:fldChar w:fldCharType="end"/>
            </w:r>
          </w:hyperlink>
        </w:p>
        <w:p w14:paraId="058DD768" w14:textId="6326DBFC" w:rsidR="007D1E97" w:rsidRDefault="007D1E97">
          <w:pPr>
            <w:pStyle w:val="Kazalovsebine3"/>
            <w:rPr>
              <w:rFonts w:asciiTheme="minorHAnsi" w:eastAsiaTheme="minorEastAsia" w:hAnsiTheme="minorHAnsi" w:cstheme="minorBidi"/>
              <w:iCs w:val="0"/>
              <w:noProof/>
              <w:sz w:val="22"/>
              <w:szCs w:val="22"/>
              <w:lang w:eastAsia="sl-SI"/>
            </w:rPr>
          </w:pPr>
          <w:hyperlink w:anchor="_Toc126312063" w:history="1">
            <w:r w:rsidRPr="009213A1">
              <w:rPr>
                <w:rStyle w:val="Hiperpovezava"/>
                <w:noProof/>
                <w:lang w:val="en-GB"/>
              </w:rPr>
              <w:t>10.6.1</w:t>
            </w:r>
            <w:r>
              <w:rPr>
                <w:rFonts w:asciiTheme="minorHAnsi" w:eastAsiaTheme="minorEastAsia" w:hAnsiTheme="minorHAnsi" w:cstheme="minorBidi"/>
                <w:iCs w:val="0"/>
                <w:noProof/>
                <w:sz w:val="22"/>
                <w:szCs w:val="22"/>
                <w:lang w:eastAsia="sl-SI"/>
              </w:rPr>
              <w:tab/>
            </w:r>
            <w:r w:rsidRPr="009213A1">
              <w:rPr>
                <w:rStyle w:val="Hiperpovezava"/>
                <w:noProof/>
                <w:lang w:val="en-GB"/>
              </w:rPr>
              <w:t>Bilateral Agreements</w:t>
            </w:r>
            <w:r>
              <w:rPr>
                <w:noProof/>
                <w:webHidden/>
              </w:rPr>
              <w:tab/>
            </w:r>
            <w:r>
              <w:rPr>
                <w:noProof/>
                <w:webHidden/>
              </w:rPr>
              <w:fldChar w:fldCharType="begin"/>
            </w:r>
            <w:r>
              <w:rPr>
                <w:noProof/>
                <w:webHidden/>
              </w:rPr>
              <w:instrText xml:space="preserve"> PAGEREF _Toc126312063 \h </w:instrText>
            </w:r>
            <w:r>
              <w:rPr>
                <w:noProof/>
                <w:webHidden/>
              </w:rPr>
            </w:r>
            <w:r>
              <w:rPr>
                <w:noProof/>
                <w:webHidden/>
              </w:rPr>
              <w:fldChar w:fldCharType="separate"/>
            </w:r>
            <w:r>
              <w:rPr>
                <w:noProof/>
                <w:webHidden/>
              </w:rPr>
              <w:t>124</w:t>
            </w:r>
            <w:r>
              <w:rPr>
                <w:noProof/>
                <w:webHidden/>
              </w:rPr>
              <w:fldChar w:fldCharType="end"/>
            </w:r>
          </w:hyperlink>
        </w:p>
        <w:p w14:paraId="2D8D5E6A" w14:textId="74D96A39" w:rsidR="007D1E97" w:rsidRDefault="007D1E97">
          <w:pPr>
            <w:pStyle w:val="Kazalovsebine3"/>
            <w:rPr>
              <w:rFonts w:asciiTheme="minorHAnsi" w:eastAsiaTheme="minorEastAsia" w:hAnsiTheme="minorHAnsi" w:cstheme="minorBidi"/>
              <w:iCs w:val="0"/>
              <w:noProof/>
              <w:sz w:val="22"/>
              <w:szCs w:val="22"/>
              <w:lang w:eastAsia="sl-SI"/>
            </w:rPr>
          </w:pPr>
          <w:hyperlink w:anchor="_Toc126312064" w:history="1">
            <w:r w:rsidRPr="009213A1">
              <w:rPr>
                <w:rStyle w:val="Hiperpovezava"/>
                <w:noProof/>
                <w:lang w:val="en-GB"/>
              </w:rPr>
              <w:t>10.6.2</w:t>
            </w:r>
            <w:r>
              <w:rPr>
                <w:rFonts w:asciiTheme="minorHAnsi" w:eastAsiaTheme="minorEastAsia" w:hAnsiTheme="minorHAnsi" w:cstheme="minorBidi"/>
                <w:iCs w:val="0"/>
                <w:noProof/>
                <w:sz w:val="22"/>
                <w:szCs w:val="22"/>
                <w:lang w:eastAsia="sl-SI"/>
              </w:rPr>
              <w:tab/>
            </w:r>
            <w:r w:rsidRPr="009213A1">
              <w:rPr>
                <w:rStyle w:val="Hiperpovezava"/>
                <w:noProof/>
                <w:lang w:val="en-GB"/>
              </w:rPr>
              <w:t>The Convention on Nuclear Safety (CNS)</w:t>
            </w:r>
            <w:r>
              <w:rPr>
                <w:noProof/>
                <w:webHidden/>
              </w:rPr>
              <w:tab/>
            </w:r>
            <w:r>
              <w:rPr>
                <w:noProof/>
                <w:webHidden/>
              </w:rPr>
              <w:fldChar w:fldCharType="begin"/>
            </w:r>
            <w:r>
              <w:rPr>
                <w:noProof/>
                <w:webHidden/>
              </w:rPr>
              <w:instrText xml:space="preserve"> PAGEREF _Toc126312064 \h </w:instrText>
            </w:r>
            <w:r>
              <w:rPr>
                <w:noProof/>
                <w:webHidden/>
              </w:rPr>
            </w:r>
            <w:r>
              <w:rPr>
                <w:noProof/>
                <w:webHidden/>
              </w:rPr>
              <w:fldChar w:fldCharType="separate"/>
            </w:r>
            <w:r>
              <w:rPr>
                <w:noProof/>
                <w:webHidden/>
              </w:rPr>
              <w:t>125</w:t>
            </w:r>
            <w:r>
              <w:rPr>
                <w:noProof/>
                <w:webHidden/>
              </w:rPr>
              <w:fldChar w:fldCharType="end"/>
            </w:r>
          </w:hyperlink>
        </w:p>
        <w:p w14:paraId="236BD3BD" w14:textId="74306B49" w:rsidR="007D1E97" w:rsidRDefault="007D1E97">
          <w:pPr>
            <w:pStyle w:val="Kazalovsebine3"/>
            <w:rPr>
              <w:rFonts w:asciiTheme="minorHAnsi" w:eastAsiaTheme="minorEastAsia" w:hAnsiTheme="minorHAnsi" w:cstheme="minorBidi"/>
              <w:iCs w:val="0"/>
              <w:noProof/>
              <w:sz w:val="22"/>
              <w:szCs w:val="22"/>
              <w:lang w:eastAsia="sl-SI"/>
            </w:rPr>
          </w:pPr>
          <w:hyperlink w:anchor="_Toc126312065" w:history="1">
            <w:r w:rsidRPr="009213A1">
              <w:rPr>
                <w:rStyle w:val="Hiperpovezava"/>
                <w:noProof/>
                <w:lang w:val="en-GB"/>
              </w:rPr>
              <w:t>10.6.3 Joint Convention on the Safety of Spent Fuel Management and on the Safety of Radioactive Waste Management</w:t>
            </w:r>
            <w:r>
              <w:rPr>
                <w:noProof/>
                <w:webHidden/>
              </w:rPr>
              <w:tab/>
            </w:r>
            <w:r>
              <w:rPr>
                <w:noProof/>
                <w:webHidden/>
              </w:rPr>
              <w:fldChar w:fldCharType="begin"/>
            </w:r>
            <w:r>
              <w:rPr>
                <w:noProof/>
                <w:webHidden/>
              </w:rPr>
              <w:instrText xml:space="preserve"> PAGEREF _Toc126312065 \h </w:instrText>
            </w:r>
            <w:r>
              <w:rPr>
                <w:noProof/>
                <w:webHidden/>
              </w:rPr>
            </w:r>
            <w:r>
              <w:rPr>
                <w:noProof/>
                <w:webHidden/>
              </w:rPr>
              <w:fldChar w:fldCharType="separate"/>
            </w:r>
            <w:r>
              <w:rPr>
                <w:noProof/>
                <w:webHidden/>
              </w:rPr>
              <w:t>125</w:t>
            </w:r>
            <w:r>
              <w:rPr>
                <w:noProof/>
                <w:webHidden/>
              </w:rPr>
              <w:fldChar w:fldCharType="end"/>
            </w:r>
          </w:hyperlink>
        </w:p>
        <w:p w14:paraId="7AA6BB38" w14:textId="7CA22A9B"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66" w:history="1">
            <w:r w:rsidRPr="009213A1">
              <w:rPr>
                <w:rStyle w:val="Hiperpovezava"/>
                <w:noProof/>
                <w:lang w:val="en-GB"/>
              </w:rPr>
              <w:t>11</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USE OF NUCLEAR ENERGY IN THE WORLD</w:t>
            </w:r>
            <w:r>
              <w:rPr>
                <w:noProof/>
                <w:webHidden/>
              </w:rPr>
              <w:tab/>
            </w:r>
            <w:r>
              <w:rPr>
                <w:noProof/>
                <w:webHidden/>
              </w:rPr>
              <w:fldChar w:fldCharType="begin"/>
            </w:r>
            <w:r>
              <w:rPr>
                <w:noProof/>
                <w:webHidden/>
              </w:rPr>
              <w:instrText xml:space="preserve"> PAGEREF _Toc126312066 \h </w:instrText>
            </w:r>
            <w:r>
              <w:rPr>
                <w:noProof/>
                <w:webHidden/>
              </w:rPr>
            </w:r>
            <w:r>
              <w:rPr>
                <w:noProof/>
                <w:webHidden/>
              </w:rPr>
              <w:fldChar w:fldCharType="separate"/>
            </w:r>
            <w:r>
              <w:rPr>
                <w:noProof/>
                <w:webHidden/>
              </w:rPr>
              <w:t>126</w:t>
            </w:r>
            <w:r>
              <w:rPr>
                <w:noProof/>
                <w:webHidden/>
              </w:rPr>
              <w:fldChar w:fldCharType="end"/>
            </w:r>
          </w:hyperlink>
        </w:p>
        <w:p w14:paraId="69695112" w14:textId="6E2F21C8"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67" w:history="1">
            <w:r w:rsidRPr="009213A1">
              <w:rPr>
                <w:rStyle w:val="Hiperpovezava"/>
                <w:noProof/>
                <w:lang w:val="en-GB"/>
              </w:rPr>
              <w:t>12</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RADIATION PROTECTION AND NUCLEAR SAFETY WORLDWIDE</w:t>
            </w:r>
            <w:r>
              <w:rPr>
                <w:noProof/>
                <w:webHidden/>
              </w:rPr>
              <w:tab/>
            </w:r>
            <w:r>
              <w:rPr>
                <w:noProof/>
                <w:webHidden/>
              </w:rPr>
              <w:fldChar w:fldCharType="begin"/>
            </w:r>
            <w:r>
              <w:rPr>
                <w:noProof/>
                <w:webHidden/>
              </w:rPr>
              <w:instrText xml:space="preserve"> PAGEREF _Toc126312067 \h </w:instrText>
            </w:r>
            <w:r>
              <w:rPr>
                <w:noProof/>
                <w:webHidden/>
              </w:rPr>
            </w:r>
            <w:r>
              <w:rPr>
                <w:noProof/>
                <w:webHidden/>
              </w:rPr>
              <w:fldChar w:fldCharType="separate"/>
            </w:r>
            <w:r>
              <w:rPr>
                <w:noProof/>
                <w:webHidden/>
              </w:rPr>
              <w:t>128</w:t>
            </w:r>
            <w:r>
              <w:rPr>
                <w:noProof/>
                <w:webHidden/>
              </w:rPr>
              <w:fldChar w:fldCharType="end"/>
            </w:r>
          </w:hyperlink>
        </w:p>
        <w:p w14:paraId="085817F4" w14:textId="02E60F4D" w:rsidR="007D1E97" w:rsidRDefault="007D1E97">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126312068" w:history="1">
            <w:r w:rsidRPr="009213A1">
              <w:rPr>
                <w:rStyle w:val="Hiperpovezava"/>
                <w:noProof/>
                <w:lang w:val="en-GB"/>
              </w:rPr>
              <w:t>13</w:t>
            </w:r>
            <w:r>
              <w:rPr>
                <w:rFonts w:asciiTheme="minorHAnsi" w:eastAsiaTheme="minorEastAsia" w:hAnsiTheme="minorHAnsi" w:cstheme="minorBidi"/>
                <w:b w:val="0"/>
                <w:bCs w:val="0"/>
                <w:caps w:val="0"/>
                <w:noProof/>
                <w:sz w:val="22"/>
                <w:szCs w:val="22"/>
                <w:lang w:eastAsia="sl-SI"/>
              </w:rPr>
              <w:tab/>
            </w:r>
            <w:r w:rsidRPr="009213A1">
              <w:rPr>
                <w:rStyle w:val="Hiperpovezava"/>
                <w:noProof/>
                <w:lang w:val="en-GB"/>
              </w:rPr>
              <w:t>REFERENCES</w:t>
            </w:r>
            <w:r>
              <w:rPr>
                <w:noProof/>
                <w:webHidden/>
              </w:rPr>
              <w:tab/>
            </w:r>
            <w:r>
              <w:rPr>
                <w:noProof/>
                <w:webHidden/>
              </w:rPr>
              <w:fldChar w:fldCharType="begin"/>
            </w:r>
            <w:r>
              <w:rPr>
                <w:noProof/>
                <w:webHidden/>
              </w:rPr>
              <w:instrText xml:space="preserve"> PAGEREF _Toc126312068 \h </w:instrText>
            </w:r>
            <w:r>
              <w:rPr>
                <w:noProof/>
                <w:webHidden/>
              </w:rPr>
            </w:r>
            <w:r>
              <w:rPr>
                <w:noProof/>
                <w:webHidden/>
              </w:rPr>
              <w:fldChar w:fldCharType="separate"/>
            </w:r>
            <w:r>
              <w:rPr>
                <w:noProof/>
                <w:webHidden/>
              </w:rPr>
              <w:t>131</w:t>
            </w:r>
            <w:r>
              <w:rPr>
                <w:noProof/>
                <w:webHidden/>
              </w:rPr>
              <w:fldChar w:fldCharType="end"/>
            </w:r>
          </w:hyperlink>
        </w:p>
        <w:p w14:paraId="0BDECB52" w14:textId="369B9B25" w:rsidR="00B47790" w:rsidRPr="00CD2EEF" w:rsidRDefault="00B47790">
          <w:pPr>
            <w:rPr>
              <w:lang w:val="en-GB"/>
            </w:rPr>
          </w:pPr>
          <w:r w:rsidRPr="00CD2EEF">
            <w:rPr>
              <w:b/>
              <w:bCs/>
              <w:lang w:val="en-GB"/>
            </w:rPr>
            <w:fldChar w:fldCharType="end"/>
          </w:r>
        </w:p>
      </w:sdtContent>
    </w:sdt>
    <w:p w14:paraId="1297833E" w14:textId="77777777" w:rsidR="00F32DE1" w:rsidRPr="00CD2EEF" w:rsidRDefault="00F32DE1" w:rsidP="00F32DE1">
      <w:pPr>
        <w:rPr>
          <w:lang w:val="en-GB"/>
        </w:rPr>
      </w:pPr>
    </w:p>
    <w:p w14:paraId="5992AEB3" w14:textId="09A930E0" w:rsidR="00F32DE1" w:rsidRPr="00CD2EEF" w:rsidRDefault="00F32DE1" w:rsidP="00F32DE1">
      <w:pPr>
        <w:pStyle w:val="LPNaslov1"/>
        <w:numPr>
          <w:ilvl w:val="0"/>
          <w:numId w:val="0"/>
        </w:numPr>
        <w:ind w:left="709" w:hanging="709"/>
        <w:outlineLvl w:val="9"/>
        <w:rPr>
          <w:lang w:val="en-GB"/>
        </w:rPr>
      </w:pPr>
      <w:r w:rsidRPr="00CD2EEF">
        <w:rPr>
          <w:lang w:val="en-GB"/>
        </w:rPr>
        <w:lastRenderedPageBreak/>
        <w:t>TABLE OF FIGURES</w:t>
      </w:r>
      <w:r w:rsidR="00301E29">
        <w:rPr>
          <w:lang w:val="en-GB"/>
        </w:rPr>
        <w:t xml:space="preserve"> </w:t>
      </w:r>
    </w:p>
    <w:p w14:paraId="1A2469B0" w14:textId="773A3784" w:rsidR="00F727A3" w:rsidRDefault="001E281E">
      <w:pPr>
        <w:pStyle w:val="Kazaloslik"/>
        <w:tabs>
          <w:tab w:val="right" w:leader="dot" w:pos="9062"/>
        </w:tabs>
        <w:rPr>
          <w:rFonts w:asciiTheme="minorHAnsi" w:eastAsiaTheme="minorEastAsia" w:hAnsiTheme="minorHAnsi" w:cstheme="minorBidi"/>
          <w:noProof/>
          <w:sz w:val="22"/>
          <w:szCs w:val="22"/>
          <w:lang w:eastAsia="sl-SI"/>
        </w:rPr>
      </w:pPr>
      <w:r w:rsidRPr="00CD2EEF">
        <w:rPr>
          <w:lang w:val="en-GB"/>
        </w:rPr>
        <w:fldChar w:fldCharType="begin"/>
      </w:r>
      <w:r w:rsidRPr="00CD2EEF">
        <w:rPr>
          <w:lang w:val="en-GB"/>
        </w:rPr>
        <w:instrText xml:space="preserve"> TOC \h \z \c "Figure" </w:instrText>
      </w:r>
      <w:r w:rsidRPr="00CD2EEF">
        <w:rPr>
          <w:lang w:val="en-GB"/>
        </w:rPr>
        <w:fldChar w:fldCharType="separate"/>
      </w:r>
      <w:hyperlink w:anchor="_Toc126309880" w:history="1">
        <w:r w:rsidR="00F727A3" w:rsidRPr="005B7B56">
          <w:rPr>
            <w:rStyle w:val="Hiperpovezava"/>
            <w:noProof/>
            <w:lang w:val="en-GB"/>
          </w:rPr>
          <w:t>Figure 1: Operating power diagram of the Krško NPP in 2021</w:t>
        </w:r>
        <w:r w:rsidR="00F727A3">
          <w:rPr>
            <w:noProof/>
            <w:webHidden/>
          </w:rPr>
          <w:tab/>
        </w:r>
        <w:r w:rsidR="00F727A3">
          <w:rPr>
            <w:noProof/>
            <w:webHidden/>
          </w:rPr>
          <w:fldChar w:fldCharType="begin"/>
        </w:r>
        <w:r w:rsidR="00F727A3">
          <w:rPr>
            <w:noProof/>
            <w:webHidden/>
          </w:rPr>
          <w:instrText xml:space="preserve"> PAGEREF _Toc126309880 \h </w:instrText>
        </w:r>
        <w:r w:rsidR="00F727A3">
          <w:rPr>
            <w:noProof/>
            <w:webHidden/>
          </w:rPr>
        </w:r>
        <w:r w:rsidR="00F727A3">
          <w:rPr>
            <w:noProof/>
            <w:webHidden/>
          </w:rPr>
          <w:fldChar w:fldCharType="separate"/>
        </w:r>
        <w:r w:rsidR="00F727A3">
          <w:rPr>
            <w:noProof/>
            <w:webHidden/>
          </w:rPr>
          <w:t>10</w:t>
        </w:r>
        <w:r w:rsidR="00F727A3">
          <w:rPr>
            <w:noProof/>
            <w:webHidden/>
          </w:rPr>
          <w:fldChar w:fldCharType="end"/>
        </w:r>
      </w:hyperlink>
    </w:p>
    <w:p w14:paraId="01F755B7" w14:textId="2B920252"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1" w:history="1">
        <w:r w:rsidRPr="005B7B56">
          <w:rPr>
            <w:rStyle w:val="Hiperpovezava"/>
            <w:noProof/>
            <w:lang w:val="en-GB"/>
          </w:rPr>
          <w:t>Figure 2: Fast reactor shutdowns – manual and automatic</w:t>
        </w:r>
        <w:r>
          <w:rPr>
            <w:noProof/>
            <w:webHidden/>
          </w:rPr>
          <w:tab/>
        </w:r>
        <w:r>
          <w:rPr>
            <w:noProof/>
            <w:webHidden/>
          </w:rPr>
          <w:fldChar w:fldCharType="begin"/>
        </w:r>
        <w:r>
          <w:rPr>
            <w:noProof/>
            <w:webHidden/>
          </w:rPr>
          <w:instrText xml:space="preserve"> PAGEREF _Toc126309881 \h </w:instrText>
        </w:r>
        <w:r>
          <w:rPr>
            <w:noProof/>
            <w:webHidden/>
          </w:rPr>
        </w:r>
        <w:r>
          <w:rPr>
            <w:noProof/>
            <w:webHidden/>
          </w:rPr>
          <w:fldChar w:fldCharType="separate"/>
        </w:r>
        <w:r>
          <w:rPr>
            <w:noProof/>
            <w:webHidden/>
          </w:rPr>
          <w:t>10</w:t>
        </w:r>
        <w:r>
          <w:rPr>
            <w:noProof/>
            <w:webHidden/>
          </w:rPr>
          <w:fldChar w:fldCharType="end"/>
        </w:r>
      </w:hyperlink>
    </w:p>
    <w:p w14:paraId="089FF99E" w14:textId="2DB41619"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2" w:history="1">
        <w:r w:rsidRPr="005B7B56">
          <w:rPr>
            <w:rStyle w:val="Hiperpovezava"/>
            <w:noProof/>
            <w:lang w:val="en-GB"/>
          </w:rPr>
          <w:t>Figure 3: Normal reactor shutdowns – planned and unplanned</w:t>
        </w:r>
        <w:r>
          <w:rPr>
            <w:noProof/>
            <w:webHidden/>
          </w:rPr>
          <w:tab/>
        </w:r>
        <w:r>
          <w:rPr>
            <w:noProof/>
            <w:webHidden/>
          </w:rPr>
          <w:fldChar w:fldCharType="begin"/>
        </w:r>
        <w:r>
          <w:rPr>
            <w:noProof/>
            <w:webHidden/>
          </w:rPr>
          <w:instrText xml:space="preserve"> PAGEREF _Toc126309882 \h </w:instrText>
        </w:r>
        <w:r>
          <w:rPr>
            <w:noProof/>
            <w:webHidden/>
          </w:rPr>
        </w:r>
        <w:r>
          <w:rPr>
            <w:noProof/>
            <w:webHidden/>
          </w:rPr>
          <w:fldChar w:fldCharType="separate"/>
        </w:r>
        <w:r>
          <w:rPr>
            <w:noProof/>
            <w:webHidden/>
          </w:rPr>
          <w:t>11</w:t>
        </w:r>
        <w:r>
          <w:rPr>
            <w:noProof/>
            <w:webHidden/>
          </w:rPr>
          <w:fldChar w:fldCharType="end"/>
        </w:r>
      </w:hyperlink>
    </w:p>
    <w:p w14:paraId="7C37D559" w14:textId="516B261E"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3" w:history="1">
        <w:r w:rsidRPr="005B7B56">
          <w:rPr>
            <w:rStyle w:val="Hiperpovezava"/>
            <w:noProof/>
            <w:lang w:val="en-GB"/>
          </w:rPr>
          <w:t>Figure 4: Number of abnormal events per year</w:t>
        </w:r>
        <w:r>
          <w:rPr>
            <w:noProof/>
            <w:webHidden/>
          </w:rPr>
          <w:tab/>
        </w:r>
        <w:r>
          <w:rPr>
            <w:noProof/>
            <w:webHidden/>
          </w:rPr>
          <w:fldChar w:fldCharType="begin"/>
        </w:r>
        <w:r>
          <w:rPr>
            <w:noProof/>
            <w:webHidden/>
          </w:rPr>
          <w:instrText xml:space="preserve"> PAGEREF _Toc126309883 \h </w:instrText>
        </w:r>
        <w:r>
          <w:rPr>
            <w:noProof/>
            <w:webHidden/>
          </w:rPr>
        </w:r>
        <w:r>
          <w:rPr>
            <w:noProof/>
            <w:webHidden/>
          </w:rPr>
          <w:fldChar w:fldCharType="separate"/>
        </w:r>
        <w:r>
          <w:rPr>
            <w:noProof/>
            <w:webHidden/>
          </w:rPr>
          <w:t>12</w:t>
        </w:r>
        <w:r>
          <w:rPr>
            <w:noProof/>
            <w:webHidden/>
          </w:rPr>
          <w:fldChar w:fldCharType="end"/>
        </w:r>
      </w:hyperlink>
    </w:p>
    <w:p w14:paraId="0500BBF3" w14:textId="42E361D3"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4" w:history="1">
        <w:r w:rsidRPr="005B7B56">
          <w:rPr>
            <w:rStyle w:val="Hiperpovezava"/>
            <w:noProof/>
            <w:lang w:val="en-GB"/>
          </w:rPr>
          <w:t>Figure 5: Production of electrical energy in Slovenia</w:t>
        </w:r>
        <w:r>
          <w:rPr>
            <w:noProof/>
            <w:webHidden/>
          </w:rPr>
          <w:tab/>
        </w:r>
        <w:r>
          <w:rPr>
            <w:noProof/>
            <w:webHidden/>
          </w:rPr>
          <w:fldChar w:fldCharType="begin"/>
        </w:r>
        <w:r>
          <w:rPr>
            <w:noProof/>
            <w:webHidden/>
          </w:rPr>
          <w:instrText xml:space="preserve"> PAGEREF _Toc126309884 \h </w:instrText>
        </w:r>
        <w:r>
          <w:rPr>
            <w:noProof/>
            <w:webHidden/>
          </w:rPr>
        </w:r>
        <w:r>
          <w:rPr>
            <w:noProof/>
            <w:webHidden/>
          </w:rPr>
          <w:fldChar w:fldCharType="separate"/>
        </w:r>
        <w:r>
          <w:rPr>
            <w:noProof/>
            <w:webHidden/>
          </w:rPr>
          <w:t>12</w:t>
        </w:r>
        <w:r>
          <w:rPr>
            <w:noProof/>
            <w:webHidden/>
          </w:rPr>
          <w:fldChar w:fldCharType="end"/>
        </w:r>
      </w:hyperlink>
    </w:p>
    <w:p w14:paraId="083710F4" w14:textId="09D2D218"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5" w:history="1">
        <w:r w:rsidRPr="005B7B56">
          <w:rPr>
            <w:rStyle w:val="Hiperpovezava"/>
            <w:noProof/>
            <w:lang w:val="en-GB"/>
          </w:rPr>
          <w:t>Figure 6: Primary coolant-specific activity – 31</w:t>
        </w:r>
        <w:r w:rsidRPr="005B7B56">
          <w:rPr>
            <w:rStyle w:val="Hiperpovezava"/>
            <w:noProof/>
            <w:vertAlign w:val="superscript"/>
            <w:lang w:val="en-GB"/>
          </w:rPr>
          <w:t>st</w:t>
        </w:r>
        <w:r w:rsidRPr="005B7B56">
          <w:rPr>
            <w:rStyle w:val="Hiperpovezava"/>
            <w:noProof/>
            <w:lang w:val="en-GB"/>
          </w:rPr>
          <w:t xml:space="preserve"> and 32</w:t>
        </w:r>
        <w:r w:rsidRPr="005B7B56">
          <w:rPr>
            <w:rStyle w:val="Hiperpovezava"/>
            <w:noProof/>
            <w:vertAlign w:val="superscript"/>
            <w:lang w:val="en-GB"/>
          </w:rPr>
          <w:t xml:space="preserve">nd </w:t>
        </w:r>
        <w:r w:rsidRPr="005B7B56">
          <w:rPr>
            <w:rStyle w:val="Hiperpovezava"/>
            <w:noProof/>
            <w:lang w:val="en-GB"/>
          </w:rPr>
          <w:t>fuel cycle</w:t>
        </w:r>
        <w:r>
          <w:rPr>
            <w:noProof/>
            <w:webHidden/>
          </w:rPr>
          <w:tab/>
        </w:r>
        <w:r>
          <w:rPr>
            <w:noProof/>
            <w:webHidden/>
          </w:rPr>
          <w:fldChar w:fldCharType="begin"/>
        </w:r>
        <w:r>
          <w:rPr>
            <w:noProof/>
            <w:webHidden/>
          </w:rPr>
          <w:instrText xml:space="preserve"> PAGEREF _Toc126309885 \h </w:instrText>
        </w:r>
        <w:r>
          <w:rPr>
            <w:noProof/>
            <w:webHidden/>
          </w:rPr>
        </w:r>
        <w:r>
          <w:rPr>
            <w:noProof/>
            <w:webHidden/>
          </w:rPr>
          <w:fldChar w:fldCharType="separate"/>
        </w:r>
        <w:r>
          <w:rPr>
            <w:noProof/>
            <w:webHidden/>
          </w:rPr>
          <w:t>13</w:t>
        </w:r>
        <w:r>
          <w:rPr>
            <w:noProof/>
            <w:webHidden/>
          </w:rPr>
          <w:fldChar w:fldCharType="end"/>
        </w:r>
      </w:hyperlink>
    </w:p>
    <w:p w14:paraId="4392128B" w14:textId="3CE86888"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6" w:history="1">
        <w:r w:rsidRPr="005B7B56">
          <w:rPr>
            <w:rStyle w:val="Hiperpovezava"/>
            <w:noProof/>
            <w:lang w:val="en-GB"/>
          </w:rPr>
          <w:t>Figure 7: Risk due to the unplanned unavailability of equipment</w:t>
        </w:r>
        <w:r>
          <w:rPr>
            <w:noProof/>
            <w:webHidden/>
          </w:rPr>
          <w:tab/>
        </w:r>
        <w:r>
          <w:rPr>
            <w:noProof/>
            <w:webHidden/>
          </w:rPr>
          <w:fldChar w:fldCharType="begin"/>
        </w:r>
        <w:r>
          <w:rPr>
            <w:noProof/>
            <w:webHidden/>
          </w:rPr>
          <w:instrText xml:space="preserve"> PAGEREF _Toc126309886 \h </w:instrText>
        </w:r>
        <w:r>
          <w:rPr>
            <w:noProof/>
            <w:webHidden/>
          </w:rPr>
        </w:r>
        <w:r>
          <w:rPr>
            <w:noProof/>
            <w:webHidden/>
          </w:rPr>
          <w:fldChar w:fldCharType="separate"/>
        </w:r>
        <w:r>
          <w:rPr>
            <w:noProof/>
            <w:webHidden/>
          </w:rPr>
          <w:t>13</w:t>
        </w:r>
        <w:r>
          <w:rPr>
            <w:noProof/>
            <w:webHidden/>
          </w:rPr>
          <w:fldChar w:fldCharType="end"/>
        </w:r>
      </w:hyperlink>
    </w:p>
    <w:p w14:paraId="55DE3749" w14:textId="1D1D8F31"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7" w:history="1">
        <w:r w:rsidRPr="005B7B56">
          <w:rPr>
            <w:rStyle w:val="Hiperpovezava"/>
            <w:noProof/>
            <w:lang w:val="en-GB"/>
          </w:rPr>
          <w:t>Figure 8: Collective dose</w:t>
        </w:r>
        <w:r>
          <w:rPr>
            <w:noProof/>
            <w:webHidden/>
          </w:rPr>
          <w:tab/>
        </w:r>
        <w:r>
          <w:rPr>
            <w:noProof/>
            <w:webHidden/>
          </w:rPr>
          <w:fldChar w:fldCharType="begin"/>
        </w:r>
        <w:r>
          <w:rPr>
            <w:noProof/>
            <w:webHidden/>
          </w:rPr>
          <w:instrText xml:space="preserve"> PAGEREF _Toc126309887 \h </w:instrText>
        </w:r>
        <w:r>
          <w:rPr>
            <w:noProof/>
            <w:webHidden/>
          </w:rPr>
        </w:r>
        <w:r>
          <w:rPr>
            <w:noProof/>
            <w:webHidden/>
          </w:rPr>
          <w:fldChar w:fldCharType="separate"/>
        </w:r>
        <w:r>
          <w:rPr>
            <w:noProof/>
            <w:webHidden/>
          </w:rPr>
          <w:t>14</w:t>
        </w:r>
        <w:r>
          <w:rPr>
            <w:noProof/>
            <w:webHidden/>
          </w:rPr>
          <w:fldChar w:fldCharType="end"/>
        </w:r>
      </w:hyperlink>
    </w:p>
    <w:p w14:paraId="48FBCEB9" w14:textId="1838CA68"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8" w:history="1">
        <w:r w:rsidRPr="005B7B56">
          <w:rPr>
            <w:rStyle w:val="Hiperpovezava"/>
            <w:noProof/>
            <w:lang w:val="en-GB"/>
          </w:rPr>
          <w:t>Figure 9: Fire safety</w:t>
        </w:r>
        <w:r>
          <w:rPr>
            <w:noProof/>
            <w:webHidden/>
          </w:rPr>
          <w:tab/>
        </w:r>
        <w:r>
          <w:rPr>
            <w:noProof/>
            <w:webHidden/>
          </w:rPr>
          <w:fldChar w:fldCharType="begin"/>
        </w:r>
        <w:r>
          <w:rPr>
            <w:noProof/>
            <w:webHidden/>
          </w:rPr>
          <w:instrText xml:space="preserve"> PAGEREF _Toc126309888 \h </w:instrText>
        </w:r>
        <w:r>
          <w:rPr>
            <w:noProof/>
            <w:webHidden/>
          </w:rPr>
        </w:r>
        <w:r>
          <w:rPr>
            <w:noProof/>
            <w:webHidden/>
          </w:rPr>
          <w:fldChar w:fldCharType="separate"/>
        </w:r>
        <w:r>
          <w:rPr>
            <w:noProof/>
            <w:webHidden/>
          </w:rPr>
          <w:t>14</w:t>
        </w:r>
        <w:r>
          <w:rPr>
            <w:noProof/>
            <w:webHidden/>
          </w:rPr>
          <w:fldChar w:fldCharType="end"/>
        </w:r>
      </w:hyperlink>
    </w:p>
    <w:p w14:paraId="7F367BED" w14:textId="2097F82D"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89" w:history="1">
        <w:r w:rsidRPr="005B7B56">
          <w:rPr>
            <w:rStyle w:val="Hiperpovezava"/>
            <w:noProof/>
            <w:lang w:val="en-GB"/>
          </w:rPr>
          <w:t>Figure 10: Temporary modifications</w:t>
        </w:r>
        <w:r>
          <w:rPr>
            <w:noProof/>
            <w:webHidden/>
          </w:rPr>
          <w:tab/>
        </w:r>
        <w:r>
          <w:rPr>
            <w:noProof/>
            <w:webHidden/>
          </w:rPr>
          <w:fldChar w:fldCharType="begin"/>
        </w:r>
        <w:r>
          <w:rPr>
            <w:noProof/>
            <w:webHidden/>
          </w:rPr>
          <w:instrText xml:space="preserve"> PAGEREF _Toc126309889 \h </w:instrText>
        </w:r>
        <w:r>
          <w:rPr>
            <w:noProof/>
            <w:webHidden/>
          </w:rPr>
        </w:r>
        <w:r>
          <w:rPr>
            <w:noProof/>
            <w:webHidden/>
          </w:rPr>
          <w:fldChar w:fldCharType="separate"/>
        </w:r>
        <w:r>
          <w:rPr>
            <w:noProof/>
            <w:webHidden/>
          </w:rPr>
          <w:t>15</w:t>
        </w:r>
        <w:r>
          <w:rPr>
            <w:noProof/>
            <w:webHidden/>
          </w:rPr>
          <w:fldChar w:fldCharType="end"/>
        </w:r>
      </w:hyperlink>
    </w:p>
    <w:p w14:paraId="683D2270" w14:textId="3B48FDDD"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0" w:history="1">
        <w:r w:rsidRPr="005B7B56">
          <w:rPr>
            <w:rStyle w:val="Hiperpovezava"/>
            <w:noProof/>
            <w:lang w:val="en-GB"/>
          </w:rPr>
          <w:t>Figure 11: Starter motor 2DG</w:t>
        </w:r>
        <w:r w:rsidRPr="005B7B56">
          <w:rPr>
            <w:rStyle w:val="Hiperpovezava"/>
            <w:noProof/>
            <w:lang w:val="en-GB"/>
          </w:rPr>
          <w:t>A</w:t>
        </w:r>
        <w:r w:rsidRPr="005B7B56">
          <w:rPr>
            <w:rStyle w:val="Hiperpovezava"/>
            <w:noProof/>
            <w:lang w:val="en-GB"/>
          </w:rPr>
          <w:t>-M07</w:t>
        </w:r>
        <w:r>
          <w:rPr>
            <w:noProof/>
            <w:webHidden/>
          </w:rPr>
          <w:tab/>
        </w:r>
        <w:r>
          <w:rPr>
            <w:noProof/>
            <w:webHidden/>
          </w:rPr>
          <w:fldChar w:fldCharType="begin"/>
        </w:r>
        <w:r>
          <w:rPr>
            <w:noProof/>
            <w:webHidden/>
          </w:rPr>
          <w:instrText xml:space="preserve"> PAGEREF _Toc126309890 \h </w:instrText>
        </w:r>
        <w:r>
          <w:rPr>
            <w:noProof/>
            <w:webHidden/>
          </w:rPr>
        </w:r>
        <w:r>
          <w:rPr>
            <w:noProof/>
            <w:webHidden/>
          </w:rPr>
          <w:fldChar w:fldCharType="separate"/>
        </w:r>
        <w:r>
          <w:rPr>
            <w:noProof/>
            <w:webHidden/>
          </w:rPr>
          <w:t>16</w:t>
        </w:r>
        <w:r>
          <w:rPr>
            <w:noProof/>
            <w:webHidden/>
          </w:rPr>
          <w:fldChar w:fldCharType="end"/>
        </w:r>
      </w:hyperlink>
    </w:p>
    <w:p w14:paraId="0C5F1FE5" w14:textId="0FD86BAD"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1" w:history="1">
        <w:r w:rsidRPr="005B7B56">
          <w:rPr>
            <w:rStyle w:val="Hiperpovezava"/>
            <w:noProof/>
            <w:lang w:val="en-GB"/>
          </w:rPr>
          <w:t>Figure 12: Results of fuel integrity inspections by the IMS method during outages since 2000 (fuel cycle 17)</w:t>
        </w:r>
        <w:r>
          <w:rPr>
            <w:noProof/>
            <w:webHidden/>
          </w:rPr>
          <w:tab/>
        </w:r>
        <w:r>
          <w:rPr>
            <w:noProof/>
            <w:webHidden/>
          </w:rPr>
          <w:fldChar w:fldCharType="begin"/>
        </w:r>
        <w:r>
          <w:rPr>
            <w:noProof/>
            <w:webHidden/>
          </w:rPr>
          <w:instrText xml:space="preserve"> PAGEREF _Toc126309891 \h </w:instrText>
        </w:r>
        <w:r>
          <w:rPr>
            <w:noProof/>
            <w:webHidden/>
          </w:rPr>
        </w:r>
        <w:r>
          <w:rPr>
            <w:noProof/>
            <w:webHidden/>
          </w:rPr>
          <w:fldChar w:fldCharType="separate"/>
        </w:r>
        <w:r>
          <w:rPr>
            <w:noProof/>
            <w:webHidden/>
          </w:rPr>
          <w:t>25</w:t>
        </w:r>
        <w:r>
          <w:rPr>
            <w:noProof/>
            <w:webHidden/>
          </w:rPr>
          <w:fldChar w:fldCharType="end"/>
        </w:r>
      </w:hyperlink>
    </w:p>
    <w:p w14:paraId="38575BAC" w14:textId="2C05DA5A"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2" w:history="1">
        <w:r w:rsidRPr="005B7B56">
          <w:rPr>
            <w:rStyle w:val="Hiperpovezava"/>
            <w:noProof/>
            <w:lang w:val="en-GB"/>
          </w:rPr>
          <w:t>Figure 13: The entrance to the shielded enclosure dedicated to industrial radiography with a stop button and warning light (left); and controlling instruments used for carrying out and the control of industrial radiography (right) (Photo: industrial radiography operator)</w:t>
        </w:r>
        <w:r>
          <w:rPr>
            <w:noProof/>
            <w:webHidden/>
          </w:rPr>
          <w:tab/>
        </w:r>
        <w:r>
          <w:rPr>
            <w:noProof/>
            <w:webHidden/>
          </w:rPr>
          <w:fldChar w:fldCharType="begin"/>
        </w:r>
        <w:r>
          <w:rPr>
            <w:noProof/>
            <w:webHidden/>
          </w:rPr>
          <w:instrText xml:space="preserve"> PAGEREF _Toc126309892 \h </w:instrText>
        </w:r>
        <w:r>
          <w:rPr>
            <w:noProof/>
            <w:webHidden/>
          </w:rPr>
        </w:r>
        <w:r>
          <w:rPr>
            <w:noProof/>
            <w:webHidden/>
          </w:rPr>
          <w:fldChar w:fldCharType="separate"/>
        </w:r>
        <w:r>
          <w:rPr>
            <w:noProof/>
            <w:webHidden/>
          </w:rPr>
          <w:t>32</w:t>
        </w:r>
        <w:r>
          <w:rPr>
            <w:noProof/>
            <w:webHidden/>
          </w:rPr>
          <w:fldChar w:fldCharType="end"/>
        </w:r>
      </w:hyperlink>
    </w:p>
    <w:p w14:paraId="0A64BA44" w14:textId="3787C518"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3" w:history="1">
        <w:r w:rsidRPr="005B7B56">
          <w:rPr>
            <w:rStyle w:val="Hiperpovezava"/>
            <w:noProof/>
            <w:lang w:val="en-GB"/>
          </w:rPr>
          <w:t>Figure 14: An operator controlling instruments with a master key used for entering into the bunker (left); the entrance to the bunker with a safety system (middle); video surveillance of the bunker interior (right) (Photo: the SNSA Inspection)</w:t>
        </w:r>
        <w:r>
          <w:rPr>
            <w:noProof/>
            <w:webHidden/>
          </w:rPr>
          <w:tab/>
        </w:r>
        <w:r>
          <w:rPr>
            <w:noProof/>
            <w:webHidden/>
          </w:rPr>
          <w:fldChar w:fldCharType="begin"/>
        </w:r>
        <w:r>
          <w:rPr>
            <w:noProof/>
            <w:webHidden/>
          </w:rPr>
          <w:instrText xml:space="preserve"> PAGEREF _Toc126309893 \h </w:instrText>
        </w:r>
        <w:r>
          <w:rPr>
            <w:noProof/>
            <w:webHidden/>
          </w:rPr>
        </w:r>
        <w:r>
          <w:rPr>
            <w:noProof/>
            <w:webHidden/>
          </w:rPr>
          <w:fldChar w:fldCharType="separate"/>
        </w:r>
        <w:r>
          <w:rPr>
            <w:noProof/>
            <w:webHidden/>
          </w:rPr>
          <w:t>32</w:t>
        </w:r>
        <w:r>
          <w:rPr>
            <w:noProof/>
            <w:webHidden/>
          </w:rPr>
          <w:fldChar w:fldCharType="end"/>
        </w:r>
      </w:hyperlink>
    </w:p>
    <w:p w14:paraId="554A81F1" w14:textId="5D4EE40A"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4" w:history="1">
        <w:r w:rsidRPr="005B7B56">
          <w:rPr>
            <w:rStyle w:val="Hiperpovezava"/>
            <w:noProof/>
            <w:lang w:val="en-GB"/>
          </w:rPr>
          <w:t>Figure 15: A container with contaminated hospital waste (left); municipal waste originating from hospitals also containing contaminated waste (right) (Photo: Institute of Occupational Safety)</w:t>
        </w:r>
        <w:r>
          <w:rPr>
            <w:noProof/>
            <w:webHidden/>
          </w:rPr>
          <w:tab/>
        </w:r>
        <w:r>
          <w:rPr>
            <w:noProof/>
            <w:webHidden/>
          </w:rPr>
          <w:fldChar w:fldCharType="begin"/>
        </w:r>
        <w:r>
          <w:rPr>
            <w:noProof/>
            <w:webHidden/>
          </w:rPr>
          <w:instrText xml:space="preserve"> PAGEREF _Toc126309894 \h </w:instrText>
        </w:r>
        <w:r>
          <w:rPr>
            <w:noProof/>
            <w:webHidden/>
          </w:rPr>
        </w:r>
        <w:r>
          <w:rPr>
            <w:noProof/>
            <w:webHidden/>
          </w:rPr>
          <w:fldChar w:fldCharType="separate"/>
        </w:r>
        <w:r>
          <w:rPr>
            <w:noProof/>
            <w:webHidden/>
          </w:rPr>
          <w:t>33</w:t>
        </w:r>
        <w:r>
          <w:rPr>
            <w:noProof/>
            <w:webHidden/>
          </w:rPr>
          <w:fldChar w:fldCharType="end"/>
        </w:r>
      </w:hyperlink>
    </w:p>
    <w:p w14:paraId="2667E015" w14:textId="0D15B85B"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5" w:history="1">
        <w:r w:rsidRPr="005B7B56">
          <w:rPr>
            <w:rStyle w:val="Hiperpovezava"/>
            <w:noProof/>
            <w:lang w:val="en-GB"/>
          </w:rPr>
          <w:t xml:space="preserve">Figure 16: Two objects contaminated with </w:t>
        </w:r>
        <w:r w:rsidRPr="005B7B56">
          <w:rPr>
            <w:rStyle w:val="Hiperpovezava"/>
            <w:noProof/>
            <w:vertAlign w:val="superscript"/>
            <w:lang w:val="en-GB"/>
          </w:rPr>
          <w:t>226</w:t>
        </w:r>
        <w:r w:rsidRPr="005B7B56">
          <w:rPr>
            <w:rStyle w:val="Hiperpovezava"/>
            <w:noProof/>
            <w:lang w:val="en-GB"/>
          </w:rPr>
          <w:t>Ra in a shipment from Germany identified at the SIJ Acroni d.o.o. site (Photo: the SNSA Inspection)</w:t>
        </w:r>
        <w:r>
          <w:rPr>
            <w:noProof/>
            <w:webHidden/>
          </w:rPr>
          <w:tab/>
        </w:r>
        <w:r>
          <w:rPr>
            <w:noProof/>
            <w:webHidden/>
          </w:rPr>
          <w:fldChar w:fldCharType="begin"/>
        </w:r>
        <w:r>
          <w:rPr>
            <w:noProof/>
            <w:webHidden/>
          </w:rPr>
          <w:instrText xml:space="preserve"> PAGEREF _Toc126309895 \h </w:instrText>
        </w:r>
        <w:r>
          <w:rPr>
            <w:noProof/>
            <w:webHidden/>
          </w:rPr>
        </w:r>
        <w:r>
          <w:rPr>
            <w:noProof/>
            <w:webHidden/>
          </w:rPr>
          <w:fldChar w:fldCharType="separate"/>
        </w:r>
        <w:r>
          <w:rPr>
            <w:noProof/>
            <w:webHidden/>
          </w:rPr>
          <w:t>34</w:t>
        </w:r>
        <w:r>
          <w:rPr>
            <w:noProof/>
            <w:webHidden/>
          </w:rPr>
          <w:fldChar w:fldCharType="end"/>
        </w:r>
      </w:hyperlink>
    </w:p>
    <w:p w14:paraId="7A0C3DD2" w14:textId="33AEDD86"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6" w:history="1">
        <w:r w:rsidRPr="005B7B56">
          <w:rPr>
            <w:rStyle w:val="Hiperpovezava"/>
            <w:noProof/>
            <w:lang w:val="en-GB"/>
          </w:rPr>
          <w:t>Figure 17: Percentage of diagnostic X-ray devices according to quality in the period 1997–2021</w:t>
        </w:r>
        <w:r>
          <w:rPr>
            <w:noProof/>
            <w:webHidden/>
          </w:rPr>
          <w:tab/>
        </w:r>
        <w:r>
          <w:rPr>
            <w:noProof/>
            <w:webHidden/>
          </w:rPr>
          <w:fldChar w:fldCharType="begin"/>
        </w:r>
        <w:r>
          <w:rPr>
            <w:noProof/>
            <w:webHidden/>
          </w:rPr>
          <w:instrText xml:space="preserve"> PAGEREF _Toc126309896 \h </w:instrText>
        </w:r>
        <w:r>
          <w:rPr>
            <w:noProof/>
            <w:webHidden/>
          </w:rPr>
        </w:r>
        <w:r>
          <w:rPr>
            <w:noProof/>
            <w:webHidden/>
          </w:rPr>
          <w:fldChar w:fldCharType="separate"/>
        </w:r>
        <w:r>
          <w:rPr>
            <w:noProof/>
            <w:webHidden/>
          </w:rPr>
          <w:t>36</w:t>
        </w:r>
        <w:r>
          <w:rPr>
            <w:noProof/>
            <w:webHidden/>
          </w:rPr>
          <w:fldChar w:fldCharType="end"/>
        </w:r>
      </w:hyperlink>
    </w:p>
    <w:p w14:paraId="42ACAA55" w14:textId="56F1ADE5"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7" w:history="1">
        <w:r w:rsidRPr="005B7B56">
          <w:rPr>
            <w:rStyle w:val="Hiperpovezava"/>
            <w:noProof/>
            <w:lang w:val="en-GB"/>
          </w:rPr>
          <w:t>Figure 18: Basic overview of the status of the early warning network in Slovenia</w:t>
        </w:r>
        <w:r>
          <w:rPr>
            <w:noProof/>
            <w:webHidden/>
          </w:rPr>
          <w:tab/>
        </w:r>
        <w:r>
          <w:rPr>
            <w:noProof/>
            <w:webHidden/>
          </w:rPr>
          <w:fldChar w:fldCharType="begin"/>
        </w:r>
        <w:r>
          <w:rPr>
            <w:noProof/>
            <w:webHidden/>
          </w:rPr>
          <w:instrText xml:space="preserve"> PAGEREF _Toc126309897 \h </w:instrText>
        </w:r>
        <w:r>
          <w:rPr>
            <w:noProof/>
            <w:webHidden/>
          </w:rPr>
        </w:r>
        <w:r>
          <w:rPr>
            <w:noProof/>
            <w:webHidden/>
          </w:rPr>
          <w:fldChar w:fldCharType="separate"/>
        </w:r>
        <w:r>
          <w:rPr>
            <w:noProof/>
            <w:webHidden/>
          </w:rPr>
          <w:t>39</w:t>
        </w:r>
        <w:r>
          <w:rPr>
            <w:noProof/>
            <w:webHidden/>
          </w:rPr>
          <w:fldChar w:fldCharType="end"/>
        </w:r>
      </w:hyperlink>
    </w:p>
    <w:p w14:paraId="750F6142" w14:textId="717FB54E"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8" w:history="1">
        <w:r w:rsidRPr="005B7B56">
          <w:rPr>
            <w:rStyle w:val="Hiperpovezava"/>
            <w:noProof/>
            <w:lang w:val="en-GB"/>
          </w:rPr>
          <w:t>Figure 19: The Envinet Mira dose rate meter at the Ljubljana Brinje location</w:t>
        </w:r>
        <w:r>
          <w:rPr>
            <w:noProof/>
            <w:webHidden/>
          </w:rPr>
          <w:tab/>
        </w:r>
        <w:r>
          <w:rPr>
            <w:noProof/>
            <w:webHidden/>
          </w:rPr>
          <w:fldChar w:fldCharType="begin"/>
        </w:r>
        <w:r>
          <w:rPr>
            <w:noProof/>
            <w:webHidden/>
          </w:rPr>
          <w:instrText xml:space="preserve"> PAGEREF _Toc126309898 \h </w:instrText>
        </w:r>
        <w:r>
          <w:rPr>
            <w:noProof/>
            <w:webHidden/>
          </w:rPr>
        </w:r>
        <w:r>
          <w:rPr>
            <w:noProof/>
            <w:webHidden/>
          </w:rPr>
          <w:fldChar w:fldCharType="separate"/>
        </w:r>
        <w:r>
          <w:rPr>
            <w:noProof/>
            <w:webHidden/>
          </w:rPr>
          <w:t>40</w:t>
        </w:r>
        <w:r>
          <w:rPr>
            <w:noProof/>
            <w:webHidden/>
          </w:rPr>
          <w:fldChar w:fldCharType="end"/>
        </w:r>
      </w:hyperlink>
    </w:p>
    <w:p w14:paraId="6A130DC5" w14:textId="49DF9804"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899" w:history="1">
        <w:r w:rsidRPr="005B7B56">
          <w:rPr>
            <w:rStyle w:val="Hiperpovezava"/>
            <w:noProof/>
            <w:lang w:val="en-GB"/>
          </w:rPr>
          <w:t xml:space="preserve">Figure 20: Average annual specific activities of </w:t>
        </w:r>
        <w:r w:rsidRPr="005B7B56">
          <w:rPr>
            <w:rStyle w:val="Hiperpovezava"/>
            <w:noProof/>
            <w:vertAlign w:val="superscript"/>
            <w:lang w:val="en-GB"/>
          </w:rPr>
          <w:t>137</w:t>
        </w:r>
        <w:r w:rsidRPr="005B7B56">
          <w:rPr>
            <w:rStyle w:val="Hiperpovezava"/>
            <w:noProof/>
            <w:lang w:val="en-GB"/>
          </w:rPr>
          <w:t>Cs in the air in Ljubljana since 1981</w:t>
        </w:r>
        <w:r>
          <w:rPr>
            <w:noProof/>
            <w:webHidden/>
          </w:rPr>
          <w:tab/>
        </w:r>
        <w:r>
          <w:rPr>
            <w:noProof/>
            <w:webHidden/>
          </w:rPr>
          <w:fldChar w:fldCharType="begin"/>
        </w:r>
        <w:r>
          <w:rPr>
            <w:noProof/>
            <w:webHidden/>
          </w:rPr>
          <w:instrText xml:space="preserve"> PAGEREF _Toc126309899 \h </w:instrText>
        </w:r>
        <w:r>
          <w:rPr>
            <w:noProof/>
            <w:webHidden/>
          </w:rPr>
        </w:r>
        <w:r>
          <w:rPr>
            <w:noProof/>
            <w:webHidden/>
          </w:rPr>
          <w:fldChar w:fldCharType="separate"/>
        </w:r>
        <w:r>
          <w:rPr>
            <w:noProof/>
            <w:webHidden/>
          </w:rPr>
          <w:t>41</w:t>
        </w:r>
        <w:r>
          <w:rPr>
            <w:noProof/>
            <w:webHidden/>
          </w:rPr>
          <w:fldChar w:fldCharType="end"/>
        </w:r>
      </w:hyperlink>
    </w:p>
    <w:p w14:paraId="780434E0" w14:textId="79ABB8E3"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0" w:history="1">
        <w:r w:rsidRPr="005B7B56">
          <w:rPr>
            <w:rStyle w:val="Hiperpovezava"/>
            <w:noProof/>
            <w:lang w:val="en-GB"/>
          </w:rPr>
          <w:t xml:space="preserve">Figure 21: Seasonal variations of </w:t>
        </w:r>
        <w:r w:rsidRPr="005B7B56">
          <w:rPr>
            <w:rStyle w:val="Hiperpovezava"/>
            <w:noProof/>
            <w:vertAlign w:val="superscript"/>
            <w:lang w:val="en-GB"/>
          </w:rPr>
          <w:t>137</w:t>
        </w:r>
        <w:r w:rsidRPr="005B7B56">
          <w:rPr>
            <w:rStyle w:val="Hiperpovezava"/>
            <w:noProof/>
            <w:lang w:val="en-GB"/>
          </w:rPr>
          <w:t>Cs concentrations in the air in Ljubljana</w:t>
        </w:r>
        <w:r>
          <w:rPr>
            <w:noProof/>
            <w:webHidden/>
          </w:rPr>
          <w:tab/>
        </w:r>
        <w:r>
          <w:rPr>
            <w:noProof/>
            <w:webHidden/>
          </w:rPr>
          <w:fldChar w:fldCharType="begin"/>
        </w:r>
        <w:r>
          <w:rPr>
            <w:noProof/>
            <w:webHidden/>
          </w:rPr>
          <w:instrText xml:space="preserve"> PAGEREF _Toc126309900 \h </w:instrText>
        </w:r>
        <w:r>
          <w:rPr>
            <w:noProof/>
            <w:webHidden/>
          </w:rPr>
        </w:r>
        <w:r>
          <w:rPr>
            <w:noProof/>
            <w:webHidden/>
          </w:rPr>
          <w:fldChar w:fldCharType="separate"/>
        </w:r>
        <w:r>
          <w:rPr>
            <w:noProof/>
            <w:webHidden/>
          </w:rPr>
          <w:t>41</w:t>
        </w:r>
        <w:r>
          <w:rPr>
            <w:noProof/>
            <w:webHidden/>
          </w:rPr>
          <w:fldChar w:fldCharType="end"/>
        </w:r>
      </w:hyperlink>
    </w:p>
    <w:p w14:paraId="546D6E4F" w14:textId="66D354B6"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1" w:history="1">
        <w:r w:rsidRPr="005B7B56">
          <w:rPr>
            <w:rStyle w:val="Hiperpovezava"/>
            <w:noProof/>
            <w:lang w:val="en-GB"/>
          </w:rPr>
          <w:t>Figure 22: Estimated effective dose due to environmental contamination with long-lived artificial radionuclides for adults (Slovenian average) since 2000</w:t>
        </w:r>
        <w:r>
          <w:rPr>
            <w:noProof/>
            <w:webHidden/>
          </w:rPr>
          <w:tab/>
        </w:r>
        <w:r>
          <w:rPr>
            <w:noProof/>
            <w:webHidden/>
          </w:rPr>
          <w:fldChar w:fldCharType="begin"/>
        </w:r>
        <w:r>
          <w:rPr>
            <w:noProof/>
            <w:webHidden/>
          </w:rPr>
          <w:instrText xml:space="preserve"> PAGEREF _Toc126309901 \h </w:instrText>
        </w:r>
        <w:r>
          <w:rPr>
            <w:noProof/>
            <w:webHidden/>
          </w:rPr>
        </w:r>
        <w:r>
          <w:rPr>
            <w:noProof/>
            <w:webHidden/>
          </w:rPr>
          <w:fldChar w:fldCharType="separate"/>
        </w:r>
        <w:r>
          <w:rPr>
            <w:noProof/>
            <w:webHidden/>
          </w:rPr>
          <w:t>43</w:t>
        </w:r>
        <w:r>
          <w:rPr>
            <w:noProof/>
            <w:webHidden/>
          </w:rPr>
          <w:fldChar w:fldCharType="end"/>
        </w:r>
      </w:hyperlink>
    </w:p>
    <w:p w14:paraId="052DAD23" w14:textId="66F92F07"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2" w:history="1">
        <w:r w:rsidRPr="005B7B56">
          <w:rPr>
            <w:rStyle w:val="Hiperpovezava"/>
            <w:noProof/>
            <w:lang w:val="en-GB"/>
          </w:rPr>
          <w:t xml:space="preserve">Figure 23: The activity of released </w:t>
        </w:r>
        <w:r w:rsidRPr="005B7B56">
          <w:rPr>
            <w:rStyle w:val="Hiperpovezava"/>
            <w:noProof/>
            <w:vertAlign w:val="superscript"/>
            <w:lang w:val="en-GB"/>
          </w:rPr>
          <w:t>3</w:t>
        </w:r>
        <w:r w:rsidRPr="005B7B56">
          <w:rPr>
            <w:rStyle w:val="Hiperpovezava"/>
            <w:noProof/>
            <w:lang w:val="en-GB"/>
          </w:rPr>
          <w:t>H in liquid discharges in the Krško NPP</w:t>
        </w:r>
        <w:r>
          <w:rPr>
            <w:noProof/>
            <w:webHidden/>
          </w:rPr>
          <w:tab/>
        </w:r>
        <w:r>
          <w:rPr>
            <w:noProof/>
            <w:webHidden/>
          </w:rPr>
          <w:fldChar w:fldCharType="begin"/>
        </w:r>
        <w:r>
          <w:rPr>
            <w:noProof/>
            <w:webHidden/>
          </w:rPr>
          <w:instrText xml:space="preserve"> PAGEREF _Toc126309902 \h </w:instrText>
        </w:r>
        <w:r>
          <w:rPr>
            <w:noProof/>
            <w:webHidden/>
          </w:rPr>
        </w:r>
        <w:r>
          <w:rPr>
            <w:noProof/>
            <w:webHidden/>
          </w:rPr>
          <w:fldChar w:fldCharType="separate"/>
        </w:r>
        <w:r>
          <w:rPr>
            <w:noProof/>
            <w:webHidden/>
          </w:rPr>
          <w:t>45</w:t>
        </w:r>
        <w:r>
          <w:rPr>
            <w:noProof/>
            <w:webHidden/>
          </w:rPr>
          <w:fldChar w:fldCharType="end"/>
        </w:r>
      </w:hyperlink>
    </w:p>
    <w:p w14:paraId="4457C26D" w14:textId="1A0873EC"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3" w:history="1">
        <w:r w:rsidRPr="005B7B56">
          <w:rPr>
            <w:rStyle w:val="Hiperpovezava"/>
            <w:noProof/>
            <w:lang w:val="en-GB"/>
          </w:rPr>
          <w:t xml:space="preserve">Figure 24: </w:t>
        </w:r>
        <w:r w:rsidRPr="005B7B56">
          <w:rPr>
            <w:rStyle w:val="Hiperpovezava"/>
            <w:noProof/>
            <w:vertAlign w:val="superscript"/>
            <w:lang w:val="en-GB"/>
          </w:rPr>
          <w:t>222</w:t>
        </w:r>
        <w:r w:rsidRPr="005B7B56">
          <w:rPr>
            <w:rStyle w:val="Hiperpovezava"/>
            <w:noProof/>
            <w:lang w:val="en-GB"/>
          </w:rPr>
          <w:t>Rn emissions from the Central Radioactive Waste Storage Facility in Brinje</w:t>
        </w:r>
        <w:r>
          <w:rPr>
            <w:noProof/>
            <w:webHidden/>
          </w:rPr>
          <w:tab/>
        </w:r>
        <w:r>
          <w:rPr>
            <w:noProof/>
            <w:webHidden/>
          </w:rPr>
          <w:fldChar w:fldCharType="begin"/>
        </w:r>
        <w:r>
          <w:rPr>
            <w:noProof/>
            <w:webHidden/>
          </w:rPr>
          <w:instrText xml:space="preserve"> PAGEREF _Toc126309903 \h </w:instrText>
        </w:r>
        <w:r>
          <w:rPr>
            <w:noProof/>
            <w:webHidden/>
          </w:rPr>
        </w:r>
        <w:r>
          <w:rPr>
            <w:noProof/>
            <w:webHidden/>
          </w:rPr>
          <w:fldChar w:fldCharType="separate"/>
        </w:r>
        <w:r>
          <w:rPr>
            <w:noProof/>
            <w:webHidden/>
          </w:rPr>
          <w:t>48</w:t>
        </w:r>
        <w:r>
          <w:rPr>
            <w:noProof/>
            <w:webHidden/>
          </w:rPr>
          <w:fldChar w:fldCharType="end"/>
        </w:r>
      </w:hyperlink>
    </w:p>
    <w:p w14:paraId="75CA979A" w14:textId="132E7E10"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4" w:history="1">
        <w:r w:rsidRPr="005B7B56">
          <w:rPr>
            <w:rStyle w:val="Hiperpovezava"/>
            <w:noProof/>
            <w:lang w:val="en-GB"/>
          </w:rPr>
          <w:t>Figure 25: Annual contributions to the effective dose received by an adult member of the public due to the former Žirovski Vrh Uranium Mine in the period 1989–2021</w:t>
        </w:r>
        <w:r>
          <w:rPr>
            <w:noProof/>
            <w:webHidden/>
          </w:rPr>
          <w:tab/>
        </w:r>
        <w:r>
          <w:rPr>
            <w:noProof/>
            <w:webHidden/>
          </w:rPr>
          <w:fldChar w:fldCharType="begin"/>
        </w:r>
        <w:r>
          <w:rPr>
            <w:noProof/>
            <w:webHidden/>
          </w:rPr>
          <w:instrText xml:space="preserve"> PAGEREF _Toc126309904 \h </w:instrText>
        </w:r>
        <w:r>
          <w:rPr>
            <w:noProof/>
            <w:webHidden/>
          </w:rPr>
        </w:r>
        <w:r>
          <w:rPr>
            <w:noProof/>
            <w:webHidden/>
          </w:rPr>
          <w:fldChar w:fldCharType="separate"/>
        </w:r>
        <w:r>
          <w:rPr>
            <w:noProof/>
            <w:webHidden/>
          </w:rPr>
          <w:t>51</w:t>
        </w:r>
        <w:r>
          <w:rPr>
            <w:noProof/>
            <w:webHidden/>
          </w:rPr>
          <w:fldChar w:fldCharType="end"/>
        </w:r>
      </w:hyperlink>
    </w:p>
    <w:p w14:paraId="7826DE23" w14:textId="69F644ED"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5" w:history="1">
        <w:r w:rsidRPr="005B7B56">
          <w:rPr>
            <w:rStyle w:val="Hiperpovezava"/>
            <w:noProof/>
            <w:lang w:val="en-GB"/>
          </w:rPr>
          <w:t>Figure 26: The accumulation of low- and intermediate-level radioactive waste in the Krško NPP storage</w:t>
        </w:r>
        <w:r>
          <w:rPr>
            <w:noProof/>
            <w:webHidden/>
          </w:rPr>
          <w:tab/>
        </w:r>
        <w:r>
          <w:rPr>
            <w:noProof/>
            <w:webHidden/>
          </w:rPr>
          <w:fldChar w:fldCharType="begin"/>
        </w:r>
        <w:r>
          <w:rPr>
            <w:noProof/>
            <w:webHidden/>
          </w:rPr>
          <w:instrText xml:space="preserve"> PAGEREF _Toc126309905 \h </w:instrText>
        </w:r>
        <w:r>
          <w:rPr>
            <w:noProof/>
            <w:webHidden/>
          </w:rPr>
        </w:r>
        <w:r>
          <w:rPr>
            <w:noProof/>
            <w:webHidden/>
          </w:rPr>
          <w:fldChar w:fldCharType="separate"/>
        </w:r>
        <w:r>
          <w:rPr>
            <w:noProof/>
            <w:webHidden/>
          </w:rPr>
          <w:t>62</w:t>
        </w:r>
        <w:r>
          <w:rPr>
            <w:noProof/>
            <w:webHidden/>
          </w:rPr>
          <w:fldChar w:fldCharType="end"/>
        </w:r>
      </w:hyperlink>
    </w:p>
    <w:p w14:paraId="0624D3D6" w14:textId="4D583CA2"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6" w:history="1">
        <w:r w:rsidRPr="005B7B56">
          <w:rPr>
            <w:rStyle w:val="Hiperpovezava"/>
            <w:noProof/>
            <w:lang w:val="en-GB"/>
          </w:rPr>
          <w:t>Figure 27: The number of annually spent fuel assemblies and the total number of such elements in the pool of the Krško NPP</w:t>
        </w:r>
        <w:r>
          <w:rPr>
            <w:noProof/>
            <w:webHidden/>
          </w:rPr>
          <w:tab/>
        </w:r>
        <w:r>
          <w:rPr>
            <w:noProof/>
            <w:webHidden/>
          </w:rPr>
          <w:fldChar w:fldCharType="begin"/>
        </w:r>
        <w:r>
          <w:rPr>
            <w:noProof/>
            <w:webHidden/>
          </w:rPr>
          <w:instrText xml:space="preserve"> PAGEREF _Toc126309906 \h </w:instrText>
        </w:r>
        <w:r>
          <w:rPr>
            <w:noProof/>
            <w:webHidden/>
          </w:rPr>
        </w:r>
        <w:r>
          <w:rPr>
            <w:noProof/>
            <w:webHidden/>
          </w:rPr>
          <w:fldChar w:fldCharType="separate"/>
        </w:r>
        <w:r>
          <w:rPr>
            <w:noProof/>
            <w:webHidden/>
          </w:rPr>
          <w:t>63</w:t>
        </w:r>
        <w:r>
          <w:rPr>
            <w:noProof/>
            <w:webHidden/>
          </w:rPr>
          <w:fldChar w:fldCharType="end"/>
        </w:r>
      </w:hyperlink>
    </w:p>
    <w:p w14:paraId="4DDF7A9B" w14:textId="27E0B9BB"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7" w:history="1">
        <w:r w:rsidRPr="005B7B56">
          <w:rPr>
            <w:rStyle w:val="Hiperpovezava"/>
            <w:noProof/>
            <w:lang w:val="en-GB"/>
          </w:rPr>
          <w:t>Figure 28</w:t>
        </w:r>
        <w:r w:rsidRPr="005B7B56">
          <w:rPr>
            <w:rStyle w:val="Hiperpovezava"/>
            <w:rFonts w:eastAsiaTheme="minorHAnsi"/>
            <w:noProof/>
            <w:lang w:val="en-GB"/>
          </w:rPr>
          <w:t>: Presentation of the Fund’s assets as of 31 December 2021 in EUR million</w:t>
        </w:r>
        <w:r>
          <w:rPr>
            <w:noProof/>
            <w:webHidden/>
          </w:rPr>
          <w:tab/>
        </w:r>
        <w:r>
          <w:rPr>
            <w:noProof/>
            <w:webHidden/>
          </w:rPr>
          <w:fldChar w:fldCharType="begin"/>
        </w:r>
        <w:r>
          <w:rPr>
            <w:noProof/>
            <w:webHidden/>
          </w:rPr>
          <w:instrText xml:space="preserve"> PAGEREF _Toc126309907 \h </w:instrText>
        </w:r>
        <w:r>
          <w:rPr>
            <w:noProof/>
            <w:webHidden/>
          </w:rPr>
        </w:r>
        <w:r>
          <w:rPr>
            <w:noProof/>
            <w:webHidden/>
          </w:rPr>
          <w:fldChar w:fldCharType="separate"/>
        </w:r>
        <w:r>
          <w:rPr>
            <w:noProof/>
            <w:webHidden/>
          </w:rPr>
          <w:t>71</w:t>
        </w:r>
        <w:r>
          <w:rPr>
            <w:noProof/>
            <w:webHidden/>
          </w:rPr>
          <w:fldChar w:fldCharType="end"/>
        </w:r>
      </w:hyperlink>
    </w:p>
    <w:p w14:paraId="6B44E650" w14:textId="116F5930" w:rsidR="00F32DE1" w:rsidRPr="00CD2EEF" w:rsidRDefault="001E281E" w:rsidP="001E281E">
      <w:pPr>
        <w:pStyle w:val="LPnavaden"/>
        <w:rPr>
          <w:lang w:val="en-GB"/>
        </w:rPr>
      </w:pPr>
      <w:r w:rsidRPr="00CD2EEF">
        <w:rPr>
          <w:lang w:val="en-GB"/>
        </w:rPr>
        <w:fldChar w:fldCharType="end"/>
      </w:r>
    </w:p>
    <w:p w14:paraId="4D446A5F" w14:textId="1E527492" w:rsidR="00F32DE1" w:rsidRPr="00CD2EEF" w:rsidRDefault="00F32DE1" w:rsidP="00F32DE1">
      <w:pPr>
        <w:pStyle w:val="LPnavaden"/>
        <w:rPr>
          <w:b/>
          <w:bCs/>
          <w:color w:val="0070C0"/>
          <w:sz w:val="36"/>
          <w:szCs w:val="36"/>
          <w:lang w:val="en-GB"/>
        </w:rPr>
      </w:pPr>
      <w:r w:rsidRPr="00CD2EEF">
        <w:rPr>
          <w:b/>
          <w:bCs/>
          <w:color w:val="0070C0"/>
          <w:sz w:val="36"/>
          <w:szCs w:val="36"/>
          <w:lang w:val="en-GB"/>
        </w:rPr>
        <w:t>TABLE OF TABLES</w:t>
      </w:r>
      <w:r w:rsidR="005942C1">
        <w:rPr>
          <w:b/>
          <w:bCs/>
          <w:color w:val="0070C0"/>
          <w:sz w:val="36"/>
          <w:szCs w:val="36"/>
          <w:lang w:val="en-GB"/>
        </w:rPr>
        <w:t xml:space="preserve"> </w:t>
      </w:r>
    </w:p>
    <w:p w14:paraId="451D91DE" w14:textId="747531F4" w:rsidR="00F727A3" w:rsidRDefault="001E281E">
      <w:pPr>
        <w:pStyle w:val="Kazaloslik"/>
        <w:tabs>
          <w:tab w:val="right" w:leader="dot" w:pos="9062"/>
        </w:tabs>
        <w:rPr>
          <w:rFonts w:asciiTheme="minorHAnsi" w:eastAsiaTheme="minorEastAsia" w:hAnsiTheme="minorHAnsi" w:cstheme="minorBidi"/>
          <w:noProof/>
          <w:sz w:val="22"/>
          <w:szCs w:val="22"/>
          <w:lang w:eastAsia="sl-SI"/>
        </w:rPr>
      </w:pPr>
      <w:r w:rsidRPr="00CD2EEF">
        <w:rPr>
          <w:lang w:val="en-GB"/>
        </w:rPr>
        <w:fldChar w:fldCharType="begin"/>
      </w:r>
      <w:r w:rsidRPr="00CD2EEF">
        <w:rPr>
          <w:lang w:val="en-GB"/>
        </w:rPr>
        <w:instrText xml:space="preserve"> TOC \h \z \c "Table" </w:instrText>
      </w:r>
      <w:r w:rsidRPr="00CD2EEF">
        <w:rPr>
          <w:lang w:val="en-GB"/>
        </w:rPr>
        <w:fldChar w:fldCharType="separate"/>
      </w:r>
      <w:hyperlink w:anchor="_Toc126309908" w:history="1">
        <w:r w:rsidR="00F727A3" w:rsidRPr="004C7C4A">
          <w:rPr>
            <w:rStyle w:val="Hiperpovezava"/>
            <w:noProof/>
            <w:lang w:val="en-GB"/>
          </w:rPr>
          <w:t>Table 1: The most important performance indicators for 2021</w:t>
        </w:r>
        <w:r w:rsidR="00F727A3">
          <w:rPr>
            <w:noProof/>
            <w:webHidden/>
          </w:rPr>
          <w:tab/>
        </w:r>
        <w:r w:rsidR="00F727A3">
          <w:rPr>
            <w:noProof/>
            <w:webHidden/>
          </w:rPr>
          <w:fldChar w:fldCharType="begin"/>
        </w:r>
        <w:r w:rsidR="00F727A3">
          <w:rPr>
            <w:noProof/>
            <w:webHidden/>
          </w:rPr>
          <w:instrText xml:space="preserve"> PAGEREF _Toc126309908 \h </w:instrText>
        </w:r>
        <w:r w:rsidR="00F727A3">
          <w:rPr>
            <w:noProof/>
            <w:webHidden/>
          </w:rPr>
        </w:r>
        <w:r w:rsidR="00F727A3">
          <w:rPr>
            <w:noProof/>
            <w:webHidden/>
          </w:rPr>
          <w:fldChar w:fldCharType="separate"/>
        </w:r>
        <w:r w:rsidR="00F727A3">
          <w:rPr>
            <w:noProof/>
            <w:webHidden/>
          </w:rPr>
          <w:t>9</w:t>
        </w:r>
        <w:r w:rsidR="00F727A3">
          <w:rPr>
            <w:noProof/>
            <w:webHidden/>
          </w:rPr>
          <w:fldChar w:fldCharType="end"/>
        </w:r>
      </w:hyperlink>
    </w:p>
    <w:p w14:paraId="1A71D8D4" w14:textId="79E3A2F0"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09" w:history="1">
        <w:r w:rsidRPr="004C7C4A">
          <w:rPr>
            <w:rStyle w:val="Hiperpovezava"/>
            <w:noProof/>
            <w:lang w:val="en-GB"/>
          </w:rPr>
          <w:t>Table 2: Time analysis of the operation of the Krško NPP in 2021</w:t>
        </w:r>
        <w:r>
          <w:rPr>
            <w:noProof/>
            <w:webHidden/>
          </w:rPr>
          <w:tab/>
        </w:r>
        <w:r>
          <w:rPr>
            <w:noProof/>
            <w:webHidden/>
          </w:rPr>
          <w:fldChar w:fldCharType="begin"/>
        </w:r>
        <w:r>
          <w:rPr>
            <w:noProof/>
            <w:webHidden/>
          </w:rPr>
          <w:instrText xml:space="preserve"> PAGEREF _Toc126309909 \h </w:instrText>
        </w:r>
        <w:r>
          <w:rPr>
            <w:noProof/>
            <w:webHidden/>
          </w:rPr>
        </w:r>
        <w:r>
          <w:rPr>
            <w:noProof/>
            <w:webHidden/>
          </w:rPr>
          <w:fldChar w:fldCharType="separate"/>
        </w:r>
        <w:r>
          <w:rPr>
            <w:noProof/>
            <w:webHidden/>
          </w:rPr>
          <w:t>9</w:t>
        </w:r>
        <w:r>
          <w:rPr>
            <w:noProof/>
            <w:webHidden/>
          </w:rPr>
          <w:fldChar w:fldCharType="end"/>
        </w:r>
      </w:hyperlink>
    </w:p>
    <w:p w14:paraId="1C97F511" w14:textId="43C839FD"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0" w:history="1">
        <w:r w:rsidRPr="004C7C4A">
          <w:rPr>
            <w:rStyle w:val="Hiperpovezava"/>
            <w:noProof/>
            <w:lang w:val="en-GB"/>
          </w:rPr>
          <w:t>Table 3: The number of X-ray devices in medicine and veterinary medicine by purpose</w:t>
        </w:r>
        <w:r>
          <w:rPr>
            <w:noProof/>
            <w:webHidden/>
          </w:rPr>
          <w:tab/>
        </w:r>
        <w:r>
          <w:rPr>
            <w:noProof/>
            <w:webHidden/>
          </w:rPr>
          <w:fldChar w:fldCharType="begin"/>
        </w:r>
        <w:r>
          <w:rPr>
            <w:noProof/>
            <w:webHidden/>
          </w:rPr>
          <w:instrText xml:space="preserve"> PAGEREF _Toc126309910 \h </w:instrText>
        </w:r>
        <w:r>
          <w:rPr>
            <w:noProof/>
            <w:webHidden/>
          </w:rPr>
        </w:r>
        <w:r>
          <w:rPr>
            <w:noProof/>
            <w:webHidden/>
          </w:rPr>
          <w:fldChar w:fldCharType="separate"/>
        </w:r>
        <w:r>
          <w:rPr>
            <w:noProof/>
            <w:webHidden/>
          </w:rPr>
          <w:t>35</w:t>
        </w:r>
        <w:r>
          <w:rPr>
            <w:noProof/>
            <w:webHidden/>
          </w:rPr>
          <w:fldChar w:fldCharType="end"/>
        </w:r>
      </w:hyperlink>
    </w:p>
    <w:p w14:paraId="0CA13B8F" w14:textId="4C14E233"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1" w:history="1">
        <w:r w:rsidRPr="004C7C4A">
          <w:rPr>
            <w:rStyle w:val="Hiperpovezava"/>
            <w:noProof/>
            <w:lang w:val="en-GB"/>
          </w:rPr>
          <w:t>Table 4: The number of X-ray devices in medicine and veterinary medicine by ownership</w:t>
        </w:r>
        <w:r>
          <w:rPr>
            <w:noProof/>
            <w:webHidden/>
          </w:rPr>
          <w:tab/>
        </w:r>
        <w:r>
          <w:rPr>
            <w:noProof/>
            <w:webHidden/>
          </w:rPr>
          <w:fldChar w:fldCharType="begin"/>
        </w:r>
        <w:r>
          <w:rPr>
            <w:noProof/>
            <w:webHidden/>
          </w:rPr>
          <w:instrText xml:space="preserve"> PAGEREF _Toc126309911 \h </w:instrText>
        </w:r>
        <w:r>
          <w:rPr>
            <w:noProof/>
            <w:webHidden/>
          </w:rPr>
        </w:r>
        <w:r>
          <w:rPr>
            <w:noProof/>
            <w:webHidden/>
          </w:rPr>
          <w:fldChar w:fldCharType="separate"/>
        </w:r>
        <w:r>
          <w:rPr>
            <w:noProof/>
            <w:webHidden/>
          </w:rPr>
          <w:t>35</w:t>
        </w:r>
        <w:r>
          <w:rPr>
            <w:noProof/>
            <w:webHidden/>
          </w:rPr>
          <w:fldChar w:fldCharType="end"/>
        </w:r>
      </w:hyperlink>
    </w:p>
    <w:p w14:paraId="2076A123" w14:textId="1CA4717F"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2" w:history="1">
        <w:r w:rsidRPr="004C7C4A">
          <w:rPr>
            <w:rStyle w:val="Hiperpovezava"/>
            <w:noProof/>
            <w:lang w:val="en-GB"/>
          </w:rPr>
          <w:t>Table 5: The radiation exposure of the adult population in Slovenia due to global contamination of the environment with artificial radionuclides in 2021</w:t>
        </w:r>
        <w:r>
          <w:rPr>
            <w:noProof/>
            <w:webHidden/>
          </w:rPr>
          <w:tab/>
        </w:r>
        <w:r>
          <w:rPr>
            <w:noProof/>
            <w:webHidden/>
          </w:rPr>
          <w:fldChar w:fldCharType="begin"/>
        </w:r>
        <w:r>
          <w:rPr>
            <w:noProof/>
            <w:webHidden/>
          </w:rPr>
          <w:instrText xml:space="preserve"> PAGEREF _Toc126309912 \h </w:instrText>
        </w:r>
        <w:r>
          <w:rPr>
            <w:noProof/>
            <w:webHidden/>
          </w:rPr>
        </w:r>
        <w:r>
          <w:rPr>
            <w:noProof/>
            <w:webHidden/>
          </w:rPr>
          <w:fldChar w:fldCharType="separate"/>
        </w:r>
        <w:r>
          <w:rPr>
            <w:noProof/>
            <w:webHidden/>
          </w:rPr>
          <w:t>42</w:t>
        </w:r>
        <w:r>
          <w:rPr>
            <w:noProof/>
            <w:webHidden/>
          </w:rPr>
          <w:fldChar w:fldCharType="end"/>
        </w:r>
      </w:hyperlink>
    </w:p>
    <w:p w14:paraId="02107A6F" w14:textId="2427EE42"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3" w:history="1">
        <w:r w:rsidRPr="004C7C4A">
          <w:rPr>
            <w:rStyle w:val="Hiperpovezava"/>
            <w:noProof/>
            <w:lang w:val="en-GB"/>
          </w:rPr>
          <w:t>Table 6: Assessments of the partial exposure of an adult member of the reference public group due to atmospheric and liquid radioactive discharges from the Krško NPP in 2021</w:t>
        </w:r>
        <w:r>
          <w:rPr>
            <w:noProof/>
            <w:webHidden/>
          </w:rPr>
          <w:tab/>
        </w:r>
        <w:r>
          <w:rPr>
            <w:noProof/>
            <w:webHidden/>
          </w:rPr>
          <w:fldChar w:fldCharType="begin"/>
        </w:r>
        <w:r>
          <w:rPr>
            <w:noProof/>
            <w:webHidden/>
          </w:rPr>
          <w:instrText xml:space="preserve"> PAGEREF _Toc126309913 \h </w:instrText>
        </w:r>
        <w:r>
          <w:rPr>
            <w:noProof/>
            <w:webHidden/>
          </w:rPr>
        </w:r>
        <w:r>
          <w:rPr>
            <w:noProof/>
            <w:webHidden/>
          </w:rPr>
          <w:fldChar w:fldCharType="separate"/>
        </w:r>
        <w:r>
          <w:rPr>
            <w:noProof/>
            <w:webHidden/>
          </w:rPr>
          <w:t>46</w:t>
        </w:r>
        <w:r>
          <w:rPr>
            <w:noProof/>
            <w:webHidden/>
          </w:rPr>
          <w:fldChar w:fldCharType="end"/>
        </w:r>
      </w:hyperlink>
    </w:p>
    <w:p w14:paraId="4D35A913" w14:textId="46A64169"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4" w:history="1">
        <w:r w:rsidRPr="004C7C4A">
          <w:rPr>
            <w:rStyle w:val="Hiperpovezava"/>
            <w:noProof/>
            <w:lang w:val="en-GB"/>
          </w:rPr>
          <w:t>Table 7: The effective doses received by an adult member of the public living in the surroundings of the former Žirovski Vrh Uranium Mine in 2021</w:t>
        </w:r>
        <w:r>
          <w:rPr>
            <w:noProof/>
            <w:webHidden/>
          </w:rPr>
          <w:tab/>
        </w:r>
        <w:r>
          <w:rPr>
            <w:noProof/>
            <w:webHidden/>
          </w:rPr>
          <w:fldChar w:fldCharType="begin"/>
        </w:r>
        <w:r>
          <w:rPr>
            <w:noProof/>
            <w:webHidden/>
          </w:rPr>
          <w:instrText xml:space="preserve"> PAGEREF _Toc126309914 \h </w:instrText>
        </w:r>
        <w:r>
          <w:rPr>
            <w:noProof/>
            <w:webHidden/>
          </w:rPr>
        </w:r>
        <w:r>
          <w:rPr>
            <w:noProof/>
            <w:webHidden/>
          </w:rPr>
          <w:fldChar w:fldCharType="separate"/>
        </w:r>
        <w:r>
          <w:rPr>
            <w:noProof/>
            <w:webHidden/>
          </w:rPr>
          <w:t>50</w:t>
        </w:r>
        <w:r>
          <w:rPr>
            <w:noProof/>
            <w:webHidden/>
          </w:rPr>
          <w:fldChar w:fldCharType="end"/>
        </w:r>
      </w:hyperlink>
    </w:p>
    <w:p w14:paraId="1EA412F3" w14:textId="777298DE"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5" w:history="1">
        <w:r w:rsidRPr="004C7C4A">
          <w:rPr>
            <w:rStyle w:val="Hiperpovezava"/>
            <w:noProof/>
            <w:lang w:val="en-GB"/>
          </w:rPr>
          <w:t>Table 8: Exposures of adult individuals from the reference population group</w:t>
        </w:r>
        <w:r>
          <w:rPr>
            <w:noProof/>
            <w:webHidden/>
          </w:rPr>
          <w:tab/>
        </w:r>
        <w:r>
          <w:rPr>
            <w:noProof/>
            <w:webHidden/>
          </w:rPr>
          <w:fldChar w:fldCharType="begin"/>
        </w:r>
        <w:r>
          <w:rPr>
            <w:noProof/>
            <w:webHidden/>
          </w:rPr>
          <w:instrText xml:space="preserve"> PAGEREF _Toc126309915 \h </w:instrText>
        </w:r>
        <w:r>
          <w:rPr>
            <w:noProof/>
            <w:webHidden/>
          </w:rPr>
        </w:r>
        <w:r>
          <w:rPr>
            <w:noProof/>
            <w:webHidden/>
          </w:rPr>
          <w:fldChar w:fldCharType="separate"/>
        </w:r>
        <w:r>
          <w:rPr>
            <w:noProof/>
            <w:webHidden/>
          </w:rPr>
          <w:t>55</w:t>
        </w:r>
        <w:r>
          <w:rPr>
            <w:noProof/>
            <w:webHidden/>
          </w:rPr>
          <w:fldChar w:fldCharType="end"/>
        </w:r>
      </w:hyperlink>
    </w:p>
    <w:p w14:paraId="1777C4FA" w14:textId="4ABD965C"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6" w:history="1">
        <w:r w:rsidRPr="004C7C4A">
          <w:rPr>
            <w:rStyle w:val="Hiperpovezava"/>
            <w:noProof/>
            <w:lang w:val="en-GB"/>
          </w:rPr>
          <w:t>Table 9: The number of workers in different work sectors by dose interval (mSv)</w:t>
        </w:r>
        <w:r>
          <w:rPr>
            <w:noProof/>
            <w:webHidden/>
          </w:rPr>
          <w:tab/>
        </w:r>
        <w:r>
          <w:rPr>
            <w:noProof/>
            <w:webHidden/>
          </w:rPr>
          <w:fldChar w:fldCharType="begin"/>
        </w:r>
        <w:r>
          <w:rPr>
            <w:noProof/>
            <w:webHidden/>
          </w:rPr>
          <w:instrText xml:space="preserve"> PAGEREF _Toc126309916 \h </w:instrText>
        </w:r>
        <w:r>
          <w:rPr>
            <w:noProof/>
            <w:webHidden/>
          </w:rPr>
        </w:r>
        <w:r>
          <w:rPr>
            <w:noProof/>
            <w:webHidden/>
          </w:rPr>
          <w:fldChar w:fldCharType="separate"/>
        </w:r>
        <w:r>
          <w:rPr>
            <w:noProof/>
            <w:webHidden/>
          </w:rPr>
          <w:t>57</w:t>
        </w:r>
        <w:r>
          <w:rPr>
            <w:noProof/>
            <w:webHidden/>
          </w:rPr>
          <w:fldChar w:fldCharType="end"/>
        </w:r>
      </w:hyperlink>
    </w:p>
    <w:p w14:paraId="68CC7659" w14:textId="40FF9747"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7" w:history="1">
        <w:r w:rsidRPr="004C7C4A">
          <w:rPr>
            <w:rStyle w:val="Hiperpovezava"/>
            <w:noProof/>
            <w:lang w:val="en-GB"/>
          </w:rPr>
          <w:t>Table 10: Level of professional qualification of the employees at the SNSA</w:t>
        </w:r>
        <w:r>
          <w:rPr>
            <w:noProof/>
            <w:webHidden/>
          </w:rPr>
          <w:tab/>
        </w:r>
        <w:r>
          <w:rPr>
            <w:noProof/>
            <w:webHidden/>
          </w:rPr>
          <w:fldChar w:fldCharType="begin"/>
        </w:r>
        <w:r>
          <w:rPr>
            <w:noProof/>
            <w:webHidden/>
          </w:rPr>
          <w:instrText xml:space="preserve"> PAGEREF _Toc126309917 \h </w:instrText>
        </w:r>
        <w:r>
          <w:rPr>
            <w:noProof/>
            <w:webHidden/>
          </w:rPr>
        </w:r>
        <w:r>
          <w:rPr>
            <w:noProof/>
            <w:webHidden/>
          </w:rPr>
          <w:fldChar w:fldCharType="separate"/>
        </w:r>
        <w:r>
          <w:rPr>
            <w:noProof/>
            <w:webHidden/>
          </w:rPr>
          <w:t>100</w:t>
        </w:r>
        <w:r>
          <w:rPr>
            <w:noProof/>
            <w:webHidden/>
          </w:rPr>
          <w:fldChar w:fldCharType="end"/>
        </w:r>
      </w:hyperlink>
    </w:p>
    <w:p w14:paraId="06E511C5" w14:textId="02E36B2F" w:rsidR="00F727A3" w:rsidRDefault="00F727A3">
      <w:pPr>
        <w:pStyle w:val="Kazaloslik"/>
        <w:tabs>
          <w:tab w:val="right" w:leader="dot" w:pos="9062"/>
        </w:tabs>
        <w:rPr>
          <w:rFonts w:asciiTheme="minorHAnsi" w:eastAsiaTheme="minorEastAsia" w:hAnsiTheme="minorHAnsi" w:cstheme="minorBidi"/>
          <w:noProof/>
          <w:sz w:val="22"/>
          <w:szCs w:val="22"/>
          <w:lang w:eastAsia="sl-SI"/>
        </w:rPr>
      </w:pPr>
      <w:hyperlink w:anchor="_Toc126309918" w:history="1">
        <w:r w:rsidRPr="004C7C4A">
          <w:rPr>
            <w:rStyle w:val="Hiperpovezava"/>
            <w:noProof/>
            <w:lang w:val="en-GB"/>
          </w:rPr>
          <w:t>Table 11: The number of reactors in 2021 by country and their installed power</w:t>
        </w:r>
        <w:r>
          <w:rPr>
            <w:noProof/>
            <w:webHidden/>
          </w:rPr>
          <w:tab/>
        </w:r>
        <w:r>
          <w:rPr>
            <w:noProof/>
            <w:webHidden/>
          </w:rPr>
          <w:fldChar w:fldCharType="begin"/>
        </w:r>
        <w:r>
          <w:rPr>
            <w:noProof/>
            <w:webHidden/>
          </w:rPr>
          <w:instrText xml:space="preserve"> PAGEREF _Toc126309918 \h </w:instrText>
        </w:r>
        <w:r>
          <w:rPr>
            <w:noProof/>
            <w:webHidden/>
          </w:rPr>
        </w:r>
        <w:r>
          <w:rPr>
            <w:noProof/>
            <w:webHidden/>
          </w:rPr>
          <w:fldChar w:fldCharType="separate"/>
        </w:r>
        <w:r>
          <w:rPr>
            <w:noProof/>
            <w:webHidden/>
          </w:rPr>
          <w:t>125</w:t>
        </w:r>
        <w:r>
          <w:rPr>
            <w:noProof/>
            <w:webHidden/>
          </w:rPr>
          <w:fldChar w:fldCharType="end"/>
        </w:r>
      </w:hyperlink>
    </w:p>
    <w:p w14:paraId="54B19A26" w14:textId="1CE77973" w:rsidR="00F32DE1" w:rsidRPr="00CD2EEF" w:rsidRDefault="001E281E" w:rsidP="00F32DE1">
      <w:pPr>
        <w:rPr>
          <w:lang w:val="en-GB"/>
        </w:rPr>
      </w:pPr>
      <w:r w:rsidRPr="00CD2EEF">
        <w:rPr>
          <w:lang w:val="en-GB"/>
        </w:rPr>
        <w:fldChar w:fldCharType="end"/>
      </w:r>
    </w:p>
    <w:p w14:paraId="6770D3B5" w14:textId="6E76B56C" w:rsidR="00F32DE1" w:rsidRPr="00CD2EEF" w:rsidRDefault="00F32DE1" w:rsidP="008063E8">
      <w:pPr>
        <w:rPr>
          <w:lang w:val="en-GB"/>
        </w:rPr>
      </w:pPr>
    </w:p>
    <w:p w14:paraId="45C9A216" w14:textId="635C0992" w:rsidR="00CB3A79" w:rsidRPr="00CD2EEF" w:rsidRDefault="00CB3A79" w:rsidP="008063E8">
      <w:pPr>
        <w:rPr>
          <w:lang w:val="en-GB"/>
        </w:rPr>
      </w:pPr>
    </w:p>
    <w:p w14:paraId="4D9D71E6" w14:textId="75375461" w:rsidR="00CB3A79" w:rsidRPr="00CD2EEF" w:rsidRDefault="00CB3A79" w:rsidP="00CB3A79">
      <w:pPr>
        <w:pStyle w:val="LPNaslov1"/>
        <w:rPr>
          <w:lang w:val="en-GB"/>
        </w:rPr>
      </w:pPr>
      <w:bookmarkStart w:id="0" w:name="_Toc126311986"/>
      <w:r w:rsidRPr="00CD2EEF">
        <w:rPr>
          <w:lang w:val="en-GB"/>
        </w:rPr>
        <w:lastRenderedPageBreak/>
        <w:t>INTRODUCTION</w:t>
      </w:r>
      <w:bookmarkEnd w:id="0"/>
      <w:r w:rsidR="00176477">
        <w:rPr>
          <w:lang w:val="en-GB"/>
        </w:rPr>
        <w:t xml:space="preserve"> </w:t>
      </w:r>
    </w:p>
    <w:p w14:paraId="2C275D1F" w14:textId="3A6FBAA8" w:rsidR="00CB3A79" w:rsidRPr="00CD2EEF" w:rsidRDefault="00CB3A79" w:rsidP="00CB3A79">
      <w:pPr>
        <w:pStyle w:val="LPnavaden"/>
        <w:rPr>
          <w:lang w:val="en-GB"/>
        </w:rPr>
      </w:pPr>
      <w:r w:rsidRPr="00CD2EEF">
        <w:rPr>
          <w:lang w:val="en-GB"/>
        </w:rPr>
        <w:t xml:space="preserve">This report is prepared annually in accordance with the provisions of the </w:t>
      </w:r>
      <w:r w:rsidRPr="00CD2EEF">
        <w:rPr>
          <w:rStyle w:val="LPnavadenposevnoZnak"/>
          <w:lang w:val="en-GB"/>
        </w:rPr>
        <w:t>Ionising Radiation Protection and Nuclear Safety Act</w:t>
      </w:r>
      <w:r w:rsidRPr="00CD2EEF">
        <w:rPr>
          <w:lang w:val="en-GB"/>
        </w:rPr>
        <w:t xml:space="preserve">. It summarises all developments related to nuclear and radiation safety. The report is endorsed by the Slovenian Government and is thereafter sent to the National Assembly of Republic of Slovenia. It is also the main method of informing the general public of recent developments in the area of ionising radiation protection and nuclear safety. It has been issued since 1985. This English version is the essential publication for the presentation of these activities in Slovenia to the international public. </w:t>
      </w:r>
    </w:p>
    <w:p w14:paraId="7D2C3C8F" w14:textId="1D8D3C9A" w:rsidR="00CB3A79" w:rsidRPr="00CD2EEF" w:rsidRDefault="00CB3A79" w:rsidP="00CB3A79">
      <w:pPr>
        <w:pStyle w:val="LPnavaden"/>
        <w:rPr>
          <w:lang w:val="en-GB"/>
        </w:rPr>
      </w:pPr>
      <w:r w:rsidRPr="00CD2EEF">
        <w:rPr>
          <w:lang w:val="en-GB"/>
        </w:rPr>
        <w:t>The preparation of this report is coordinated by the Slovenian Nuclear Safety Administration (</w:t>
      </w:r>
      <w:r w:rsidR="00E63423">
        <w:rPr>
          <w:lang w:val="en-GB"/>
        </w:rPr>
        <w:t>the SNSA</w:t>
      </w:r>
      <w:r w:rsidRPr="00CD2EEF">
        <w:rPr>
          <w:lang w:val="en-GB"/>
        </w:rPr>
        <w:t>). The content of the report is contributed by other state bodies involved in protection against ionising radiation and nuclear safety, as well other institutions in this field. The most important contributors in 2021 were: the Slovenian Radiation Protection Administration (SRPA), the Administration of the Republic of Slovenia for Civil Protection and Disaster Relief (ACPRD), the Ministry of Infrastructure, the Ministry of the Interior, the Administration of the Republic of Slovenia for Food Safety, Veterinary and Plant Protection, the Agency for Radwaste Management (ARAO), the Nuclear Insurance and Reinsurance Pool, the Krško Nuclear Power Plant (</w:t>
      </w:r>
      <w:r w:rsidR="00C5169D">
        <w:rPr>
          <w:lang w:val="en-GB"/>
        </w:rPr>
        <w:t>the Krško NPP</w:t>
      </w:r>
      <w:r w:rsidRPr="00CD2EEF">
        <w:rPr>
          <w:lang w:val="en-GB"/>
        </w:rPr>
        <w:t xml:space="preserve">), Žirovski Vrh Mine, </w:t>
      </w:r>
      <w:r w:rsidRPr="00EA6A93">
        <w:rPr>
          <w:lang w:val="en-GB"/>
        </w:rPr>
        <w:t>d.</w:t>
      </w:r>
      <w:r w:rsidR="00EA6A93" w:rsidRPr="00EA6A93">
        <w:rPr>
          <w:lang w:val="en-GB"/>
        </w:rPr>
        <w:t> </w:t>
      </w:r>
      <w:r w:rsidRPr="00EA6A93">
        <w:rPr>
          <w:lang w:val="en-GB"/>
        </w:rPr>
        <w:t>o.</w:t>
      </w:r>
      <w:r w:rsidR="00EA6A93" w:rsidRPr="00EA6A93">
        <w:rPr>
          <w:lang w:val="en-GB"/>
        </w:rPr>
        <w:t> </w:t>
      </w:r>
      <w:r w:rsidRPr="00EA6A93">
        <w:rPr>
          <w:lang w:val="en-GB"/>
        </w:rPr>
        <w:t>o., the</w:t>
      </w:r>
      <w:r w:rsidRPr="00CD2EEF">
        <w:rPr>
          <w:lang w:val="en-GB"/>
        </w:rPr>
        <w:t xml:space="preserve"> Jožef Stefan Institute (JSI), the Institute of Occupational Safety (IOS), the Fund for Financing the Decommissioning of the Krško Nuclear Power Plant and for the Disposal of Radioactive Waste from </w:t>
      </w:r>
      <w:r w:rsidR="001B146F">
        <w:rPr>
          <w:lang w:val="en-GB"/>
        </w:rPr>
        <w:t>the Krško NPP</w:t>
      </w:r>
      <w:r w:rsidRPr="00CD2EEF">
        <w:rPr>
          <w:lang w:val="en-GB"/>
        </w:rPr>
        <w:t xml:space="preserve">, and others. </w:t>
      </w:r>
    </w:p>
    <w:p w14:paraId="251C3309" w14:textId="77777777" w:rsidR="00CB3A79" w:rsidRPr="00CD2EEF" w:rsidRDefault="00CB3A79" w:rsidP="00CB3A79">
      <w:pPr>
        <w:pStyle w:val="LPnavaden"/>
        <w:rPr>
          <w:lang w:val="en-GB"/>
        </w:rPr>
      </w:pPr>
      <w:r w:rsidRPr="00CD2EEF">
        <w:rPr>
          <w:lang w:val="en-GB"/>
        </w:rPr>
        <w:t xml:space="preserve">The year 2021 was quiet and it can be summarised that the fundamental goal of nuclear and radiation safety was achieved: </w:t>
      </w:r>
    </w:p>
    <w:p w14:paraId="45DEA820" w14:textId="77777777" w:rsidR="00CB3A79" w:rsidRPr="00CD2EEF" w:rsidRDefault="00CB3A79" w:rsidP="00CB3A79">
      <w:pPr>
        <w:pStyle w:val="LPnavadenposevno"/>
        <w:jc w:val="center"/>
        <w:rPr>
          <w:lang w:val="en-GB"/>
        </w:rPr>
      </w:pPr>
      <w:r w:rsidRPr="00CD2EEF">
        <w:rPr>
          <w:lang w:val="en-GB"/>
        </w:rPr>
        <w:t>The protection of people and the environment from unnecessary harmful effects of ionising radiation.</w:t>
      </w:r>
    </w:p>
    <w:p w14:paraId="25FC131A" w14:textId="07ECB8D6" w:rsidR="00CB3A79" w:rsidRPr="00CD2EEF" w:rsidRDefault="00CB3A79" w:rsidP="00CB3A79">
      <w:pPr>
        <w:pStyle w:val="LPnavaden"/>
        <w:rPr>
          <w:lang w:val="en-GB"/>
        </w:rPr>
        <w:sectPr w:rsidR="00CB3A79" w:rsidRPr="00CD2EEF">
          <w:pgSz w:w="11906" w:h="16838"/>
          <w:pgMar w:top="1417" w:right="1417" w:bottom="1417" w:left="1417" w:header="708" w:footer="708" w:gutter="0"/>
          <w:cols w:space="708"/>
          <w:docGrid w:linePitch="360"/>
        </w:sectPr>
      </w:pPr>
      <w:r w:rsidRPr="00CD2EEF">
        <w:rPr>
          <w:lang w:val="en-GB"/>
        </w:rPr>
        <w:t xml:space="preserve">Together with this report, which is aimed at the wider interested public, an extended version in Slovenian has been prepared. The extended report contains all details and data that might be of interest to a narrower group of professionals. It is available on </w:t>
      </w:r>
      <w:hyperlink r:id="rId16" w:history="1">
        <w:r w:rsidR="00E63423">
          <w:rPr>
            <w:rStyle w:val="Hiperpovezava"/>
            <w:lang w:val="en-GB"/>
          </w:rPr>
          <w:t>the SNSA</w:t>
        </w:r>
        <w:r w:rsidRPr="00CD2EEF">
          <w:rPr>
            <w:rStyle w:val="Hiperpovezava"/>
            <w:lang w:val="en-GB"/>
          </w:rPr>
          <w:t xml:space="preserve"> website</w:t>
        </w:r>
      </w:hyperlink>
      <w:r w:rsidR="00877C83" w:rsidRPr="00CD2EEF">
        <w:rPr>
          <w:rStyle w:val="Hiperpovezava"/>
          <w:lang w:val="en-GB"/>
        </w:rPr>
        <w:t>.</w:t>
      </w:r>
    </w:p>
    <w:p w14:paraId="1916865D" w14:textId="77777777" w:rsidR="00CB3A79" w:rsidRPr="00CD2EEF" w:rsidRDefault="00CB3A79" w:rsidP="00CB3A79">
      <w:pPr>
        <w:pStyle w:val="LPNaslov1"/>
        <w:rPr>
          <w:lang w:val="en-GB"/>
        </w:rPr>
      </w:pPr>
      <w:bookmarkStart w:id="1" w:name="_Toc126311987"/>
      <w:r w:rsidRPr="00CD2EEF">
        <w:rPr>
          <w:lang w:val="en-GB"/>
        </w:rPr>
        <w:lastRenderedPageBreak/>
        <w:t>OPERATIONAL SAFETY</w:t>
      </w:r>
      <w:bookmarkEnd w:id="1"/>
    </w:p>
    <w:p w14:paraId="102D51CA" w14:textId="77777777" w:rsidR="00CB3A79" w:rsidRPr="00CD2EEF" w:rsidRDefault="00CB3A79" w:rsidP="00CB3A79">
      <w:pPr>
        <w:pStyle w:val="LPNaslov2"/>
        <w:rPr>
          <w:lang w:val="en-GB"/>
        </w:rPr>
      </w:pPr>
      <w:bookmarkStart w:id="2" w:name="_Toc126311988"/>
      <w:r w:rsidRPr="00CD2EEF">
        <w:rPr>
          <w:lang w:val="en-GB"/>
        </w:rPr>
        <w:t>OPERATION OF NUCLEAR AND RADIATION FACILITIES</w:t>
      </w:r>
      <w:bookmarkEnd w:id="2"/>
    </w:p>
    <w:p w14:paraId="35A7681B" w14:textId="77777777" w:rsidR="00CB3A79" w:rsidRPr="00CD2EEF" w:rsidRDefault="00CB3A79" w:rsidP="00CB3A79">
      <w:pPr>
        <w:pStyle w:val="LPNaslov3"/>
        <w:rPr>
          <w:lang w:val="en-GB"/>
        </w:rPr>
      </w:pPr>
      <w:bookmarkStart w:id="3" w:name="_Toc126311989"/>
      <w:r w:rsidRPr="00CD2EEF">
        <w:rPr>
          <w:lang w:val="en-GB"/>
        </w:rPr>
        <w:t>Krško Nuclear Power Plant</w:t>
      </w:r>
      <w:bookmarkEnd w:id="3"/>
    </w:p>
    <w:p w14:paraId="7251B6B6" w14:textId="77777777" w:rsidR="00CB3A79" w:rsidRPr="00CD2EEF" w:rsidRDefault="00CB3A79" w:rsidP="00CB3A79">
      <w:pPr>
        <w:pStyle w:val="LPNaslov4"/>
        <w:rPr>
          <w:lang w:val="en-GB"/>
        </w:rPr>
      </w:pPr>
      <w:bookmarkStart w:id="4" w:name="ch2111"/>
      <w:r w:rsidRPr="00CD2EEF">
        <w:rPr>
          <w:lang w:val="en-GB"/>
        </w:rPr>
        <w:t>Operational Safety</w:t>
      </w:r>
    </w:p>
    <w:bookmarkEnd w:id="4"/>
    <w:p w14:paraId="43DB5B54" w14:textId="39C9582F" w:rsidR="00CB3A79" w:rsidRPr="00CD2EEF" w:rsidRDefault="00CB3A79" w:rsidP="00FE58B5">
      <w:pPr>
        <w:pStyle w:val="LPnavaden"/>
        <w:rPr>
          <w:lang w:val="en-GB"/>
        </w:rPr>
      </w:pPr>
      <w:r w:rsidRPr="00CD2EEF">
        <w:rPr>
          <w:lang w:val="en-GB"/>
        </w:rPr>
        <w:t xml:space="preserve">In 2021, </w:t>
      </w:r>
      <w:r w:rsidR="001B146F">
        <w:rPr>
          <w:lang w:val="en-GB"/>
        </w:rPr>
        <w:t>the Krško NPP</w:t>
      </w:r>
      <w:r w:rsidRPr="00CD2EEF">
        <w:rPr>
          <w:lang w:val="en-GB"/>
        </w:rPr>
        <w:t xml:space="preserve"> produced 5,705,951.3 MWh (5.7 TWh) gross electrical energy from the output of the generator, which corresponds to 5,418,643.3 MWh (5.4 TWh) net electrical energy delivered to the grid. </w:t>
      </w:r>
    </w:p>
    <w:p w14:paraId="514B7F0E" w14:textId="77267959" w:rsidR="00CB3A79" w:rsidRPr="00CD2EEF" w:rsidRDefault="00CB3A79" w:rsidP="00FE58B5">
      <w:pPr>
        <w:pStyle w:val="LPnavaden"/>
        <w:rPr>
          <w:lang w:val="en-GB"/>
        </w:rPr>
      </w:pPr>
      <w:r w:rsidRPr="00CD2EEF">
        <w:rPr>
          <w:lang w:val="en-GB"/>
        </w:rPr>
        <w:t xml:space="preserve">The most important performance indicators of </w:t>
      </w:r>
      <w:r w:rsidR="001B146F">
        <w:rPr>
          <w:lang w:val="en-GB"/>
        </w:rPr>
        <w:t>the Krško NPP</w:t>
      </w:r>
      <w:r w:rsidRPr="00CD2EEF">
        <w:rPr>
          <w:lang w:val="en-GB"/>
        </w:rPr>
        <w:t xml:space="preserve"> are shown in </w:t>
      </w:r>
      <w:hyperlink w:anchor="t01" w:history="1">
        <w:r w:rsidRPr="00CD2EEF">
          <w:rPr>
            <w:rStyle w:val="Hiperpovezava"/>
            <w:lang w:val="en-GB"/>
          </w:rPr>
          <w:t>Table 1</w:t>
        </w:r>
      </w:hyperlink>
      <w:r w:rsidRPr="00CD2EEF">
        <w:rPr>
          <w:lang w:val="en-GB"/>
        </w:rPr>
        <w:t xml:space="preserve"> and </w:t>
      </w:r>
      <w:hyperlink w:anchor="t02" w:history="1">
        <w:r w:rsidRPr="00CD2EEF">
          <w:rPr>
            <w:rStyle w:val="Hiperpovezava"/>
            <w:lang w:val="en-GB"/>
          </w:rPr>
          <w:t>Table 2</w:t>
        </w:r>
      </w:hyperlink>
      <w:r w:rsidRPr="00CD2EEF">
        <w:rPr>
          <w:lang w:val="en-GB"/>
        </w:rPr>
        <w:t>, while changes over the years are described in the following parts of this report. The performance indicators confirm that the plant</w:t>
      </w:r>
      <w:r w:rsidR="00F21D56">
        <w:rPr>
          <w:lang w:val="en-GB"/>
        </w:rPr>
        <w:t>’</w:t>
      </w:r>
      <w:r w:rsidRPr="00CD2EEF">
        <w:rPr>
          <w:lang w:val="en-GB"/>
        </w:rPr>
        <w:t>s operation is stable and safe.</w:t>
      </w:r>
    </w:p>
    <w:p w14:paraId="2291D4E8" w14:textId="689D45F5" w:rsidR="00490EA7" w:rsidRPr="00CD2EEF" w:rsidRDefault="00757AC2" w:rsidP="00757AC2">
      <w:pPr>
        <w:pStyle w:val="LPnaslovpreglednica"/>
        <w:rPr>
          <w:lang w:val="en-GB"/>
        </w:rPr>
      </w:pPr>
      <w:bookmarkStart w:id="5" w:name="_Toc46257295"/>
      <w:bookmarkStart w:id="6" w:name="_Toc47694738"/>
      <w:bookmarkStart w:id="7" w:name="_Toc84321458"/>
      <w:bookmarkStart w:id="8" w:name="_Toc126309908"/>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00BE0188" w:rsidRPr="00CD2EEF">
        <w:rPr>
          <w:lang w:val="en-GB"/>
        </w:rPr>
        <w:t>1</w:t>
      </w:r>
      <w:r w:rsidR="00366B6D" w:rsidRPr="00CD2EEF">
        <w:rPr>
          <w:lang w:val="en-GB"/>
        </w:rPr>
        <w:fldChar w:fldCharType="end"/>
      </w:r>
      <w:r w:rsidRPr="00CD2EEF">
        <w:rPr>
          <w:lang w:val="en-GB"/>
        </w:rPr>
        <w:t xml:space="preserve">: </w:t>
      </w:r>
      <w:r w:rsidR="00CB3A79" w:rsidRPr="00CD2EEF">
        <w:rPr>
          <w:lang w:val="en-GB"/>
        </w:rPr>
        <w:t>The most important performance indicators for 20</w:t>
      </w:r>
      <w:bookmarkEnd w:id="5"/>
      <w:bookmarkEnd w:id="6"/>
      <w:r w:rsidR="00CB3A79" w:rsidRPr="00CD2EEF">
        <w:rPr>
          <w:lang w:val="en-GB"/>
        </w:rPr>
        <w:t>2</w:t>
      </w:r>
      <w:bookmarkEnd w:id="7"/>
      <w:r w:rsidR="00CB3A79" w:rsidRPr="00CD2EEF">
        <w:rPr>
          <w:lang w:val="en-GB"/>
        </w:rPr>
        <w:t>1</w:t>
      </w:r>
      <w:bookmarkEnd w:id="8"/>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CB3A79" w:rsidRPr="00CD2EEF" w14:paraId="35A06784" w14:textId="77777777" w:rsidTr="00D73122">
        <w:tc>
          <w:tcPr>
            <w:tcW w:w="5220" w:type="dxa"/>
            <w:shd w:val="clear" w:color="auto" w:fill="5B9BD5" w:themeFill="accent1"/>
          </w:tcPr>
          <w:p w14:paraId="79ED12C2" w14:textId="77777777" w:rsidR="00CB3A79" w:rsidRPr="00CD2EEF" w:rsidRDefault="00CB3A79" w:rsidP="00FE58B5">
            <w:pPr>
              <w:pStyle w:val="LPpreglednicaglavasredina"/>
              <w:rPr>
                <w:lang w:val="en-GB"/>
              </w:rPr>
            </w:pPr>
            <w:bookmarkStart w:id="9" w:name="_Hlt46120406"/>
            <w:bookmarkStart w:id="10" w:name="t01"/>
            <w:r w:rsidRPr="00CD2EEF">
              <w:rPr>
                <w:lang w:val="en-GB"/>
              </w:rPr>
              <w:t>Safety and performance indicators</w:t>
            </w:r>
          </w:p>
        </w:tc>
        <w:tc>
          <w:tcPr>
            <w:tcW w:w="1260" w:type="dxa"/>
            <w:shd w:val="clear" w:color="auto" w:fill="5B9BD5" w:themeFill="accent1"/>
          </w:tcPr>
          <w:p w14:paraId="16F58F92" w14:textId="77777777" w:rsidR="00CB3A79" w:rsidRPr="00CD2EEF" w:rsidRDefault="00CB3A79" w:rsidP="00FE58B5">
            <w:pPr>
              <w:pStyle w:val="LPpreglednicaglavasredina"/>
              <w:rPr>
                <w:highlight w:val="yellow"/>
                <w:lang w:val="en-GB"/>
              </w:rPr>
            </w:pPr>
            <w:r w:rsidRPr="00CD2EEF">
              <w:rPr>
                <w:lang w:val="en-GB"/>
              </w:rPr>
              <w:t>Year 2021</w:t>
            </w:r>
          </w:p>
        </w:tc>
        <w:tc>
          <w:tcPr>
            <w:tcW w:w="1620" w:type="dxa"/>
            <w:shd w:val="clear" w:color="auto" w:fill="5B9BD5" w:themeFill="accent1"/>
          </w:tcPr>
          <w:p w14:paraId="65918783" w14:textId="77777777" w:rsidR="00CB3A79" w:rsidRPr="00CD2EEF" w:rsidRDefault="00CB3A79" w:rsidP="00FE58B5">
            <w:pPr>
              <w:pStyle w:val="LPpreglednicaglavasredina"/>
              <w:rPr>
                <w:lang w:val="en-GB"/>
              </w:rPr>
            </w:pPr>
            <w:r w:rsidRPr="00CD2EEF">
              <w:rPr>
                <w:lang w:val="en-GB"/>
              </w:rPr>
              <w:t>Average</w:t>
            </w:r>
          </w:p>
          <w:p w14:paraId="1B08A4A1" w14:textId="77777777" w:rsidR="00CB3A79" w:rsidRPr="00CD2EEF" w:rsidRDefault="00CB3A79" w:rsidP="00FE58B5">
            <w:pPr>
              <w:pStyle w:val="LPpreglednicaglavasredina"/>
              <w:rPr>
                <w:highlight w:val="yellow"/>
                <w:lang w:val="en-GB"/>
              </w:rPr>
            </w:pPr>
            <w:r w:rsidRPr="00CD2EEF">
              <w:rPr>
                <w:lang w:val="en-GB"/>
              </w:rPr>
              <w:t>(1983–2021)</w:t>
            </w:r>
          </w:p>
        </w:tc>
      </w:tr>
      <w:bookmarkEnd w:id="9"/>
      <w:tr w:rsidR="00CB3A79" w:rsidRPr="00CD2EEF" w14:paraId="6CB88422" w14:textId="77777777" w:rsidTr="00D73122">
        <w:trPr>
          <w:trHeight w:val="286"/>
        </w:trPr>
        <w:tc>
          <w:tcPr>
            <w:tcW w:w="5220" w:type="dxa"/>
          </w:tcPr>
          <w:p w14:paraId="65B0012D" w14:textId="77777777" w:rsidR="00CB3A79" w:rsidRPr="00CD2EEF" w:rsidRDefault="00CB3A79" w:rsidP="00FE58B5">
            <w:pPr>
              <w:pStyle w:val="LPpreglednicatelo"/>
              <w:rPr>
                <w:highlight w:val="yellow"/>
                <w:lang w:val="en-GB"/>
              </w:rPr>
            </w:pPr>
            <w:r w:rsidRPr="00CD2EEF">
              <w:rPr>
                <w:lang w:val="en-GB"/>
              </w:rPr>
              <w:t>Availability [%]</w:t>
            </w:r>
          </w:p>
        </w:tc>
        <w:tc>
          <w:tcPr>
            <w:tcW w:w="1260" w:type="dxa"/>
            <w:vAlign w:val="center"/>
          </w:tcPr>
          <w:p w14:paraId="2C2A0D77" w14:textId="77777777" w:rsidR="00CB3A79" w:rsidRPr="00CD2EEF" w:rsidRDefault="00CB3A79" w:rsidP="00FE58B5">
            <w:pPr>
              <w:pStyle w:val="LPpreglednicatelo"/>
              <w:rPr>
                <w:highlight w:val="yellow"/>
                <w:lang w:val="en-GB"/>
              </w:rPr>
            </w:pPr>
            <w:r w:rsidRPr="00CD2EEF">
              <w:rPr>
                <w:lang w:val="en-GB"/>
              </w:rPr>
              <w:t>90.7</w:t>
            </w:r>
          </w:p>
        </w:tc>
        <w:tc>
          <w:tcPr>
            <w:tcW w:w="1620" w:type="dxa"/>
            <w:vAlign w:val="center"/>
          </w:tcPr>
          <w:p w14:paraId="64535A35" w14:textId="77777777" w:rsidR="00CB3A79" w:rsidRPr="00CD2EEF" w:rsidRDefault="00CB3A79" w:rsidP="00FE58B5">
            <w:pPr>
              <w:pStyle w:val="LPpreglednicatelo"/>
              <w:rPr>
                <w:highlight w:val="yellow"/>
                <w:lang w:val="en-GB"/>
              </w:rPr>
            </w:pPr>
            <w:r w:rsidRPr="00CD2EEF">
              <w:rPr>
                <w:lang w:val="en-GB"/>
              </w:rPr>
              <w:t>87.98</w:t>
            </w:r>
          </w:p>
        </w:tc>
      </w:tr>
      <w:tr w:rsidR="00CB3A79" w:rsidRPr="00CD2EEF" w14:paraId="7B590BD8" w14:textId="77777777" w:rsidTr="00D73122">
        <w:trPr>
          <w:trHeight w:val="289"/>
        </w:trPr>
        <w:tc>
          <w:tcPr>
            <w:tcW w:w="5220" w:type="dxa"/>
          </w:tcPr>
          <w:p w14:paraId="7DB2073B" w14:textId="77777777" w:rsidR="00CB3A79" w:rsidRPr="00CD2EEF" w:rsidRDefault="00CB3A79" w:rsidP="00FE58B5">
            <w:pPr>
              <w:pStyle w:val="LPpreglednicatelo"/>
              <w:rPr>
                <w:highlight w:val="yellow"/>
                <w:lang w:val="en-GB"/>
              </w:rPr>
            </w:pPr>
            <w:r w:rsidRPr="00CD2EEF">
              <w:rPr>
                <w:lang w:val="en-GB"/>
              </w:rPr>
              <w:t>Capacity factor [%]</w:t>
            </w:r>
          </w:p>
        </w:tc>
        <w:tc>
          <w:tcPr>
            <w:tcW w:w="1260" w:type="dxa"/>
            <w:vAlign w:val="center"/>
          </w:tcPr>
          <w:p w14:paraId="31CC5E71" w14:textId="77777777" w:rsidR="00CB3A79" w:rsidRPr="00CD2EEF" w:rsidRDefault="00CB3A79" w:rsidP="00FE58B5">
            <w:pPr>
              <w:pStyle w:val="LPpreglednicatelo"/>
              <w:rPr>
                <w:highlight w:val="yellow"/>
                <w:lang w:val="en-GB"/>
              </w:rPr>
            </w:pPr>
            <w:r w:rsidRPr="00CD2EEF">
              <w:rPr>
                <w:lang w:val="en-GB"/>
              </w:rPr>
              <w:t>92.9</w:t>
            </w:r>
          </w:p>
        </w:tc>
        <w:tc>
          <w:tcPr>
            <w:tcW w:w="1620" w:type="dxa"/>
            <w:vAlign w:val="center"/>
          </w:tcPr>
          <w:p w14:paraId="084FE035" w14:textId="77777777" w:rsidR="00CB3A79" w:rsidRPr="00CD2EEF" w:rsidRDefault="00CB3A79" w:rsidP="00FE58B5">
            <w:pPr>
              <w:pStyle w:val="LPpreglednicatelo"/>
              <w:rPr>
                <w:highlight w:val="yellow"/>
                <w:lang w:val="en-GB"/>
              </w:rPr>
            </w:pPr>
            <w:r w:rsidRPr="00CD2EEF">
              <w:rPr>
                <w:lang w:val="en-GB"/>
              </w:rPr>
              <w:t>86.87</w:t>
            </w:r>
          </w:p>
        </w:tc>
      </w:tr>
      <w:tr w:rsidR="00CB3A79" w:rsidRPr="00CD2EEF" w14:paraId="05BEBE51" w14:textId="77777777" w:rsidTr="00D73122">
        <w:trPr>
          <w:trHeight w:val="280"/>
        </w:trPr>
        <w:tc>
          <w:tcPr>
            <w:tcW w:w="5220" w:type="dxa"/>
          </w:tcPr>
          <w:p w14:paraId="22285F52" w14:textId="77777777" w:rsidR="00CB3A79" w:rsidRPr="00CD2EEF" w:rsidRDefault="00CB3A79" w:rsidP="00FE58B5">
            <w:pPr>
              <w:pStyle w:val="LPpreglednicatelo"/>
              <w:rPr>
                <w:lang w:val="en-GB"/>
              </w:rPr>
            </w:pPr>
            <w:r w:rsidRPr="00CD2EEF">
              <w:rPr>
                <w:lang w:val="en-GB"/>
              </w:rPr>
              <w:t>Forced outage factor [%]</w:t>
            </w:r>
          </w:p>
        </w:tc>
        <w:tc>
          <w:tcPr>
            <w:tcW w:w="1260" w:type="dxa"/>
            <w:vAlign w:val="center"/>
          </w:tcPr>
          <w:p w14:paraId="01DD9E64" w14:textId="77777777" w:rsidR="00CB3A79" w:rsidRPr="00CD2EEF" w:rsidRDefault="00CB3A79" w:rsidP="00FE58B5">
            <w:pPr>
              <w:pStyle w:val="LPpreglednicatelo"/>
              <w:rPr>
                <w:highlight w:val="yellow"/>
                <w:lang w:val="en-GB"/>
              </w:rPr>
            </w:pPr>
            <w:r w:rsidRPr="00CD2EEF">
              <w:rPr>
                <w:lang w:val="en-GB"/>
              </w:rPr>
              <w:t>0.0</w:t>
            </w:r>
          </w:p>
        </w:tc>
        <w:tc>
          <w:tcPr>
            <w:tcW w:w="1620" w:type="dxa"/>
            <w:vAlign w:val="center"/>
          </w:tcPr>
          <w:p w14:paraId="2E120E63" w14:textId="77777777" w:rsidR="00CB3A79" w:rsidRPr="00CD2EEF" w:rsidRDefault="00CB3A79" w:rsidP="00FE58B5">
            <w:pPr>
              <w:pStyle w:val="LPpreglednicatelo"/>
              <w:rPr>
                <w:highlight w:val="yellow"/>
                <w:lang w:val="en-GB"/>
              </w:rPr>
            </w:pPr>
            <w:r w:rsidRPr="00CD2EEF">
              <w:rPr>
                <w:lang w:val="en-GB"/>
              </w:rPr>
              <w:t>0.91</w:t>
            </w:r>
          </w:p>
        </w:tc>
      </w:tr>
      <w:tr w:rsidR="00CB3A79" w:rsidRPr="00CD2EEF" w14:paraId="6119C6B1" w14:textId="77777777" w:rsidTr="00D73122">
        <w:trPr>
          <w:trHeight w:val="256"/>
        </w:trPr>
        <w:tc>
          <w:tcPr>
            <w:tcW w:w="5220" w:type="dxa"/>
          </w:tcPr>
          <w:p w14:paraId="0197E573" w14:textId="77777777" w:rsidR="00CB3A79" w:rsidRPr="00CD2EEF" w:rsidRDefault="00CB3A79" w:rsidP="00FE58B5">
            <w:pPr>
              <w:pStyle w:val="LPpreglednicatelo"/>
              <w:rPr>
                <w:lang w:val="en-GB"/>
              </w:rPr>
            </w:pPr>
            <w:r w:rsidRPr="00CD2EEF">
              <w:rPr>
                <w:lang w:val="en-GB"/>
              </w:rPr>
              <w:t>Gross production [GWh]</w:t>
            </w:r>
          </w:p>
        </w:tc>
        <w:tc>
          <w:tcPr>
            <w:tcW w:w="1260" w:type="dxa"/>
            <w:vAlign w:val="center"/>
          </w:tcPr>
          <w:p w14:paraId="3B4A0CD9" w14:textId="77777777" w:rsidR="00CB3A79" w:rsidRPr="00CD2EEF" w:rsidRDefault="00CB3A79" w:rsidP="00FE58B5">
            <w:pPr>
              <w:pStyle w:val="LPpreglednicatelo"/>
              <w:rPr>
                <w:highlight w:val="yellow"/>
                <w:lang w:val="en-GB"/>
              </w:rPr>
            </w:pPr>
            <w:r w:rsidRPr="00CD2EEF">
              <w:rPr>
                <w:lang w:val="en-GB"/>
              </w:rPr>
              <w:t>5,705.95</w:t>
            </w:r>
          </w:p>
        </w:tc>
        <w:tc>
          <w:tcPr>
            <w:tcW w:w="1620" w:type="dxa"/>
            <w:vAlign w:val="center"/>
          </w:tcPr>
          <w:p w14:paraId="22DBB0C9" w14:textId="77777777" w:rsidR="00CB3A79" w:rsidRPr="00CD2EEF" w:rsidRDefault="00CB3A79" w:rsidP="00FE58B5">
            <w:pPr>
              <w:pStyle w:val="LPpreglednicatelo"/>
              <w:rPr>
                <w:highlight w:val="yellow"/>
                <w:lang w:val="en-GB"/>
              </w:rPr>
            </w:pPr>
            <w:r w:rsidRPr="00CD2EEF">
              <w:rPr>
                <w:lang w:val="en-GB"/>
              </w:rPr>
              <w:t>5,242.55</w:t>
            </w:r>
          </w:p>
        </w:tc>
      </w:tr>
      <w:tr w:rsidR="00CB3A79" w:rsidRPr="00CD2EEF" w14:paraId="2E2C4E0C" w14:textId="77777777" w:rsidTr="00D73122">
        <w:trPr>
          <w:trHeight w:val="288"/>
        </w:trPr>
        <w:tc>
          <w:tcPr>
            <w:tcW w:w="5220" w:type="dxa"/>
          </w:tcPr>
          <w:p w14:paraId="34E84C91" w14:textId="77777777" w:rsidR="00CB3A79" w:rsidRPr="00CD2EEF" w:rsidRDefault="00CB3A79" w:rsidP="00FE58B5">
            <w:pPr>
              <w:pStyle w:val="LPpreglednicatelo"/>
              <w:rPr>
                <w:lang w:val="en-GB"/>
              </w:rPr>
            </w:pPr>
            <w:r w:rsidRPr="00CD2EEF">
              <w:rPr>
                <w:lang w:val="en-GB"/>
              </w:rPr>
              <w:t>Fast shutdowns – automatic [number of shutdowns]</w:t>
            </w:r>
          </w:p>
        </w:tc>
        <w:tc>
          <w:tcPr>
            <w:tcW w:w="1260" w:type="dxa"/>
            <w:vAlign w:val="center"/>
          </w:tcPr>
          <w:p w14:paraId="4ECE2F77" w14:textId="77777777" w:rsidR="00CB3A79" w:rsidRPr="00CD2EEF" w:rsidRDefault="00CB3A79" w:rsidP="000C03D8">
            <w:pPr>
              <w:pStyle w:val="LP-preglednicatelosredina"/>
              <w:jc w:val="left"/>
              <w:rPr>
                <w:highlight w:val="yellow"/>
                <w:lang w:val="en-GB"/>
              </w:rPr>
            </w:pPr>
            <w:r w:rsidRPr="00CD2EEF">
              <w:rPr>
                <w:lang w:val="en-GB"/>
              </w:rPr>
              <w:t>0</w:t>
            </w:r>
          </w:p>
        </w:tc>
        <w:tc>
          <w:tcPr>
            <w:tcW w:w="1620" w:type="dxa"/>
            <w:vAlign w:val="center"/>
          </w:tcPr>
          <w:p w14:paraId="56FFCB6F" w14:textId="77777777" w:rsidR="00CB3A79" w:rsidRPr="00CD2EEF" w:rsidRDefault="00CB3A79" w:rsidP="00FE58B5">
            <w:pPr>
              <w:pStyle w:val="LPpreglednicatelo"/>
              <w:rPr>
                <w:highlight w:val="yellow"/>
                <w:lang w:val="en-GB"/>
              </w:rPr>
            </w:pPr>
            <w:r w:rsidRPr="00CD2EEF">
              <w:rPr>
                <w:lang w:val="en-GB"/>
              </w:rPr>
              <w:t>2.10</w:t>
            </w:r>
          </w:p>
        </w:tc>
      </w:tr>
      <w:tr w:rsidR="00CB3A79" w:rsidRPr="00CD2EEF" w14:paraId="0ED562D9" w14:textId="77777777" w:rsidTr="00D73122">
        <w:trPr>
          <w:trHeight w:val="264"/>
        </w:trPr>
        <w:tc>
          <w:tcPr>
            <w:tcW w:w="5220" w:type="dxa"/>
          </w:tcPr>
          <w:p w14:paraId="74BAEB56" w14:textId="77777777" w:rsidR="00CB3A79" w:rsidRPr="00CD2EEF" w:rsidRDefault="00CB3A79" w:rsidP="00FE58B5">
            <w:pPr>
              <w:pStyle w:val="LPpreglednicatelo"/>
              <w:rPr>
                <w:lang w:val="en-GB"/>
              </w:rPr>
            </w:pPr>
            <w:r w:rsidRPr="00CD2EEF">
              <w:rPr>
                <w:lang w:val="en-GB"/>
              </w:rPr>
              <w:t>Fast shutdowns – manual [number of shutdowns]</w:t>
            </w:r>
          </w:p>
        </w:tc>
        <w:tc>
          <w:tcPr>
            <w:tcW w:w="1260" w:type="dxa"/>
            <w:vAlign w:val="center"/>
          </w:tcPr>
          <w:p w14:paraId="41E33F4C" w14:textId="77777777" w:rsidR="00CB3A79" w:rsidRPr="00CD2EEF" w:rsidRDefault="00CB3A79" w:rsidP="00FE58B5">
            <w:pPr>
              <w:pStyle w:val="LPpreglednicatelo"/>
              <w:rPr>
                <w:highlight w:val="yellow"/>
                <w:lang w:val="en-GB"/>
              </w:rPr>
            </w:pPr>
            <w:r w:rsidRPr="00CD2EEF">
              <w:rPr>
                <w:lang w:val="en-GB"/>
              </w:rPr>
              <w:t>0</w:t>
            </w:r>
          </w:p>
        </w:tc>
        <w:tc>
          <w:tcPr>
            <w:tcW w:w="1620" w:type="dxa"/>
            <w:vAlign w:val="center"/>
          </w:tcPr>
          <w:p w14:paraId="46002698" w14:textId="77777777" w:rsidR="00CB3A79" w:rsidRPr="00CD2EEF" w:rsidRDefault="00CB3A79" w:rsidP="00FE58B5">
            <w:pPr>
              <w:pStyle w:val="LPpreglednicatelo"/>
              <w:rPr>
                <w:highlight w:val="yellow"/>
                <w:lang w:val="en-GB"/>
              </w:rPr>
            </w:pPr>
            <w:r w:rsidRPr="00CD2EEF">
              <w:rPr>
                <w:lang w:val="en-GB"/>
              </w:rPr>
              <w:t>0.13</w:t>
            </w:r>
          </w:p>
        </w:tc>
      </w:tr>
      <w:tr w:rsidR="00CB3A79" w:rsidRPr="00CD2EEF" w14:paraId="3539E1E0" w14:textId="77777777" w:rsidTr="00D73122">
        <w:trPr>
          <w:trHeight w:val="268"/>
        </w:trPr>
        <w:tc>
          <w:tcPr>
            <w:tcW w:w="5220" w:type="dxa"/>
          </w:tcPr>
          <w:p w14:paraId="2B3DD934" w14:textId="77777777" w:rsidR="00CB3A79" w:rsidRPr="00CD2EEF" w:rsidRDefault="00CB3A79" w:rsidP="00FE58B5">
            <w:pPr>
              <w:pStyle w:val="LPpreglednicatelo"/>
              <w:rPr>
                <w:lang w:val="en-GB"/>
              </w:rPr>
            </w:pPr>
            <w:r w:rsidRPr="00CD2EEF">
              <w:rPr>
                <w:lang w:val="en-GB"/>
              </w:rPr>
              <w:t>Unplanned normal shutdowns [number of shutdowns]</w:t>
            </w:r>
          </w:p>
        </w:tc>
        <w:tc>
          <w:tcPr>
            <w:tcW w:w="1260" w:type="dxa"/>
            <w:vAlign w:val="center"/>
          </w:tcPr>
          <w:p w14:paraId="7EC26678" w14:textId="77777777" w:rsidR="00CB3A79" w:rsidRPr="00CD2EEF" w:rsidRDefault="00CB3A79" w:rsidP="00FE58B5">
            <w:pPr>
              <w:pStyle w:val="LPpreglednicatelo"/>
              <w:rPr>
                <w:highlight w:val="yellow"/>
                <w:lang w:val="en-GB"/>
              </w:rPr>
            </w:pPr>
            <w:r w:rsidRPr="00CD2EEF">
              <w:rPr>
                <w:lang w:val="en-GB"/>
              </w:rPr>
              <w:t>0</w:t>
            </w:r>
          </w:p>
        </w:tc>
        <w:tc>
          <w:tcPr>
            <w:tcW w:w="1620" w:type="dxa"/>
            <w:vAlign w:val="center"/>
          </w:tcPr>
          <w:p w14:paraId="02E20DD9" w14:textId="77777777" w:rsidR="00CB3A79" w:rsidRPr="00CD2EEF" w:rsidRDefault="00CB3A79" w:rsidP="00FE58B5">
            <w:pPr>
              <w:pStyle w:val="LPpreglednicatelo"/>
              <w:rPr>
                <w:highlight w:val="yellow"/>
                <w:lang w:val="en-GB"/>
              </w:rPr>
            </w:pPr>
            <w:r w:rsidRPr="00CD2EEF">
              <w:rPr>
                <w:lang w:val="en-GB"/>
              </w:rPr>
              <w:t>0.67</w:t>
            </w:r>
          </w:p>
        </w:tc>
      </w:tr>
      <w:tr w:rsidR="00CB3A79" w:rsidRPr="00CD2EEF" w14:paraId="071CC79E" w14:textId="77777777" w:rsidTr="00D73122">
        <w:trPr>
          <w:trHeight w:val="285"/>
        </w:trPr>
        <w:tc>
          <w:tcPr>
            <w:tcW w:w="5220" w:type="dxa"/>
          </w:tcPr>
          <w:p w14:paraId="089B1005" w14:textId="77777777" w:rsidR="00CB3A79" w:rsidRPr="00CD2EEF" w:rsidRDefault="00CB3A79" w:rsidP="00FE58B5">
            <w:pPr>
              <w:pStyle w:val="LPpreglednicatelo"/>
              <w:rPr>
                <w:lang w:val="en-GB"/>
              </w:rPr>
            </w:pPr>
            <w:r w:rsidRPr="00CD2EEF">
              <w:rPr>
                <w:lang w:val="en-GB"/>
              </w:rPr>
              <w:t>Planned normal shutdowns [number of shutdowns]</w:t>
            </w:r>
          </w:p>
        </w:tc>
        <w:tc>
          <w:tcPr>
            <w:tcW w:w="1260" w:type="dxa"/>
            <w:vAlign w:val="center"/>
          </w:tcPr>
          <w:p w14:paraId="3FC2386E" w14:textId="77777777" w:rsidR="00CB3A79" w:rsidRPr="00CD2EEF" w:rsidRDefault="00CB3A79" w:rsidP="00FE58B5">
            <w:pPr>
              <w:pStyle w:val="LPpreglednicatelo"/>
              <w:rPr>
                <w:highlight w:val="yellow"/>
                <w:lang w:val="en-GB"/>
              </w:rPr>
            </w:pPr>
            <w:r w:rsidRPr="00CD2EEF">
              <w:rPr>
                <w:lang w:val="en-GB"/>
              </w:rPr>
              <w:t>1</w:t>
            </w:r>
          </w:p>
        </w:tc>
        <w:tc>
          <w:tcPr>
            <w:tcW w:w="1620" w:type="dxa"/>
            <w:vAlign w:val="center"/>
          </w:tcPr>
          <w:p w14:paraId="18FB98AC" w14:textId="77777777" w:rsidR="00CB3A79" w:rsidRPr="00CD2EEF" w:rsidRDefault="00CB3A79" w:rsidP="00FE58B5">
            <w:pPr>
              <w:pStyle w:val="LPpreglednicatelo"/>
              <w:rPr>
                <w:highlight w:val="yellow"/>
                <w:lang w:val="en-GB"/>
              </w:rPr>
            </w:pPr>
            <w:r w:rsidRPr="00CD2EEF">
              <w:rPr>
                <w:lang w:val="en-GB"/>
              </w:rPr>
              <w:t>0.79</w:t>
            </w:r>
          </w:p>
        </w:tc>
      </w:tr>
      <w:tr w:rsidR="00CB3A79" w:rsidRPr="00CD2EEF" w14:paraId="3FB473EA" w14:textId="77777777" w:rsidTr="00D73122">
        <w:trPr>
          <w:trHeight w:val="262"/>
        </w:trPr>
        <w:tc>
          <w:tcPr>
            <w:tcW w:w="5220" w:type="dxa"/>
          </w:tcPr>
          <w:p w14:paraId="7622B6A9" w14:textId="77777777" w:rsidR="00CB3A79" w:rsidRPr="00CD2EEF" w:rsidRDefault="00CB3A79" w:rsidP="00FE58B5">
            <w:pPr>
              <w:pStyle w:val="LPpreglednicatelo"/>
              <w:rPr>
                <w:lang w:val="en-GB"/>
              </w:rPr>
            </w:pPr>
            <w:r w:rsidRPr="00CD2EEF">
              <w:rPr>
                <w:lang w:val="en-GB"/>
              </w:rPr>
              <w:t>Event reports* [number of reports]</w:t>
            </w:r>
          </w:p>
        </w:tc>
        <w:tc>
          <w:tcPr>
            <w:tcW w:w="1260" w:type="dxa"/>
            <w:vAlign w:val="center"/>
          </w:tcPr>
          <w:p w14:paraId="2CC66F6D" w14:textId="77777777" w:rsidR="00CB3A79" w:rsidRPr="00CD2EEF" w:rsidRDefault="00CB3A79" w:rsidP="00FE58B5">
            <w:pPr>
              <w:pStyle w:val="LPpreglednicatelo"/>
              <w:rPr>
                <w:highlight w:val="yellow"/>
                <w:lang w:val="en-GB"/>
              </w:rPr>
            </w:pPr>
            <w:r w:rsidRPr="00CD2EEF">
              <w:rPr>
                <w:lang w:val="en-GB"/>
              </w:rPr>
              <w:t>0</w:t>
            </w:r>
          </w:p>
        </w:tc>
        <w:tc>
          <w:tcPr>
            <w:tcW w:w="1620" w:type="dxa"/>
            <w:vAlign w:val="center"/>
          </w:tcPr>
          <w:p w14:paraId="53AD7027" w14:textId="77777777" w:rsidR="00CB3A79" w:rsidRPr="00CD2EEF" w:rsidRDefault="00CB3A79" w:rsidP="00FE58B5">
            <w:pPr>
              <w:pStyle w:val="LPpreglednicatelo"/>
              <w:rPr>
                <w:highlight w:val="yellow"/>
                <w:lang w:val="en-GB"/>
              </w:rPr>
            </w:pPr>
            <w:r w:rsidRPr="00CD2EEF">
              <w:rPr>
                <w:lang w:val="en-GB"/>
              </w:rPr>
              <w:t>3.87</w:t>
            </w:r>
          </w:p>
        </w:tc>
      </w:tr>
      <w:tr w:rsidR="00CB3A79" w:rsidRPr="00CD2EEF" w14:paraId="57703185" w14:textId="77777777" w:rsidTr="00D73122">
        <w:trPr>
          <w:trHeight w:val="279"/>
        </w:trPr>
        <w:tc>
          <w:tcPr>
            <w:tcW w:w="5220" w:type="dxa"/>
          </w:tcPr>
          <w:p w14:paraId="08CFB97E" w14:textId="77777777" w:rsidR="00CB3A79" w:rsidRPr="00CD2EEF" w:rsidRDefault="00CB3A79" w:rsidP="00FE58B5">
            <w:pPr>
              <w:pStyle w:val="LPpreglednicatelo"/>
              <w:rPr>
                <w:lang w:val="en-GB"/>
              </w:rPr>
            </w:pPr>
            <w:r w:rsidRPr="00CD2EEF">
              <w:rPr>
                <w:lang w:val="en-GB"/>
              </w:rPr>
              <w:t>Duration of the refueling outage [days]</w:t>
            </w:r>
          </w:p>
        </w:tc>
        <w:tc>
          <w:tcPr>
            <w:tcW w:w="1260" w:type="dxa"/>
            <w:vAlign w:val="center"/>
          </w:tcPr>
          <w:p w14:paraId="240BD651" w14:textId="77777777" w:rsidR="00CB3A79" w:rsidRPr="00CD2EEF" w:rsidRDefault="00CB3A79" w:rsidP="00101004">
            <w:pPr>
              <w:pStyle w:val="LP-preglednicatelosredina"/>
              <w:jc w:val="left"/>
              <w:rPr>
                <w:highlight w:val="yellow"/>
                <w:lang w:val="en-GB"/>
              </w:rPr>
            </w:pPr>
            <w:r w:rsidRPr="00CD2EEF">
              <w:rPr>
                <w:lang w:val="en-GB"/>
              </w:rPr>
              <w:t>34.1</w:t>
            </w:r>
          </w:p>
        </w:tc>
        <w:tc>
          <w:tcPr>
            <w:tcW w:w="1620" w:type="dxa"/>
            <w:vAlign w:val="center"/>
          </w:tcPr>
          <w:p w14:paraId="75299619" w14:textId="77777777" w:rsidR="00CB3A79" w:rsidRPr="00CD2EEF" w:rsidRDefault="00CB3A79" w:rsidP="00FE58B5">
            <w:pPr>
              <w:pStyle w:val="LPpreglednicatelo"/>
              <w:rPr>
                <w:highlight w:val="yellow"/>
                <w:lang w:val="en-GB"/>
              </w:rPr>
            </w:pPr>
            <w:r w:rsidRPr="00CD2EEF">
              <w:rPr>
                <w:lang w:val="en-GB"/>
              </w:rPr>
              <w:t>47.9</w:t>
            </w:r>
          </w:p>
        </w:tc>
      </w:tr>
    </w:tbl>
    <w:bookmarkEnd w:id="10"/>
    <w:p w14:paraId="06289FA6" w14:textId="77777777" w:rsidR="00CB3A79" w:rsidRPr="00CD2EEF" w:rsidRDefault="00CB3A79" w:rsidP="00FE58B5">
      <w:pPr>
        <w:pStyle w:val="LPnavadenpomanjan8pt"/>
        <w:rPr>
          <w:lang w:val="en-GB"/>
        </w:rPr>
      </w:pPr>
      <w:r w:rsidRPr="00CD2EEF">
        <w:rPr>
          <w:lang w:val="en-GB"/>
        </w:rPr>
        <w:t>*Number of events that must be reported in accordance with legislation.</w:t>
      </w:r>
    </w:p>
    <w:p w14:paraId="5F815F19" w14:textId="1551975A" w:rsidR="00CB3A79" w:rsidRPr="00CD2EEF" w:rsidRDefault="00757AC2" w:rsidP="00757AC2">
      <w:pPr>
        <w:pStyle w:val="LPnaslovpreglednica"/>
        <w:rPr>
          <w:lang w:val="en-GB"/>
        </w:rPr>
      </w:pPr>
      <w:bookmarkStart w:id="11" w:name="_Toc46257296"/>
      <w:bookmarkStart w:id="12" w:name="_Toc47694739"/>
      <w:bookmarkStart w:id="13" w:name="_Toc84321459"/>
      <w:bookmarkStart w:id="14" w:name="_Toc126309909"/>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00BE0188" w:rsidRPr="00CD2EEF">
        <w:rPr>
          <w:lang w:val="en-GB"/>
        </w:rPr>
        <w:t>2</w:t>
      </w:r>
      <w:r w:rsidR="00366B6D" w:rsidRPr="00CD2EEF">
        <w:rPr>
          <w:lang w:val="en-GB"/>
        </w:rPr>
        <w:fldChar w:fldCharType="end"/>
      </w:r>
      <w:r w:rsidR="00CB3A79" w:rsidRPr="00CD2EEF">
        <w:rPr>
          <w:lang w:val="en-GB"/>
        </w:rPr>
        <w:t xml:space="preserve">: Time analysis of the operation of </w:t>
      </w:r>
      <w:r w:rsidR="001B146F">
        <w:rPr>
          <w:lang w:val="en-GB"/>
        </w:rPr>
        <w:t>the Krško NPP</w:t>
      </w:r>
      <w:r w:rsidR="00CB3A79" w:rsidRPr="00CD2EEF">
        <w:rPr>
          <w:lang w:val="en-GB"/>
        </w:rPr>
        <w:t xml:space="preserve"> in 20</w:t>
      </w:r>
      <w:bookmarkEnd w:id="11"/>
      <w:bookmarkEnd w:id="12"/>
      <w:r w:rsidR="00CB3A79" w:rsidRPr="00CD2EEF">
        <w:rPr>
          <w:lang w:val="en-GB"/>
        </w:rPr>
        <w:t>2</w:t>
      </w:r>
      <w:bookmarkEnd w:id="13"/>
      <w:r w:rsidR="00CB3A79" w:rsidRPr="00CD2EEF">
        <w:rPr>
          <w:lang w:val="en-GB"/>
        </w:rPr>
        <w:t>1</w:t>
      </w:r>
      <w:bookmarkEnd w:id="14"/>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CB3A79" w:rsidRPr="00CD2EEF" w14:paraId="7F940D66" w14:textId="77777777" w:rsidTr="00D73122">
        <w:tc>
          <w:tcPr>
            <w:tcW w:w="5220" w:type="dxa"/>
            <w:shd w:val="clear" w:color="auto" w:fill="5B9BD5" w:themeFill="accent1"/>
          </w:tcPr>
          <w:p w14:paraId="012A19FA" w14:textId="77777777" w:rsidR="00CB3A79" w:rsidRPr="00CD2EEF" w:rsidRDefault="00CB3A79" w:rsidP="00FE58B5">
            <w:pPr>
              <w:pStyle w:val="LPpreglednicaglavasredina"/>
              <w:rPr>
                <w:lang w:val="en-GB"/>
              </w:rPr>
            </w:pPr>
            <w:bookmarkStart w:id="15" w:name="t02"/>
          </w:p>
        </w:tc>
        <w:tc>
          <w:tcPr>
            <w:tcW w:w="1260" w:type="dxa"/>
            <w:shd w:val="clear" w:color="auto" w:fill="5B9BD5" w:themeFill="accent1"/>
          </w:tcPr>
          <w:p w14:paraId="473341C5" w14:textId="77777777" w:rsidR="00CB3A79" w:rsidRPr="00CD2EEF" w:rsidRDefault="00CB3A79" w:rsidP="00FE58B5">
            <w:pPr>
              <w:pStyle w:val="LPpreglednicaglavasredina"/>
              <w:rPr>
                <w:highlight w:val="yellow"/>
                <w:lang w:val="en-GB"/>
              </w:rPr>
            </w:pPr>
            <w:r w:rsidRPr="00CD2EEF">
              <w:rPr>
                <w:lang w:val="en-GB"/>
              </w:rPr>
              <w:t>Hours</w:t>
            </w:r>
          </w:p>
        </w:tc>
        <w:tc>
          <w:tcPr>
            <w:tcW w:w="1620" w:type="dxa"/>
            <w:shd w:val="clear" w:color="auto" w:fill="5B9BD5" w:themeFill="accent1"/>
          </w:tcPr>
          <w:p w14:paraId="146EF405" w14:textId="77777777" w:rsidR="00CB3A79" w:rsidRPr="00CD2EEF" w:rsidRDefault="00CB3A79" w:rsidP="00FE58B5">
            <w:pPr>
              <w:pStyle w:val="LPpreglednicaglavasredina"/>
              <w:rPr>
                <w:highlight w:val="yellow"/>
                <w:lang w:val="en-GB"/>
              </w:rPr>
            </w:pPr>
            <w:r w:rsidRPr="00CD2EEF">
              <w:rPr>
                <w:lang w:val="en-GB"/>
              </w:rPr>
              <w:t>Percentage</w:t>
            </w:r>
          </w:p>
        </w:tc>
      </w:tr>
      <w:tr w:rsidR="00CB3A79" w:rsidRPr="00CD2EEF" w14:paraId="661B26DF" w14:textId="77777777" w:rsidTr="00D73122">
        <w:tc>
          <w:tcPr>
            <w:tcW w:w="5220" w:type="dxa"/>
          </w:tcPr>
          <w:p w14:paraId="6DD2FAFD" w14:textId="77777777" w:rsidR="00CB3A79" w:rsidRPr="00CD2EEF" w:rsidRDefault="00CB3A79" w:rsidP="00FE58B5">
            <w:pPr>
              <w:pStyle w:val="LPpreglednicatelo"/>
              <w:rPr>
                <w:highlight w:val="yellow"/>
                <w:lang w:val="en-GB"/>
              </w:rPr>
            </w:pPr>
            <w:r w:rsidRPr="00CD2EEF">
              <w:rPr>
                <w:lang w:val="en-GB"/>
              </w:rPr>
              <w:t>Number of hours in a year</w:t>
            </w:r>
          </w:p>
        </w:tc>
        <w:tc>
          <w:tcPr>
            <w:tcW w:w="1260" w:type="dxa"/>
          </w:tcPr>
          <w:p w14:paraId="51F39C58" w14:textId="77777777" w:rsidR="00CB3A79" w:rsidRPr="00CD2EEF" w:rsidRDefault="00CB3A79" w:rsidP="00FE58B5">
            <w:pPr>
              <w:pStyle w:val="LP-preglednicatelosredina"/>
              <w:rPr>
                <w:highlight w:val="yellow"/>
                <w:lang w:val="en-GB"/>
              </w:rPr>
            </w:pPr>
            <w:r w:rsidRPr="00CD2EEF">
              <w:rPr>
                <w:lang w:val="en-GB"/>
              </w:rPr>
              <w:t>8,760</w:t>
            </w:r>
          </w:p>
        </w:tc>
        <w:tc>
          <w:tcPr>
            <w:tcW w:w="1620" w:type="dxa"/>
          </w:tcPr>
          <w:p w14:paraId="09C1AD1F" w14:textId="77777777" w:rsidR="00CB3A79" w:rsidRPr="00CD2EEF" w:rsidRDefault="00CB3A79" w:rsidP="00FE58B5">
            <w:pPr>
              <w:pStyle w:val="LP-preglednicatelosredina"/>
              <w:rPr>
                <w:highlight w:val="yellow"/>
                <w:lang w:val="en-GB"/>
              </w:rPr>
            </w:pPr>
            <w:r w:rsidRPr="00CD2EEF">
              <w:rPr>
                <w:lang w:val="en-GB"/>
              </w:rPr>
              <w:t>100</w:t>
            </w:r>
          </w:p>
        </w:tc>
      </w:tr>
      <w:tr w:rsidR="00CB3A79" w:rsidRPr="00CD2EEF" w14:paraId="7A90F891" w14:textId="77777777" w:rsidTr="00D73122">
        <w:tc>
          <w:tcPr>
            <w:tcW w:w="5220" w:type="dxa"/>
          </w:tcPr>
          <w:p w14:paraId="3AAF2416" w14:textId="77777777" w:rsidR="00CB3A79" w:rsidRPr="00CD2EEF" w:rsidRDefault="00CB3A79" w:rsidP="00FE58B5">
            <w:pPr>
              <w:pStyle w:val="LPpreglednicatelo"/>
              <w:rPr>
                <w:highlight w:val="yellow"/>
                <w:lang w:val="en-GB"/>
              </w:rPr>
            </w:pPr>
            <w:r w:rsidRPr="00CD2EEF">
              <w:rPr>
                <w:lang w:val="en-GB"/>
              </w:rPr>
              <w:t>Duration of plant operation (on grid)</w:t>
            </w:r>
          </w:p>
        </w:tc>
        <w:tc>
          <w:tcPr>
            <w:tcW w:w="1260" w:type="dxa"/>
          </w:tcPr>
          <w:p w14:paraId="6C08291F" w14:textId="77777777" w:rsidR="00CB3A79" w:rsidRPr="00CD2EEF" w:rsidRDefault="00CB3A79" w:rsidP="00FE58B5">
            <w:pPr>
              <w:pStyle w:val="LP-preglednicatelosredina"/>
              <w:rPr>
                <w:highlight w:val="yellow"/>
                <w:lang w:val="en-GB"/>
              </w:rPr>
            </w:pPr>
            <w:r w:rsidRPr="00CD2EEF">
              <w:rPr>
                <w:lang w:val="en-GB"/>
              </w:rPr>
              <w:t>7,941</w:t>
            </w:r>
          </w:p>
        </w:tc>
        <w:tc>
          <w:tcPr>
            <w:tcW w:w="1620" w:type="dxa"/>
          </w:tcPr>
          <w:p w14:paraId="101E6EE5" w14:textId="77777777" w:rsidR="00CB3A79" w:rsidRPr="00CD2EEF" w:rsidRDefault="00CB3A79" w:rsidP="00FE58B5">
            <w:pPr>
              <w:pStyle w:val="LP-preglednicatelosredina"/>
              <w:rPr>
                <w:highlight w:val="yellow"/>
                <w:lang w:val="en-GB"/>
              </w:rPr>
            </w:pPr>
            <w:r w:rsidRPr="00CD2EEF">
              <w:rPr>
                <w:lang w:val="en-GB"/>
              </w:rPr>
              <w:t>90.7</w:t>
            </w:r>
          </w:p>
        </w:tc>
      </w:tr>
      <w:tr w:rsidR="00CB3A79" w:rsidRPr="00CD2EEF" w14:paraId="5B6106C0" w14:textId="77777777" w:rsidTr="00D73122">
        <w:tc>
          <w:tcPr>
            <w:tcW w:w="5220" w:type="dxa"/>
          </w:tcPr>
          <w:p w14:paraId="269CC76A" w14:textId="77777777" w:rsidR="00CB3A79" w:rsidRPr="00CD2EEF" w:rsidRDefault="00CB3A79" w:rsidP="00FE58B5">
            <w:pPr>
              <w:pStyle w:val="LPpreglednicatelo"/>
              <w:rPr>
                <w:lang w:val="en-GB"/>
              </w:rPr>
            </w:pPr>
            <w:r w:rsidRPr="00CD2EEF">
              <w:rPr>
                <w:lang w:val="en-GB"/>
              </w:rPr>
              <w:t>Duration of shutdowns</w:t>
            </w:r>
          </w:p>
        </w:tc>
        <w:tc>
          <w:tcPr>
            <w:tcW w:w="1260" w:type="dxa"/>
          </w:tcPr>
          <w:p w14:paraId="679B0758" w14:textId="77777777" w:rsidR="00CB3A79" w:rsidRPr="00CD2EEF" w:rsidRDefault="00CB3A79" w:rsidP="00FE58B5">
            <w:pPr>
              <w:pStyle w:val="LP-preglednicatelosredina"/>
              <w:rPr>
                <w:lang w:val="en-GB"/>
              </w:rPr>
            </w:pPr>
            <w:r w:rsidRPr="00CD2EEF">
              <w:rPr>
                <w:lang w:val="en-GB"/>
              </w:rPr>
              <w:t>819</w:t>
            </w:r>
          </w:p>
        </w:tc>
        <w:tc>
          <w:tcPr>
            <w:tcW w:w="1620" w:type="dxa"/>
          </w:tcPr>
          <w:p w14:paraId="4175B301" w14:textId="77777777" w:rsidR="00CB3A79" w:rsidRPr="00CD2EEF" w:rsidRDefault="00CB3A79" w:rsidP="00FE58B5">
            <w:pPr>
              <w:pStyle w:val="LP-preglednicatelosredina"/>
              <w:rPr>
                <w:highlight w:val="yellow"/>
                <w:lang w:val="en-GB"/>
              </w:rPr>
            </w:pPr>
            <w:r w:rsidRPr="00CD2EEF">
              <w:rPr>
                <w:lang w:val="en-GB"/>
              </w:rPr>
              <w:t>9.3</w:t>
            </w:r>
          </w:p>
        </w:tc>
      </w:tr>
      <w:tr w:rsidR="00CB3A79" w:rsidRPr="00CD2EEF" w14:paraId="7D2C0FEF" w14:textId="77777777" w:rsidTr="00D73122">
        <w:tc>
          <w:tcPr>
            <w:tcW w:w="5220" w:type="dxa"/>
          </w:tcPr>
          <w:p w14:paraId="344CE857" w14:textId="77777777" w:rsidR="00CB3A79" w:rsidRPr="00CD2EEF" w:rsidRDefault="00CB3A79" w:rsidP="00FE58B5">
            <w:pPr>
              <w:pStyle w:val="LPpreglednicatelo"/>
              <w:rPr>
                <w:lang w:val="en-GB"/>
              </w:rPr>
            </w:pPr>
            <w:r w:rsidRPr="00CD2EEF">
              <w:rPr>
                <w:lang w:val="en-GB"/>
              </w:rPr>
              <w:t>Duration of the refueling outage</w:t>
            </w:r>
          </w:p>
        </w:tc>
        <w:tc>
          <w:tcPr>
            <w:tcW w:w="1260" w:type="dxa"/>
          </w:tcPr>
          <w:p w14:paraId="057A1D5D" w14:textId="77777777" w:rsidR="00CB3A79" w:rsidRPr="00CD2EEF" w:rsidRDefault="00CB3A79" w:rsidP="00FE58B5">
            <w:pPr>
              <w:pStyle w:val="LP-preglednicatelosredina"/>
              <w:rPr>
                <w:lang w:val="en-GB"/>
              </w:rPr>
            </w:pPr>
            <w:r w:rsidRPr="00CD2EEF">
              <w:rPr>
                <w:lang w:val="en-GB"/>
              </w:rPr>
              <w:t>819</w:t>
            </w:r>
          </w:p>
        </w:tc>
        <w:tc>
          <w:tcPr>
            <w:tcW w:w="1620" w:type="dxa"/>
          </w:tcPr>
          <w:p w14:paraId="38C51E66" w14:textId="77777777" w:rsidR="00CB3A79" w:rsidRPr="00CD2EEF" w:rsidRDefault="00CB3A79" w:rsidP="00FE58B5">
            <w:pPr>
              <w:pStyle w:val="LP-preglednicatelosredina"/>
              <w:rPr>
                <w:highlight w:val="yellow"/>
                <w:lang w:val="en-GB"/>
              </w:rPr>
            </w:pPr>
            <w:r w:rsidRPr="00CD2EEF">
              <w:rPr>
                <w:lang w:val="en-GB"/>
              </w:rPr>
              <w:t>9.3</w:t>
            </w:r>
          </w:p>
        </w:tc>
      </w:tr>
      <w:tr w:rsidR="00CB3A79" w:rsidRPr="00CD2EEF" w14:paraId="7F0AC956" w14:textId="77777777" w:rsidTr="00D73122">
        <w:tc>
          <w:tcPr>
            <w:tcW w:w="5220" w:type="dxa"/>
          </w:tcPr>
          <w:p w14:paraId="1E6C3EB6" w14:textId="77777777" w:rsidR="00CB3A79" w:rsidRPr="00CD2EEF" w:rsidRDefault="00CB3A79" w:rsidP="00FE58B5">
            <w:pPr>
              <w:pStyle w:val="LPpreglednicatelo"/>
              <w:rPr>
                <w:lang w:val="en-GB"/>
              </w:rPr>
            </w:pPr>
            <w:r w:rsidRPr="00CD2EEF">
              <w:rPr>
                <w:lang w:val="en-GB"/>
              </w:rPr>
              <w:t>Duration of planned shutdowns</w:t>
            </w:r>
          </w:p>
        </w:tc>
        <w:tc>
          <w:tcPr>
            <w:tcW w:w="1260" w:type="dxa"/>
          </w:tcPr>
          <w:p w14:paraId="39AE7B66" w14:textId="77777777" w:rsidR="00CB3A79" w:rsidRPr="00CD2EEF" w:rsidRDefault="00CB3A79" w:rsidP="00FE58B5">
            <w:pPr>
              <w:pStyle w:val="LP-preglednicatelosredina"/>
              <w:rPr>
                <w:lang w:val="en-GB"/>
              </w:rPr>
            </w:pPr>
            <w:r w:rsidRPr="00CD2EEF">
              <w:rPr>
                <w:lang w:val="en-GB"/>
              </w:rPr>
              <w:t>819</w:t>
            </w:r>
          </w:p>
        </w:tc>
        <w:tc>
          <w:tcPr>
            <w:tcW w:w="1620" w:type="dxa"/>
          </w:tcPr>
          <w:p w14:paraId="75C0C321" w14:textId="77777777" w:rsidR="00CB3A79" w:rsidRPr="00CD2EEF" w:rsidRDefault="00CB3A79" w:rsidP="00FE58B5">
            <w:pPr>
              <w:pStyle w:val="LP-preglednicatelosredina"/>
              <w:rPr>
                <w:highlight w:val="yellow"/>
                <w:lang w:val="en-GB"/>
              </w:rPr>
            </w:pPr>
            <w:r w:rsidRPr="00CD2EEF">
              <w:rPr>
                <w:lang w:val="en-GB"/>
              </w:rPr>
              <w:t>9.3</w:t>
            </w:r>
          </w:p>
        </w:tc>
      </w:tr>
      <w:tr w:rsidR="00CB3A79" w:rsidRPr="00CD2EEF" w14:paraId="0489AF89" w14:textId="77777777" w:rsidTr="00D73122">
        <w:tc>
          <w:tcPr>
            <w:tcW w:w="5220" w:type="dxa"/>
          </w:tcPr>
          <w:p w14:paraId="5BDAEE4A" w14:textId="77777777" w:rsidR="00CB3A79" w:rsidRPr="00CD2EEF" w:rsidRDefault="00CB3A79" w:rsidP="00FE58B5">
            <w:pPr>
              <w:pStyle w:val="LPpreglednicatelo"/>
              <w:rPr>
                <w:lang w:val="en-GB"/>
              </w:rPr>
            </w:pPr>
            <w:r w:rsidRPr="00CD2EEF">
              <w:rPr>
                <w:lang w:val="en-GB"/>
              </w:rPr>
              <w:t>Duration of unplanned shutdowns</w:t>
            </w:r>
          </w:p>
        </w:tc>
        <w:tc>
          <w:tcPr>
            <w:tcW w:w="1260" w:type="dxa"/>
          </w:tcPr>
          <w:p w14:paraId="78F46512" w14:textId="77777777" w:rsidR="00CB3A79" w:rsidRPr="00CD2EEF" w:rsidRDefault="00CB3A79" w:rsidP="00FE58B5">
            <w:pPr>
              <w:pStyle w:val="LP-preglednicatelosredina"/>
              <w:rPr>
                <w:lang w:val="en-GB"/>
              </w:rPr>
            </w:pPr>
            <w:r w:rsidRPr="00CD2EEF">
              <w:rPr>
                <w:lang w:val="en-GB"/>
              </w:rPr>
              <w:t>0.0</w:t>
            </w:r>
          </w:p>
        </w:tc>
        <w:tc>
          <w:tcPr>
            <w:tcW w:w="1620" w:type="dxa"/>
          </w:tcPr>
          <w:p w14:paraId="52D65BB9" w14:textId="77777777" w:rsidR="00CB3A79" w:rsidRPr="00CD2EEF" w:rsidRDefault="00CB3A79" w:rsidP="00FE58B5">
            <w:pPr>
              <w:pStyle w:val="LP-preglednicatelosredina"/>
              <w:rPr>
                <w:highlight w:val="yellow"/>
                <w:lang w:val="en-GB"/>
              </w:rPr>
            </w:pPr>
            <w:r w:rsidRPr="00CD2EEF">
              <w:rPr>
                <w:lang w:val="en-GB"/>
              </w:rPr>
              <w:t>0.0</w:t>
            </w:r>
          </w:p>
        </w:tc>
      </w:tr>
      <w:bookmarkEnd w:id="15"/>
    </w:tbl>
    <w:p w14:paraId="311FE0C1" w14:textId="77777777" w:rsidR="00CB3A79" w:rsidRPr="00CD2EEF" w:rsidRDefault="00CB3A79" w:rsidP="00FE58B5">
      <w:pPr>
        <w:rPr>
          <w:lang w:val="en-GB"/>
        </w:rPr>
      </w:pPr>
    </w:p>
    <w:p w14:paraId="2EFE189E" w14:textId="04AAED87" w:rsidR="00CB3A79" w:rsidRPr="00CD2EEF" w:rsidRDefault="00CB3A79" w:rsidP="00FE58B5">
      <w:pPr>
        <w:pStyle w:val="LPnavaden"/>
        <w:rPr>
          <w:lang w:val="en-GB"/>
        </w:rPr>
      </w:pPr>
      <w:r w:rsidRPr="00CD2EEF">
        <w:rPr>
          <w:lang w:val="en-GB"/>
        </w:rPr>
        <w:t xml:space="preserve">The operation of </w:t>
      </w:r>
      <w:r w:rsidR="001B146F">
        <w:rPr>
          <w:lang w:val="en-GB"/>
        </w:rPr>
        <w:t>the Krško NPP</w:t>
      </w:r>
      <w:r w:rsidRPr="00CD2EEF">
        <w:rPr>
          <w:lang w:val="en-GB"/>
        </w:rPr>
        <w:t xml:space="preserve"> in 2021 is shown in </w:t>
      </w:r>
      <w:hyperlink w:anchor="fig01" w:history="1">
        <w:r w:rsidRPr="00CD2EEF">
          <w:rPr>
            <w:rStyle w:val="Hiperpovezava"/>
            <w:lang w:val="en-GB"/>
          </w:rPr>
          <w:t>Figure 1</w:t>
        </w:r>
      </w:hyperlink>
      <w:r w:rsidRPr="00CD2EEF">
        <w:rPr>
          <w:lang w:val="en-GB"/>
        </w:rPr>
        <w:t>. The plant</w:t>
      </w:r>
      <w:r w:rsidR="00F21D56">
        <w:rPr>
          <w:lang w:val="en-GB"/>
        </w:rPr>
        <w:t>’</w:t>
      </w:r>
      <w:r w:rsidRPr="00CD2EEF">
        <w:rPr>
          <w:lang w:val="en-GB"/>
        </w:rPr>
        <w:t>s operation was stable in 2021. It shut down only once, in April, due to the regular outage. The plant operated</w:t>
      </w:r>
      <w:r w:rsidR="008A1E6B">
        <w:rPr>
          <w:lang w:val="en-GB"/>
        </w:rPr>
        <w:t xml:space="preserve"> </w:t>
      </w:r>
      <w:r w:rsidRPr="00CD2EEF">
        <w:rPr>
          <w:lang w:val="en-GB"/>
        </w:rPr>
        <w:t>at a reduced rate in October, due to</w:t>
      </w:r>
      <w:r w:rsidR="00313579">
        <w:rPr>
          <w:lang w:val="en-GB"/>
        </w:rPr>
        <w:t xml:space="preserve"> the</w:t>
      </w:r>
      <w:r w:rsidRPr="00CD2EEF">
        <w:rPr>
          <w:lang w:val="en-GB"/>
        </w:rPr>
        <w:t xml:space="preserve"> check</w:t>
      </w:r>
      <w:r w:rsidR="00313579">
        <w:rPr>
          <w:lang w:val="en-GB"/>
        </w:rPr>
        <w:t>ing</w:t>
      </w:r>
      <w:r w:rsidRPr="00CD2EEF">
        <w:rPr>
          <w:lang w:val="en-GB"/>
        </w:rPr>
        <w:t xml:space="preserve"> and repair of</w:t>
      </w:r>
      <w:r w:rsidR="00313579">
        <w:rPr>
          <w:lang w:val="en-GB"/>
        </w:rPr>
        <w:t xml:space="preserve"> a</w:t>
      </w:r>
      <w:r w:rsidRPr="00CD2EEF">
        <w:rPr>
          <w:lang w:val="en-GB"/>
        </w:rPr>
        <w:t xml:space="preserve"> leak </w:t>
      </w:r>
      <w:r w:rsidR="00313579">
        <w:rPr>
          <w:lang w:val="en-GB"/>
        </w:rPr>
        <w:t>in</w:t>
      </w:r>
      <w:r w:rsidR="00313579" w:rsidRPr="00CD2EEF">
        <w:rPr>
          <w:lang w:val="en-GB"/>
        </w:rPr>
        <w:t xml:space="preserve"> </w:t>
      </w:r>
      <w:r w:rsidRPr="00CD2EEF">
        <w:rPr>
          <w:lang w:val="en-GB"/>
        </w:rPr>
        <w:t>the main condenser chamber and</w:t>
      </w:r>
      <w:r w:rsidR="00E429A8">
        <w:rPr>
          <w:lang w:val="en-GB"/>
        </w:rPr>
        <w:t xml:space="preserve"> the</w:t>
      </w:r>
      <w:r w:rsidRPr="00CD2EEF">
        <w:rPr>
          <w:lang w:val="en-GB"/>
        </w:rPr>
        <w:t xml:space="preserve"> test</w:t>
      </w:r>
      <w:r w:rsidR="00E429A8">
        <w:rPr>
          <w:lang w:val="en-GB"/>
        </w:rPr>
        <w:t>ing</w:t>
      </w:r>
      <w:r w:rsidRPr="00CD2EEF">
        <w:rPr>
          <w:lang w:val="en-GB"/>
        </w:rPr>
        <w:t xml:space="preserve"> of turbine valves, which had </w:t>
      </w:r>
      <w:r w:rsidR="00E429A8">
        <w:rPr>
          <w:lang w:val="en-GB"/>
        </w:rPr>
        <w:t xml:space="preserve">a </w:t>
      </w:r>
      <w:r w:rsidRPr="00CD2EEF">
        <w:rPr>
          <w:lang w:val="en-GB"/>
        </w:rPr>
        <w:t xml:space="preserve">duration of 24 hours. </w:t>
      </w:r>
      <w:r w:rsidR="00E429A8">
        <w:rPr>
          <w:lang w:val="en-GB"/>
        </w:rPr>
        <w:t>The c</w:t>
      </w:r>
      <w:r w:rsidRPr="00CD2EEF">
        <w:rPr>
          <w:lang w:val="en-GB"/>
        </w:rPr>
        <w:t>orrective action</w:t>
      </w:r>
      <w:r w:rsidR="00E429A8">
        <w:rPr>
          <w:lang w:val="en-GB"/>
        </w:rPr>
        <w:t>s</w:t>
      </w:r>
      <w:r w:rsidRPr="00CD2EEF">
        <w:rPr>
          <w:lang w:val="en-GB"/>
        </w:rPr>
        <w:t xml:space="preserve"> found leaking pipes </w:t>
      </w:r>
      <w:r w:rsidRPr="00EA6A93">
        <w:rPr>
          <w:lang w:val="en-GB"/>
        </w:rPr>
        <w:t>and pa</w:t>
      </w:r>
      <w:r w:rsidR="00EA6A93" w:rsidRPr="00EA6A93">
        <w:rPr>
          <w:lang w:val="en-GB"/>
        </w:rPr>
        <w:t>tch</w:t>
      </w:r>
      <w:r w:rsidRPr="00EA6A93">
        <w:rPr>
          <w:lang w:val="en-GB"/>
        </w:rPr>
        <w:t xml:space="preserve">ed them. </w:t>
      </w:r>
      <w:r w:rsidR="0010679E" w:rsidRPr="00EA6A93">
        <w:rPr>
          <w:lang w:val="en-GB"/>
        </w:rPr>
        <w:t>The l</w:t>
      </w:r>
      <w:r w:rsidRPr="00EA6A93">
        <w:rPr>
          <w:lang w:val="en-GB"/>
        </w:rPr>
        <w:t>eaking</w:t>
      </w:r>
      <w:r w:rsidRPr="00CD2EEF">
        <w:rPr>
          <w:lang w:val="en-GB"/>
        </w:rPr>
        <w:t xml:space="preserve"> was stopped and the plant continued to operate at a full rate.</w:t>
      </w:r>
    </w:p>
    <w:p w14:paraId="65032A55" w14:textId="77777777" w:rsidR="00CB3A79" w:rsidRPr="00CD2EEF" w:rsidRDefault="00CB3A79" w:rsidP="00FE58B5">
      <w:pPr>
        <w:pStyle w:val="LPnavaden"/>
        <w:rPr>
          <w:lang w:val="en-GB"/>
        </w:rPr>
      </w:pPr>
      <w:bookmarkStart w:id="16" w:name="fig01"/>
      <w:r w:rsidRPr="00CD2EEF">
        <w:rPr>
          <w:noProof/>
          <w:lang w:val="en-GB"/>
        </w:rPr>
        <w:lastRenderedPageBreak/>
        <w:drawing>
          <wp:inline distT="0" distB="0" distL="0" distR="0" wp14:anchorId="4AD2E688" wp14:editId="76614431">
            <wp:extent cx="5760720" cy="3524885"/>
            <wp:effectExtent l="0" t="0" r="11430" b="18415"/>
            <wp:docPr id="29" name="Grafikon 29" descr="graphical introduction of NPP operating power in 2021 by months ">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7BDCEA" w14:textId="0678D7ED" w:rsidR="00CB3A79" w:rsidRPr="00CD2EEF" w:rsidRDefault="00757AC2" w:rsidP="00757AC2">
      <w:pPr>
        <w:pStyle w:val="LPnaslovslika"/>
        <w:rPr>
          <w:lang w:val="en-GB"/>
        </w:rPr>
      </w:pPr>
      <w:bookmarkStart w:id="17" w:name="_Toc46257266"/>
      <w:bookmarkStart w:id="18" w:name="_Toc47694709"/>
      <w:bookmarkStart w:id="19" w:name="_Toc84321424"/>
      <w:bookmarkStart w:id="20" w:name="_Toc126309880"/>
      <w:bookmarkEnd w:id="16"/>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w:t>
      </w:r>
      <w:r w:rsidR="00366B6D" w:rsidRPr="00CD2EEF">
        <w:rPr>
          <w:lang w:val="en-GB"/>
        </w:rPr>
        <w:fldChar w:fldCharType="end"/>
      </w:r>
      <w:r w:rsidR="00CB3A79" w:rsidRPr="00CD2EEF">
        <w:rPr>
          <w:lang w:val="en-GB"/>
        </w:rPr>
        <w:t xml:space="preserve">: Operating power diagram of </w:t>
      </w:r>
      <w:r w:rsidR="001B146F">
        <w:rPr>
          <w:lang w:val="en-GB"/>
        </w:rPr>
        <w:t>the Krško NPP</w:t>
      </w:r>
      <w:r w:rsidR="00CB3A79" w:rsidRPr="00CD2EEF">
        <w:rPr>
          <w:lang w:val="en-GB"/>
        </w:rPr>
        <w:t xml:space="preserve"> in 20</w:t>
      </w:r>
      <w:bookmarkEnd w:id="17"/>
      <w:bookmarkEnd w:id="18"/>
      <w:r w:rsidR="00CB3A79" w:rsidRPr="00CD2EEF">
        <w:rPr>
          <w:lang w:val="en-GB"/>
        </w:rPr>
        <w:t>2</w:t>
      </w:r>
      <w:bookmarkEnd w:id="19"/>
      <w:r w:rsidR="00CB3A79" w:rsidRPr="00CD2EEF">
        <w:rPr>
          <w:lang w:val="en-GB"/>
        </w:rPr>
        <w:t>1</w:t>
      </w:r>
      <w:bookmarkEnd w:id="20"/>
      <w:r w:rsidR="00CB3A79" w:rsidRPr="00CD2EEF">
        <w:rPr>
          <w:lang w:val="en-GB"/>
        </w:rPr>
        <w:t xml:space="preserve"> </w:t>
      </w:r>
    </w:p>
    <w:p w14:paraId="3BD6D546" w14:textId="664E8D9F" w:rsidR="00CB3A79" w:rsidRPr="00CD2EEF" w:rsidRDefault="00447204" w:rsidP="00FE58B5">
      <w:pPr>
        <w:pStyle w:val="LPnavaden"/>
        <w:rPr>
          <w:lang w:val="en-GB"/>
        </w:rPr>
      </w:pPr>
      <w:hyperlink w:anchor="fig02" w:history="1">
        <w:r w:rsidR="00CB3A79" w:rsidRPr="00CD2EEF">
          <w:rPr>
            <w:rStyle w:val="Hiperpovezava"/>
            <w:lang w:val="en-GB"/>
          </w:rPr>
          <w:t>Figure 2</w:t>
        </w:r>
      </w:hyperlink>
      <w:r w:rsidR="00CB3A79" w:rsidRPr="00CD2EEF">
        <w:rPr>
          <w:lang w:val="en-GB"/>
        </w:rPr>
        <w:t xml:space="preserve"> and </w:t>
      </w:r>
      <w:hyperlink w:anchor="fig03" w:history="1">
        <w:r w:rsidR="00CB3A79" w:rsidRPr="00CD2EEF">
          <w:rPr>
            <w:rStyle w:val="Hiperpovezava"/>
            <w:lang w:val="en-GB"/>
          </w:rPr>
          <w:t>Figure 3</w:t>
        </w:r>
      </w:hyperlink>
      <w:r w:rsidR="00CB3A79" w:rsidRPr="00CD2EEF">
        <w:rPr>
          <w:lang w:val="en-GB"/>
        </w:rPr>
        <w:t xml:space="preserve"> show the number of the plant shutdowns. </w:t>
      </w:r>
    </w:p>
    <w:p w14:paraId="3BC0B738" w14:textId="77777777" w:rsidR="00CB3A79" w:rsidRPr="00CD2EEF" w:rsidRDefault="00CB3A79" w:rsidP="00FE58B5">
      <w:pPr>
        <w:pStyle w:val="LPnavaden"/>
        <w:rPr>
          <w:lang w:val="en-GB"/>
        </w:rPr>
      </w:pPr>
      <w:bookmarkStart w:id="21" w:name="fig02"/>
      <w:r w:rsidRPr="00CD2EEF">
        <w:rPr>
          <w:noProof/>
          <w:lang w:val="en-GB"/>
        </w:rPr>
        <w:drawing>
          <wp:inline distT="0" distB="0" distL="0" distR="0" wp14:anchorId="758B224F" wp14:editId="0B73DAA4">
            <wp:extent cx="4705350" cy="2245995"/>
            <wp:effectExtent l="0" t="0" r="0" b="1905"/>
            <wp:docPr id="3" name="Grafikon 3" descr="graphical introduction of reactor shutdowns since 1983">
              <a:extLst xmlns:a="http://schemas.openxmlformats.org/drawingml/2006/main">
                <a:ext uri="{FF2B5EF4-FFF2-40B4-BE49-F238E27FC236}">
                  <a16:creationId xmlns:a16="http://schemas.microsoft.com/office/drawing/2014/main" id="{00000000-0008-0000-0400-00004A5D4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41C28C" w14:textId="6682900B" w:rsidR="00CB3A79" w:rsidRPr="00CD2EEF" w:rsidRDefault="006C73AA" w:rsidP="006C73AA">
      <w:pPr>
        <w:pStyle w:val="LPnaslovslika"/>
        <w:rPr>
          <w:lang w:val="en-GB"/>
        </w:rPr>
      </w:pPr>
      <w:bookmarkStart w:id="22" w:name="_Toc359333312"/>
      <w:bookmarkStart w:id="23" w:name="_Toc46257267"/>
      <w:bookmarkStart w:id="24" w:name="_Toc47694710"/>
      <w:bookmarkStart w:id="25" w:name="_Toc84321425"/>
      <w:bookmarkStart w:id="26" w:name="_Toc126309881"/>
      <w:bookmarkEnd w:id="21"/>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2</w:t>
      </w:r>
      <w:r w:rsidR="00366B6D" w:rsidRPr="00CD2EEF">
        <w:rPr>
          <w:lang w:val="en-GB"/>
        </w:rPr>
        <w:fldChar w:fldCharType="end"/>
      </w:r>
      <w:r w:rsidR="00CB3A79" w:rsidRPr="00CD2EEF">
        <w:rPr>
          <w:lang w:val="en-GB"/>
        </w:rPr>
        <w:t xml:space="preserve">: </w:t>
      </w:r>
      <w:bookmarkEnd w:id="22"/>
      <w:r w:rsidR="00CB3A79" w:rsidRPr="00CD2EEF">
        <w:rPr>
          <w:lang w:val="en-GB"/>
        </w:rPr>
        <w:t>Fast reactor shutdowns – manual and automatic</w:t>
      </w:r>
      <w:bookmarkEnd w:id="23"/>
      <w:bookmarkEnd w:id="24"/>
      <w:bookmarkEnd w:id="25"/>
      <w:bookmarkEnd w:id="26"/>
    </w:p>
    <w:p w14:paraId="54D16194" w14:textId="77777777" w:rsidR="00CB3A79" w:rsidRPr="00CD2EEF" w:rsidRDefault="00CB3A79" w:rsidP="00FE58B5">
      <w:pPr>
        <w:pStyle w:val="LPnavaden"/>
        <w:rPr>
          <w:lang w:val="en-GB"/>
        </w:rPr>
      </w:pPr>
    </w:p>
    <w:p w14:paraId="7F995A2E" w14:textId="77777777" w:rsidR="00CB3A79" w:rsidRPr="00CD2EEF" w:rsidRDefault="00CB3A79" w:rsidP="00FE58B5">
      <w:pPr>
        <w:pStyle w:val="LPnavaden"/>
        <w:rPr>
          <w:lang w:val="en-GB"/>
        </w:rPr>
      </w:pPr>
      <w:bookmarkStart w:id="27" w:name="fig03"/>
      <w:r w:rsidRPr="00CD2EEF">
        <w:rPr>
          <w:noProof/>
          <w:lang w:val="en-GB"/>
        </w:rPr>
        <w:lastRenderedPageBreak/>
        <w:drawing>
          <wp:inline distT="0" distB="0" distL="0" distR="0" wp14:anchorId="039B9C4E" wp14:editId="7B500B4D">
            <wp:extent cx="4705350" cy="2245995"/>
            <wp:effectExtent l="0" t="0" r="0" b="1905"/>
            <wp:docPr id="23" name="Grafikon 23" descr="graphical introduction of normal planned and unplanned reactor shutdowns since 1983">
              <a:extLst xmlns:a="http://schemas.openxmlformats.org/drawingml/2006/main">
                <a:ext uri="{FF2B5EF4-FFF2-40B4-BE49-F238E27FC236}">
                  <a16:creationId xmlns:a16="http://schemas.microsoft.com/office/drawing/2014/main" id="{00000000-0008-0000-0400-00004C5D4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259ABC" w14:textId="5D2C72F2" w:rsidR="00CB3A79" w:rsidRPr="00CD2EEF" w:rsidRDefault="006C73AA" w:rsidP="006C73AA">
      <w:pPr>
        <w:pStyle w:val="LPnaslovslika"/>
        <w:rPr>
          <w:lang w:val="en-GB"/>
        </w:rPr>
      </w:pPr>
      <w:bookmarkStart w:id="28" w:name="_Toc46257268"/>
      <w:bookmarkStart w:id="29" w:name="_Toc47694711"/>
      <w:bookmarkStart w:id="30" w:name="_Toc84321426"/>
      <w:bookmarkStart w:id="31" w:name="_Toc126309882"/>
      <w:bookmarkEnd w:id="27"/>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3</w:t>
      </w:r>
      <w:r w:rsidR="00366B6D" w:rsidRPr="00CD2EEF">
        <w:rPr>
          <w:lang w:val="en-GB"/>
        </w:rPr>
        <w:fldChar w:fldCharType="end"/>
      </w:r>
      <w:r w:rsidR="00CB3A79" w:rsidRPr="00CD2EEF">
        <w:rPr>
          <w:lang w:val="en-GB"/>
        </w:rPr>
        <w:t>: Normal reactor shutdowns – planned and unplanned</w:t>
      </w:r>
      <w:bookmarkEnd w:id="28"/>
      <w:bookmarkEnd w:id="29"/>
      <w:bookmarkEnd w:id="30"/>
      <w:bookmarkEnd w:id="31"/>
      <w:r w:rsidR="00CB3A79" w:rsidRPr="00CD2EEF">
        <w:rPr>
          <w:lang w:val="en-GB"/>
        </w:rPr>
        <w:t xml:space="preserve"> </w:t>
      </w:r>
    </w:p>
    <w:p w14:paraId="72ADFA3B" w14:textId="77777777" w:rsidR="00CB3A79" w:rsidRPr="00CD2EEF" w:rsidRDefault="00CB3A79" w:rsidP="00FE58B5">
      <w:pPr>
        <w:pStyle w:val="LPnavaden"/>
        <w:rPr>
          <w:lang w:val="en-GB"/>
        </w:rPr>
      </w:pPr>
      <w:r w:rsidRPr="00CD2EEF">
        <w:rPr>
          <w:lang w:val="en-GB"/>
        </w:rPr>
        <w:t>Shutdowns are divided into two groups: fast and normal. Fast shutdowns are caused by the operation of the reactor protection system, which is triggered automatically or manually. With normal shutdowns, the power of the reactor is gradually reduced. These are further divided into planned and unplanned shutdowns. Normal shutdown due to fuel replacement and regular annual maintenance or outage is a special type of planned shutdown.</w:t>
      </w:r>
    </w:p>
    <w:p w14:paraId="1765A4C5" w14:textId="5932B2FA" w:rsidR="00CB3A79" w:rsidRPr="00CD2EEF" w:rsidRDefault="00CB3A79" w:rsidP="00FE58B5">
      <w:pPr>
        <w:pStyle w:val="LPnavaden"/>
        <w:rPr>
          <w:lang w:val="en-GB"/>
        </w:rPr>
      </w:pPr>
      <w:r w:rsidRPr="00CD2EEF">
        <w:rPr>
          <w:lang w:val="en-GB"/>
        </w:rPr>
        <w:t>The plant has been shut down 207 times during its operation (1981</w:t>
      </w:r>
      <w:r w:rsidR="00AD02E0">
        <w:rPr>
          <w:lang w:val="en-GB"/>
        </w:rPr>
        <w:t>–20</w:t>
      </w:r>
      <w:r w:rsidRPr="00CD2EEF">
        <w:rPr>
          <w:lang w:val="en-GB"/>
        </w:rPr>
        <w:t>21), of which 139 during commercial operation. There have been 139 fast shutdowns. During commercial operation</w:t>
      </w:r>
      <w:r w:rsidR="00A01AE7">
        <w:rPr>
          <w:lang w:val="en-GB"/>
        </w:rPr>
        <w:t>,</w:t>
      </w:r>
      <w:r w:rsidRPr="00CD2EEF">
        <w:rPr>
          <w:lang w:val="en-GB"/>
        </w:rPr>
        <w:t xml:space="preserve"> there have been 82 fast shutdowns, of which 77 automatic and 5 manual. There have been 68 normal shutdowns in total. During commercial operation</w:t>
      </w:r>
      <w:r w:rsidR="00A01AE7">
        <w:rPr>
          <w:lang w:val="en-GB"/>
        </w:rPr>
        <w:t>,</w:t>
      </w:r>
      <w:r w:rsidRPr="00CD2EEF">
        <w:rPr>
          <w:lang w:val="en-GB"/>
        </w:rPr>
        <w:t xml:space="preserve"> there have been 57 normal shutdowns, of which 28 due to outage, while 26 were unplanned and 3 planned. The number of outages is smaller than the number of years of plant operation because there were no outages in the years 1991, 2005, 2008, 2011, 2014, 2017</w:t>
      </w:r>
      <w:r w:rsidR="00C26234">
        <w:rPr>
          <w:lang w:val="en-GB"/>
        </w:rPr>
        <w:t>,</w:t>
      </w:r>
      <w:r w:rsidRPr="00CD2EEF">
        <w:rPr>
          <w:lang w:val="en-GB"/>
        </w:rPr>
        <w:t xml:space="preserve"> and 2020. Furthermore, there have been four fast shutdowns due to equipment problems that occurred close to the planned beginning of an outage, which resulted in an earlier start of the outage. A gradual stabilisation of fast shutdowns can be observed (in the last 25 years fewer than 1 per year). </w:t>
      </w:r>
      <w:r w:rsidR="007F76A8">
        <w:rPr>
          <w:lang w:val="en-GB"/>
        </w:rPr>
        <w:t>T</w:t>
      </w:r>
      <w:r w:rsidRPr="00CD2EEF">
        <w:rPr>
          <w:lang w:val="en-GB"/>
        </w:rPr>
        <w:t>here were no fast shutdowns</w:t>
      </w:r>
      <w:r w:rsidR="007F76A8" w:rsidRPr="007F76A8">
        <w:rPr>
          <w:lang w:val="en-GB"/>
        </w:rPr>
        <w:t xml:space="preserve"> </w:t>
      </w:r>
      <w:r w:rsidR="007F76A8">
        <w:rPr>
          <w:lang w:val="en-GB"/>
        </w:rPr>
        <w:t>i</w:t>
      </w:r>
      <w:r w:rsidR="007F76A8" w:rsidRPr="00CD2EEF">
        <w:rPr>
          <w:lang w:val="en-GB"/>
        </w:rPr>
        <w:t>n 2021</w:t>
      </w:r>
      <w:r w:rsidRPr="00CD2EEF">
        <w:rPr>
          <w:lang w:val="en-GB"/>
        </w:rPr>
        <w:t xml:space="preserve">. </w:t>
      </w:r>
    </w:p>
    <w:p w14:paraId="316ECC72" w14:textId="39CA442B" w:rsidR="00CB3A79" w:rsidRPr="00CD2EEF" w:rsidRDefault="00447204" w:rsidP="00FE58B5">
      <w:pPr>
        <w:pStyle w:val="LPnavaden"/>
        <w:rPr>
          <w:lang w:val="en-GB"/>
        </w:rPr>
      </w:pPr>
      <w:hyperlink w:anchor="fig04" w:history="1">
        <w:r w:rsidR="00CB3A79" w:rsidRPr="00CD2EEF">
          <w:rPr>
            <w:rStyle w:val="Hiperpovezava"/>
            <w:lang w:val="en-GB"/>
          </w:rPr>
          <w:t>Figure 4</w:t>
        </w:r>
      </w:hyperlink>
      <w:r w:rsidR="00CB3A79" w:rsidRPr="00CD2EEF">
        <w:rPr>
          <w:lang w:val="en-GB"/>
        </w:rPr>
        <w:t xml:space="preserve"> shows the number of abnormal events according to Article 30 of the </w:t>
      </w:r>
      <w:r w:rsidR="00CB3A79" w:rsidRPr="00CD2EEF">
        <w:rPr>
          <w:rStyle w:val="LPnavadenposevnoZnak"/>
          <w:lang w:val="en-GB"/>
        </w:rPr>
        <w:t>Rules on the safety assurance of radiation and nuclear facilities</w:t>
      </w:r>
      <w:r w:rsidR="00CB3A79" w:rsidRPr="00CD2EEF">
        <w:rPr>
          <w:lang w:val="en-GB"/>
        </w:rPr>
        <w:t xml:space="preserve"> (Official Gazette of the Republic of Slovenia, </w:t>
      </w:r>
      <w:r w:rsidR="00CB3A79" w:rsidRPr="00A83EA5">
        <w:rPr>
          <w:lang w:val="en-GB"/>
        </w:rPr>
        <w:t>No</w:t>
      </w:r>
      <w:r w:rsidR="00C26234" w:rsidRPr="00EA6A93">
        <w:rPr>
          <w:lang w:val="en-GB"/>
        </w:rPr>
        <w:t>s</w:t>
      </w:r>
      <w:r w:rsidR="00CB3A79" w:rsidRPr="00A83EA5">
        <w:rPr>
          <w:lang w:val="en-GB"/>
        </w:rPr>
        <w:t>. 76/17 and 76/17 – ZVISJV-1</w:t>
      </w:r>
      <w:r w:rsidR="00A61CB2" w:rsidRPr="00EA6A93">
        <w:rPr>
          <w:lang w:val="en-GB"/>
        </w:rPr>
        <w:t>;</w:t>
      </w:r>
      <w:r w:rsidR="00CB3A79" w:rsidRPr="00CD2EEF">
        <w:rPr>
          <w:lang w:val="en-GB"/>
        </w:rPr>
        <w:t xml:space="preserve"> hereinafter: Rules JV9). In 2021, there were no abnormal events according to Article 30 of Rules JV9. </w:t>
      </w:r>
      <w:r w:rsidR="001B146F">
        <w:rPr>
          <w:lang w:val="en-GB"/>
        </w:rPr>
        <w:t>The Krško NPP</w:t>
      </w:r>
      <w:r w:rsidR="00CB3A79" w:rsidRPr="00CD2EEF">
        <w:rPr>
          <w:lang w:val="en-GB"/>
        </w:rPr>
        <w:t xml:space="preserve"> is obliged to report all events that could reduce the level of nuclear safety to the regulatory body. Abnormal events are described in </w:t>
      </w:r>
      <w:hyperlink w:anchor="ch2112" w:history="1">
        <w:r w:rsidR="00CB3A79" w:rsidRPr="00CD2EEF">
          <w:rPr>
            <w:rStyle w:val="Hiperpovezava"/>
            <w:lang w:val="en-GB"/>
          </w:rPr>
          <w:t>Chapter 2.1.1.2</w:t>
        </w:r>
      </w:hyperlink>
      <w:r w:rsidR="00CB3A79" w:rsidRPr="00CD2EEF">
        <w:rPr>
          <w:lang w:val="en-GB"/>
        </w:rPr>
        <w:t>.</w:t>
      </w:r>
      <w:r w:rsidR="008A1E6B">
        <w:rPr>
          <w:lang w:val="en-GB"/>
        </w:rPr>
        <w:t xml:space="preserve"> </w:t>
      </w:r>
    </w:p>
    <w:p w14:paraId="02A5F1B5" w14:textId="77777777" w:rsidR="00CB3A79" w:rsidRPr="00CD2EEF" w:rsidRDefault="00CB3A79" w:rsidP="00FE58B5">
      <w:pPr>
        <w:pStyle w:val="LPnavaden"/>
        <w:rPr>
          <w:lang w:val="en-GB"/>
        </w:rPr>
      </w:pPr>
    </w:p>
    <w:p w14:paraId="33365A63" w14:textId="77777777" w:rsidR="00CB3A79" w:rsidRPr="00CD2EEF" w:rsidRDefault="00CB3A79" w:rsidP="00FE58B5">
      <w:pPr>
        <w:pStyle w:val="LPnavaden"/>
        <w:rPr>
          <w:lang w:val="en-GB"/>
        </w:rPr>
      </w:pPr>
    </w:p>
    <w:p w14:paraId="47365332" w14:textId="77777777" w:rsidR="00CB3A79" w:rsidRPr="00CD2EEF" w:rsidRDefault="00CB3A79" w:rsidP="00FE58B5">
      <w:pPr>
        <w:pStyle w:val="LPnavaden"/>
        <w:rPr>
          <w:lang w:val="en-GB"/>
        </w:rPr>
      </w:pPr>
      <w:bookmarkStart w:id="32" w:name="fig04"/>
      <w:r w:rsidRPr="00CD2EEF">
        <w:rPr>
          <w:noProof/>
          <w:lang w:val="en-GB"/>
        </w:rPr>
        <w:lastRenderedPageBreak/>
        <w:drawing>
          <wp:inline distT="0" distB="0" distL="0" distR="0" wp14:anchorId="2F411725" wp14:editId="5CED3D4B">
            <wp:extent cx="4705350" cy="2245995"/>
            <wp:effectExtent l="0" t="0" r="0" b="1905"/>
            <wp:docPr id="12" name="Grafikon 12" descr="graphical introduction of abnormal events since 1983">
              <a:extLst xmlns:a="http://schemas.openxmlformats.org/drawingml/2006/main">
                <a:ext uri="{FF2B5EF4-FFF2-40B4-BE49-F238E27FC236}">
                  <a16:creationId xmlns:a16="http://schemas.microsoft.com/office/drawing/2014/main" id="{00000000-0008-0000-0400-00004F5D4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227DBC" w14:textId="6D4976A7" w:rsidR="00CB3A79" w:rsidRPr="00CD2EEF" w:rsidRDefault="006C73AA" w:rsidP="006C73AA">
      <w:pPr>
        <w:pStyle w:val="LPnaslovslika"/>
        <w:rPr>
          <w:lang w:val="en-GB"/>
        </w:rPr>
      </w:pPr>
      <w:bookmarkStart w:id="33" w:name="_Toc46257269"/>
      <w:bookmarkStart w:id="34" w:name="_Toc47694712"/>
      <w:bookmarkStart w:id="35" w:name="_Toc84321427"/>
      <w:bookmarkStart w:id="36" w:name="_Toc126309883"/>
      <w:bookmarkEnd w:id="32"/>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4</w:t>
      </w:r>
      <w:r w:rsidR="00366B6D" w:rsidRPr="00CD2EEF">
        <w:rPr>
          <w:lang w:val="en-GB"/>
        </w:rPr>
        <w:fldChar w:fldCharType="end"/>
      </w:r>
      <w:r w:rsidR="00CB3A79" w:rsidRPr="00CD2EEF">
        <w:rPr>
          <w:lang w:val="en-GB"/>
        </w:rPr>
        <w:t>: Number of abnormal events per year</w:t>
      </w:r>
      <w:bookmarkEnd w:id="33"/>
      <w:bookmarkEnd w:id="34"/>
      <w:bookmarkEnd w:id="35"/>
      <w:bookmarkEnd w:id="36"/>
      <w:r w:rsidR="00CB3A79" w:rsidRPr="00CD2EEF">
        <w:rPr>
          <w:lang w:val="en-GB"/>
        </w:rPr>
        <w:t xml:space="preserve"> </w:t>
      </w:r>
    </w:p>
    <w:p w14:paraId="683E3D3B" w14:textId="19921DDB" w:rsidR="00CB3A79" w:rsidRPr="00CD2EEF" w:rsidRDefault="00447204" w:rsidP="00FE58B5">
      <w:pPr>
        <w:pStyle w:val="LPnavaden"/>
        <w:rPr>
          <w:lang w:val="en-GB"/>
        </w:rPr>
      </w:pPr>
      <w:hyperlink w:anchor="fig05" w:history="1">
        <w:r w:rsidR="00CB3A79" w:rsidRPr="00CD2EEF">
          <w:rPr>
            <w:rStyle w:val="Hiperpovezava"/>
            <w:lang w:val="en-GB"/>
          </w:rPr>
          <w:t>Figure 5</w:t>
        </w:r>
      </w:hyperlink>
      <w:r w:rsidR="00CB3A79" w:rsidRPr="00CD2EEF">
        <w:rPr>
          <w:lang w:val="en-GB"/>
        </w:rPr>
        <w:t xml:space="preserve"> presents data on different means of electricity production in Slovenia, specifically electricity production in nuclear, hydro, thermal, and solar power plants. In 2021, the production of electrical energy was 14.7 TWh, of which 36.9% was produced by </w:t>
      </w:r>
      <w:r w:rsidR="001B146F">
        <w:rPr>
          <w:lang w:val="en-GB"/>
        </w:rPr>
        <w:t>the Krško NPP</w:t>
      </w:r>
      <w:r w:rsidR="00CB3A79" w:rsidRPr="00CD2EEF">
        <w:rPr>
          <w:lang w:val="en-GB"/>
        </w:rPr>
        <w:t>.</w:t>
      </w:r>
    </w:p>
    <w:p w14:paraId="36BFF985" w14:textId="77777777" w:rsidR="00CB3A79" w:rsidRPr="00CD2EEF" w:rsidRDefault="00CB3A79" w:rsidP="00FE58B5">
      <w:pPr>
        <w:pStyle w:val="LPnavaden"/>
        <w:rPr>
          <w:lang w:val="en-GB"/>
        </w:rPr>
      </w:pPr>
      <w:bookmarkStart w:id="37" w:name="fig05"/>
      <w:r w:rsidRPr="00CD2EEF">
        <w:rPr>
          <w:noProof/>
          <w:lang w:val="en-GB"/>
        </w:rPr>
        <w:drawing>
          <wp:inline distT="0" distB="0" distL="0" distR="0" wp14:anchorId="7DB4D1FF" wp14:editId="00AB9230">
            <wp:extent cx="4714875" cy="2255520"/>
            <wp:effectExtent l="0" t="0" r="9525" b="11430"/>
            <wp:docPr id="27" name="Grafikon 27" descr="graph of electrical energy production from nuclear, hydro, thermal and solar sources in Slovenia since 1983">
              <a:extLst xmlns:a="http://schemas.openxmlformats.org/drawingml/2006/main">
                <a:ext uri="{FF2B5EF4-FFF2-40B4-BE49-F238E27FC236}">
                  <a16:creationId xmlns:a16="http://schemas.microsoft.com/office/drawing/2014/main" id="{00000000-0008-0000-0400-0000535D4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D42B2B" w14:textId="5DD00288" w:rsidR="00CB3A79" w:rsidRPr="00CD2EEF" w:rsidRDefault="006C73AA" w:rsidP="006C73AA">
      <w:pPr>
        <w:pStyle w:val="LPnaslovslika"/>
        <w:rPr>
          <w:lang w:val="en-GB"/>
        </w:rPr>
      </w:pPr>
      <w:bookmarkStart w:id="38" w:name="_Toc359333318"/>
      <w:bookmarkStart w:id="39" w:name="_Toc46257270"/>
      <w:bookmarkStart w:id="40" w:name="_Toc47694713"/>
      <w:bookmarkStart w:id="41" w:name="_Toc84321428"/>
      <w:bookmarkStart w:id="42" w:name="_Toc126309884"/>
      <w:bookmarkEnd w:id="37"/>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5</w:t>
      </w:r>
      <w:r w:rsidR="00366B6D" w:rsidRPr="00CD2EEF">
        <w:rPr>
          <w:lang w:val="en-GB"/>
        </w:rPr>
        <w:fldChar w:fldCharType="end"/>
      </w:r>
      <w:r w:rsidR="00CB3A79" w:rsidRPr="00CD2EEF">
        <w:rPr>
          <w:lang w:val="en-GB"/>
        </w:rPr>
        <w:t xml:space="preserve">: </w:t>
      </w:r>
      <w:bookmarkEnd w:id="38"/>
      <w:r w:rsidR="00CB3A79" w:rsidRPr="00CD2EEF">
        <w:rPr>
          <w:lang w:val="en-GB"/>
        </w:rPr>
        <w:t>Production of electrical energy in Slovenia</w:t>
      </w:r>
      <w:bookmarkEnd w:id="39"/>
      <w:bookmarkEnd w:id="40"/>
      <w:bookmarkEnd w:id="41"/>
      <w:bookmarkEnd w:id="42"/>
      <w:r w:rsidR="00CB3A79" w:rsidRPr="00CD2EEF">
        <w:rPr>
          <w:lang w:val="en-GB"/>
        </w:rPr>
        <w:t xml:space="preserve"> </w:t>
      </w:r>
    </w:p>
    <w:p w14:paraId="4F89183E" w14:textId="5D8FEFB3" w:rsidR="00CB3A79" w:rsidRPr="00CD2EEF" w:rsidRDefault="00CB3A79" w:rsidP="00FE58B5">
      <w:pPr>
        <w:pStyle w:val="LPviri"/>
        <w:rPr>
          <w:lang w:val="en-GB"/>
        </w:rPr>
      </w:pPr>
      <w:r w:rsidRPr="00CD2EEF">
        <w:rPr>
          <w:lang w:val="en-GB"/>
        </w:rPr>
        <w:t>References: [</w:t>
      </w:r>
      <w:hyperlink w:anchor="r01" w:history="1">
        <w:r w:rsidRPr="00CD2EEF">
          <w:rPr>
            <w:rStyle w:val="Hiperpovezava"/>
            <w:lang w:val="en-GB"/>
          </w:rPr>
          <w:t>1</w:t>
        </w:r>
      </w:hyperlink>
      <w:r w:rsidRPr="00CD2EEF">
        <w:rPr>
          <w:lang w:val="en-GB"/>
        </w:rPr>
        <w:t>], [</w:t>
      </w:r>
      <w:hyperlink w:anchor="r02" w:history="1">
        <w:r w:rsidRPr="00CD2EEF">
          <w:rPr>
            <w:rStyle w:val="Hiperpovezava"/>
            <w:lang w:val="en-GB"/>
          </w:rPr>
          <w:t>2</w:t>
        </w:r>
      </w:hyperlink>
      <w:r w:rsidRPr="00CD2EEF">
        <w:rPr>
          <w:lang w:val="en-GB"/>
        </w:rPr>
        <w:t>]</w:t>
      </w:r>
    </w:p>
    <w:p w14:paraId="5973D3AB" w14:textId="6D807AD5" w:rsidR="00CB3A79" w:rsidRPr="00CD2EEF" w:rsidRDefault="00CB3A79" w:rsidP="00CB3A79">
      <w:pPr>
        <w:pStyle w:val="LPpodpoglavje"/>
        <w:rPr>
          <w:lang w:val="en-GB"/>
        </w:rPr>
      </w:pPr>
      <w:r w:rsidRPr="00CD2EEF">
        <w:rPr>
          <w:lang w:val="en-GB"/>
        </w:rPr>
        <w:t>The Slovenian Nuclear Safety Administration</w:t>
      </w:r>
      <w:r w:rsidR="00F21D56">
        <w:rPr>
          <w:lang w:val="en-GB"/>
        </w:rPr>
        <w:t>’</w:t>
      </w:r>
      <w:r w:rsidRPr="00CD2EEF">
        <w:rPr>
          <w:lang w:val="en-GB"/>
        </w:rPr>
        <w:t xml:space="preserve">s </w:t>
      </w:r>
      <w:r w:rsidR="00530103">
        <w:rPr>
          <w:lang w:val="en-GB"/>
        </w:rPr>
        <w:t>P</w:t>
      </w:r>
      <w:r w:rsidRPr="00CD2EEF">
        <w:rPr>
          <w:lang w:val="en-GB"/>
        </w:rPr>
        <w:t xml:space="preserve">rocess of </w:t>
      </w:r>
      <w:r w:rsidR="00530103">
        <w:rPr>
          <w:lang w:val="en-GB"/>
        </w:rPr>
        <w:t>M</w:t>
      </w:r>
      <w:r w:rsidRPr="00CD2EEF">
        <w:rPr>
          <w:lang w:val="en-GB"/>
        </w:rPr>
        <w:t xml:space="preserve">onitoring </w:t>
      </w:r>
      <w:r w:rsidR="001B146F">
        <w:rPr>
          <w:lang w:val="en-GB"/>
        </w:rPr>
        <w:t>the Krško NPP</w:t>
      </w:r>
      <w:r w:rsidRPr="00CD2EEF">
        <w:rPr>
          <w:lang w:val="en-GB"/>
        </w:rPr>
        <w:t xml:space="preserve"> by </w:t>
      </w:r>
      <w:r w:rsidR="00530103">
        <w:rPr>
          <w:lang w:val="en-GB"/>
        </w:rPr>
        <w:t>M</w:t>
      </w:r>
      <w:r w:rsidRPr="00CD2EEF">
        <w:rPr>
          <w:lang w:val="en-GB"/>
        </w:rPr>
        <w:t xml:space="preserve">eans of </w:t>
      </w:r>
      <w:r w:rsidR="00530103">
        <w:rPr>
          <w:lang w:val="en-GB"/>
        </w:rPr>
        <w:t>S</w:t>
      </w:r>
      <w:r w:rsidRPr="00CD2EEF">
        <w:rPr>
          <w:lang w:val="en-GB"/>
        </w:rPr>
        <w:t>afety-</w:t>
      </w:r>
      <w:r w:rsidR="00530103">
        <w:rPr>
          <w:lang w:val="en-GB"/>
        </w:rPr>
        <w:t>P</w:t>
      </w:r>
      <w:r w:rsidRPr="00CD2EEF">
        <w:rPr>
          <w:lang w:val="en-GB"/>
        </w:rPr>
        <w:t xml:space="preserve">erformance </w:t>
      </w:r>
      <w:r w:rsidR="00530103">
        <w:rPr>
          <w:lang w:val="en-GB"/>
        </w:rPr>
        <w:t>I</w:t>
      </w:r>
      <w:r w:rsidRPr="00CD2EEF">
        <w:rPr>
          <w:lang w:val="en-GB"/>
        </w:rPr>
        <w:t>ndicators</w:t>
      </w:r>
    </w:p>
    <w:p w14:paraId="4B8C3C75" w14:textId="1A5F2F84" w:rsidR="00CB3A79" w:rsidRPr="00CD2EEF" w:rsidRDefault="00A726E8" w:rsidP="00FE58B5">
      <w:pPr>
        <w:pStyle w:val="LPnavaden"/>
        <w:rPr>
          <w:lang w:val="en-GB"/>
        </w:rPr>
      </w:pPr>
      <w:r>
        <w:rPr>
          <w:lang w:val="en-GB"/>
        </w:rPr>
        <w:t>The</w:t>
      </w:r>
      <w:r w:rsidR="00E63423">
        <w:rPr>
          <w:lang w:val="en-GB"/>
        </w:rPr>
        <w:t xml:space="preserve"> SNSA</w:t>
      </w:r>
      <w:r w:rsidR="00CB3A79" w:rsidRPr="00CD2EEF">
        <w:rPr>
          <w:lang w:val="en-GB"/>
        </w:rPr>
        <w:t xml:space="preserve"> monitors the management and operation of </w:t>
      </w:r>
      <w:r w:rsidR="001B146F">
        <w:rPr>
          <w:lang w:val="en-GB"/>
        </w:rPr>
        <w:t>the Krško NPP</w:t>
      </w:r>
      <w:r w:rsidR="00CB3A79" w:rsidRPr="00CD2EEF">
        <w:rPr>
          <w:lang w:val="en-GB"/>
        </w:rPr>
        <w:t xml:space="preserve"> through its set of Safety Performance Indicators (SPIs). In 2021, </w:t>
      </w:r>
      <w:r>
        <w:rPr>
          <w:lang w:val="en-GB"/>
        </w:rPr>
        <w:t>the</w:t>
      </w:r>
      <w:r w:rsidR="00E63423">
        <w:rPr>
          <w:lang w:val="en-GB"/>
        </w:rPr>
        <w:t xml:space="preserve"> SNSA</w:t>
      </w:r>
      <w:r w:rsidR="00CB3A79" w:rsidRPr="00CD2EEF">
        <w:rPr>
          <w:lang w:val="en-GB"/>
        </w:rPr>
        <w:t xml:space="preserve"> monitored 39 SPIs, examples of which are presented below. One part of the SPIs is </w:t>
      </w:r>
      <w:r>
        <w:rPr>
          <w:lang w:val="en-GB"/>
        </w:rPr>
        <w:t>the</w:t>
      </w:r>
      <w:r w:rsidR="00E63423">
        <w:rPr>
          <w:lang w:val="en-GB"/>
        </w:rPr>
        <w:t xml:space="preserve"> SNSA</w:t>
      </w:r>
      <w:r w:rsidR="00CB3A79" w:rsidRPr="00CD2EEF">
        <w:rPr>
          <w:lang w:val="en-GB"/>
        </w:rPr>
        <w:t xml:space="preserve"> limits for warnings and alarms. Thereby, </w:t>
      </w:r>
      <w:r w:rsidR="001B146F">
        <w:rPr>
          <w:lang w:val="en-GB"/>
        </w:rPr>
        <w:t>the Krško NPP</w:t>
      </w:r>
      <w:r w:rsidR="00CB3A79" w:rsidRPr="00CD2EEF">
        <w:rPr>
          <w:lang w:val="en-GB"/>
        </w:rPr>
        <w:t xml:space="preserve"> has time to take corrective measures that would improve the SPI values </w:t>
      </w:r>
      <w:r w:rsidR="00CB3A79" w:rsidRPr="00F52456">
        <w:rPr>
          <w:lang w:val="en-GB"/>
        </w:rPr>
        <w:t xml:space="preserve">before </w:t>
      </w:r>
      <w:r w:rsidRPr="00F52456">
        <w:rPr>
          <w:lang w:val="en-GB"/>
        </w:rPr>
        <w:t>the</w:t>
      </w:r>
      <w:r w:rsidR="00E63423" w:rsidRPr="00F52456">
        <w:rPr>
          <w:lang w:val="en-GB"/>
        </w:rPr>
        <w:t xml:space="preserve"> </w:t>
      </w:r>
      <w:r w:rsidR="00F52456" w:rsidRPr="00F52456">
        <w:rPr>
          <w:lang w:val="en-GB"/>
        </w:rPr>
        <w:t xml:space="preserve">warning or alarm value of the </w:t>
      </w:r>
      <w:r w:rsidR="00E63423" w:rsidRPr="00F52456">
        <w:rPr>
          <w:lang w:val="en-GB"/>
        </w:rPr>
        <w:t>SNSA</w:t>
      </w:r>
      <w:r w:rsidR="00CB3A79" w:rsidRPr="00F52456">
        <w:rPr>
          <w:lang w:val="en-GB"/>
        </w:rPr>
        <w:t xml:space="preserve"> has reached the, and thus control by </w:t>
      </w:r>
      <w:r w:rsidRPr="00F52456">
        <w:rPr>
          <w:lang w:val="en-GB"/>
        </w:rPr>
        <w:t>the</w:t>
      </w:r>
      <w:r w:rsidR="00E63423" w:rsidRPr="00F52456">
        <w:rPr>
          <w:lang w:val="en-GB"/>
        </w:rPr>
        <w:t xml:space="preserve"> SNSA</w:t>
      </w:r>
      <w:r w:rsidR="00CB3A79" w:rsidRPr="00F52456">
        <w:rPr>
          <w:lang w:val="en-GB"/>
        </w:rPr>
        <w:t xml:space="preserve"> is incr</w:t>
      </w:r>
      <w:r w:rsidR="00CB3A79" w:rsidRPr="00CD2EEF">
        <w:rPr>
          <w:lang w:val="en-GB"/>
        </w:rPr>
        <w:t xml:space="preserve">eased. </w:t>
      </w:r>
    </w:p>
    <w:p w14:paraId="5DF83F93" w14:textId="3EFD8303" w:rsidR="00CB3A79" w:rsidRPr="00CD2EEF" w:rsidRDefault="00CB3A79" w:rsidP="00332A43">
      <w:pPr>
        <w:pStyle w:val="LPnavaden"/>
        <w:rPr>
          <w:lang w:val="en-GB"/>
        </w:rPr>
      </w:pPr>
      <w:r w:rsidRPr="00CD2EEF">
        <w:rPr>
          <w:lang w:val="en-GB"/>
        </w:rPr>
        <w:t xml:space="preserve">Once a month, </w:t>
      </w:r>
      <w:r w:rsidR="00A726E8">
        <w:rPr>
          <w:lang w:val="en-GB"/>
        </w:rPr>
        <w:t>the</w:t>
      </w:r>
      <w:r w:rsidR="00E63423">
        <w:rPr>
          <w:lang w:val="en-GB"/>
        </w:rPr>
        <w:t xml:space="preserve"> SNSA</w:t>
      </w:r>
      <w:r w:rsidRPr="00CD2EEF">
        <w:rPr>
          <w:lang w:val="en-GB"/>
        </w:rPr>
        <w:t xml:space="preserve"> informs </w:t>
      </w:r>
      <w:r w:rsidR="001B146F">
        <w:rPr>
          <w:lang w:val="en-GB"/>
        </w:rPr>
        <w:t>the Krško NPP</w:t>
      </w:r>
      <w:r w:rsidRPr="00CD2EEF">
        <w:rPr>
          <w:lang w:val="en-GB"/>
        </w:rPr>
        <w:t xml:space="preserve"> of the state of the SPIs and of possible individual areas that require greater engagement of </w:t>
      </w:r>
      <w:r w:rsidR="001B146F">
        <w:rPr>
          <w:lang w:val="en-GB"/>
        </w:rPr>
        <w:t>the Krško NPP</w:t>
      </w:r>
      <w:r w:rsidRPr="00CD2EEF">
        <w:rPr>
          <w:lang w:val="en-GB"/>
        </w:rPr>
        <w:t xml:space="preserve"> or where </w:t>
      </w:r>
      <w:r w:rsidR="00A726E8">
        <w:rPr>
          <w:lang w:val="en-GB"/>
        </w:rPr>
        <w:t>the</w:t>
      </w:r>
      <w:r w:rsidR="00E63423">
        <w:rPr>
          <w:lang w:val="en-GB"/>
        </w:rPr>
        <w:t xml:space="preserve"> SNSA</w:t>
      </w:r>
      <w:r w:rsidRPr="00CD2EEF">
        <w:rPr>
          <w:lang w:val="en-GB"/>
        </w:rPr>
        <w:t xml:space="preserve"> will carry out a more thematic inspection. </w:t>
      </w:r>
    </w:p>
    <w:p w14:paraId="17ABD9E6" w14:textId="7ECD83AC" w:rsidR="00CB3A79" w:rsidRPr="00CD2EEF" w:rsidRDefault="00CB3A79" w:rsidP="00FE58B5">
      <w:pPr>
        <w:pStyle w:val="LPnavaden"/>
        <w:rPr>
          <w:lang w:val="en-GB"/>
        </w:rPr>
      </w:pPr>
      <w:r w:rsidRPr="00CD2EEF">
        <w:rPr>
          <w:lang w:val="en-GB"/>
        </w:rPr>
        <w:t>From the indicator showing the activity of the primary coolant (</w:t>
      </w:r>
      <w:hyperlink w:anchor="fig06" w:history="1">
        <w:r w:rsidRPr="00CD2EEF">
          <w:rPr>
            <w:rStyle w:val="Hiperpovezava"/>
            <w:lang w:val="en-GB"/>
          </w:rPr>
          <w:t>Figure 6</w:t>
        </w:r>
      </w:hyperlink>
      <w:r w:rsidRPr="00CD2EEF">
        <w:rPr>
          <w:lang w:val="en-GB"/>
        </w:rPr>
        <w:t>), during the period between May and December 2021 (the 32</w:t>
      </w:r>
      <w:r w:rsidRPr="00CD2EEF">
        <w:rPr>
          <w:rStyle w:val="LPnadpisano"/>
          <w:lang w:val="en-GB"/>
        </w:rPr>
        <w:t>nd</w:t>
      </w:r>
      <w:r w:rsidRPr="00CD2EEF">
        <w:rPr>
          <w:lang w:val="en-GB"/>
        </w:rPr>
        <w:t xml:space="preserve"> fuel cycle), the specific activities of xenon </w:t>
      </w:r>
      <w:r w:rsidRPr="00CD2EEF">
        <w:rPr>
          <w:rStyle w:val="LPnadpisano"/>
          <w:lang w:val="en-GB"/>
        </w:rPr>
        <w:t>133</w:t>
      </w:r>
      <w:r w:rsidRPr="00CD2EEF">
        <w:rPr>
          <w:lang w:val="en-GB"/>
        </w:rPr>
        <w:t xml:space="preserve">Xe and iodine radionuclides </w:t>
      </w:r>
      <w:r w:rsidRPr="00CD2EEF">
        <w:rPr>
          <w:rStyle w:val="LPnadpisano"/>
          <w:lang w:val="en-GB"/>
        </w:rPr>
        <w:t>131</w:t>
      </w:r>
      <w:r w:rsidRPr="00CD2EEF">
        <w:rPr>
          <w:lang w:val="en-GB"/>
        </w:rPr>
        <w:t xml:space="preserve">I and </w:t>
      </w:r>
      <w:r w:rsidRPr="00CD2EEF">
        <w:rPr>
          <w:rStyle w:val="LPnadpisano"/>
          <w:lang w:val="en-GB"/>
        </w:rPr>
        <w:t>134</w:t>
      </w:r>
      <w:r w:rsidRPr="00CD2EEF">
        <w:rPr>
          <w:lang w:val="en-GB"/>
        </w:rPr>
        <w:t>I were reduced to approximately 1/2 of the value of the 31</w:t>
      </w:r>
      <w:r w:rsidRPr="00CD2EEF">
        <w:rPr>
          <w:rStyle w:val="LPnadpisano"/>
          <w:lang w:val="en-GB"/>
        </w:rPr>
        <w:t>st</w:t>
      </w:r>
      <w:r w:rsidRPr="00CD2EEF">
        <w:rPr>
          <w:lang w:val="en-GB"/>
        </w:rPr>
        <w:t xml:space="preserve"> fuel cycle. During the 2021 outage, it was found that there were no leaking fuel assemblies. Based on </w:t>
      </w:r>
      <w:r w:rsidRPr="00CD2EEF">
        <w:rPr>
          <w:lang w:val="en-GB"/>
        </w:rPr>
        <w:lastRenderedPageBreak/>
        <w:t>the obtained radiological data, it is concluded that there is a high probability that by the end of December 2021 there were no leaking or damaged fuel elements in the middle of the 32</w:t>
      </w:r>
      <w:r w:rsidRPr="00CD2EEF">
        <w:rPr>
          <w:rStyle w:val="LPnadpisano"/>
          <w:lang w:val="en-GB"/>
        </w:rPr>
        <w:t>nd</w:t>
      </w:r>
      <w:r w:rsidRPr="00CD2EEF">
        <w:rPr>
          <w:lang w:val="en-GB"/>
        </w:rPr>
        <w:t xml:space="preserve"> fuel cycle.</w:t>
      </w:r>
    </w:p>
    <w:p w14:paraId="36D30AD2" w14:textId="77777777" w:rsidR="00CB3A79" w:rsidRPr="00CD2EEF" w:rsidRDefault="00CB3A79" w:rsidP="00FE58B5">
      <w:pPr>
        <w:pStyle w:val="LPnavaden"/>
        <w:rPr>
          <w:lang w:val="en-GB"/>
        </w:rPr>
      </w:pPr>
      <w:bookmarkStart w:id="43" w:name="fig06"/>
      <w:r w:rsidRPr="00CD2EEF">
        <w:rPr>
          <w:noProof/>
          <w:lang w:val="en-GB"/>
        </w:rPr>
        <w:drawing>
          <wp:inline distT="0" distB="0" distL="0" distR="0" wp14:anchorId="3613CC3C" wp14:editId="6FD14AA2">
            <wp:extent cx="5760720" cy="3247390"/>
            <wp:effectExtent l="0" t="0" r="11430" b="10160"/>
            <wp:docPr id="14" name="Grafikon 14" descr="graphical introduction of primary coolant-specific activity in NPP during the last two fuel cycles">
              <a:extLst xmlns:a="http://schemas.openxmlformats.org/drawingml/2006/main">
                <a:ext uri="{FF2B5EF4-FFF2-40B4-BE49-F238E27FC236}">
                  <a16:creationId xmlns:a16="http://schemas.microsoft.com/office/drawing/2014/main" id="{9E5560C6-9614-414F-B3F3-FE620802B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52F1F4" w14:textId="2A895D62" w:rsidR="00CB3A79" w:rsidRPr="00CD2EEF" w:rsidRDefault="006C73AA" w:rsidP="006C73AA">
      <w:pPr>
        <w:pStyle w:val="LPnaslovslika"/>
        <w:rPr>
          <w:lang w:val="en-GB"/>
        </w:rPr>
      </w:pPr>
      <w:bookmarkStart w:id="44" w:name="_Toc84321429"/>
      <w:bookmarkStart w:id="45" w:name="_Toc14774188"/>
      <w:bookmarkStart w:id="46" w:name="_Toc76973071"/>
      <w:bookmarkStart w:id="47" w:name="_Toc126309885"/>
      <w:bookmarkEnd w:id="43"/>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6</w:t>
      </w:r>
      <w:r w:rsidR="00366B6D" w:rsidRPr="00CD2EEF">
        <w:rPr>
          <w:lang w:val="en-GB"/>
        </w:rPr>
        <w:fldChar w:fldCharType="end"/>
      </w:r>
      <w:r w:rsidR="00CB3A79" w:rsidRPr="00CD2EEF">
        <w:rPr>
          <w:lang w:val="en-GB"/>
        </w:rPr>
        <w:t>: Primary coolant-specific activity – 31</w:t>
      </w:r>
      <w:r w:rsidR="00CB3A79" w:rsidRPr="00CD2EEF">
        <w:rPr>
          <w:rStyle w:val="LPnadpisano"/>
          <w:lang w:val="en-GB"/>
        </w:rPr>
        <w:t>st</w:t>
      </w:r>
      <w:r w:rsidR="008A1E6B">
        <w:rPr>
          <w:lang w:val="en-GB"/>
        </w:rPr>
        <w:t xml:space="preserve"> </w:t>
      </w:r>
      <w:r w:rsidR="00CB3A79" w:rsidRPr="00CD2EEF">
        <w:rPr>
          <w:lang w:val="en-GB"/>
        </w:rPr>
        <w:t>and 32</w:t>
      </w:r>
      <w:r w:rsidR="00CB3A79" w:rsidRPr="00CD2EEF">
        <w:rPr>
          <w:rStyle w:val="LPnadpisano"/>
          <w:lang w:val="en-GB"/>
        </w:rPr>
        <w:t xml:space="preserve">nd </w:t>
      </w:r>
      <w:r w:rsidR="00CB3A79" w:rsidRPr="00CD2EEF">
        <w:rPr>
          <w:lang w:val="en-GB"/>
        </w:rPr>
        <w:t>fuel cycle</w:t>
      </w:r>
      <w:bookmarkEnd w:id="44"/>
      <w:bookmarkEnd w:id="47"/>
      <w:r w:rsidR="00CB3A79" w:rsidRPr="00CD2EEF">
        <w:rPr>
          <w:lang w:val="en-GB"/>
        </w:rPr>
        <w:t xml:space="preserve"> </w:t>
      </w:r>
      <w:bookmarkEnd w:id="45"/>
      <w:bookmarkEnd w:id="46"/>
    </w:p>
    <w:p w14:paraId="5E190B69" w14:textId="2C993197" w:rsidR="00CB3A79" w:rsidRPr="00CD2EEF" w:rsidRDefault="00CB3A79" w:rsidP="00FE58B5">
      <w:pPr>
        <w:pStyle w:val="LPnavaden"/>
        <w:rPr>
          <w:lang w:val="en-GB"/>
        </w:rPr>
      </w:pPr>
      <w:r w:rsidRPr="00CD2EEF">
        <w:rPr>
          <w:lang w:val="en-GB"/>
        </w:rPr>
        <w:t xml:space="preserve">The indicators in </w:t>
      </w:r>
      <w:hyperlink w:anchor="fig07" w:history="1">
        <w:r w:rsidRPr="00CD2EEF">
          <w:rPr>
            <w:rStyle w:val="Hiperpovezava"/>
            <w:lang w:val="en-GB"/>
          </w:rPr>
          <w:t>Figure 7</w:t>
        </w:r>
      </w:hyperlink>
      <w:r w:rsidRPr="00CD2EEF">
        <w:rPr>
          <w:lang w:val="en-GB"/>
        </w:rPr>
        <w:t xml:space="preserve"> show the risk of the unplanned unavailability of equipment under </w:t>
      </w:r>
      <w:r w:rsidR="001B146F">
        <w:rPr>
          <w:lang w:val="en-GB"/>
        </w:rPr>
        <w:t>the Krško NPP</w:t>
      </w:r>
      <w:r w:rsidRPr="00CD2EEF">
        <w:rPr>
          <w:lang w:val="en-GB"/>
        </w:rPr>
        <w:t xml:space="preserve"> Technical Specifications. In the case of </w:t>
      </w:r>
      <w:r w:rsidR="00214DF7">
        <w:rPr>
          <w:lang w:val="en-GB"/>
        </w:rPr>
        <w:t>a</w:t>
      </w:r>
      <w:r w:rsidR="00C041BD">
        <w:rPr>
          <w:lang w:val="en-GB"/>
        </w:rPr>
        <w:t xml:space="preserve"> </w:t>
      </w:r>
      <w:r w:rsidRPr="00CD2EEF">
        <w:rPr>
          <w:lang w:val="en-GB"/>
        </w:rPr>
        <w:t xml:space="preserve">huge increase in unplanned unavailability, the indicator may reflect equipment degradation and a deficient maintenance programme, </w:t>
      </w:r>
      <w:r w:rsidR="00C041BD">
        <w:rPr>
          <w:lang w:val="en-GB"/>
        </w:rPr>
        <w:t>which</w:t>
      </w:r>
      <w:r w:rsidR="00C041BD" w:rsidRPr="00CD2EEF">
        <w:rPr>
          <w:lang w:val="en-GB"/>
        </w:rPr>
        <w:t xml:space="preserve"> </w:t>
      </w:r>
      <w:r w:rsidRPr="00CD2EEF">
        <w:rPr>
          <w:lang w:val="en-GB"/>
        </w:rPr>
        <w:t xml:space="preserve">is not in accordance with the value of </w:t>
      </w:r>
      <w:r w:rsidR="00C041BD">
        <w:rPr>
          <w:lang w:val="en-GB"/>
        </w:rPr>
        <w:t xml:space="preserve">the </w:t>
      </w:r>
      <w:r w:rsidRPr="00CD2EEF">
        <w:rPr>
          <w:lang w:val="en-GB"/>
        </w:rPr>
        <w:t>indicator and</w:t>
      </w:r>
      <w:r w:rsidR="00C041BD">
        <w:rPr>
          <w:lang w:val="en-GB"/>
        </w:rPr>
        <w:t xml:space="preserve"> the</w:t>
      </w:r>
      <w:r w:rsidRPr="00CD2EEF">
        <w:rPr>
          <w:lang w:val="en-GB"/>
        </w:rPr>
        <w:t xml:space="preserve"> operation of </w:t>
      </w:r>
      <w:r w:rsidR="001B146F">
        <w:rPr>
          <w:lang w:val="en-GB"/>
        </w:rPr>
        <w:t>the Krško NPP</w:t>
      </w:r>
      <w:r w:rsidRPr="00CD2EEF">
        <w:rPr>
          <w:lang w:val="en-GB"/>
        </w:rPr>
        <w:t>.</w:t>
      </w:r>
    </w:p>
    <w:p w14:paraId="01D798F5" w14:textId="77777777" w:rsidR="00CB3A79" w:rsidRPr="00CD2EEF" w:rsidRDefault="00CB3A79" w:rsidP="00FE58B5">
      <w:pPr>
        <w:pStyle w:val="LPnavaden"/>
        <w:rPr>
          <w:lang w:val="en-GB"/>
        </w:rPr>
      </w:pPr>
      <w:bookmarkStart w:id="48" w:name="fig07"/>
      <w:r w:rsidRPr="00CD2EEF">
        <w:rPr>
          <w:noProof/>
          <w:lang w:val="en-GB"/>
        </w:rPr>
        <w:drawing>
          <wp:inline distT="0" distB="0" distL="0" distR="0" wp14:anchorId="74FABED8" wp14:editId="7CC60AFA">
            <wp:extent cx="5716988" cy="3345180"/>
            <wp:effectExtent l="0" t="0" r="17145" b="7620"/>
            <wp:docPr id="17" name="Grafikon 17" descr="graphical introduction of risk ">
              <a:extLst xmlns:a="http://schemas.openxmlformats.org/drawingml/2006/main">
                <a:ext uri="{FF2B5EF4-FFF2-40B4-BE49-F238E27FC236}">
                  <a16:creationId xmlns:a16="http://schemas.microsoft.com/office/drawing/2014/main" id="{80DB6152-6EB9-4427-A1D8-EEA3F4736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13B25D" w14:textId="331EDDBE" w:rsidR="00CB3A79" w:rsidRPr="00CD2EEF" w:rsidRDefault="006C73AA" w:rsidP="006C73AA">
      <w:pPr>
        <w:pStyle w:val="LPnaslovslika"/>
        <w:rPr>
          <w:lang w:val="en-GB"/>
        </w:rPr>
      </w:pPr>
      <w:bookmarkStart w:id="49" w:name="_Toc14774191"/>
      <w:bookmarkStart w:id="50" w:name="_Toc76973072"/>
      <w:bookmarkStart w:id="51" w:name="_Toc84321430"/>
      <w:bookmarkStart w:id="52" w:name="_Toc126309886"/>
      <w:bookmarkEnd w:id="48"/>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7</w:t>
      </w:r>
      <w:r w:rsidR="00366B6D" w:rsidRPr="00CD2EEF">
        <w:rPr>
          <w:lang w:val="en-GB"/>
        </w:rPr>
        <w:fldChar w:fldCharType="end"/>
      </w:r>
      <w:r w:rsidR="00CB3A79" w:rsidRPr="00CD2EEF">
        <w:rPr>
          <w:lang w:val="en-GB"/>
        </w:rPr>
        <w:t>: Risk due to the unplanned unavailability of equipment</w:t>
      </w:r>
      <w:bookmarkEnd w:id="49"/>
      <w:bookmarkEnd w:id="50"/>
      <w:bookmarkEnd w:id="51"/>
      <w:bookmarkEnd w:id="52"/>
    </w:p>
    <w:p w14:paraId="59AE7EF0" w14:textId="5825EDF6" w:rsidR="00CB3A79" w:rsidRPr="00CD2EEF" w:rsidRDefault="00CB3A79" w:rsidP="00FE58B5">
      <w:pPr>
        <w:pStyle w:val="LPnavaden"/>
        <w:rPr>
          <w:lang w:val="en-GB"/>
        </w:rPr>
      </w:pPr>
      <w:r w:rsidRPr="00CD2EEF">
        <w:rPr>
          <w:lang w:val="en-GB"/>
        </w:rPr>
        <w:lastRenderedPageBreak/>
        <w:t>The collective dose indicator (</w:t>
      </w:r>
      <w:hyperlink w:anchor="fig08" w:history="1">
        <w:r w:rsidRPr="00CD2EEF">
          <w:rPr>
            <w:rStyle w:val="Hiperpovezava"/>
            <w:lang w:val="en-GB"/>
          </w:rPr>
          <w:t>Figure 8</w:t>
        </w:r>
      </w:hyperlink>
      <w:r w:rsidRPr="00CD2EEF">
        <w:rPr>
          <w:lang w:val="en-GB"/>
        </w:rPr>
        <w:t xml:space="preserve">) shows the annual collective effective dose of </w:t>
      </w:r>
      <w:r w:rsidR="001A281F">
        <w:rPr>
          <w:lang w:val="en-GB"/>
        </w:rPr>
        <w:t>a</w:t>
      </w:r>
      <w:r w:rsidR="001A281F" w:rsidRPr="00CD2EEF">
        <w:rPr>
          <w:lang w:val="en-GB"/>
        </w:rPr>
        <w:t xml:space="preserve"> </w:t>
      </w:r>
      <w:r w:rsidRPr="00CD2EEF">
        <w:rPr>
          <w:lang w:val="en-GB"/>
        </w:rPr>
        <w:t xml:space="preserve">whole body, the total for </w:t>
      </w:r>
      <w:r w:rsidR="00C5169D">
        <w:rPr>
          <w:lang w:val="en-GB"/>
        </w:rPr>
        <w:t>the Krško NPP</w:t>
      </w:r>
      <w:r w:rsidRPr="00CD2EEF">
        <w:rPr>
          <w:lang w:val="en-GB"/>
        </w:rPr>
        <w:t xml:space="preserve"> workers, external workers, and visitors. The value of</w:t>
      </w:r>
      <w:r w:rsidR="001A281F">
        <w:rPr>
          <w:lang w:val="en-GB"/>
        </w:rPr>
        <w:t xml:space="preserve"> the</w:t>
      </w:r>
      <w:r w:rsidRPr="00CD2EEF">
        <w:rPr>
          <w:lang w:val="en-GB"/>
        </w:rPr>
        <w:t xml:space="preserve"> collective dose in 2021 was 925.3 man-mSv and therefore larger than the alarm value for years with </w:t>
      </w:r>
      <w:r w:rsidR="001A281F">
        <w:rPr>
          <w:lang w:val="en-GB"/>
        </w:rPr>
        <w:t xml:space="preserve">an </w:t>
      </w:r>
      <w:r w:rsidRPr="00CD2EEF">
        <w:rPr>
          <w:lang w:val="en-GB"/>
        </w:rPr>
        <w:t>outage (860 man</w:t>
      </w:r>
      <w:r w:rsidRPr="00CD2EEF">
        <w:rPr>
          <w:lang w:val="en-GB"/>
        </w:rPr>
        <w:noBreakHyphen/>
        <w:t xml:space="preserve">mSv). </w:t>
      </w:r>
      <w:r w:rsidR="001A281F">
        <w:rPr>
          <w:lang w:val="en-GB"/>
        </w:rPr>
        <w:t>The r</w:t>
      </w:r>
      <w:r w:rsidRPr="00CD2EEF">
        <w:rPr>
          <w:lang w:val="en-GB"/>
        </w:rPr>
        <w:t xml:space="preserve">eason for the increased value of the collective effective dose </w:t>
      </w:r>
      <w:r w:rsidR="001A281F">
        <w:rPr>
          <w:lang w:val="en-GB"/>
        </w:rPr>
        <w:t>is the</w:t>
      </w:r>
      <w:r w:rsidR="001A281F" w:rsidRPr="00CD2EEF">
        <w:rPr>
          <w:lang w:val="en-GB"/>
        </w:rPr>
        <w:t xml:space="preserve"> </w:t>
      </w:r>
      <w:r w:rsidRPr="00CD2EEF">
        <w:rPr>
          <w:lang w:val="en-GB"/>
        </w:rPr>
        <w:t xml:space="preserve">intensive implementation of the Safety Upgrade Programme and </w:t>
      </w:r>
      <w:r w:rsidR="001A281F">
        <w:rPr>
          <w:lang w:val="en-GB"/>
        </w:rPr>
        <w:t xml:space="preserve">the </w:t>
      </w:r>
      <w:r w:rsidRPr="00CD2EEF">
        <w:rPr>
          <w:lang w:val="en-GB"/>
        </w:rPr>
        <w:t xml:space="preserve">unpredictable need for additional work on some outage activities. </w:t>
      </w:r>
      <w:r w:rsidR="001A281F">
        <w:rPr>
          <w:lang w:val="en-GB"/>
        </w:rPr>
        <w:t>Furthermore</w:t>
      </w:r>
      <w:r w:rsidRPr="00CD2EEF">
        <w:rPr>
          <w:lang w:val="en-GB"/>
        </w:rPr>
        <w:t>, during the entire</w:t>
      </w:r>
      <w:r w:rsidR="001A281F">
        <w:rPr>
          <w:lang w:val="en-GB"/>
        </w:rPr>
        <w:t xml:space="preserve"> year of</w:t>
      </w:r>
      <w:r w:rsidRPr="00CD2EEF">
        <w:rPr>
          <w:lang w:val="en-GB"/>
        </w:rPr>
        <w:t xml:space="preserve"> 2021 there were additional works on </w:t>
      </w:r>
      <w:r w:rsidR="001A281F">
        <w:rPr>
          <w:lang w:val="en-GB"/>
        </w:rPr>
        <w:t xml:space="preserve">the </w:t>
      </w:r>
      <w:r w:rsidRPr="00CD2EEF">
        <w:rPr>
          <w:lang w:val="en-GB"/>
        </w:rPr>
        <w:t xml:space="preserve">maintenance of equipment for drying radioactive waste. </w:t>
      </w:r>
    </w:p>
    <w:p w14:paraId="1648B646" w14:textId="77777777" w:rsidR="00CB3A79" w:rsidRPr="00CD2EEF" w:rsidRDefault="00CB3A79" w:rsidP="00FE58B5">
      <w:pPr>
        <w:pStyle w:val="LPnaslovslika"/>
        <w:rPr>
          <w:lang w:val="en-GB"/>
        </w:rPr>
      </w:pPr>
      <w:bookmarkStart w:id="53" w:name="fig08"/>
      <w:r w:rsidRPr="00CD2EEF">
        <w:rPr>
          <w:noProof/>
          <w:lang w:val="en-GB"/>
        </w:rPr>
        <w:drawing>
          <wp:inline distT="0" distB="0" distL="0" distR="0" wp14:anchorId="6E1FDEA6" wp14:editId="009BD734">
            <wp:extent cx="5760720" cy="2941320"/>
            <wp:effectExtent l="0" t="0" r="11430" b="11430"/>
            <wp:docPr id="5" name="Grafikon 5" descr="graphical introduction of collective dose of NPP workers since 2010">
              <a:extLst xmlns:a="http://schemas.openxmlformats.org/drawingml/2006/main">
                <a:ext uri="{FF2B5EF4-FFF2-40B4-BE49-F238E27FC236}">
                  <a16:creationId xmlns:a16="http://schemas.microsoft.com/office/drawing/2014/main" id="{27B06FAE-1834-4F6F-8A08-38D586443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856348" w14:textId="19A1A502" w:rsidR="00CB3A79" w:rsidRPr="00CD2EEF" w:rsidRDefault="00E86579" w:rsidP="00E86579">
      <w:pPr>
        <w:pStyle w:val="LPnaslovslika"/>
        <w:rPr>
          <w:lang w:val="en-GB"/>
        </w:rPr>
      </w:pPr>
      <w:bookmarkStart w:id="54" w:name="_Toc14774205"/>
      <w:bookmarkStart w:id="55" w:name="_Toc76973073"/>
      <w:bookmarkStart w:id="56" w:name="_Toc84321431"/>
      <w:bookmarkStart w:id="57" w:name="_Toc126309887"/>
      <w:bookmarkEnd w:id="53"/>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8</w:t>
      </w:r>
      <w:r w:rsidR="00366B6D" w:rsidRPr="00CD2EEF">
        <w:rPr>
          <w:lang w:val="en-GB"/>
        </w:rPr>
        <w:fldChar w:fldCharType="end"/>
      </w:r>
      <w:r w:rsidR="00CB3A79" w:rsidRPr="00CD2EEF">
        <w:rPr>
          <w:lang w:val="en-GB"/>
        </w:rPr>
        <w:t xml:space="preserve">: </w:t>
      </w:r>
      <w:bookmarkEnd w:id="54"/>
      <w:bookmarkEnd w:id="55"/>
      <w:r w:rsidR="00CB3A79" w:rsidRPr="00CD2EEF">
        <w:rPr>
          <w:lang w:val="en-GB"/>
        </w:rPr>
        <w:t>Collective dose</w:t>
      </w:r>
      <w:bookmarkEnd w:id="56"/>
      <w:bookmarkEnd w:id="57"/>
    </w:p>
    <w:p w14:paraId="5E3EC8C6" w14:textId="6688F9BB" w:rsidR="00CB3A79" w:rsidRPr="00CD2EEF" w:rsidRDefault="00CB3A79" w:rsidP="00FE58B5">
      <w:pPr>
        <w:pStyle w:val="LPnavaden"/>
        <w:rPr>
          <w:lang w:val="en-GB"/>
        </w:rPr>
      </w:pPr>
      <w:r w:rsidRPr="00CD2EEF">
        <w:rPr>
          <w:lang w:val="en-GB"/>
        </w:rPr>
        <w:t xml:space="preserve">There </w:t>
      </w:r>
      <w:r w:rsidR="001A281F">
        <w:rPr>
          <w:lang w:val="en-GB"/>
        </w:rPr>
        <w:t>were</w:t>
      </w:r>
      <w:r w:rsidR="001A281F" w:rsidRPr="00CD2EEF">
        <w:rPr>
          <w:lang w:val="en-GB"/>
        </w:rPr>
        <w:t xml:space="preserve"> </w:t>
      </w:r>
      <w:r w:rsidRPr="00CD2EEF">
        <w:rPr>
          <w:lang w:val="en-GB"/>
        </w:rPr>
        <w:t>no fire</w:t>
      </w:r>
      <w:r w:rsidR="001A281F">
        <w:rPr>
          <w:lang w:val="en-GB"/>
        </w:rPr>
        <w:t>s</w:t>
      </w:r>
      <w:r w:rsidRPr="00CD2EEF">
        <w:rPr>
          <w:lang w:val="en-GB"/>
        </w:rPr>
        <w:t xml:space="preserve"> in 2021 (</w:t>
      </w:r>
      <w:hyperlink w:anchor="fig09" w:history="1">
        <w:r w:rsidRPr="00CD2EEF">
          <w:rPr>
            <w:rStyle w:val="Hiperpovezava"/>
            <w:lang w:val="en-GB"/>
          </w:rPr>
          <w:t>Figure 9</w:t>
        </w:r>
      </w:hyperlink>
      <w:r w:rsidRPr="00CD2EEF">
        <w:rPr>
          <w:lang w:val="en-GB"/>
        </w:rPr>
        <w:t xml:space="preserve">). There was one fire event. Also, there were 19 fire alarms, of which 12 were justified alarms and 7 false alarms. </w:t>
      </w:r>
      <w:r w:rsidRPr="00F52456">
        <w:rPr>
          <w:lang w:val="en-GB"/>
        </w:rPr>
        <w:t>A</w:t>
      </w:r>
      <w:r w:rsidR="00B55DF1" w:rsidRPr="00F52456">
        <w:rPr>
          <w:lang w:val="en-GB"/>
        </w:rPr>
        <w:t>n a</w:t>
      </w:r>
      <w:r w:rsidRPr="00F52456">
        <w:rPr>
          <w:lang w:val="en-GB"/>
        </w:rPr>
        <w:t xml:space="preserve">larm line with </w:t>
      </w:r>
      <w:r w:rsidR="00B55DF1" w:rsidRPr="00F52456">
        <w:rPr>
          <w:lang w:val="en-GB"/>
        </w:rPr>
        <w:t xml:space="preserve">a </w:t>
      </w:r>
      <w:r w:rsidRPr="00F52456">
        <w:rPr>
          <w:lang w:val="en-GB"/>
        </w:rPr>
        <w:t>value</w:t>
      </w:r>
      <w:r w:rsidR="00B55DF1" w:rsidRPr="00F52456">
        <w:rPr>
          <w:lang w:val="en-GB"/>
        </w:rPr>
        <w:t xml:space="preserve"> of</w:t>
      </w:r>
      <w:r w:rsidRPr="00F52456">
        <w:rPr>
          <w:lang w:val="en-GB"/>
        </w:rPr>
        <w:t xml:space="preserve"> 45 </w:t>
      </w:r>
      <w:r w:rsidR="00B55DF1" w:rsidRPr="00F52456">
        <w:rPr>
          <w:lang w:val="en-GB"/>
        </w:rPr>
        <w:t>represents</w:t>
      </w:r>
      <w:r w:rsidRPr="00F52456">
        <w:rPr>
          <w:lang w:val="en-GB"/>
        </w:rPr>
        <w:t xml:space="preserve"> </w:t>
      </w:r>
      <w:r w:rsidR="00B55DF1" w:rsidRPr="00F52456">
        <w:rPr>
          <w:lang w:val="en-GB"/>
        </w:rPr>
        <w:t xml:space="preserve">an </w:t>
      </w:r>
      <w:r w:rsidRPr="00F52456">
        <w:rPr>
          <w:lang w:val="en-GB"/>
        </w:rPr>
        <w:t>alarm or activation</w:t>
      </w:r>
      <w:r w:rsidR="00557997" w:rsidRPr="00F52456">
        <w:rPr>
          <w:lang w:val="en-GB"/>
        </w:rPr>
        <w:t>,</w:t>
      </w:r>
      <w:r w:rsidRPr="00F52456">
        <w:rPr>
          <w:lang w:val="en-GB"/>
        </w:rPr>
        <w:t xml:space="preserve"> while </w:t>
      </w:r>
      <w:r w:rsidR="00B55DF1" w:rsidRPr="00F52456">
        <w:rPr>
          <w:lang w:val="en-GB"/>
        </w:rPr>
        <w:t xml:space="preserve">an </w:t>
      </w:r>
      <w:r w:rsidRPr="00F52456">
        <w:rPr>
          <w:lang w:val="en-GB"/>
        </w:rPr>
        <w:t xml:space="preserve">alarm line with </w:t>
      </w:r>
      <w:r w:rsidR="00B55DF1" w:rsidRPr="00F52456">
        <w:rPr>
          <w:lang w:val="en-GB"/>
        </w:rPr>
        <w:t xml:space="preserve">a </w:t>
      </w:r>
      <w:r w:rsidRPr="00F52456">
        <w:rPr>
          <w:lang w:val="en-GB"/>
        </w:rPr>
        <w:t>value</w:t>
      </w:r>
      <w:r w:rsidR="00B55DF1" w:rsidRPr="00F52456">
        <w:rPr>
          <w:lang w:val="en-GB"/>
        </w:rPr>
        <w:t xml:space="preserve"> of</w:t>
      </w:r>
      <w:r w:rsidRPr="00F52456">
        <w:rPr>
          <w:lang w:val="en-GB"/>
        </w:rPr>
        <w:t xml:space="preserve"> 8 </w:t>
      </w:r>
      <w:r w:rsidR="00B55DF1" w:rsidRPr="00F52456">
        <w:rPr>
          <w:lang w:val="en-GB"/>
        </w:rPr>
        <w:t xml:space="preserve">represents a </w:t>
      </w:r>
      <w:r w:rsidRPr="00F52456">
        <w:rPr>
          <w:lang w:val="en-GB"/>
        </w:rPr>
        <w:t>fire event.</w:t>
      </w:r>
    </w:p>
    <w:p w14:paraId="29A94B71" w14:textId="77777777" w:rsidR="00CB3A79" w:rsidRPr="00CD2EEF" w:rsidRDefault="00CB3A79" w:rsidP="00FE58B5">
      <w:pPr>
        <w:pStyle w:val="LPnavaden"/>
        <w:rPr>
          <w:lang w:val="en-GB"/>
        </w:rPr>
      </w:pPr>
      <w:bookmarkStart w:id="58" w:name="fig09"/>
      <w:r w:rsidRPr="00CD2EEF">
        <w:rPr>
          <w:noProof/>
          <w:lang w:val="en-GB"/>
        </w:rPr>
        <w:drawing>
          <wp:inline distT="0" distB="0" distL="0" distR="0" wp14:anchorId="3350C61D" wp14:editId="5A918943">
            <wp:extent cx="5760720" cy="2976880"/>
            <wp:effectExtent l="0" t="0" r="11430" b="13970"/>
            <wp:docPr id="6" name="Grafikon 6" descr="graphical introduction of fire events in NPP since 2010">
              <a:extLst xmlns:a="http://schemas.openxmlformats.org/drawingml/2006/main">
                <a:ext uri="{FF2B5EF4-FFF2-40B4-BE49-F238E27FC236}">
                  <a16:creationId xmlns:a16="http://schemas.microsoft.com/office/drawing/2014/main" id="{7CCCDEBB-5FB7-4A4F-A98E-2312078289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BFFD06" w14:textId="449F0A56" w:rsidR="00CB3A79" w:rsidRPr="00CD2EEF" w:rsidRDefault="00E86579" w:rsidP="00E86579">
      <w:pPr>
        <w:pStyle w:val="LPnaslovslika"/>
        <w:rPr>
          <w:lang w:val="en-GB"/>
        </w:rPr>
      </w:pPr>
      <w:bookmarkStart w:id="59" w:name="_Toc14774213"/>
      <w:bookmarkStart w:id="60" w:name="_Toc76973074"/>
      <w:bookmarkStart w:id="61" w:name="_Toc84321432"/>
      <w:bookmarkStart w:id="62" w:name="_Toc126309888"/>
      <w:bookmarkEnd w:id="58"/>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9</w:t>
      </w:r>
      <w:r w:rsidR="00366B6D" w:rsidRPr="00CD2EEF">
        <w:rPr>
          <w:lang w:val="en-GB"/>
        </w:rPr>
        <w:fldChar w:fldCharType="end"/>
      </w:r>
      <w:r w:rsidR="00CB3A79" w:rsidRPr="00CD2EEF">
        <w:rPr>
          <w:lang w:val="en-GB"/>
        </w:rPr>
        <w:t xml:space="preserve">: </w:t>
      </w:r>
      <w:bookmarkEnd w:id="59"/>
      <w:bookmarkEnd w:id="60"/>
      <w:r w:rsidR="00CB3A79" w:rsidRPr="00CD2EEF">
        <w:rPr>
          <w:lang w:val="en-GB"/>
        </w:rPr>
        <w:t>Fire safety</w:t>
      </w:r>
      <w:bookmarkEnd w:id="61"/>
      <w:bookmarkEnd w:id="62"/>
    </w:p>
    <w:p w14:paraId="065ABA42" w14:textId="5A3BC048" w:rsidR="00CB3A79" w:rsidRPr="00CD2EEF" w:rsidRDefault="00CB3A79" w:rsidP="00FE58B5">
      <w:pPr>
        <w:pStyle w:val="LPnavaden"/>
        <w:rPr>
          <w:lang w:val="en-GB"/>
        </w:rPr>
      </w:pPr>
      <w:r w:rsidRPr="00CD2EEF">
        <w:rPr>
          <w:lang w:val="en-GB"/>
        </w:rPr>
        <w:lastRenderedPageBreak/>
        <w:t xml:space="preserve">In 2021, 65 temporary modifications were </w:t>
      </w:r>
      <w:r w:rsidR="00557997" w:rsidRPr="00F52456">
        <w:rPr>
          <w:lang w:val="en-GB"/>
        </w:rPr>
        <w:t>concluded</w:t>
      </w:r>
      <w:r w:rsidRPr="00F52456">
        <w:rPr>
          <w:lang w:val="en-GB"/>
        </w:rPr>
        <w:t>.</w:t>
      </w:r>
      <w:r w:rsidRPr="00CD2EEF">
        <w:rPr>
          <w:lang w:val="en-GB"/>
        </w:rPr>
        <w:t xml:space="preserve"> The number of unfinished modifications at the end of the year was 17 (the value for </w:t>
      </w:r>
      <w:r w:rsidR="00557997">
        <w:rPr>
          <w:lang w:val="en-GB"/>
        </w:rPr>
        <w:t>a</w:t>
      </w:r>
      <w:r w:rsidR="00557997" w:rsidRPr="00CD2EEF">
        <w:rPr>
          <w:lang w:val="en-GB"/>
        </w:rPr>
        <w:t xml:space="preserve"> </w:t>
      </w:r>
      <w:r w:rsidRPr="00CD2EEF">
        <w:rPr>
          <w:lang w:val="en-GB"/>
        </w:rPr>
        <w:t xml:space="preserve">warning is 35, the value for </w:t>
      </w:r>
      <w:r w:rsidR="00557997">
        <w:rPr>
          <w:lang w:val="en-GB"/>
        </w:rPr>
        <w:t>an</w:t>
      </w:r>
      <w:r w:rsidR="00557997" w:rsidRPr="00CD2EEF">
        <w:rPr>
          <w:lang w:val="en-GB"/>
        </w:rPr>
        <w:t xml:space="preserve"> </w:t>
      </w:r>
      <w:r w:rsidRPr="00CD2EEF">
        <w:rPr>
          <w:lang w:val="en-GB"/>
        </w:rPr>
        <w:t xml:space="preserve">alarm is 50), </w:t>
      </w:r>
      <w:r w:rsidR="00557997">
        <w:rPr>
          <w:lang w:val="en-GB"/>
        </w:rPr>
        <w:t xml:space="preserve">while </w:t>
      </w:r>
      <w:r w:rsidRPr="00CD2EEF">
        <w:rPr>
          <w:lang w:val="en-GB"/>
        </w:rPr>
        <w:t xml:space="preserve">the number of newly opened modifications </w:t>
      </w:r>
      <w:r w:rsidR="00557997">
        <w:rPr>
          <w:lang w:val="en-GB"/>
        </w:rPr>
        <w:t>was</w:t>
      </w:r>
      <w:r w:rsidR="00557997" w:rsidRPr="00CD2EEF">
        <w:rPr>
          <w:lang w:val="en-GB"/>
        </w:rPr>
        <w:t xml:space="preserve"> </w:t>
      </w:r>
      <w:r w:rsidRPr="00CD2EEF">
        <w:rPr>
          <w:lang w:val="en-GB"/>
        </w:rPr>
        <w:t>51 (</w:t>
      </w:r>
      <w:hyperlink w:anchor="fig10" w:history="1">
        <w:r w:rsidRPr="00CD2EEF">
          <w:rPr>
            <w:rStyle w:val="Hiperpovezava"/>
            <w:lang w:val="en-GB"/>
          </w:rPr>
          <w:t>Figure 10</w:t>
        </w:r>
      </w:hyperlink>
      <w:r w:rsidRPr="00CD2EEF">
        <w:rPr>
          <w:lang w:val="en-GB"/>
        </w:rPr>
        <w:t>).</w:t>
      </w:r>
    </w:p>
    <w:bookmarkStart w:id="63" w:name="fig10"/>
    <w:p w14:paraId="61A818BE" w14:textId="77777777" w:rsidR="00CB3A79" w:rsidRPr="00CD2EEF" w:rsidRDefault="00CB3A79" w:rsidP="00FE58B5">
      <w:pPr>
        <w:pStyle w:val="LPnavaden"/>
        <w:rPr>
          <w:lang w:val="en-GB"/>
        </w:rPr>
      </w:pPr>
      <w:r w:rsidRPr="00CD2EEF">
        <w:rPr>
          <w:noProof/>
          <w:lang w:val="en-GB"/>
        </w:rPr>
        <mc:AlternateContent>
          <mc:Choice Requires="wps">
            <w:drawing>
              <wp:anchor distT="0" distB="0" distL="114300" distR="114300" simplePos="0" relativeHeight="251661312" behindDoc="0" locked="0" layoutInCell="1" allowOverlap="1" wp14:anchorId="2514EC67" wp14:editId="1C4BBD2E">
                <wp:simplePos x="0" y="0"/>
                <wp:positionH relativeFrom="margin">
                  <wp:posOffset>433705</wp:posOffset>
                </wp:positionH>
                <wp:positionV relativeFrom="paragraph">
                  <wp:posOffset>669925</wp:posOffset>
                </wp:positionV>
                <wp:extent cx="4107180" cy="22860"/>
                <wp:effectExtent l="0" t="0" r="26670" b="34290"/>
                <wp:wrapNone/>
                <wp:docPr id="14610479" name="Raven povezovalnik 2">
                  <a:extLst xmlns:a="http://schemas.openxmlformats.org/drawingml/2006/main">
                    <a:ext uri="{FF2B5EF4-FFF2-40B4-BE49-F238E27FC236}">
                      <a16:creationId xmlns:a16="http://schemas.microsoft.com/office/drawing/2014/main" id="{C6335FBF-ED4F-40E2-B425-96DFCE48DE4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7180" cy="22860"/>
                        </a:xfrm>
                        <a:prstGeom prst="line">
                          <a:avLst/>
                        </a:prstGeom>
                        <a:noFill/>
                        <a:ln w="25400" algn="ctr">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0EB43C5" id="Raven povezovalnik 2" o:spid="_x0000_s1026" alt="&quot;&quot;"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15pt,52.75pt" to="357.5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" strokecolor="red" strokeweight="2pt">
                <w10:wrap anchorx="margin"/>
              </v:line>
            </w:pict>
          </mc:Fallback>
        </mc:AlternateContent>
      </w:r>
      <w:r w:rsidRPr="00CD2EEF">
        <w:rPr>
          <w:noProof/>
          <w:lang w:val="en-GB"/>
        </w:rPr>
        <w:drawing>
          <wp:inline distT="0" distB="0" distL="0" distR="0" wp14:anchorId="46619A40" wp14:editId="40CC933F">
            <wp:extent cx="5760720" cy="2385060"/>
            <wp:effectExtent l="0" t="0" r="11430" b="15240"/>
            <wp:docPr id="8" name="Grafikon 8" descr="graphical introduction of NPP temporary modifications since 2010">
              <a:extLst xmlns:a="http://schemas.openxmlformats.org/drawingml/2006/main">
                <a:ext uri="{FF2B5EF4-FFF2-40B4-BE49-F238E27FC236}">
                  <a16:creationId xmlns:a16="http://schemas.microsoft.com/office/drawing/2014/main" id="{0D43A6BB-6761-4E8A-B136-26384ECC22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CA15A8" w14:textId="1A41A172" w:rsidR="00CB3A79" w:rsidRPr="00CD2EEF" w:rsidRDefault="00E86579" w:rsidP="00E86579">
      <w:pPr>
        <w:pStyle w:val="LPnaslovslika"/>
        <w:rPr>
          <w:lang w:val="en-GB"/>
        </w:rPr>
      </w:pPr>
      <w:bookmarkStart w:id="64" w:name="_Toc14774215"/>
      <w:bookmarkStart w:id="65" w:name="_Toc76973075"/>
      <w:bookmarkStart w:id="66" w:name="_Toc84321433"/>
      <w:bookmarkStart w:id="67" w:name="_Toc126309889"/>
      <w:bookmarkEnd w:id="63"/>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10</w:t>
      </w:r>
      <w:r w:rsidR="00366B6D" w:rsidRPr="00CD2EEF">
        <w:rPr>
          <w:lang w:val="en-GB"/>
        </w:rPr>
        <w:fldChar w:fldCharType="end"/>
      </w:r>
      <w:r w:rsidR="00CB3A79" w:rsidRPr="00CD2EEF">
        <w:rPr>
          <w:lang w:val="en-GB"/>
        </w:rPr>
        <w:t xml:space="preserve">: </w:t>
      </w:r>
      <w:bookmarkEnd w:id="64"/>
      <w:bookmarkEnd w:id="65"/>
      <w:r w:rsidR="00CB3A79" w:rsidRPr="00CD2EEF">
        <w:rPr>
          <w:lang w:val="en-GB"/>
        </w:rPr>
        <w:t>Temporary modification</w:t>
      </w:r>
      <w:bookmarkEnd w:id="66"/>
      <w:r w:rsidR="00557997">
        <w:rPr>
          <w:lang w:val="en-GB"/>
        </w:rPr>
        <w:t>s</w:t>
      </w:r>
      <w:bookmarkEnd w:id="67"/>
    </w:p>
    <w:p w14:paraId="4BAD7F55" w14:textId="3AC25B7C" w:rsidR="00CB3A79" w:rsidRPr="00CD2EEF" w:rsidRDefault="00CB3A79" w:rsidP="00CB3A79">
      <w:pPr>
        <w:pStyle w:val="LPNaslov4"/>
        <w:rPr>
          <w:lang w:val="en-GB"/>
        </w:rPr>
      </w:pPr>
      <w:bookmarkStart w:id="68" w:name="_Toc84321592"/>
      <w:bookmarkStart w:id="69" w:name="ch2112"/>
      <w:r w:rsidRPr="00CD2EEF">
        <w:rPr>
          <w:lang w:val="en-GB"/>
        </w:rPr>
        <w:t xml:space="preserve">Abnormal </w:t>
      </w:r>
      <w:r w:rsidR="002D5FFC">
        <w:rPr>
          <w:lang w:val="en-GB"/>
        </w:rPr>
        <w:t>E</w:t>
      </w:r>
      <w:r w:rsidRPr="00CD2EEF">
        <w:rPr>
          <w:lang w:val="en-GB"/>
        </w:rPr>
        <w:t xml:space="preserve">vents and </w:t>
      </w:r>
      <w:r w:rsidR="002D5FFC">
        <w:rPr>
          <w:lang w:val="en-GB"/>
        </w:rPr>
        <w:t>O</w:t>
      </w:r>
      <w:r w:rsidRPr="00CD2EEF">
        <w:rPr>
          <w:lang w:val="en-GB"/>
        </w:rPr>
        <w:t xml:space="preserve">perating </w:t>
      </w:r>
      <w:r w:rsidR="002D5FFC">
        <w:rPr>
          <w:lang w:val="en-GB"/>
        </w:rPr>
        <w:t>E</w:t>
      </w:r>
      <w:r w:rsidRPr="00CD2EEF">
        <w:rPr>
          <w:lang w:val="en-GB"/>
        </w:rPr>
        <w:t xml:space="preserve">xperiences in </w:t>
      </w:r>
      <w:bookmarkEnd w:id="68"/>
      <w:r w:rsidR="001B146F">
        <w:rPr>
          <w:lang w:val="en-GB"/>
        </w:rPr>
        <w:t>the Krško NPP</w:t>
      </w:r>
    </w:p>
    <w:bookmarkEnd w:id="69"/>
    <w:p w14:paraId="59FACDA6" w14:textId="21C185A8" w:rsidR="00CB3A79" w:rsidRPr="00CD2EEF" w:rsidRDefault="00CB3A79" w:rsidP="00AD69E3">
      <w:pPr>
        <w:pStyle w:val="LPnavaden"/>
        <w:rPr>
          <w:lang w:val="en-GB"/>
        </w:rPr>
      </w:pPr>
      <w:r w:rsidRPr="00CD2EEF">
        <w:rPr>
          <w:lang w:val="en-GB"/>
        </w:rPr>
        <w:t xml:space="preserve">The reporting of abnormal events is determined by Rules JV9. These Rules determine the list of events that must be specially reported by nuclear power plant operators. </w:t>
      </w:r>
      <w:r w:rsidR="001B146F">
        <w:rPr>
          <w:lang w:val="en-GB"/>
        </w:rPr>
        <w:t>T</w:t>
      </w:r>
      <w:r w:rsidR="00C5169D">
        <w:rPr>
          <w:lang w:val="en-GB"/>
        </w:rPr>
        <w:t>he Krško NPP</w:t>
      </w:r>
      <w:r w:rsidRPr="00CD2EEF">
        <w:rPr>
          <w:lang w:val="en-GB"/>
        </w:rPr>
        <w:t xml:space="preserve"> must also follow the additional reporting requirements prescribed in its Technical Specifications. In accordance with the mentioned rules, </w:t>
      </w:r>
      <w:r w:rsidR="001B146F">
        <w:rPr>
          <w:lang w:val="en-GB"/>
        </w:rPr>
        <w:t>the Krško NPP</w:t>
      </w:r>
      <w:r w:rsidRPr="00CD2EEF">
        <w:rPr>
          <w:lang w:val="en-GB"/>
        </w:rPr>
        <w:t xml:space="preserve"> reported one event. In addition, </w:t>
      </w:r>
      <w:r w:rsidR="00C5169D">
        <w:rPr>
          <w:lang w:val="en-GB"/>
        </w:rPr>
        <w:t>the Krško NPP</w:t>
      </w:r>
      <w:r w:rsidRPr="00CD2EEF">
        <w:rPr>
          <w:lang w:val="en-GB"/>
        </w:rPr>
        <w:t xml:space="preserve"> reported one more event in accordance with the Rules on the physical protection of nuclear facilities, nuclear and radioactive materials</w:t>
      </w:r>
      <w:r w:rsidR="001B146F">
        <w:rPr>
          <w:lang w:val="en-GB"/>
        </w:rPr>
        <w:t>,</w:t>
      </w:r>
      <w:r w:rsidRPr="00CD2EEF">
        <w:rPr>
          <w:lang w:val="en-GB"/>
        </w:rPr>
        <w:t xml:space="preserve"> and </w:t>
      </w:r>
      <w:r w:rsidR="001B146F">
        <w:rPr>
          <w:lang w:val="en-GB"/>
        </w:rPr>
        <w:t xml:space="preserve">the </w:t>
      </w:r>
      <w:r w:rsidRPr="00CD2EEF">
        <w:rPr>
          <w:lang w:val="en-GB"/>
        </w:rPr>
        <w:t>transportation of nuclear materials.</w:t>
      </w:r>
    </w:p>
    <w:p w14:paraId="05B0371E" w14:textId="3D077D19" w:rsidR="00CB3A79" w:rsidRPr="00CD2EEF" w:rsidRDefault="00CB3A79" w:rsidP="00E10DAF">
      <w:pPr>
        <w:pStyle w:val="LPnaslovkrepko"/>
        <w:rPr>
          <w:rStyle w:val="LPnavadenkrepko"/>
          <w:b/>
          <w:lang w:val="en-GB"/>
        </w:rPr>
      </w:pPr>
      <w:r w:rsidRPr="00CD2EEF">
        <w:rPr>
          <w:rStyle w:val="LPnavadenkrepko"/>
          <w:b/>
          <w:lang w:val="en-GB"/>
        </w:rPr>
        <w:t xml:space="preserve">Starter motor air leak when starting diesel generator </w:t>
      </w:r>
      <w:r w:rsidR="00074AFC">
        <w:rPr>
          <w:rStyle w:val="LPnavadenkrepko"/>
          <w:b/>
          <w:lang w:val="en-GB"/>
        </w:rPr>
        <w:t>No.</w:t>
      </w:r>
      <w:r w:rsidRPr="00CD2EEF">
        <w:rPr>
          <w:rStyle w:val="LPnavadenkrepko"/>
          <w:b/>
          <w:lang w:val="en-GB"/>
        </w:rPr>
        <w:t xml:space="preserve"> 2</w:t>
      </w:r>
    </w:p>
    <w:p w14:paraId="543F3D42" w14:textId="5CDB2626" w:rsidR="00CB3A79" w:rsidRPr="00CD2EEF" w:rsidRDefault="00CB3A79" w:rsidP="00946EEE">
      <w:pPr>
        <w:pStyle w:val="LPnavaden"/>
        <w:rPr>
          <w:lang w:val="en-GB"/>
        </w:rPr>
      </w:pPr>
      <w:r w:rsidRPr="00CD2EEF">
        <w:rPr>
          <w:lang w:val="en-GB"/>
        </w:rPr>
        <w:t xml:space="preserve">On 11 February 2021, the </w:t>
      </w:r>
      <w:r w:rsidRPr="00F52456">
        <w:rPr>
          <w:lang w:val="en-GB"/>
        </w:rPr>
        <w:t xml:space="preserve">regular monthly </w:t>
      </w:r>
      <w:r w:rsidR="00F52456" w:rsidRPr="00F52456">
        <w:rPr>
          <w:lang w:val="en-GB"/>
        </w:rPr>
        <w:t xml:space="preserve">test of the </w:t>
      </w:r>
      <w:r w:rsidRPr="00F52456">
        <w:rPr>
          <w:lang w:val="en-GB"/>
        </w:rPr>
        <w:t>diesel generator</w:t>
      </w:r>
      <w:r w:rsidRPr="00CD2EEF">
        <w:rPr>
          <w:lang w:val="en-GB"/>
        </w:rPr>
        <w:t xml:space="preserve"> </w:t>
      </w:r>
      <w:r w:rsidR="00074AFC">
        <w:rPr>
          <w:lang w:val="en-GB"/>
        </w:rPr>
        <w:t>No.</w:t>
      </w:r>
      <w:r w:rsidRPr="00CD2EEF">
        <w:rPr>
          <w:lang w:val="en-GB"/>
        </w:rPr>
        <w:t xml:space="preserve"> 2 was </w:t>
      </w:r>
      <w:r w:rsidR="00F52456">
        <w:rPr>
          <w:lang w:val="en-GB"/>
        </w:rPr>
        <w:t>performed</w:t>
      </w:r>
      <w:r w:rsidRPr="00CD2EEF">
        <w:rPr>
          <w:lang w:val="en-GB"/>
        </w:rPr>
        <w:t xml:space="preserve"> according to the procedure </w:t>
      </w:r>
      <w:r w:rsidR="00263D93">
        <w:rPr>
          <w:lang w:val="en-GB"/>
        </w:rPr>
        <w:t>“</w:t>
      </w:r>
      <w:r w:rsidRPr="00CD2EEF">
        <w:rPr>
          <w:lang w:val="en-GB"/>
        </w:rPr>
        <w:t>Operability test of diesel generators 1 and 2</w:t>
      </w:r>
      <w:r w:rsidR="00263D93">
        <w:rPr>
          <w:lang w:val="en-GB"/>
        </w:rPr>
        <w:t>”</w:t>
      </w:r>
      <w:r w:rsidRPr="00CD2EEF">
        <w:rPr>
          <w:lang w:val="en-GB"/>
        </w:rPr>
        <w:t>. At 07:43, entry into the NEK operating conditions and limitations of LCO-3.8.1.1 action B (</w:t>
      </w:r>
      <w:r w:rsidR="003D5E36">
        <w:rPr>
          <w:lang w:val="en-GB"/>
        </w:rPr>
        <w:t xml:space="preserve">LCO: </w:t>
      </w:r>
      <w:r w:rsidRPr="00CD2EEF">
        <w:rPr>
          <w:lang w:val="en-GB"/>
        </w:rPr>
        <w:t xml:space="preserve">Limiting Conditions for Operation) was announced due to preparations for and </w:t>
      </w:r>
      <w:r w:rsidR="003D5E36">
        <w:rPr>
          <w:lang w:val="en-GB"/>
        </w:rPr>
        <w:t xml:space="preserve">the </w:t>
      </w:r>
      <w:r w:rsidRPr="00CD2EEF">
        <w:rPr>
          <w:lang w:val="en-GB"/>
        </w:rPr>
        <w:t xml:space="preserve">execution of the test. At 09:14, diesel generator </w:t>
      </w:r>
      <w:r w:rsidR="00074AFC">
        <w:rPr>
          <w:lang w:val="en-GB"/>
        </w:rPr>
        <w:t>No.</w:t>
      </w:r>
      <w:r w:rsidRPr="00CD2EEF">
        <w:rPr>
          <w:lang w:val="en-GB"/>
        </w:rPr>
        <w:t xml:space="preserve"> 2 tried to run but failed. After 5 seconds from the activation for the start, there was an activation of local alarms and consequently alarms in the main control room. The personnel present near diesel generator </w:t>
      </w:r>
      <w:r w:rsidR="00074AFC">
        <w:rPr>
          <w:lang w:val="en-GB"/>
        </w:rPr>
        <w:t>No.</w:t>
      </w:r>
      <w:r w:rsidRPr="00CD2EEF">
        <w:rPr>
          <w:lang w:val="en-GB"/>
        </w:rPr>
        <w:t xml:space="preserve"> 2 for the duration of the test stated that an unusual noise was heard from the air motors when attempting to start. The diesel </w:t>
      </w:r>
      <w:r w:rsidRPr="0051672C">
        <w:rPr>
          <w:lang w:val="en-GB"/>
        </w:rPr>
        <w:t>generator rocked, but</w:t>
      </w:r>
      <w:r w:rsidRPr="00CD2EEF">
        <w:rPr>
          <w:lang w:val="en-GB"/>
        </w:rPr>
        <w:t xml:space="preserve"> there was not enough power to turn the flywheel to successfully start the engines. The surveillance test was interrupted</w:t>
      </w:r>
      <w:r w:rsidR="00074AFC">
        <w:rPr>
          <w:lang w:val="en-GB"/>
        </w:rPr>
        <w:t xml:space="preserve"> and</w:t>
      </w:r>
      <w:r w:rsidRPr="00CD2EEF">
        <w:rPr>
          <w:lang w:val="en-GB"/>
        </w:rPr>
        <w:t xml:space="preserve"> a corrective </w:t>
      </w:r>
      <w:r w:rsidR="00AB71FB">
        <w:rPr>
          <w:lang w:val="en-GB"/>
        </w:rPr>
        <w:t xml:space="preserve">programme </w:t>
      </w:r>
      <w:r w:rsidRPr="00CD2EEF">
        <w:rPr>
          <w:lang w:val="en-GB"/>
        </w:rPr>
        <w:t xml:space="preserve">request was written. At 10:12, diesel generator </w:t>
      </w:r>
      <w:r w:rsidR="00074AFC">
        <w:rPr>
          <w:lang w:val="en-GB"/>
        </w:rPr>
        <w:t>No.</w:t>
      </w:r>
      <w:r w:rsidRPr="00CD2EEF">
        <w:rPr>
          <w:lang w:val="en-GB"/>
        </w:rPr>
        <w:t xml:space="preserve"> 2 was declared inoperable and entry into LCO 3.8.1.1 was declared. A minor air leak was observed on the rear side of the 2DGA-M07 starter motor when the restart failed. This was followed by the disassembly of the starter motor and connecting pipelines and </w:t>
      </w:r>
      <w:r w:rsidR="00380E88">
        <w:rPr>
          <w:lang w:val="en-GB"/>
        </w:rPr>
        <w:t xml:space="preserve">the </w:t>
      </w:r>
      <w:r w:rsidRPr="00CD2EEF">
        <w:rPr>
          <w:lang w:val="en-GB"/>
        </w:rPr>
        <w:t xml:space="preserve">reassembly of a new starter motor from stock and connecting pipelines. After the work was completed, as a test after the maintenance intervention, a local start-up of the diesel engine </w:t>
      </w:r>
      <w:r w:rsidRPr="0051672C">
        <w:rPr>
          <w:lang w:val="en-GB"/>
        </w:rPr>
        <w:t>followed at 450 revolutions with</w:t>
      </w:r>
      <w:r w:rsidRPr="00CD2EEF">
        <w:rPr>
          <w:lang w:val="en-GB"/>
        </w:rPr>
        <w:t xml:space="preserve"> the starting airline A closed. The start-up of the diesel engine was successful and without </w:t>
      </w:r>
      <w:r w:rsidR="00F82F81">
        <w:rPr>
          <w:lang w:val="en-GB"/>
        </w:rPr>
        <w:t xml:space="preserve">any </w:t>
      </w:r>
      <w:r w:rsidRPr="00CD2EEF">
        <w:rPr>
          <w:lang w:val="en-GB"/>
        </w:rPr>
        <w:t>special features.</w:t>
      </w:r>
    </w:p>
    <w:p w14:paraId="191DF222" w14:textId="0314E10C" w:rsidR="00CB3A79" w:rsidRPr="00CD2EEF" w:rsidRDefault="00CB3A79" w:rsidP="008A6ADC">
      <w:pPr>
        <w:pStyle w:val="LPnavaden"/>
        <w:rPr>
          <w:lang w:val="en-GB"/>
        </w:rPr>
      </w:pPr>
      <w:r w:rsidRPr="00CD2EEF">
        <w:rPr>
          <w:lang w:val="en-GB"/>
        </w:rPr>
        <w:t xml:space="preserve">At 15:02, a repetition of the surveillance test of diesel generator </w:t>
      </w:r>
      <w:r w:rsidR="00074AFC">
        <w:rPr>
          <w:lang w:val="en-GB"/>
        </w:rPr>
        <w:t>No.</w:t>
      </w:r>
      <w:r w:rsidRPr="00CD2EEF">
        <w:rPr>
          <w:lang w:val="en-GB"/>
        </w:rPr>
        <w:t xml:space="preserve"> 2</w:t>
      </w:r>
      <w:r w:rsidR="000501F0">
        <w:rPr>
          <w:lang w:val="en-GB"/>
        </w:rPr>
        <w:t xml:space="preserve"> was carried out,</w:t>
      </w:r>
      <w:r w:rsidRPr="00CD2EEF">
        <w:rPr>
          <w:lang w:val="en-GB"/>
        </w:rPr>
        <w:t xml:space="preserve"> which was successfully run to 750 </w:t>
      </w:r>
      <w:r w:rsidR="0051672C" w:rsidRPr="005240D0">
        <w:rPr>
          <w:lang w:val="en-GB"/>
        </w:rPr>
        <w:t>revolutions</w:t>
      </w:r>
      <w:r w:rsidRPr="00CD2EEF">
        <w:rPr>
          <w:lang w:val="en-GB"/>
        </w:rPr>
        <w:t xml:space="preserve"> with half of the starting air. At 3:11 p.m., a </w:t>
      </w:r>
      <w:r w:rsidR="000501F0" w:rsidRPr="00CD2EEF">
        <w:rPr>
          <w:lang w:val="en-GB"/>
        </w:rPr>
        <w:t>start-up</w:t>
      </w:r>
      <w:r w:rsidRPr="00CD2EEF">
        <w:rPr>
          <w:lang w:val="en-GB"/>
        </w:rPr>
        <w:t xml:space="preserve"> time of</w:t>
      </w:r>
      <w:r w:rsidR="008A1E6B">
        <w:rPr>
          <w:lang w:val="en-GB"/>
        </w:rPr>
        <w:t xml:space="preserve"> </w:t>
      </w:r>
      <w:r w:rsidRPr="00CD2EEF">
        <w:rPr>
          <w:lang w:val="en-GB"/>
        </w:rPr>
        <w:t xml:space="preserve">9.1s was measured. The test took place without any special features and was successfully completed at </w:t>
      </w:r>
      <w:r w:rsidRPr="00CD2EEF">
        <w:rPr>
          <w:lang w:val="en-GB"/>
        </w:rPr>
        <w:lastRenderedPageBreak/>
        <w:t xml:space="preserve">16:37. </w:t>
      </w:r>
      <w:r w:rsidR="00292E59">
        <w:rPr>
          <w:lang w:val="en-GB"/>
        </w:rPr>
        <w:t>D</w:t>
      </w:r>
      <w:r w:rsidRPr="00CD2EEF">
        <w:rPr>
          <w:lang w:val="en-GB"/>
        </w:rPr>
        <w:t xml:space="preserve">iesel generator </w:t>
      </w:r>
      <w:r w:rsidR="00074AFC">
        <w:rPr>
          <w:lang w:val="en-GB"/>
        </w:rPr>
        <w:t>No.</w:t>
      </w:r>
      <w:r w:rsidRPr="00CD2EEF">
        <w:rPr>
          <w:lang w:val="en-GB"/>
        </w:rPr>
        <w:t xml:space="preserve"> 2 was declared operational and LCO-3.8.1.1, action B</w:t>
      </w:r>
      <w:r w:rsidR="000501F0">
        <w:rPr>
          <w:lang w:val="en-GB"/>
        </w:rPr>
        <w:t>,</w:t>
      </w:r>
      <w:r w:rsidRPr="00CD2EEF">
        <w:rPr>
          <w:lang w:val="en-GB"/>
        </w:rPr>
        <w:t xml:space="preserve"> was also completed. </w:t>
      </w:r>
    </w:p>
    <w:p w14:paraId="2CDEBE12" w14:textId="530A4CCB" w:rsidR="00CB3A79" w:rsidRPr="00CD2EEF" w:rsidRDefault="00CB3A79" w:rsidP="008A6ADC">
      <w:pPr>
        <w:pStyle w:val="LPnavaden"/>
        <w:rPr>
          <w:lang w:val="en-GB"/>
        </w:rPr>
      </w:pPr>
      <w:r w:rsidRPr="00CD2EEF">
        <w:rPr>
          <w:lang w:val="en-GB"/>
        </w:rPr>
        <w:t>The direct cause of the event was a minor air leak on the rear side of the 2DGA-M07 starter motor housing (</w:t>
      </w:r>
      <w:hyperlink w:anchor="fig11" w:history="1">
        <w:r w:rsidRPr="00CD2EEF">
          <w:rPr>
            <w:rStyle w:val="Hiperpovezava"/>
            <w:lang w:val="en-GB"/>
          </w:rPr>
          <w:t>Figure 11</w:t>
        </w:r>
      </w:hyperlink>
      <w:r w:rsidRPr="00CD2EEF">
        <w:rPr>
          <w:lang w:val="en-GB"/>
        </w:rPr>
        <w:t xml:space="preserve">). The air leak occurred because part of the cork gasket was missing on the outside of the starter motor. All seals on the starter motors </w:t>
      </w:r>
      <w:r w:rsidR="00640AA8">
        <w:rPr>
          <w:lang w:val="en-GB"/>
        </w:rPr>
        <w:t>were</w:t>
      </w:r>
      <w:r w:rsidRPr="00CD2EEF">
        <w:rPr>
          <w:lang w:val="en-GB"/>
        </w:rPr>
        <w:t xml:space="preserve"> replaced.</w:t>
      </w:r>
    </w:p>
    <w:p w14:paraId="2C5C544D" w14:textId="633ACF44" w:rsidR="00CB3A79" w:rsidRPr="00CD2EEF" w:rsidRDefault="001B146F" w:rsidP="00946EEE">
      <w:pPr>
        <w:pStyle w:val="LPnavaden"/>
        <w:rPr>
          <w:lang w:val="en-GB"/>
        </w:rPr>
      </w:pPr>
      <w:r>
        <w:rPr>
          <w:lang w:val="en-GB"/>
        </w:rPr>
        <w:t>The Krško NPP</w:t>
      </w:r>
      <w:r w:rsidR="00CB3A79" w:rsidRPr="00CD2EEF">
        <w:rPr>
          <w:lang w:val="en-GB"/>
        </w:rPr>
        <w:t xml:space="preserve"> and </w:t>
      </w:r>
      <w:r w:rsidR="00E63423">
        <w:rPr>
          <w:lang w:val="en-GB"/>
        </w:rPr>
        <w:t>the SNSA</w:t>
      </w:r>
      <w:r w:rsidR="00CB3A79" w:rsidRPr="00CD2EEF">
        <w:rPr>
          <w:lang w:val="en-GB"/>
        </w:rPr>
        <w:t xml:space="preserve"> studied the event in detail and carried out a detailed analysis. </w:t>
      </w:r>
    </w:p>
    <w:p w14:paraId="6D1ADF1E" w14:textId="77777777" w:rsidR="00CB3A79" w:rsidRPr="00CD2EEF" w:rsidRDefault="00CB3A79" w:rsidP="00946EEE">
      <w:pPr>
        <w:pStyle w:val="LPnavaden"/>
        <w:rPr>
          <w:lang w:val="en-GB"/>
        </w:rPr>
      </w:pPr>
      <w:bookmarkStart w:id="70" w:name="fig11"/>
      <w:r w:rsidRPr="00CD2EEF">
        <w:rPr>
          <w:noProof/>
          <w:lang w:val="en-GB"/>
        </w:rPr>
        <w:drawing>
          <wp:inline distT="0" distB="0" distL="0" distR="0" wp14:anchorId="7D73E4FB" wp14:editId="3FBB9063">
            <wp:extent cx="3481184" cy="2600077"/>
            <wp:effectExtent l="0" t="0" r="5080" b="0"/>
            <wp:docPr id="7" name="Slika 7" descr="Starter motor 2DGA-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tarter motor 2DGA-M07"/>
                    <pic:cNvPicPr/>
                  </pic:nvPicPr>
                  <pic:blipFill>
                    <a:blip r:embed="rId27" cstate="screen">
                      <a:extLst>
                        <a:ext uri="{28A0092B-C50C-407E-A947-70E740481C1C}">
                          <a14:useLocalDpi xmlns:a14="http://schemas.microsoft.com/office/drawing/2010/main"/>
                        </a:ext>
                      </a:extLst>
                    </a:blip>
                    <a:stretch>
                      <a:fillRect/>
                    </a:stretch>
                  </pic:blipFill>
                  <pic:spPr>
                    <a:xfrm>
                      <a:off x="0" y="0"/>
                      <a:ext cx="3564546" cy="2662339"/>
                    </a:xfrm>
                    <a:prstGeom prst="rect">
                      <a:avLst/>
                    </a:prstGeom>
                  </pic:spPr>
                </pic:pic>
              </a:graphicData>
            </a:graphic>
          </wp:inline>
        </w:drawing>
      </w:r>
    </w:p>
    <w:p w14:paraId="3AEE773D" w14:textId="660C884A" w:rsidR="00CB3A79" w:rsidRPr="00CD2EEF" w:rsidRDefault="00E86579" w:rsidP="00E86579">
      <w:pPr>
        <w:pStyle w:val="LPnaslovslika"/>
        <w:rPr>
          <w:lang w:val="en-GB"/>
        </w:rPr>
      </w:pPr>
      <w:bookmarkStart w:id="71" w:name="_Toc106624738"/>
      <w:bookmarkStart w:id="72" w:name="_Toc106628913"/>
      <w:bookmarkStart w:id="73" w:name="_Toc106629088"/>
      <w:bookmarkStart w:id="74" w:name="_Toc126309890"/>
      <w:bookmarkEnd w:id="70"/>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11</w:t>
      </w:r>
      <w:r w:rsidR="00366B6D" w:rsidRPr="00CD2EEF">
        <w:rPr>
          <w:lang w:val="en-GB"/>
        </w:rPr>
        <w:fldChar w:fldCharType="end"/>
      </w:r>
      <w:r w:rsidR="00CB3A79" w:rsidRPr="00CD2EEF">
        <w:rPr>
          <w:lang w:val="en-GB"/>
        </w:rPr>
        <w:t>: Starter motor 2DGA-M07</w:t>
      </w:r>
      <w:bookmarkEnd w:id="71"/>
      <w:bookmarkEnd w:id="72"/>
      <w:bookmarkEnd w:id="73"/>
      <w:bookmarkEnd w:id="74"/>
    </w:p>
    <w:p w14:paraId="69612404" w14:textId="2A60A49A" w:rsidR="00CB3A79" w:rsidRPr="00CD2EEF" w:rsidRDefault="00CB3A79" w:rsidP="00E10DAF">
      <w:pPr>
        <w:pStyle w:val="LPVirienojni"/>
        <w:rPr>
          <w:lang w:val="en-GB"/>
        </w:rPr>
      </w:pPr>
      <w:r w:rsidRPr="00CD2EEF">
        <w:rPr>
          <w:lang w:val="en-GB"/>
        </w:rPr>
        <w:t>References: [</w:t>
      </w:r>
      <w:hyperlink w:anchor="r03" w:history="1">
        <w:r w:rsidRPr="00CD2EEF">
          <w:rPr>
            <w:rStyle w:val="Hiperpovezava"/>
            <w:lang w:val="en-GB"/>
          </w:rPr>
          <w:t>3</w:t>
        </w:r>
      </w:hyperlink>
      <w:r w:rsidRPr="00CD2EEF">
        <w:rPr>
          <w:lang w:val="en-GB"/>
        </w:rPr>
        <w:t>], [</w:t>
      </w:r>
      <w:hyperlink w:anchor="r04" w:history="1">
        <w:r w:rsidRPr="00CD2EEF">
          <w:rPr>
            <w:rStyle w:val="Hiperpovezava"/>
            <w:lang w:val="en-GB"/>
          </w:rPr>
          <w:t>4</w:t>
        </w:r>
      </w:hyperlink>
      <w:r w:rsidRPr="00CD2EEF">
        <w:rPr>
          <w:lang w:val="en-GB"/>
        </w:rPr>
        <w:t>]</w:t>
      </w:r>
    </w:p>
    <w:p w14:paraId="4EAFAAE2" w14:textId="4A3A51DC" w:rsidR="00CB3A79" w:rsidRPr="00CD2EEF" w:rsidRDefault="000C3258" w:rsidP="00E10DAF">
      <w:pPr>
        <w:pStyle w:val="LPnaslovkrepko"/>
        <w:rPr>
          <w:lang w:val="en-GB"/>
        </w:rPr>
      </w:pPr>
      <w:r>
        <w:rPr>
          <w:lang w:val="en-GB"/>
        </w:rPr>
        <w:t>The l</w:t>
      </w:r>
      <w:r w:rsidR="00CB3A79" w:rsidRPr="00CD2EEF">
        <w:rPr>
          <w:lang w:val="en-GB"/>
        </w:rPr>
        <w:t xml:space="preserve">oss of </w:t>
      </w:r>
      <w:r>
        <w:rPr>
          <w:lang w:val="en-GB"/>
        </w:rPr>
        <w:t xml:space="preserve">the </w:t>
      </w:r>
      <w:r w:rsidR="00CB3A79" w:rsidRPr="00CD2EEF">
        <w:rPr>
          <w:lang w:val="en-GB"/>
        </w:rPr>
        <w:t>power supply</w:t>
      </w:r>
      <w:r>
        <w:rPr>
          <w:lang w:val="en-GB"/>
        </w:rPr>
        <w:t xml:space="preserve"> of</w:t>
      </w:r>
      <w:r w:rsidR="00CB3A79" w:rsidRPr="00CD2EEF">
        <w:rPr>
          <w:lang w:val="en-GB"/>
        </w:rPr>
        <w:t xml:space="preserve"> </w:t>
      </w:r>
      <w:r w:rsidR="001B146F">
        <w:rPr>
          <w:lang w:val="en-GB"/>
        </w:rPr>
        <w:t>the Krško NPP</w:t>
      </w:r>
      <w:r w:rsidR="00F21D56">
        <w:rPr>
          <w:lang w:val="en-GB"/>
        </w:rPr>
        <w:t>’</w:t>
      </w:r>
      <w:r w:rsidR="00CB3A79" w:rsidRPr="00CD2EEF">
        <w:rPr>
          <w:lang w:val="en-GB"/>
        </w:rPr>
        <w:t xml:space="preserve">s technical protection systems due to </w:t>
      </w:r>
      <w:r>
        <w:rPr>
          <w:lang w:val="en-GB"/>
        </w:rPr>
        <w:t xml:space="preserve">the </w:t>
      </w:r>
      <w:r w:rsidR="00CB3A79" w:rsidRPr="00CD2EEF">
        <w:rPr>
          <w:lang w:val="en-GB"/>
        </w:rPr>
        <w:t>failure of the uninterruptible power supply</w:t>
      </w:r>
    </w:p>
    <w:p w14:paraId="443B7C7D" w14:textId="45AEF710" w:rsidR="00CB3A79" w:rsidRPr="00CD2EEF" w:rsidRDefault="00CB3A79" w:rsidP="00946EEE">
      <w:pPr>
        <w:pStyle w:val="LPnavaden"/>
        <w:rPr>
          <w:lang w:val="en-GB"/>
        </w:rPr>
      </w:pPr>
      <w:r w:rsidRPr="00CD2EEF">
        <w:rPr>
          <w:lang w:val="en-GB"/>
        </w:rPr>
        <w:t xml:space="preserve">On 7 October 2021, at 3:30 p.m., the power supply of internal transformer stations TP1 and TP2 was planned to be switched off. The switchover procedure requires the shutdown of all transformer substations for approximately 30 minutes, while the technical protection systems are powered during the switchover from the Uninterrupted Power Supply (UPS) and </w:t>
      </w:r>
      <w:r w:rsidRPr="0051672C">
        <w:rPr>
          <w:lang w:val="en-GB"/>
        </w:rPr>
        <w:t>after a few seconds from TP3, which is powered by a diesel generator.</w:t>
      </w:r>
      <w:r w:rsidRPr="00CD2EEF">
        <w:rPr>
          <w:lang w:val="en-GB"/>
        </w:rPr>
        <w:t xml:space="preserve"> </w:t>
      </w:r>
    </w:p>
    <w:p w14:paraId="39239FD4" w14:textId="6448FD32" w:rsidR="00CB3A79" w:rsidRPr="00CD2EEF" w:rsidRDefault="00CB3A79" w:rsidP="00A80FCD">
      <w:pPr>
        <w:pStyle w:val="LPnavaden"/>
        <w:rPr>
          <w:lang w:val="en-GB"/>
        </w:rPr>
      </w:pPr>
      <w:r w:rsidRPr="00CD2EEF">
        <w:rPr>
          <w:lang w:val="en-GB"/>
        </w:rPr>
        <w:t xml:space="preserve">At 3:35 p.m., transformer stations TP1 and TP2 were shut down, diesel generator TP3 started in 10 seconds, and the UPS power supply failed. The detection on the fence remained, but other technical protection systems failed. There was a 10-minute interruption of the operation of the technical protection systems. </w:t>
      </w:r>
      <w:r w:rsidR="00CC57A6">
        <w:rPr>
          <w:lang w:val="en-GB"/>
        </w:rPr>
        <w:t>The d</w:t>
      </w:r>
      <w:r w:rsidRPr="00CD2EEF">
        <w:rPr>
          <w:lang w:val="en-GB"/>
        </w:rPr>
        <w:t>eficiencies were corrected within two hours of the event.</w:t>
      </w:r>
    </w:p>
    <w:p w14:paraId="26B74862" w14:textId="5F2665F1" w:rsidR="00CB3A79" w:rsidRPr="00CD2EEF" w:rsidRDefault="00CB3A79" w:rsidP="00A80FCD">
      <w:pPr>
        <w:pStyle w:val="LPnavaden"/>
        <w:rPr>
          <w:lang w:val="en-GB"/>
        </w:rPr>
      </w:pPr>
      <w:r w:rsidRPr="00CD2EEF">
        <w:rPr>
          <w:lang w:val="en-GB"/>
        </w:rPr>
        <w:t xml:space="preserve">The direct cause of the event was </w:t>
      </w:r>
      <w:r w:rsidR="00CC57A6">
        <w:rPr>
          <w:lang w:val="en-GB"/>
        </w:rPr>
        <w:t>the</w:t>
      </w:r>
      <w:r w:rsidR="00CC57A6" w:rsidRPr="00CD2EEF">
        <w:rPr>
          <w:lang w:val="en-GB"/>
        </w:rPr>
        <w:t xml:space="preserve"> </w:t>
      </w:r>
      <w:r w:rsidRPr="00CD2EEF">
        <w:rPr>
          <w:lang w:val="en-GB"/>
        </w:rPr>
        <w:t xml:space="preserve">failure of the UPS. The root cause is </w:t>
      </w:r>
      <w:r w:rsidR="00CC57A6">
        <w:rPr>
          <w:lang w:val="en-GB"/>
        </w:rPr>
        <w:t xml:space="preserve">the </w:t>
      </w:r>
      <w:r w:rsidRPr="00CD2EEF">
        <w:rPr>
          <w:lang w:val="en-GB"/>
        </w:rPr>
        <w:t>poor maintenance of the UPS power supply.</w:t>
      </w:r>
    </w:p>
    <w:p w14:paraId="60608C33" w14:textId="0E7EBC96" w:rsidR="00CB3A79" w:rsidRPr="00CD2EEF" w:rsidRDefault="001B146F" w:rsidP="00A80FCD">
      <w:pPr>
        <w:pStyle w:val="LPnavaden"/>
        <w:rPr>
          <w:lang w:val="en-GB"/>
        </w:rPr>
      </w:pPr>
      <w:r>
        <w:rPr>
          <w:lang w:val="en-GB"/>
        </w:rPr>
        <w:t>The Krško NPP</w:t>
      </w:r>
      <w:r w:rsidR="00CB3A79" w:rsidRPr="00CD2EEF">
        <w:rPr>
          <w:lang w:val="en-GB"/>
        </w:rPr>
        <w:t xml:space="preserve"> and </w:t>
      </w:r>
      <w:r w:rsidR="00E63423">
        <w:rPr>
          <w:lang w:val="en-GB"/>
        </w:rPr>
        <w:t>the SNSA</w:t>
      </w:r>
      <w:r w:rsidR="00CB3A79" w:rsidRPr="00CD2EEF">
        <w:rPr>
          <w:lang w:val="en-GB"/>
        </w:rPr>
        <w:t xml:space="preserve"> studied the event in detail and performed an analysis.</w:t>
      </w:r>
    </w:p>
    <w:p w14:paraId="72EF6DFF" w14:textId="449C52E8" w:rsidR="00CB3A79" w:rsidRPr="00CD2EEF" w:rsidRDefault="00CB3A79" w:rsidP="00647FD3">
      <w:pPr>
        <w:pStyle w:val="LPVirienojni"/>
        <w:rPr>
          <w:rStyle w:val="LPnavadenpoevno"/>
          <w:i w:val="0"/>
          <w:sz w:val="20"/>
          <w:lang w:val="en-GB"/>
        </w:rPr>
      </w:pPr>
      <w:r w:rsidRPr="00CD2EEF">
        <w:rPr>
          <w:lang w:val="en-GB"/>
        </w:rPr>
        <w:t>References: [</w:t>
      </w:r>
      <w:hyperlink w:anchor="r05" w:history="1">
        <w:r w:rsidRPr="00CD2EEF">
          <w:rPr>
            <w:rStyle w:val="Hiperpovezava"/>
            <w:lang w:val="en-GB"/>
          </w:rPr>
          <w:t>5</w:t>
        </w:r>
      </w:hyperlink>
      <w:r w:rsidRPr="00CD2EEF">
        <w:rPr>
          <w:lang w:val="en-GB"/>
        </w:rPr>
        <w:t>], [</w:t>
      </w:r>
      <w:hyperlink w:anchor="r06" w:history="1">
        <w:r w:rsidRPr="00CD2EEF">
          <w:rPr>
            <w:rStyle w:val="Hiperpovezava"/>
            <w:lang w:val="en-GB"/>
          </w:rPr>
          <w:t>6</w:t>
        </w:r>
      </w:hyperlink>
      <w:r w:rsidRPr="00CD2EEF">
        <w:rPr>
          <w:lang w:val="en-GB"/>
        </w:rPr>
        <w:t>]</w:t>
      </w:r>
    </w:p>
    <w:p w14:paraId="665BB7EF" w14:textId="77777777" w:rsidR="00CB3A79" w:rsidRPr="00CD2EEF" w:rsidRDefault="00CB3A79" w:rsidP="00CB3A79">
      <w:pPr>
        <w:pStyle w:val="LPNaslov4"/>
        <w:rPr>
          <w:rStyle w:val="LPnavadenpoevno"/>
          <w:i w:val="0"/>
          <w:iCs/>
          <w:color w:val="0070C0"/>
          <w:lang w:val="en-GB"/>
        </w:rPr>
      </w:pPr>
      <w:r w:rsidRPr="00CD2EEF">
        <w:rPr>
          <w:rStyle w:val="LPnavadenpoevno"/>
          <w:i w:val="0"/>
          <w:iCs/>
          <w:color w:val="0070C0"/>
          <w:lang w:val="en-GB"/>
        </w:rPr>
        <w:t xml:space="preserve">Periodic Safety Review </w:t>
      </w:r>
    </w:p>
    <w:p w14:paraId="67AC4608" w14:textId="1AA58992" w:rsidR="00CB3A79" w:rsidRPr="00CD2EEF" w:rsidRDefault="00CB3A79" w:rsidP="00CB3A79">
      <w:pPr>
        <w:pStyle w:val="LPpodpoglavje"/>
        <w:rPr>
          <w:rStyle w:val="LPnavadenpoevno"/>
          <w:i w:val="0"/>
          <w:iCs/>
          <w:color w:val="0070C0"/>
          <w:lang w:val="en-GB"/>
        </w:rPr>
      </w:pPr>
      <w:r w:rsidRPr="00CD2EEF">
        <w:rPr>
          <w:rStyle w:val="LPnavadenpoevno"/>
          <w:i w:val="0"/>
          <w:iCs/>
          <w:color w:val="0070C0"/>
          <w:lang w:val="en-GB"/>
        </w:rPr>
        <w:t>Second Periodic Safety Review</w:t>
      </w:r>
      <w:r w:rsidR="00717416">
        <w:rPr>
          <w:rStyle w:val="LPnavadenpoevno"/>
          <w:i w:val="0"/>
          <w:iCs/>
          <w:color w:val="0070C0"/>
          <w:lang w:val="en-GB"/>
        </w:rPr>
        <w:t xml:space="preserve"> </w:t>
      </w:r>
      <w:r w:rsidR="00717416" w:rsidRPr="00CD2EEF">
        <w:rPr>
          <w:lang w:val="en-GB"/>
        </w:rPr>
        <w:t xml:space="preserve">of </w:t>
      </w:r>
      <w:r w:rsidR="00717416">
        <w:rPr>
          <w:lang w:val="en-GB"/>
        </w:rPr>
        <w:t>the Krško NPP</w:t>
      </w:r>
    </w:p>
    <w:p w14:paraId="5707848F" w14:textId="2B41B595" w:rsidR="00CB3A79" w:rsidRPr="00CD2EEF" w:rsidRDefault="00CB3A79" w:rsidP="00E86579">
      <w:pPr>
        <w:pStyle w:val="LPnavaden"/>
        <w:rPr>
          <w:rStyle w:val="LPnavadenpoevno"/>
          <w:i w:val="0"/>
          <w:lang w:val="en-GB"/>
        </w:rPr>
      </w:pPr>
      <w:r w:rsidRPr="00CD2EEF">
        <w:rPr>
          <w:rStyle w:val="LPnavadenpoevno"/>
          <w:i w:val="0"/>
          <w:lang w:val="en-GB"/>
        </w:rPr>
        <w:t xml:space="preserve">On 30 May 2014, </w:t>
      </w:r>
      <w:r w:rsidR="00A726E8">
        <w:rPr>
          <w:rStyle w:val="LPnavadenpoevno"/>
          <w:i w:val="0"/>
          <w:lang w:val="en-GB"/>
        </w:rPr>
        <w:t>the</w:t>
      </w:r>
      <w:r w:rsidR="00E63423">
        <w:rPr>
          <w:rStyle w:val="LPnavadenpoevno"/>
          <w:i w:val="0"/>
          <w:lang w:val="en-GB"/>
        </w:rPr>
        <w:t xml:space="preserve"> SNSA</w:t>
      </w:r>
      <w:r w:rsidRPr="00CD2EEF">
        <w:rPr>
          <w:rStyle w:val="LPnavadenpoevno"/>
          <w:i w:val="0"/>
          <w:lang w:val="en-GB"/>
        </w:rPr>
        <w:t xml:space="preserve"> approved the Second Periodic Safety Review (PSR2) and the resulting implementation plan. </w:t>
      </w:r>
      <w:r w:rsidR="001B146F">
        <w:rPr>
          <w:rStyle w:val="LPnavadenpoevno"/>
          <w:i w:val="0"/>
          <w:lang w:val="en-GB"/>
        </w:rPr>
        <w:t>The Krško NPP</w:t>
      </w:r>
      <w:r w:rsidRPr="00CD2EEF">
        <w:rPr>
          <w:rStyle w:val="LPnavadenpoevno"/>
          <w:i w:val="0"/>
          <w:lang w:val="en-GB"/>
        </w:rPr>
        <w:t xml:space="preserve"> reports to </w:t>
      </w:r>
      <w:r w:rsidR="00A726E8">
        <w:rPr>
          <w:rStyle w:val="LPnavadenpoevno"/>
          <w:i w:val="0"/>
          <w:lang w:val="en-GB"/>
        </w:rPr>
        <w:t>the</w:t>
      </w:r>
      <w:r w:rsidR="00E63423">
        <w:rPr>
          <w:rStyle w:val="LPnavadenpoevno"/>
          <w:i w:val="0"/>
          <w:lang w:val="en-GB"/>
        </w:rPr>
        <w:t xml:space="preserve"> SNSA</w:t>
      </w:r>
      <w:r w:rsidRPr="00CD2EEF">
        <w:rPr>
          <w:rStyle w:val="LPnavadenpoevno"/>
          <w:i w:val="0"/>
          <w:lang w:val="en-GB"/>
        </w:rPr>
        <w:t xml:space="preserve"> every six months in accordance with </w:t>
      </w:r>
      <w:r w:rsidR="00A726E8">
        <w:rPr>
          <w:rStyle w:val="LPnavadenpoevno"/>
          <w:i w:val="0"/>
          <w:lang w:val="en-GB"/>
        </w:rPr>
        <w:t>the</w:t>
      </w:r>
      <w:r w:rsidR="00E63423">
        <w:rPr>
          <w:rStyle w:val="LPnavadenpoevno"/>
          <w:i w:val="0"/>
          <w:lang w:val="en-GB"/>
        </w:rPr>
        <w:t xml:space="preserve"> SNSA</w:t>
      </w:r>
      <w:r w:rsidRPr="00CD2EEF">
        <w:rPr>
          <w:rStyle w:val="LPnavadenpoevno"/>
          <w:i w:val="0"/>
          <w:lang w:val="en-GB"/>
        </w:rPr>
        <w:t xml:space="preserve"> decision on progress regarding the changes and improvements in the implementation </w:t>
      </w:r>
      <w:r w:rsidRPr="00CD2EEF">
        <w:rPr>
          <w:rStyle w:val="LPnavadenpoevno"/>
          <w:i w:val="0"/>
          <w:lang w:val="en-GB"/>
        </w:rPr>
        <w:lastRenderedPageBreak/>
        <w:t xml:space="preserve">plan of the PSR2, which includes 225 improvements. In total, 220 actions had been completed by 30 May 2019, of which 71 out of 71 actions scheduled for completion in one year, 83 out of 84 actions scheduled for completion in three years, and 66 out of 70 actions scheduled for completion in five years. For five actions, </w:t>
      </w:r>
      <w:r w:rsidR="001B146F">
        <w:rPr>
          <w:rStyle w:val="LPnavadenpoevno"/>
          <w:i w:val="0"/>
          <w:lang w:val="en-GB"/>
        </w:rPr>
        <w:t>the Krško NPP</w:t>
      </w:r>
      <w:r w:rsidRPr="00CD2EEF">
        <w:rPr>
          <w:rStyle w:val="LPnavadenpoevno"/>
          <w:i w:val="0"/>
          <w:lang w:val="en-GB"/>
        </w:rPr>
        <w:t xml:space="preserve"> requested an extension in May 2019. In June 2019, </w:t>
      </w:r>
      <w:r w:rsidR="00A726E8">
        <w:rPr>
          <w:rStyle w:val="LPnavadenpoevno"/>
          <w:i w:val="0"/>
          <w:lang w:val="en-GB"/>
        </w:rPr>
        <w:t>the</w:t>
      </w:r>
      <w:r w:rsidR="00E63423">
        <w:rPr>
          <w:rStyle w:val="LPnavadenpoevno"/>
          <w:i w:val="0"/>
          <w:lang w:val="en-GB"/>
        </w:rPr>
        <w:t xml:space="preserve"> SNSA</w:t>
      </w:r>
      <w:r w:rsidRPr="00CD2EEF">
        <w:rPr>
          <w:rStyle w:val="LPnavadenpoevno"/>
          <w:i w:val="0"/>
          <w:lang w:val="en-GB"/>
        </w:rPr>
        <w:t xml:space="preserve"> approved an extension of the implementation deadlines for five actions from the PSR2 implementation plan. In 2020, </w:t>
      </w:r>
      <w:r w:rsidR="001B146F">
        <w:rPr>
          <w:rStyle w:val="LPnavadenpoevno"/>
          <w:i w:val="0"/>
          <w:lang w:val="en-GB"/>
        </w:rPr>
        <w:t>the Krško NPP</w:t>
      </w:r>
      <w:r w:rsidRPr="00CD2EEF">
        <w:rPr>
          <w:rStyle w:val="LPnavadenpoevno"/>
          <w:i w:val="0"/>
          <w:lang w:val="en-GB"/>
        </w:rPr>
        <w:t xml:space="preserve"> completed two of the five actions and in 2021 two of the five actions. </w:t>
      </w:r>
      <w:r w:rsidR="0051672C" w:rsidRPr="0051672C">
        <w:rPr>
          <w:rStyle w:val="LPnavadenpoevno"/>
          <w:i w:val="0"/>
          <w:lang w:val="en-GB"/>
        </w:rPr>
        <w:t xml:space="preserve">The Krško NPP applied </w:t>
      </w:r>
      <w:r w:rsidR="0051672C" w:rsidRPr="0051672C">
        <w:rPr>
          <w:lang w:val="en-GB"/>
        </w:rPr>
        <w:t xml:space="preserve">for </w:t>
      </w:r>
      <w:r w:rsidR="0051672C" w:rsidRPr="0051672C">
        <w:rPr>
          <w:rStyle w:val="LPnavadenpoevno"/>
          <w:i w:val="0"/>
          <w:lang w:val="en-GB"/>
        </w:rPr>
        <w:t>an extension of the deadline until 31 January 2022 r</w:t>
      </w:r>
      <w:r w:rsidR="00EB5CDE" w:rsidRPr="0051672C">
        <w:rPr>
          <w:rStyle w:val="LPnavadenpoevno"/>
          <w:i w:val="0"/>
          <w:lang w:val="en-GB"/>
        </w:rPr>
        <w:t xml:space="preserve">egarding </w:t>
      </w:r>
      <w:r w:rsidR="0051672C" w:rsidRPr="0051672C">
        <w:rPr>
          <w:rStyle w:val="LPnavadenpoevno"/>
          <w:i w:val="0"/>
          <w:lang w:val="en-GB"/>
        </w:rPr>
        <w:t xml:space="preserve">the </w:t>
      </w:r>
      <w:r w:rsidRPr="0051672C">
        <w:rPr>
          <w:rStyle w:val="LPnavadenpoevno"/>
          <w:i w:val="0"/>
          <w:lang w:val="en-GB"/>
        </w:rPr>
        <w:t xml:space="preserve">Action PSR2 4.5-02 – Severe Accident Phenomenological Evaluations Upgrade, with </w:t>
      </w:r>
      <w:r w:rsidR="00340E7A" w:rsidRPr="0051672C">
        <w:rPr>
          <w:rStyle w:val="LPnavadenpoevno"/>
          <w:i w:val="0"/>
          <w:lang w:val="en-GB"/>
        </w:rPr>
        <w:t xml:space="preserve">a </w:t>
      </w:r>
      <w:r w:rsidRPr="0051672C">
        <w:rPr>
          <w:rStyle w:val="LPnavadenpoevno"/>
          <w:i w:val="0"/>
          <w:lang w:val="en-GB"/>
        </w:rPr>
        <w:t xml:space="preserve">deadline </w:t>
      </w:r>
      <w:r w:rsidR="00340E7A" w:rsidRPr="0051672C">
        <w:rPr>
          <w:rStyle w:val="LPnavadenpoevno"/>
          <w:i w:val="0"/>
          <w:lang w:val="en-GB"/>
        </w:rPr>
        <w:t xml:space="preserve">of </w:t>
      </w:r>
      <w:r w:rsidRPr="0051672C">
        <w:rPr>
          <w:rStyle w:val="LPnavadenpoevno"/>
          <w:i w:val="0"/>
          <w:lang w:val="en-GB"/>
        </w:rPr>
        <w:t>31 December 2021</w:t>
      </w:r>
      <w:r w:rsidR="0051672C">
        <w:rPr>
          <w:rStyle w:val="LPnavadenpoevno"/>
          <w:i w:val="0"/>
          <w:lang w:val="en-GB"/>
        </w:rPr>
        <w:t>.</w:t>
      </w:r>
      <w:r w:rsidRPr="0051672C">
        <w:rPr>
          <w:lang w:val="en-GB"/>
        </w:rPr>
        <w:t xml:space="preserve"> </w:t>
      </w:r>
    </w:p>
    <w:p w14:paraId="5675521E" w14:textId="341BCF0D" w:rsidR="00CB3A79" w:rsidRPr="00CD2EEF" w:rsidRDefault="00CB3A79" w:rsidP="00CB3A79">
      <w:pPr>
        <w:pStyle w:val="LPpodpoglavje"/>
        <w:rPr>
          <w:lang w:val="en-GB"/>
        </w:rPr>
      </w:pPr>
      <w:r w:rsidRPr="00CD2EEF">
        <w:rPr>
          <w:lang w:val="en-GB"/>
        </w:rPr>
        <w:t xml:space="preserve">Third Periodic Safety Review of </w:t>
      </w:r>
      <w:r w:rsidR="001B146F">
        <w:rPr>
          <w:lang w:val="en-GB"/>
        </w:rPr>
        <w:t>the Krško NPP</w:t>
      </w:r>
    </w:p>
    <w:p w14:paraId="6DDC1F83" w14:textId="60C8F76E" w:rsidR="00CB3A79" w:rsidRPr="00CD2EEF" w:rsidRDefault="00CB3A79" w:rsidP="0030650B">
      <w:pPr>
        <w:pStyle w:val="LPnavaden"/>
        <w:rPr>
          <w:lang w:val="en-GB"/>
        </w:rPr>
      </w:pPr>
      <w:r w:rsidRPr="00CD2EEF">
        <w:rPr>
          <w:lang w:val="en-GB"/>
        </w:rPr>
        <w:t xml:space="preserve">On 23 December 2020, </w:t>
      </w:r>
      <w:r w:rsidR="00A726E8">
        <w:rPr>
          <w:lang w:val="en-GB"/>
        </w:rPr>
        <w:t>the</w:t>
      </w:r>
      <w:r w:rsidR="00E63423">
        <w:rPr>
          <w:lang w:val="en-GB"/>
        </w:rPr>
        <w:t xml:space="preserve"> SNSA</w:t>
      </w:r>
      <w:r w:rsidRPr="00CD2EEF">
        <w:rPr>
          <w:lang w:val="en-GB"/>
        </w:rPr>
        <w:t xml:space="preserve"> approved the programme for the Third Periodic Safety Review (PSR3) of </w:t>
      </w:r>
      <w:r w:rsidR="001B146F">
        <w:rPr>
          <w:lang w:val="en-GB"/>
        </w:rPr>
        <w:t>the Krško NPP</w:t>
      </w:r>
      <w:r w:rsidRPr="00CD2EEF">
        <w:rPr>
          <w:lang w:val="en-GB"/>
        </w:rPr>
        <w:t>, in which the scope, content</w:t>
      </w:r>
      <w:r w:rsidR="00EB5CDE">
        <w:rPr>
          <w:lang w:val="en-GB"/>
        </w:rPr>
        <w:t>,</w:t>
      </w:r>
      <w:r w:rsidRPr="00CD2EEF">
        <w:rPr>
          <w:lang w:val="en-GB"/>
        </w:rPr>
        <w:t xml:space="preserve"> and timeline for the review were determined. The third PSR will be completed in 2023 with the PSR report, which will contain </w:t>
      </w:r>
      <w:r w:rsidR="009C7D1D">
        <w:rPr>
          <w:lang w:val="en-GB"/>
        </w:rPr>
        <w:t>a</w:t>
      </w:r>
      <w:r w:rsidR="009C7D1D" w:rsidRPr="00CD2EEF">
        <w:rPr>
          <w:lang w:val="en-GB"/>
        </w:rPr>
        <w:t xml:space="preserve"> </w:t>
      </w:r>
      <w:r w:rsidRPr="00CD2EEF">
        <w:rPr>
          <w:lang w:val="en-GB"/>
        </w:rPr>
        <w:t xml:space="preserve">global safety assessment of the facility and </w:t>
      </w:r>
      <w:r w:rsidR="009C7D1D">
        <w:rPr>
          <w:lang w:val="en-GB"/>
        </w:rPr>
        <w:t>a</w:t>
      </w:r>
      <w:r w:rsidR="009C7D1D" w:rsidRPr="00CD2EEF">
        <w:rPr>
          <w:lang w:val="en-GB"/>
        </w:rPr>
        <w:t xml:space="preserve"> </w:t>
      </w:r>
      <w:r w:rsidRPr="00CD2EEF">
        <w:rPr>
          <w:lang w:val="en-GB"/>
        </w:rPr>
        <w:t>plan for changes and improvements based on the review findings. Altogether, the operator will review 18 safety factors, of which three are new: radioactive waste and spent fuel; security; and radiation protection.</w:t>
      </w:r>
    </w:p>
    <w:p w14:paraId="30B1E3E5" w14:textId="503E7A6C" w:rsidR="00CB3A79" w:rsidRPr="00CD2EEF" w:rsidRDefault="00CB3A79" w:rsidP="0030650B">
      <w:pPr>
        <w:pStyle w:val="LPnavaden"/>
        <w:rPr>
          <w:lang w:val="en-GB"/>
        </w:rPr>
      </w:pPr>
      <w:r w:rsidRPr="00CD2EEF">
        <w:rPr>
          <w:lang w:val="en-GB"/>
        </w:rPr>
        <w:t xml:space="preserve">Separately from the PSR3 </w:t>
      </w:r>
      <w:r w:rsidR="00AB71FB">
        <w:rPr>
          <w:lang w:val="en-GB"/>
        </w:rPr>
        <w:t xml:space="preserve">programme, </w:t>
      </w:r>
      <w:r w:rsidRPr="00CD2EEF">
        <w:rPr>
          <w:lang w:val="en-GB"/>
        </w:rPr>
        <w:t xml:space="preserve">the review </w:t>
      </w:r>
      <w:r w:rsidR="00AB71FB">
        <w:rPr>
          <w:lang w:val="en-GB"/>
        </w:rPr>
        <w:t xml:space="preserve">programme </w:t>
      </w:r>
      <w:r w:rsidRPr="00CD2EEF">
        <w:rPr>
          <w:lang w:val="en-GB"/>
        </w:rPr>
        <w:t xml:space="preserve">of </w:t>
      </w:r>
      <w:r w:rsidR="0065374D">
        <w:rPr>
          <w:lang w:val="en-GB"/>
        </w:rPr>
        <w:t xml:space="preserve">the </w:t>
      </w:r>
      <w:r w:rsidRPr="00CD2EEF">
        <w:rPr>
          <w:lang w:val="en-GB"/>
        </w:rPr>
        <w:t xml:space="preserve">safety factor Physical </w:t>
      </w:r>
      <w:r w:rsidR="0065374D">
        <w:rPr>
          <w:lang w:val="en-GB"/>
        </w:rPr>
        <w:t>S</w:t>
      </w:r>
      <w:r w:rsidRPr="00CD2EEF">
        <w:rPr>
          <w:lang w:val="en-GB"/>
        </w:rPr>
        <w:t xml:space="preserve">ecurity was approved on 23 February 2021. The review of the safety factor Physical </w:t>
      </w:r>
      <w:r w:rsidR="0065374D">
        <w:rPr>
          <w:lang w:val="en-GB"/>
        </w:rPr>
        <w:t>S</w:t>
      </w:r>
      <w:r w:rsidRPr="00CD2EEF">
        <w:rPr>
          <w:lang w:val="en-GB"/>
        </w:rPr>
        <w:t>ecurity is performed as a separate process</w:t>
      </w:r>
      <w:r w:rsidR="0065374D">
        <w:rPr>
          <w:lang w:val="en-GB"/>
        </w:rPr>
        <w:t>,</w:t>
      </w:r>
      <w:r w:rsidRPr="00CD2EEF">
        <w:rPr>
          <w:lang w:val="en-GB"/>
        </w:rPr>
        <w:t xml:space="preserve"> as appropriate protection of classified information has to be ensured.</w:t>
      </w:r>
    </w:p>
    <w:p w14:paraId="3380930C" w14:textId="320D9737" w:rsidR="00CB3A79" w:rsidRPr="005A1023" w:rsidRDefault="00CB3A79" w:rsidP="0030650B">
      <w:pPr>
        <w:pStyle w:val="LPnavaden"/>
        <w:rPr>
          <w:lang w:val="en-GB"/>
        </w:rPr>
      </w:pPr>
      <w:r w:rsidRPr="00CD2EEF">
        <w:rPr>
          <w:lang w:val="en-GB"/>
        </w:rPr>
        <w:t xml:space="preserve">In 2021, </w:t>
      </w:r>
      <w:r w:rsidR="001B146F">
        <w:rPr>
          <w:lang w:val="en-GB"/>
        </w:rPr>
        <w:t>the Krško NPP</w:t>
      </w:r>
      <w:r w:rsidRPr="00CD2EEF">
        <w:rPr>
          <w:lang w:val="en-GB"/>
        </w:rPr>
        <w:t xml:space="preserve"> selected the subcontractors and delivered the documentation to those that were contracted. The review was then performed for separate safety factors, </w:t>
      </w:r>
      <w:r w:rsidRPr="008F51D1">
        <w:rPr>
          <w:lang w:val="en-GB"/>
        </w:rPr>
        <w:t xml:space="preserve">including </w:t>
      </w:r>
      <w:r w:rsidR="00BF208B" w:rsidRPr="008F51D1">
        <w:rPr>
          <w:lang w:val="en-GB"/>
        </w:rPr>
        <w:t>P</w:t>
      </w:r>
      <w:r w:rsidRPr="008F51D1">
        <w:rPr>
          <w:lang w:val="en-GB"/>
        </w:rPr>
        <w:t xml:space="preserve">lant </w:t>
      </w:r>
      <w:r w:rsidR="00BF208B" w:rsidRPr="008F51D1">
        <w:rPr>
          <w:lang w:val="en-GB"/>
        </w:rPr>
        <w:t>W</w:t>
      </w:r>
      <w:r w:rsidRPr="008F51D1">
        <w:rPr>
          <w:lang w:val="en-GB"/>
        </w:rPr>
        <w:t xml:space="preserve">alkdowns, </w:t>
      </w:r>
      <w:r w:rsidR="00BF208B" w:rsidRPr="008F51D1">
        <w:rPr>
          <w:lang w:val="en-GB"/>
        </w:rPr>
        <w:t>I</w:t>
      </w:r>
      <w:r w:rsidRPr="008F51D1">
        <w:rPr>
          <w:lang w:val="en-GB"/>
        </w:rPr>
        <w:t>nspections</w:t>
      </w:r>
      <w:r w:rsidR="008F51D1" w:rsidRPr="0051672C">
        <w:rPr>
          <w:lang w:val="en-GB"/>
        </w:rPr>
        <w:t>,</w:t>
      </w:r>
      <w:r w:rsidRPr="008F51D1">
        <w:rPr>
          <w:lang w:val="en-GB"/>
        </w:rPr>
        <w:t xml:space="preserve"> and </w:t>
      </w:r>
      <w:r w:rsidR="00BF208B" w:rsidRPr="008F51D1">
        <w:rPr>
          <w:lang w:val="en-GB"/>
        </w:rPr>
        <w:t>S</w:t>
      </w:r>
      <w:r w:rsidRPr="008F51D1">
        <w:rPr>
          <w:lang w:val="en-GB"/>
        </w:rPr>
        <w:t xml:space="preserve">taff </w:t>
      </w:r>
      <w:r w:rsidR="00BF208B" w:rsidRPr="008F51D1">
        <w:rPr>
          <w:lang w:val="en-GB"/>
        </w:rPr>
        <w:t>I</w:t>
      </w:r>
      <w:r w:rsidRPr="008F51D1">
        <w:rPr>
          <w:lang w:val="en-GB"/>
        </w:rPr>
        <w:t>nterviews. A</w:t>
      </w:r>
      <w:r w:rsidRPr="00CD2EEF">
        <w:rPr>
          <w:lang w:val="en-GB"/>
        </w:rPr>
        <w:t xml:space="preserve"> report on compliance with the operating license conditions and the regulatory requirements was prepared. </w:t>
      </w:r>
      <w:r w:rsidR="001B146F">
        <w:rPr>
          <w:lang w:val="en-GB"/>
        </w:rPr>
        <w:t>The Krško NPP</w:t>
      </w:r>
      <w:r w:rsidRPr="00CD2EEF">
        <w:rPr>
          <w:lang w:val="en-GB"/>
        </w:rPr>
        <w:t xml:space="preserve"> also prepared a new revision of the report </w:t>
      </w:r>
      <w:r w:rsidR="008F51D1">
        <w:rPr>
          <w:lang w:val="en-GB"/>
        </w:rPr>
        <w:t>on</w:t>
      </w:r>
      <w:r w:rsidR="008F51D1" w:rsidRPr="00CD2EEF">
        <w:rPr>
          <w:lang w:val="en-GB"/>
        </w:rPr>
        <w:t xml:space="preserve"> </w:t>
      </w:r>
      <w:r w:rsidRPr="00CD2EEF">
        <w:rPr>
          <w:lang w:val="en-GB"/>
        </w:rPr>
        <w:t xml:space="preserve">compliance with </w:t>
      </w:r>
      <w:r w:rsidR="0068760A">
        <w:rPr>
          <w:lang w:val="en-GB"/>
        </w:rPr>
        <w:t xml:space="preserve">the </w:t>
      </w:r>
      <w:r w:rsidRPr="00CD2EEF">
        <w:rPr>
          <w:lang w:val="en-GB"/>
        </w:rPr>
        <w:t xml:space="preserve">requirements </w:t>
      </w:r>
      <w:r w:rsidRPr="0051672C">
        <w:rPr>
          <w:lang w:val="en-GB"/>
        </w:rPr>
        <w:t>and guide</w:t>
      </w:r>
      <w:r w:rsidR="0068760A" w:rsidRPr="0051672C">
        <w:rPr>
          <w:lang w:val="en-GB"/>
        </w:rPr>
        <w:t>lines</w:t>
      </w:r>
      <w:r w:rsidRPr="0051672C">
        <w:rPr>
          <w:lang w:val="en-GB"/>
        </w:rPr>
        <w:t xml:space="preserve"> of US legislation and this report is the basis for reviewing </w:t>
      </w:r>
      <w:r w:rsidR="0068760A" w:rsidRPr="0051672C">
        <w:rPr>
          <w:lang w:val="en-GB"/>
        </w:rPr>
        <w:t xml:space="preserve">the </w:t>
      </w:r>
      <w:r w:rsidRPr="0051672C">
        <w:rPr>
          <w:lang w:val="en-GB"/>
        </w:rPr>
        <w:t xml:space="preserve">safety factor Plant </w:t>
      </w:r>
      <w:r w:rsidR="00BF208B" w:rsidRPr="005A1023">
        <w:rPr>
          <w:lang w:val="en-GB"/>
        </w:rPr>
        <w:t>D</w:t>
      </w:r>
      <w:r w:rsidRPr="005A1023">
        <w:rPr>
          <w:lang w:val="en-GB"/>
        </w:rPr>
        <w:t>esign.</w:t>
      </w:r>
    </w:p>
    <w:p w14:paraId="6695F871" w14:textId="06F2FE2B" w:rsidR="00CB3A79" w:rsidRPr="00CD2EEF" w:rsidRDefault="00CB3A79" w:rsidP="00FA17D0">
      <w:pPr>
        <w:pStyle w:val="LPnavaden"/>
        <w:rPr>
          <w:lang w:val="en-GB"/>
        </w:rPr>
      </w:pPr>
      <w:r w:rsidRPr="0051672C">
        <w:rPr>
          <w:lang w:val="en-GB"/>
        </w:rPr>
        <w:t xml:space="preserve">By end of 2021, one of the contractors completed three topical reports from the area of </w:t>
      </w:r>
      <w:r w:rsidR="0068760A" w:rsidRPr="0051672C">
        <w:rPr>
          <w:lang w:val="en-GB"/>
        </w:rPr>
        <w:t>s</w:t>
      </w:r>
      <w:r w:rsidRPr="0051672C">
        <w:rPr>
          <w:lang w:val="en-GB"/>
        </w:rPr>
        <w:t xml:space="preserve">afety analyses. The reports are being reviewed by </w:t>
      </w:r>
      <w:r w:rsidR="001B146F" w:rsidRPr="0051672C">
        <w:rPr>
          <w:lang w:val="en-GB"/>
        </w:rPr>
        <w:t>the Krško NPP</w:t>
      </w:r>
      <w:r w:rsidRPr="0051672C">
        <w:rPr>
          <w:lang w:val="en-GB"/>
        </w:rPr>
        <w:t xml:space="preserve"> and upon completion</w:t>
      </w:r>
      <w:r w:rsidRPr="00CD2EEF">
        <w:rPr>
          <w:lang w:val="en-GB"/>
        </w:rPr>
        <w:t xml:space="preserve"> will be delivered to </w:t>
      </w:r>
      <w:r w:rsidR="00A726E8">
        <w:rPr>
          <w:lang w:val="en-GB"/>
        </w:rPr>
        <w:t>the</w:t>
      </w:r>
      <w:r w:rsidR="00E63423">
        <w:rPr>
          <w:lang w:val="en-GB"/>
        </w:rPr>
        <w:t xml:space="preserve"> SNSA</w:t>
      </w:r>
      <w:r w:rsidRPr="00CD2EEF">
        <w:rPr>
          <w:lang w:val="en-GB"/>
        </w:rPr>
        <w:t xml:space="preserve"> for regulatory review. In 2022, all of the topical reports for other areas will be delivered to </w:t>
      </w:r>
      <w:r w:rsidR="00A726E8">
        <w:rPr>
          <w:lang w:val="en-GB"/>
        </w:rPr>
        <w:t>the</w:t>
      </w:r>
      <w:r w:rsidR="00E63423">
        <w:rPr>
          <w:lang w:val="en-GB"/>
        </w:rPr>
        <w:t xml:space="preserve"> SNSA</w:t>
      </w:r>
      <w:r w:rsidRPr="00CD2EEF">
        <w:rPr>
          <w:lang w:val="en-GB"/>
        </w:rPr>
        <w:t>.</w:t>
      </w:r>
      <w:bookmarkStart w:id="75" w:name="_Toc84321595"/>
    </w:p>
    <w:p w14:paraId="2268F306" w14:textId="4A5FB548" w:rsidR="00CB3A79" w:rsidRPr="00CD2EEF" w:rsidRDefault="001B146F" w:rsidP="00CB3A79">
      <w:pPr>
        <w:pStyle w:val="LPNaslov4"/>
        <w:rPr>
          <w:lang w:val="en-GB"/>
        </w:rPr>
      </w:pPr>
      <w:r>
        <w:rPr>
          <w:lang w:val="en-GB"/>
        </w:rPr>
        <w:t>The Krško NPP</w:t>
      </w:r>
      <w:r w:rsidR="00CB3A79" w:rsidRPr="00CD2EEF">
        <w:rPr>
          <w:lang w:val="en-GB"/>
        </w:rPr>
        <w:t xml:space="preserve"> Safety Upgrade Program</w:t>
      </w:r>
      <w:bookmarkEnd w:id="75"/>
      <w:r w:rsidR="00187DE2">
        <w:rPr>
          <w:lang w:val="en-GB"/>
        </w:rPr>
        <w:t>me</w:t>
      </w:r>
    </w:p>
    <w:p w14:paraId="2F3FFD34" w14:textId="06E0C3CF" w:rsidR="00CB3A79" w:rsidRPr="00CD2EEF" w:rsidRDefault="00CB3A79" w:rsidP="00D233EA">
      <w:pPr>
        <w:pStyle w:val="LPnavaden"/>
        <w:rPr>
          <w:lang w:val="en-GB"/>
        </w:rPr>
      </w:pPr>
      <w:r w:rsidRPr="00CD2EEF">
        <w:rPr>
          <w:lang w:val="en-GB"/>
        </w:rPr>
        <w:t xml:space="preserve">In September 2011, </w:t>
      </w:r>
      <w:r w:rsidR="00A726E8">
        <w:rPr>
          <w:lang w:val="en-GB"/>
        </w:rPr>
        <w:t>the</w:t>
      </w:r>
      <w:r w:rsidR="00E63423">
        <w:rPr>
          <w:lang w:val="en-GB"/>
        </w:rPr>
        <w:t xml:space="preserve"> SNSA</w:t>
      </w:r>
      <w:r w:rsidRPr="00CD2EEF">
        <w:rPr>
          <w:lang w:val="en-GB"/>
        </w:rPr>
        <w:t xml:space="preserve"> issued a decision for </w:t>
      </w:r>
      <w:r w:rsidR="001B146F">
        <w:rPr>
          <w:lang w:val="en-GB"/>
        </w:rPr>
        <w:t>the Krško NPP</w:t>
      </w:r>
      <w:r w:rsidRPr="00CD2EEF">
        <w:rPr>
          <w:lang w:val="en-GB"/>
        </w:rPr>
        <w:t xml:space="preserve">, in which it set </w:t>
      </w:r>
      <w:r w:rsidR="00187DE2">
        <w:rPr>
          <w:lang w:val="en-GB"/>
        </w:rPr>
        <w:t xml:space="preserve">the </w:t>
      </w:r>
      <w:r w:rsidRPr="00CD2EEF">
        <w:rPr>
          <w:lang w:val="en-GB"/>
        </w:rPr>
        <w:t xml:space="preserve">requirements for the implementation of </w:t>
      </w:r>
      <w:r w:rsidR="001B146F">
        <w:rPr>
          <w:lang w:val="en-GB"/>
        </w:rPr>
        <w:t>the Krško NPP</w:t>
      </w:r>
      <w:r w:rsidRPr="00CD2EEF">
        <w:rPr>
          <w:lang w:val="en-GB"/>
        </w:rPr>
        <w:t xml:space="preserve"> Safety Upgrade Programme (SUP). The requirements are based on Slovenian legislation and lessons learned from the Fukushima Daiichi accident in March 2011. The plant performed an analysis of the needed improvements and based thereon prepared a proposal for the SUP, which was reviewed by </w:t>
      </w:r>
      <w:r w:rsidR="00A726E8">
        <w:rPr>
          <w:lang w:val="en-GB"/>
        </w:rPr>
        <w:t>the</w:t>
      </w:r>
      <w:r w:rsidR="00E63423">
        <w:rPr>
          <w:lang w:val="en-GB"/>
        </w:rPr>
        <w:t xml:space="preserve"> SNSA</w:t>
      </w:r>
      <w:r w:rsidRPr="00CD2EEF">
        <w:rPr>
          <w:lang w:val="en-GB"/>
        </w:rPr>
        <w:t xml:space="preserve"> and approved in February 2012.</w:t>
      </w:r>
    </w:p>
    <w:p w14:paraId="44E18D6E" w14:textId="0DBF2345" w:rsidR="00CB3A79" w:rsidRPr="00CD2EEF" w:rsidRDefault="00CB3A79" w:rsidP="00D233EA">
      <w:pPr>
        <w:pStyle w:val="LPnavaden"/>
        <w:rPr>
          <w:lang w:val="en-GB"/>
        </w:rPr>
      </w:pPr>
      <w:r w:rsidRPr="00CD2EEF">
        <w:rPr>
          <w:lang w:val="en-GB"/>
        </w:rPr>
        <w:t xml:space="preserve">The implementation of </w:t>
      </w:r>
      <w:r w:rsidR="001B146F">
        <w:rPr>
          <w:lang w:val="en-GB"/>
        </w:rPr>
        <w:t>the Krško NPP</w:t>
      </w:r>
      <w:r w:rsidR="00F21D56">
        <w:rPr>
          <w:lang w:val="en-GB"/>
        </w:rPr>
        <w:t>’</w:t>
      </w:r>
      <w:r w:rsidRPr="00CD2EEF">
        <w:rPr>
          <w:lang w:val="en-GB"/>
        </w:rPr>
        <w:t xml:space="preserve">s SUP </w:t>
      </w:r>
      <w:r w:rsidR="00013CEA">
        <w:rPr>
          <w:lang w:val="en-GB"/>
        </w:rPr>
        <w:t xml:space="preserve">will soon </w:t>
      </w:r>
      <w:r w:rsidRPr="00CD2EEF">
        <w:rPr>
          <w:lang w:val="en-GB"/>
        </w:rPr>
        <w:t xml:space="preserve">be finished. All </w:t>
      </w:r>
      <w:r w:rsidR="00013CEA">
        <w:rPr>
          <w:lang w:val="en-GB"/>
        </w:rPr>
        <w:t xml:space="preserve">of </w:t>
      </w:r>
      <w:r w:rsidRPr="00CD2EEF">
        <w:rPr>
          <w:lang w:val="en-GB"/>
        </w:rPr>
        <w:t xml:space="preserve">the original SUP improvements </w:t>
      </w:r>
      <w:r w:rsidR="00640AA8">
        <w:rPr>
          <w:lang w:val="en-GB"/>
        </w:rPr>
        <w:t>had been</w:t>
      </w:r>
      <w:r w:rsidRPr="00CD2EEF">
        <w:rPr>
          <w:lang w:val="en-GB"/>
        </w:rPr>
        <w:t xml:space="preserve"> completed by the end of 2021. Additional improvements </w:t>
      </w:r>
      <w:r w:rsidR="00651406">
        <w:rPr>
          <w:lang w:val="en-GB"/>
        </w:rPr>
        <w:t>include the</w:t>
      </w:r>
      <w:r w:rsidR="00651406" w:rsidRPr="00CD2EEF">
        <w:rPr>
          <w:lang w:val="en-GB"/>
        </w:rPr>
        <w:t xml:space="preserve"> </w:t>
      </w:r>
      <w:r w:rsidRPr="00CD2EEF">
        <w:rPr>
          <w:lang w:val="en-GB"/>
        </w:rPr>
        <w:t>installation of high</w:t>
      </w:r>
      <w:r w:rsidR="00900D80">
        <w:rPr>
          <w:lang w:val="en-GB"/>
        </w:rPr>
        <w:t>-</w:t>
      </w:r>
      <w:r w:rsidRPr="00CD2EEF">
        <w:rPr>
          <w:lang w:val="en-GB"/>
        </w:rPr>
        <w:t xml:space="preserve">temperature RCP seals and </w:t>
      </w:r>
      <w:r w:rsidR="00651406">
        <w:rPr>
          <w:lang w:val="en-GB"/>
        </w:rPr>
        <w:t xml:space="preserve">the </w:t>
      </w:r>
      <w:r w:rsidRPr="00CD2EEF">
        <w:rPr>
          <w:lang w:val="en-GB"/>
        </w:rPr>
        <w:t xml:space="preserve">construction of </w:t>
      </w:r>
      <w:r w:rsidR="00651406">
        <w:rPr>
          <w:lang w:val="en-GB"/>
        </w:rPr>
        <w:t xml:space="preserve">a </w:t>
      </w:r>
      <w:r w:rsidRPr="00CD2EEF">
        <w:rPr>
          <w:lang w:val="en-GB"/>
        </w:rPr>
        <w:t>spent fuel dry storage (SFDS).</w:t>
      </w:r>
    </w:p>
    <w:p w14:paraId="1BFB9120" w14:textId="3E9A0F7C" w:rsidR="00CB3A79" w:rsidRPr="00CD2EEF" w:rsidRDefault="001B146F" w:rsidP="00D233EA">
      <w:pPr>
        <w:pStyle w:val="LPnavaden"/>
        <w:rPr>
          <w:lang w:val="en-GB"/>
        </w:rPr>
      </w:pPr>
      <w:r>
        <w:rPr>
          <w:lang w:val="en-GB"/>
        </w:rPr>
        <w:t>The Krško NPP</w:t>
      </w:r>
      <w:r w:rsidR="00F21D56">
        <w:rPr>
          <w:lang w:val="en-GB"/>
        </w:rPr>
        <w:t>’</w:t>
      </w:r>
      <w:r w:rsidR="00CB3A79" w:rsidRPr="00CD2EEF">
        <w:rPr>
          <w:lang w:val="en-GB"/>
        </w:rPr>
        <w:t xml:space="preserve">s SUP is divided into three phases. </w:t>
      </w:r>
    </w:p>
    <w:p w14:paraId="1CFB3C23" w14:textId="77777777" w:rsidR="00CB3A79" w:rsidRPr="00CD2EEF" w:rsidRDefault="00CB3A79" w:rsidP="00D233EA">
      <w:pPr>
        <w:pStyle w:val="LPnavaden"/>
        <w:rPr>
          <w:lang w:val="en-GB"/>
        </w:rPr>
      </w:pPr>
      <w:r w:rsidRPr="00CD2EEF">
        <w:rPr>
          <w:lang w:val="en-GB"/>
        </w:rPr>
        <w:t>Phase I, which was implemented in 2013:</w:t>
      </w:r>
    </w:p>
    <w:p w14:paraId="6D3ED770" w14:textId="77777777" w:rsidR="00CB3A79" w:rsidRPr="00CD2EEF" w:rsidRDefault="00CB3A79" w:rsidP="00D233EA">
      <w:pPr>
        <w:pStyle w:val="LPalineje"/>
        <w:rPr>
          <w:lang w:val="en-GB"/>
        </w:rPr>
      </w:pPr>
      <w:r w:rsidRPr="00CD2EEF">
        <w:rPr>
          <w:lang w:val="en-GB"/>
        </w:rPr>
        <w:t>the installation of passive autocatalytic recombiners (PARs);</w:t>
      </w:r>
    </w:p>
    <w:p w14:paraId="1EDBE3E4" w14:textId="77777777" w:rsidR="00CB3A79" w:rsidRPr="00CD2EEF" w:rsidRDefault="00CB3A79" w:rsidP="00D233EA">
      <w:pPr>
        <w:pStyle w:val="LPalineje"/>
        <w:rPr>
          <w:lang w:val="en-GB"/>
        </w:rPr>
      </w:pPr>
      <w:r w:rsidRPr="00CD2EEF">
        <w:rPr>
          <w:lang w:val="en-GB"/>
        </w:rPr>
        <w:t>the installation of a passive containment filtered vent system.</w:t>
      </w:r>
    </w:p>
    <w:p w14:paraId="74C27392" w14:textId="77777777" w:rsidR="00CB3A79" w:rsidRPr="00CD2EEF" w:rsidRDefault="00CB3A79" w:rsidP="00D233EA">
      <w:pPr>
        <w:pStyle w:val="LPnavaden"/>
        <w:rPr>
          <w:lang w:val="en-GB"/>
        </w:rPr>
      </w:pPr>
      <w:r w:rsidRPr="00CD2EEF">
        <w:rPr>
          <w:lang w:val="en-GB"/>
        </w:rPr>
        <w:t>Phase II was planned to be implemented by end of 2019 and was completed in 2021:</w:t>
      </w:r>
    </w:p>
    <w:p w14:paraId="62D8AEC2" w14:textId="75B617AD" w:rsidR="00CB3A79" w:rsidRPr="00CD2EEF" w:rsidRDefault="00CB3A79" w:rsidP="00D233EA">
      <w:pPr>
        <w:pStyle w:val="LPalineje"/>
        <w:rPr>
          <w:lang w:val="en-GB"/>
        </w:rPr>
      </w:pPr>
      <w:r w:rsidRPr="00CD2EEF">
        <w:rPr>
          <w:lang w:val="en-GB"/>
        </w:rPr>
        <w:lastRenderedPageBreak/>
        <w:t>additional flood protection of the nuclear island and all the new systems, structures</w:t>
      </w:r>
      <w:r w:rsidR="008F51D1">
        <w:rPr>
          <w:lang w:val="en-GB"/>
        </w:rPr>
        <w:t>,</w:t>
      </w:r>
      <w:r w:rsidRPr="00CD2EEF">
        <w:rPr>
          <w:lang w:val="en-GB"/>
        </w:rPr>
        <w:t xml:space="preserve"> and components (implemented in 2015/2016);</w:t>
      </w:r>
    </w:p>
    <w:p w14:paraId="2DB53918" w14:textId="690F49DB" w:rsidR="00CB3A79" w:rsidRPr="00CD2EEF" w:rsidRDefault="00CB3A79" w:rsidP="00D233EA">
      <w:pPr>
        <w:pStyle w:val="LPalineje"/>
        <w:rPr>
          <w:lang w:val="en-GB"/>
        </w:rPr>
      </w:pPr>
      <w:r w:rsidRPr="00CD2EEF">
        <w:rPr>
          <w:lang w:val="en-GB"/>
        </w:rPr>
        <w:t>the installation of pressur</w:t>
      </w:r>
      <w:r w:rsidR="00837F00">
        <w:rPr>
          <w:lang w:val="en-GB"/>
        </w:rPr>
        <w:t>is</w:t>
      </w:r>
      <w:r w:rsidRPr="00CD2EEF">
        <w:rPr>
          <w:lang w:val="en-GB"/>
        </w:rPr>
        <w:t>er bypass relief valves, qualified for severe accidents (implemented in 2018);</w:t>
      </w:r>
    </w:p>
    <w:p w14:paraId="1C5C27C9" w14:textId="77777777" w:rsidR="00CB3A79" w:rsidRPr="00CD2EEF" w:rsidRDefault="00CB3A79" w:rsidP="00D233EA">
      <w:pPr>
        <w:pStyle w:val="LPalineje"/>
        <w:rPr>
          <w:lang w:val="en-GB"/>
        </w:rPr>
      </w:pPr>
      <w:r w:rsidRPr="00CD2EEF">
        <w:rPr>
          <w:lang w:val="en-GB"/>
        </w:rPr>
        <w:t>the acquisition of a mobile heat exchanger, which will be located outside the nuclear island and with provisions for quick connections to the spent fuel pool (implemented in 2020);</w:t>
      </w:r>
    </w:p>
    <w:p w14:paraId="166F0A3C" w14:textId="77777777" w:rsidR="00CB3A79" w:rsidRPr="00CD2EEF" w:rsidRDefault="00CB3A79" w:rsidP="00D233EA">
      <w:pPr>
        <w:pStyle w:val="LPalineje"/>
        <w:rPr>
          <w:lang w:val="en-GB"/>
        </w:rPr>
      </w:pPr>
      <w:r w:rsidRPr="00CD2EEF">
        <w:rPr>
          <w:lang w:val="en-GB"/>
        </w:rPr>
        <w:t>the installation of a fixed spray system on the spent fuel pool with provisions to use mobile equipment (implemented in 2020);</w:t>
      </w:r>
    </w:p>
    <w:p w14:paraId="3CE86CD3" w14:textId="0A914BD3" w:rsidR="00CB3A79" w:rsidRPr="00CD2EEF" w:rsidRDefault="00CB3A79" w:rsidP="00D233EA">
      <w:pPr>
        <w:pStyle w:val="LPalineje"/>
        <w:rPr>
          <w:lang w:val="en-GB"/>
        </w:rPr>
      </w:pPr>
      <w:r w:rsidRPr="00CD2EEF">
        <w:rPr>
          <w:lang w:val="en-GB"/>
        </w:rPr>
        <w:t>the installation of an additional heat removal pump with a dedicated heat exchanger (which will be cooled by Sava River water through mobile equipment) capable of removing heat from the primary system and the containment; (planned to be finished in October 2019, but</w:t>
      </w:r>
      <w:r w:rsidR="000F3171">
        <w:rPr>
          <w:lang w:val="en-GB"/>
        </w:rPr>
        <w:t>,</w:t>
      </w:r>
      <w:r w:rsidRPr="00CD2EEF">
        <w:rPr>
          <w:lang w:val="en-GB"/>
        </w:rPr>
        <w:t xml:space="preserve"> due to a delay on the part of the supplier of the pump</w:t>
      </w:r>
      <w:r w:rsidR="000F3171" w:rsidRPr="00F853D8">
        <w:rPr>
          <w:lang w:val="en-GB"/>
        </w:rPr>
        <w:t xml:space="preserve">, </w:t>
      </w:r>
      <w:r w:rsidRPr="00F853D8">
        <w:rPr>
          <w:lang w:val="en-GB"/>
        </w:rPr>
        <w:t>completed in</w:t>
      </w:r>
      <w:r w:rsidRPr="00CD2EEF">
        <w:rPr>
          <w:lang w:val="en-GB"/>
        </w:rPr>
        <w:t xml:space="preserve"> April 2021</w:t>
      </w:r>
      <w:bookmarkStart w:id="76" w:name="_Hlk515537846"/>
      <w:r w:rsidRPr="00CD2EEF">
        <w:rPr>
          <w:lang w:val="en-GB"/>
        </w:rPr>
        <w:t>)</w:t>
      </w:r>
      <w:bookmarkEnd w:id="76"/>
      <w:r w:rsidRPr="00CD2EEF">
        <w:rPr>
          <w:lang w:val="en-GB"/>
        </w:rPr>
        <w:t>;</w:t>
      </w:r>
    </w:p>
    <w:p w14:paraId="3BA3AA01" w14:textId="77777777" w:rsidR="00CB3A79" w:rsidRPr="00CD2EEF" w:rsidRDefault="00CB3A79" w:rsidP="00D233EA">
      <w:pPr>
        <w:pStyle w:val="LPalineje"/>
        <w:rPr>
          <w:lang w:val="en-GB"/>
        </w:rPr>
      </w:pPr>
      <w:r w:rsidRPr="00CD2EEF">
        <w:rPr>
          <w:lang w:val="en-GB"/>
        </w:rPr>
        <w:t>an upgrade of the electrical power supply (provisions to connect an additional mobile 2 MW diesel generator, seismic requalification of the 3</w:t>
      </w:r>
      <w:r w:rsidRPr="00CD2EEF">
        <w:rPr>
          <w:rStyle w:val="LPnadpisano"/>
          <w:lang w:val="en-GB"/>
        </w:rPr>
        <w:t>rd</w:t>
      </w:r>
      <w:r w:rsidRPr="00CD2EEF">
        <w:rPr>
          <w:lang w:val="en-GB"/>
        </w:rPr>
        <w:t xml:space="preserve"> emergency bus, an upgrade of the connection between the 400 V safety buses and mobile diesel generators, etc.) (implemented in 2018);</w:t>
      </w:r>
    </w:p>
    <w:p w14:paraId="10BDA98E" w14:textId="03169B66" w:rsidR="00CB3A79" w:rsidRPr="00CD2EEF" w:rsidRDefault="00CB3A79" w:rsidP="00D233EA">
      <w:pPr>
        <w:pStyle w:val="LPalineje"/>
        <w:rPr>
          <w:lang w:val="en-GB"/>
        </w:rPr>
      </w:pPr>
      <w:r w:rsidRPr="00CD2EEF">
        <w:rPr>
          <w:lang w:val="en-GB"/>
        </w:rPr>
        <w:t xml:space="preserve">the replacement of the existing remote shutdown panels with the installation of an emergency control room (ECR) with capabilities to shut down the reactor and maintain </w:t>
      </w:r>
      <w:r w:rsidR="002F3867">
        <w:rPr>
          <w:lang w:val="en-GB"/>
        </w:rPr>
        <w:t>a</w:t>
      </w:r>
      <w:r w:rsidR="002F3867" w:rsidRPr="00CD2EEF">
        <w:rPr>
          <w:lang w:val="en-GB"/>
        </w:rPr>
        <w:t xml:space="preserve"> </w:t>
      </w:r>
      <w:r w:rsidRPr="00CD2EEF">
        <w:rPr>
          <w:lang w:val="en-GB"/>
        </w:rPr>
        <w:t xml:space="preserve">long-term safe shutdown state (implemented in 2018/2019); </w:t>
      </w:r>
    </w:p>
    <w:p w14:paraId="571E611C" w14:textId="77777777" w:rsidR="00CB3A79" w:rsidRPr="00CD2EEF" w:rsidRDefault="00CB3A79" w:rsidP="00D233EA">
      <w:pPr>
        <w:pStyle w:val="LPalineje"/>
        <w:rPr>
          <w:lang w:val="en-GB"/>
        </w:rPr>
      </w:pPr>
      <w:r w:rsidRPr="00CD2EEF">
        <w:rPr>
          <w:lang w:val="en-GB"/>
        </w:rPr>
        <w:t xml:space="preserve">the installation of additional instrumentation dedicated to severe accidents, with an independent power supply (implemented in 2018); </w:t>
      </w:r>
    </w:p>
    <w:p w14:paraId="438055AD" w14:textId="77777777" w:rsidR="00CB3A79" w:rsidRPr="00CD2EEF" w:rsidRDefault="00CB3A79" w:rsidP="00D233EA">
      <w:pPr>
        <w:pStyle w:val="LPalineje"/>
        <w:rPr>
          <w:lang w:val="en-GB"/>
        </w:rPr>
      </w:pPr>
      <w:r w:rsidRPr="00CD2EEF">
        <w:rPr>
          <w:lang w:val="en-GB"/>
        </w:rPr>
        <w:t>the installation of ECR habitability systems, which will ensure a safe long-term environment for operators even in the event of severe accidents (implemented in 2020); and</w:t>
      </w:r>
    </w:p>
    <w:p w14:paraId="2D6393E8" w14:textId="77777777" w:rsidR="00CB3A79" w:rsidRPr="00CD2EEF" w:rsidRDefault="00CB3A79" w:rsidP="00D233EA">
      <w:pPr>
        <w:pStyle w:val="LPalineje"/>
        <w:rPr>
          <w:lang w:val="en-GB"/>
        </w:rPr>
      </w:pPr>
      <w:r w:rsidRPr="00CD2EEF">
        <w:rPr>
          <w:lang w:val="en-GB"/>
        </w:rPr>
        <w:t xml:space="preserve">the upgrade of the operational support centre and technical support centre (emergency centres) to ensure a safe long-term environment for operators even in the event of a severe accident (implemented in 2021). </w:t>
      </w:r>
    </w:p>
    <w:p w14:paraId="602DFEC0" w14:textId="77777777" w:rsidR="00CB3A79" w:rsidRPr="00CD2EEF" w:rsidRDefault="00CB3A79" w:rsidP="00D233EA">
      <w:pPr>
        <w:pStyle w:val="LPnavaden"/>
        <w:rPr>
          <w:lang w:val="en-GB"/>
        </w:rPr>
      </w:pPr>
      <w:r w:rsidRPr="00CD2EEF">
        <w:rPr>
          <w:lang w:val="en-GB"/>
        </w:rPr>
        <w:t>Phase III, which was also completed by the end of 2021:</w:t>
      </w:r>
    </w:p>
    <w:p w14:paraId="5F92F2ED" w14:textId="15543EF2" w:rsidR="00CB3A79" w:rsidRPr="00CD2EEF" w:rsidRDefault="00CB3A79" w:rsidP="00D233EA">
      <w:pPr>
        <w:pStyle w:val="LPalineje"/>
        <w:rPr>
          <w:lang w:val="en-GB"/>
        </w:rPr>
      </w:pPr>
      <w:r w:rsidRPr="00CD2EEF">
        <w:rPr>
          <w:lang w:val="en-GB"/>
        </w:rPr>
        <w:t xml:space="preserve">the installation of additional injection systems for the reactor cooling system / containment and steam generators with dedicated reservoirs of cooling water (also borated) capable of </w:t>
      </w:r>
      <w:r w:rsidR="00657EBC">
        <w:rPr>
          <w:lang w:val="en-GB"/>
        </w:rPr>
        <w:t xml:space="preserve">being </w:t>
      </w:r>
      <w:r w:rsidRPr="00CD2EEF">
        <w:rPr>
          <w:lang w:val="en-GB"/>
        </w:rPr>
        <w:t>replenish</w:t>
      </w:r>
      <w:r w:rsidR="00657EBC">
        <w:rPr>
          <w:lang w:val="en-GB"/>
        </w:rPr>
        <w:t>ed</w:t>
      </w:r>
      <w:r w:rsidRPr="00CD2EEF">
        <w:rPr>
          <w:lang w:val="en-GB"/>
        </w:rPr>
        <w:t xml:space="preserve"> with water from underground wells – the Bunkered Building 2 (BB2) project (implemented in 2021);</w:t>
      </w:r>
    </w:p>
    <w:p w14:paraId="237E4C82" w14:textId="7509DC06" w:rsidR="00CB3A79" w:rsidRPr="00CD2EEF" w:rsidRDefault="00657EBC" w:rsidP="00BD197F">
      <w:pPr>
        <w:pStyle w:val="LPalineje"/>
        <w:rPr>
          <w:lang w:val="en-GB"/>
        </w:rPr>
      </w:pPr>
      <w:r>
        <w:rPr>
          <w:lang w:val="en-GB"/>
        </w:rPr>
        <w:t>the i</w:t>
      </w:r>
      <w:r w:rsidR="00CB3A79" w:rsidRPr="00CD2EEF">
        <w:rPr>
          <w:lang w:val="en-GB"/>
        </w:rPr>
        <w:t>nstallation of reactor coolant pump high</w:t>
      </w:r>
      <w:r w:rsidR="00900D80">
        <w:rPr>
          <w:lang w:val="en-GB"/>
        </w:rPr>
        <w:t>-</w:t>
      </w:r>
      <w:r w:rsidR="00CB3A79" w:rsidRPr="00CD2EEF">
        <w:rPr>
          <w:lang w:val="en-GB"/>
        </w:rPr>
        <w:t xml:space="preserve">temperature seals (implemented in 2021); </w:t>
      </w:r>
    </w:p>
    <w:p w14:paraId="3F49EBF9" w14:textId="7AF7F372" w:rsidR="00CB3A79" w:rsidRPr="00CD2EEF" w:rsidRDefault="00657EBC" w:rsidP="00BD197F">
      <w:pPr>
        <w:pStyle w:val="LPalineje"/>
        <w:rPr>
          <w:lang w:val="en-GB"/>
        </w:rPr>
      </w:pPr>
      <w:r>
        <w:rPr>
          <w:lang w:val="en-GB"/>
        </w:rPr>
        <w:t xml:space="preserve">the </w:t>
      </w:r>
      <w:r w:rsidR="00CB3A79" w:rsidRPr="00CD2EEF">
        <w:rPr>
          <w:lang w:val="en-GB"/>
        </w:rPr>
        <w:t>construction of a dry spent fuel storage facility (implementation is underway</w:t>
      </w:r>
      <w:r>
        <w:rPr>
          <w:lang w:val="en-GB"/>
        </w:rPr>
        <w:t>,</w:t>
      </w:r>
      <w:r w:rsidR="00CB3A79" w:rsidRPr="00CD2EEF">
        <w:rPr>
          <w:lang w:val="en-GB"/>
        </w:rPr>
        <w:t xml:space="preserve"> although delayed; to be completed by the end of 2022).</w:t>
      </w:r>
    </w:p>
    <w:p w14:paraId="03D73FA9" w14:textId="0A8A5282" w:rsidR="00CB3A79" w:rsidRDefault="00CB3A79" w:rsidP="00360E20">
      <w:pPr>
        <w:pStyle w:val="LPnavaden"/>
        <w:rPr>
          <w:lang w:val="en-GB"/>
        </w:rPr>
      </w:pPr>
      <w:r w:rsidRPr="00CD2EEF">
        <w:rPr>
          <w:lang w:val="en-GB"/>
        </w:rPr>
        <w:t xml:space="preserve">With the </w:t>
      </w:r>
      <w:r w:rsidR="00B81422" w:rsidRPr="00CD2EEF">
        <w:rPr>
          <w:lang w:val="en-GB"/>
        </w:rPr>
        <w:t>above-mentioned</w:t>
      </w:r>
      <w:r w:rsidRPr="00CD2EEF">
        <w:rPr>
          <w:lang w:val="en-GB"/>
        </w:rPr>
        <w:t xml:space="preserve"> SUP improvements and upgrades, the risk has been drastically decreased and the robustness of </w:t>
      </w:r>
      <w:r w:rsidR="001B146F">
        <w:rPr>
          <w:lang w:val="en-GB"/>
        </w:rPr>
        <w:t>the Krško NPP</w:t>
      </w:r>
      <w:r w:rsidRPr="00CD2EEF">
        <w:rPr>
          <w:lang w:val="en-GB"/>
        </w:rPr>
        <w:t xml:space="preserve"> improved. This is best seen from the probabilistic safety assessment (PSA) results, where core damage frequency has been reduced by around 75%. With SUP implementation</w:t>
      </w:r>
      <w:r w:rsidR="00B81422">
        <w:rPr>
          <w:lang w:val="en-GB"/>
        </w:rPr>
        <w:t>,</w:t>
      </w:r>
      <w:r w:rsidRPr="00CD2EEF">
        <w:rPr>
          <w:lang w:val="en-GB"/>
        </w:rPr>
        <w:t xml:space="preserve"> unfiltered releases </w:t>
      </w:r>
      <w:r w:rsidR="00B81422">
        <w:rPr>
          <w:lang w:val="en-GB"/>
        </w:rPr>
        <w:t>have also been</w:t>
      </w:r>
      <w:r w:rsidR="00B81422" w:rsidRPr="00CD2EEF">
        <w:rPr>
          <w:lang w:val="en-GB"/>
        </w:rPr>
        <w:t xml:space="preserve"> </w:t>
      </w:r>
      <w:r w:rsidRPr="00CD2EEF">
        <w:rPr>
          <w:lang w:val="en-GB"/>
        </w:rPr>
        <w:t xml:space="preserve">reduced by about 70% mainly due to the filtering effect of the passive containment filtering vent system (PCFVS) and additional preventive DEC A systems, such </w:t>
      </w:r>
      <w:r w:rsidRPr="005A1023">
        <w:rPr>
          <w:lang w:val="en-GB"/>
        </w:rPr>
        <w:t xml:space="preserve">as alternative injection systems </w:t>
      </w:r>
      <w:r w:rsidR="005A1023" w:rsidRPr="005A1023">
        <w:rPr>
          <w:lang w:val="en-GB"/>
        </w:rPr>
        <w:t>other than</w:t>
      </w:r>
      <w:r w:rsidR="005A1023">
        <w:rPr>
          <w:lang w:val="en-GB"/>
        </w:rPr>
        <w:t xml:space="preserve"> </w:t>
      </w:r>
      <w:r w:rsidR="001B6CEA" w:rsidRPr="001B6CEA">
        <w:rPr>
          <w:lang w:val="en-GB"/>
        </w:rPr>
        <w:t xml:space="preserve">the </w:t>
      </w:r>
      <w:r w:rsidRPr="001B6CEA">
        <w:rPr>
          <w:lang w:val="en-GB"/>
        </w:rPr>
        <w:t>primary</w:t>
      </w:r>
      <w:r w:rsidRPr="00CD2EEF">
        <w:rPr>
          <w:lang w:val="en-GB"/>
        </w:rPr>
        <w:t xml:space="preserve"> (ASI </w:t>
      </w:r>
      <w:r w:rsidR="003240B1">
        <w:rPr>
          <w:lang w:val="en-GB"/>
        </w:rPr>
        <w:t xml:space="preserve">– </w:t>
      </w:r>
      <w:r w:rsidRPr="00CD2EEF">
        <w:rPr>
          <w:lang w:val="en-GB"/>
        </w:rPr>
        <w:t>Alternative Safety Injection) and secondary system</w:t>
      </w:r>
      <w:r w:rsidR="006C6EB1">
        <w:rPr>
          <w:lang w:val="en-GB"/>
        </w:rPr>
        <w:t>s</w:t>
      </w:r>
      <w:r w:rsidRPr="00CD2EEF">
        <w:rPr>
          <w:lang w:val="en-GB"/>
        </w:rPr>
        <w:t xml:space="preserve"> (AAF </w:t>
      </w:r>
      <w:r w:rsidR="006C6EB1">
        <w:rPr>
          <w:lang w:val="en-GB"/>
        </w:rPr>
        <w:t>–</w:t>
      </w:r>
      <w:r w:rsidRPr="00CD2EEF">
        <w:rPr>
          <w:lang w:val="en-GB"/>
        </w:rPr>
        <w:t xml:space="preserve"> Alternative Auxiliary Feed Water) and </w:t>
      </w:r>
      <w:r w:rsidR="006C6EB1">
        <w:rPr>
          <w:lang w:val="en-GB"/>
        </w:rPr>
        <w:t xml:space="preserve">the </w:t>
      </w:r>
      <w:r w:rsidRPr="00CD2EEF">
        <w:rPr>
          <w:lang w:val="en-GB"/>
        </w:rPr>
        <w:t>removal of the residual heat from the primary system and the containment (ARHR</w:t>
      </w:r>
      <w:r w:rsidR="008342C3">
        <w:rPr>
          <w:lang w:val="en-GB"/>
        </w:rPr>
        <w:t xml:space="preserve"> – </w:t>
      </w:r>
      <w:r w:rsidRPr="00CD2EEF">
        <w:rPr>
          <w:lang w:val="en-GB"/>
        </w:rPr>
        <w:t>Alternative Residual Heat Removal).</w:t>
      </w:r>
    </w:p>
    <w:p w14:paraId="778C0955" w14:textId="77777777" w:rsidR="00717416" w:rsidRPr="00CD2EEF" w:rsidRDefault="00717416" w:rsidP="00360E20">
      <w:pPr>
        <w:pStyle w:val="LPnavaden"/>
        <w:rPr>
          <w:lang w:val="en-GB"/>
        </w:rPr>
      </w:pPr>
    </w:p>
    <w:p w14:paraId="73B1EB24" w14:textId="76D0E62A" w:rsidR="00CB3A79" w:rsidRPr="00CD2EEF" w:rsidRDefault="00A726E8" w:rsidP="00CB3A79">
      <w:pPr>
        <w:pStyle w:val="LPpodpoglavje"/>
        <w:rPr>
          <w:lang w:val="en-GB"/>
        </w:rPr>
      </w:pPr>
      <w:r>
        <w:rPr>
          <w:lang w:val="en-GB"/>
        </w:rPr>
        <w:lastRenderedPageBreak/>
        <w:t>The</w:t>
      </w:r>
      <w:r w:rsidR="00E63423">
        <w:rPr>
          <w:lang w:val="en-GB"/>
        </w:rPr>
        <w:t xml:space="preserve"> SNSA</w:t>
      </w:r>
      <w:r w:rsidR="00F21D56">
        <w:rPr>
          <w:lang w:val="en-GB"/>
        </w:rPr>
        <w:t>’</w:t>
      </w:r>
      <w:r w:rsidR="00CB3A79" w:rsidRPr="00CD2EEF">
        <w:rPr>
          <w:lang w:val="en-GB"/>
        </w:rPr>
        <w:t>s post-Fukushima Action Plan</w:t>
      </w:r>
    </w:p>
    <w:p w14:paraId="0B96BF7D" w14:textId="1602FC08" w:rsidR="00CB3A79" w:rsidRPr="00CD2EEF" w:rsidRDefault="00CB3A79" w:rsidP="00D233EA">
      <w:pPr>
        <w:pStyle w:val="LPnavaden"/>
        <w:rPr>
          <w:i/>
          <w:lang w:val="en-GB"/>
        </w:rPr>
      </w:pPr>
      <w:r w:rsidRPr="00CD2EEF">
        <w:rPr>
          <w:lang w:val="en-GB"/>
        </w:rPr>
        <w:t xml:space="preserve">In December 2012 </w:t>
      </w:r>
      <w:r w:rsidR="00A726E8">
        <w:rPr>
          <w:lang w:val="en-GB"/>
        </w:rPr>
        <w:t>the</w:t>
      </w:r>
      <w:r w:rsidR="00E63423">
        <w:rPr>
          <w:lang w:val="en-GB"/>
        </w:rPr>
        <w:t xml:space="preserve"> SNSA</w:t>
      </w:r>
      <w:r w:rsidRPr="00CD2EEF">
        <w:rPr>
          <w:lang w:val="en-GB"/>
        </w:rPr>
        <w:t xml:space="preserve"> prepared a comprehensive Action Plan based on the lessons learned from the Fukushima accident. The document in English is published on the </w:t>
      </w:r>
      <w:hyperlink r:id="rId28" w:history="1">
        <w:r w:rsidRPr="001B6CEA">
          <w:rPr>
            <w:rStyle w:val="Hiperpovezava"/>
            <w:lang w:val="en-GB"/>
          </w:rPr>
          <w:t>ENSREG web</w:t>
        </w:r>
        <w:r w:rsidR="0010728F" w:rsidRPr="001B6CEA">
          <w:rPr>
            <w:rStyle w:val="Hiperpovezava"/>
            <w:lang w:val="en-GB"/>
          </w:rPr>
          <w:t>sit</w:t>
        </w:r>
        <w:r w:rsidRPr="001B6CEA">
          <w:rPr>
            <w:rStyle w:val="Hiperpovezava"/>
            <w:lang w:val="en-GB"/>
          </w:rPr>
          <w:t>e</w:t>
        </w:r>
      </w:hyperlink>
      <w:r w:rsidRPr="001B6CEA">
        <w:rPr>
          <w:rStyle w:val="LPnavadenpoevno"/>
          <w:lang w:val="en-GB"/>
        </w:rPr>
        <w:t xml:space="preserve"> </w:t>
      </w:r>
      <w:r w:rsidRPr="005A1023">
        <w:rPr>
          <w:rStyle w:val="LPnavadenpoevno"/>
          <w:i w:val="0"/>
          <w:iCs/>
          <w:lang w:val="en-GB"/>
        </w:rPr>
        <w:t>(</w:t>
      </w:r>
      <w:r w:rsidRPr="00CD2EEF">
        <w:rPr>
          <w:rStyle w:val="LPnavadenpoevno"/>
          <w:lang w:val="en-GB"/>
        </w:rPr>
        <w:t>European Nuclear Safety Regulators Group</w:t>
      </w:r>
      <w:r w:rsidRPr="005A1023">
        <w:rPr>
          <w:rStyle w:val="LPnavadenpoevno"/>
          <w:i w:val="0"/>
          <w:iCs/>
          <w:lang w:val="en-GB"/>
        </w:rPr>
        <w:t>)</w:t>
      </w:r>
      <w:r w:rsidRPr="00CD2EEF">
        <w:rPr>
          <w:rStyle w:val="LPnavadenpoevno"/>
          <w:lang w:val="en-GB"/>
        </w:rPr>
        <w:t>.</w:t>
      </w:r>
      <w:r w:rsidRPr="00CD2EEF">
        <w:rPr>
          <w:lang w:val="en-GB"/>
        </w:rPr>
        <w:t xml:space="preserve"> The Action Plan comprises all activities whose implementation would further reduce the risk due to external and other hazards that could affect </w:t>
      </w:r>
      <w:r w:rsidR="001B146F">
        <w:rPr>
          <w:lang w:val="en-GB"/>
        </w:rPr>
        <w:t>the Krško NPP</w:t>
      </w:r>
      <w:r w:rsidRPr="00CD2EEF">
        <w:rPr>
          <w:lang w:val="en-GB"/>
        </w:rPr>
        <w:t xml:space="preserve"> location.</w:t>
      </w:r>
    </w:p>
    <w:p w14:paraId="313CD82E" w14:textId="03F9F9E0" w:rsidR="00CB3A79" w:rsidRPr="00CD2EEF" w:rsidRDefault="00CB3A79" w:rsidP="00D233EA">
      <w:pPr>
        <w:pStyle w:val="LPnavaden"/>
        <w:rPr>
          <w:lang w:val="en-GB"/>
        </w:rPr>
      </w:pPr>
      <w:r w:rsidRPr="00CD2EEF">
        <w:rPr>
          <w:lang w:val="en-GB"/>
        </w:rPr>
        <w:t xml:space="preserve">The core of the Action Plan is the implementation of the Safety Upgrade Programme described in the previous chapter. Besides the SUP, </w:t>
      </w:r>
      <w:r w:rsidR="00A726E8">
        <w:rPr>
          <w:lang w:val="en-GB"/>
        </w:rPr>
        <w:t>the</w:t>
      </w:r>
      <w:r w:rsidR="00E63423">
        <w:rPr>
          <w:lang w:val="en-GB"/>
        </w:rPr>
        <w:t xml:space="preserve"> SNSA</w:t>
      </w:r>
      <w:r w:rsidRPr="00CD2EEF">
        <w:rPr>
          <w:lang w:val="en-GB"/>
        </w:rPr>
        <w:t xml:space="preserve"> identified additional activities to improve preparedness for severe accident events: </w:t>
      </w:r>
    </w:p>
    <w:p w14:paraId="063E3847" w14:textId="5405A100" w:rsidR="00CB3A79" w:rsidRPr="00CD2EEF" w:rsidRDefault="00CB3A79" w:rsidP="00D233EA">
      <w:pPr>
        <w:pStyle w:val="LPalineje"/>
        <w:rPr>
          <w:lang w:val="en-GB"/>
        </w:rPr>
      </w:pPr>
      <w:r w:rsidRPr="00CD2EEF">
        <w:rPr>
          <w:lang w:val="en-GB"/>
        </w:rPr>
        <w:t xml:space="preserve">legislative changes based on lessons learned from the Fukushima accident and </w:t>
      </w:r>
      <w:r w:rsidR="00340EB2">
        <w:rPr>
          <w:lang w:val="en-GB"/>
        </w:rPr>
        <w:t xml:space="preserve">the </w:t>
      </w:r>
      <w:r w:rsidRPr="00CD2EEF">
        <w:rPr>
          <w:lang w:val="en-GB"/>
        </w:rPr>
        <w:t>revised WENRA (</w:t>
      </w:r>
      <w:r w:rsidRPr="00CD2EEF">
        <w:rPr>
          <w:rStyle w:val="LPnavadenposevnoZnak"/>
          <w:lang w:val="en-GB"/>
        </w:rPr>
        <w:t>Western European Nuclear Regulators Association</w:t>
      </w:r>
      <w:r w:rsidRPr="00CD2EEF">
        <w:rPr>
          <w:lang w:val="en-GB"/>
        </w:rPr>
        <w:t>) SRL</w:t>
      </w:r>
      <w:r w:rsidRPr="00CD2EEF">
        <w:rPr>
          <w:rStyle w:val="LPnadpisano"/>
          <w:lang w:val="en-GB"/>
        </w:rPr>
        <w:footnoteReference w:id="1"/>
      </w:r>
      <w:r w:rsidRPr="00CD2EEF">
        <w:rPr>
          <w:lang w:val="en-GB"/>
        </w:rPr>
        <w:t xml:space="preserve"> requirements – implemented in December 2016;</w:t>
      </w:r>
    </w:p>
    <w:p w14:paraId="1C01ADEC" w14:textId="3591416C" w:rsidR="00CB3A79" w:rsidRPr="005A1023" w:rsidRDefault="00CB3A79" w:rsidP="00A0420C">
      <w:pPr>
        <w:pStyle w:val="LPalineje"/>
        <w:rPr>
          <w:lang w:val="en-GB"/>
        </w:rPr>
      </w:pPr>
      <w:r w:rsidRPr="00CD2EEF">
        <w:rPr>
          <w:lang w:val="en-GB"/>
        </w:rPr>
        <w:t xml:space="preserve">several measures to improve </w:t>
      </w:r>
      <w:bookmarkStart w:id="77" w:name="_Hlk116027514"/>
      <w:r w:rsidRPr="00CD2EEF">
        <w:rPr>
          <w:lang w:val="en-GB"/>
        </w:rPr>
        <w:t xml:space="preserve">emergency </w:t>
      </w:r>
      <w:r w:rsidRPr="005A1023">
        <w:rPr>
          <w:lang w:val="en-GB"/>
        </w:rPr>
        <w:t>preparedness</w:t>
      </w:r>
      <w:bookmarkEnd w:id="77"/>
      <w:r w:rsidRPr="005A1023">
        <w:rPr>
          <w:lang w:val="en-GB"/>
        </w:rPr>
        <w:t xml:space="preserve"> (such as supplementing the national nuclear and radiological emergency response plan, preparing </w:t>
      </w:r>
      <w:r w:rsidR="00C55C4B" w:rsidRPr="005A1023">
        <w:rPr>
          <w:lang w:val="en-GB"/>
        </w:rPr>
        <w:t xml:space="preserve">the </w:t>
      </w:r>
      <w:r w:rsidRPr="005A1023">
        <w:rPr>
          <w:lang w:val="en-GB"/>
        </w:rPr>
        <w:t>national strategy for nuclear and radiological accident</w:t>
      </w:r>
      <w:r w:rsidR="00C55C4B" w:rsidRPr="005A1023">
        <w:rPr>
          <w:lang w:val="en-GB"/>
        </w:rPr>
        <w:t>s</w:t>
      </w:r>
      <w:r w:rsidRPr="005A1023">
        <w:rPr>
          <w:lang w:val="en-GB"/>
        </w:rPr>
        <w:t xml:space="preserve">, </w:t>
      </w:r>
      <w:r w:rsidR="00C55C4B" w:rsidRPr="005A1023">
        <w:rPr>
          <w:lang w:val="en-GB"/>
        </w:rPr>
        <w:t xml:space="preserve">the </w:t>
      </w:r>
      <w:r w:rsidRPr="005A1023">
        <w:rPr>
          <w:lang w:val="en-GB"/>
        </w:rPr>
        <w:t>preparation of additional new internal procedures to be used in the event of nuclear or radiological accidents, enhancing</w:t>
      </w:r>
      <w:r w:rsidR="00C55C4B" w:rsidRPr="005A1023">
        <w:rPr>
          <w:lang w:val="en-GB"/>
        </w:rPr>
        <w:t xml:space="preserve"> the</w:t>
      </w:r>
      <w:r w:rsidRPr="005A1023">
        <w:rPr>
          <w:lang w:val="en-GB"/>
        </w:rPr>
        <w:t xml:space="preserve"> training of intervention personnel, enhancing cooperation with neighbouring countries on emergency preparedness, the coordination of the emergency preparedness plans of Slovenia and Croatia, </w:t>
      </w:r>
      <w:r w:rsidR="00C55C4B" w:rsidRPr="005A1023">
        <w:rPr>
          <w:lang w:val="en-GB"/>
        </w:rPr>
        <w:t xml:space="preserve">the </w:t>
      </w:r>
      <w:r w:rsidRPr="005A1023">
        <w:rPr>
          <w:lang w:val="en-GB"/>
        </w:rPr>
        <w:t xml:space="preserve">enhancement of </w:t>
      </w:r>
      <w:r w:rsidR="00C5169D" w:rsidRPr="005A1023">
        <w:rPr>
          <w:lang w:val="en-GB"/>
        </w:rPr>
        <w:t>the Krško NPP</w:t>
      </w:r>
      <w:r w:rsidR="00F21D56" w:rsidRPr="005A1023">
        <w:rPr>
          <w:lang w:val="en-GB"/>
        </w:rPr>
        <w:t>’</w:t>
      </w:r>
      <w:r w:rsidRPr="005A1023">
        <w:rPr>
          <w:lang w:val="en-GB"/>
        </w:rPr>
        <w:t xml:space="preserve">s exercise plan, a review of radiological monitoring in Slovenia was performed </w:t>
      </w:r>
      <w:r w:rsidR="00C55C4B" w:rsidRPr="005A1023">
        <w:rPr>
          <w:lang w:val="en-GB"/>
        </w:rPr>
        <w:t xml:space="preserve">and </w:t>
      </w:r>
      <w:r w:rsidRPr="005A1023">
        <w:rPr>
          <w:lang w:val="en-GB"/>
        </w:rPr>
        <w:t>based on these results, several improvements were suggested, which resulted in an upgrade of the monitoring system);</w:t>
      </w:r>
    </w:p>
    <w:p w14:paraId="0779FE12" w14:textId="5CD28DBB" w:rsidR="00CB3A79" w:rsidRPr="00CD2EEF" w:rsidRDefault="00CB3A79" w:rsidP="00D233EA">
      <w:pPr>
        <w:pStyle w:val="LPalineje"/>
        <w:rPr>
          <w:lang w:val="en-GB"/>
        </w:rPr>
      </w:pPr>
      <w:r w:rsidRPr="00CD2EEF">
        <w:rPr>
          <w:lang w:val="en-GB"/>
        </w:rPr>
        <w:t>special post-Fukushima inspections introduced on the topics of mobile equipment, communication during an emergency (e.g. long-term loss of the electrical power supply), protection against external hazards (floods, earthquakes)</w:t>
      </w:r>
      <w:r w:rsidR="008342C3">
        <w:rPr>
          <w:lang w:val="en-GB"/>
        </w:rPr>
        <w:t xml:space="preserve"> – </w:t>
      </w:r>
      <w:r w:rsidRPr="00CD2EEF">
        <w:rPr>
          <w:lang w:val="en-GB"/>
        </w:rPr>
        <w:t xml:space="preserve">all </w:t>
      </w:r>
      <w:r w:rsidR="00186EAC">
        <w:rPr>
          <w:lang w:val="en-GB"/>
        </w:rPr>
        <w:t xml:space="preserve">of the </w:t>
      </w:r>
      <w:r w:rsidRPr="00CD2EEF">
        <w:rPr>
          <w:lang w:val="en-GB"/>
        </w:rPr>
        <w:t xml:space="preserve">mentioned inspections </w:t>
      </w:r>
      <w:r w:rsidR="00186EAC">
        <w:rPr>
          <w:lang w:val="en-GB"/>
        </w:rPr>
        <w:t xml:space="preserve">in this </w:t>
      </w:r>
      <w:r w:rsidRPr="00CD2EEF">
        <w:rPr>
          <w:lang w:val="en-GB"/>
        </w:rPr>
        <w:t>area were implemented in 2021 and will also be carried out after the completion of the action plan in accordance with the annual inspection plans</w:t>
      </w:r>
      <w:r w:rsidR="003240B1">
        <w:rPr>
          <w:lang w:val="en-GB"/>
        </w:rPr>
        <w:t>;</w:t>
      </w:r>
    </w:p>
    <w:p w14:paraId="6E14A904" w14:textId="7225B46C" w:rsidR="00CB3A79" w:rsidRPr="00CD2EEF" w:rsidRDefault="00366372" w:rsidP="00D233EA">
      <w:pPr>
        <w:pStyle w:val="LPalineje"/>
        <w:rPr>
          <w:lang w:val="en-GB"/>
        </w:rPr>
      </w:pPr>
      <w:r>
        <w:rPr>
          <w:lang w:val="en-GB"/>
        </w:rPr>
        <w:t>a</w:t>
      </w:r>
      <w:r w:rsidR="00790624">
        <w:rPr>
          <w:lang w:val="en-GB"/>
        </w:rPr>
        <w:t xml:space="preserve">n </w:t>
      </w:r>
      <w:r w:rsidR="00CB3A79" w:rsidRPr="00CD2EEF">
        <w:rPr>
          <w:lang w:val="en-GB"/>
        </w:rPr>
        <w:t xml:space="preserve">additional deterministic accident analysis carried out with </w:t>
      </w:r>
      <w:r w:rsidR="004D1189">
        <w:rPr>
          <w:lang w:val="en-GB"/>
        </w:rPr>
        <w:t xml:space="preserve">the </w:t>
      </w:r>
      <w:r w:rsidR="00CB3A79" w:rsidRPr="003240B1">
        <w:rPr>
          <w:lang w:val="en-GB"/>
        </w:rPr>
        <w:t xml:space="preserve">computer </w:t>
      </w:r>
      <w:r w:rsidRPr="005A1023">
        <w:rPr>
          <w:lang w:val="en-GB"/>
        </w:rPr>
        <w:t>programme</w:t>
      </w:r>
      <w:r w:rsidRPr="00CD2EEF">
        <w:rPr>
          <w:lang w:val="en-GB"/>
        </w:rPr>
        <w:t xml:space="preserve"> </w:t>
      </w:r>
      <w:r w:rsidR="00CB3A79" w:rsidRPr="00CD2EEF">
        <w:rPr>
          <w:lang w:val="en-GB"/>
        </w:rPr>
        <w:t xml:space="preserve">MELCOR </w:t>
      </w:r>
      <w:r>
        <w:rPr>
          <w:lang w:val="en-GB"/>
        </w:rPr>
        <w:t>–</w:t>
      </w:r>
      <w:r w:rsidR="00CB3A79" w:rsidRPr="00CD2EEF">
        <w:rPr>
          <w:lang w:val="en-GB"/>
        </w:rPr>
        <w:t xml:space="preserve"> the action is completed, analyses with MELCOR will also be carried out in the future, as needed</w:t>
      </w:r>
      <w:r>
        <w:rPr>
          <w:lang w:val="en-GB"/>
        </w:rPr>
        <w:t>;</w:t>
      </w:r>
    </w:p>
    <w:p w14:paraId="29A4EC4D" w14:textId="544E6B01" w:rsidR="00CB3A79" w:rsidRPr="00CD2EEF" w:rsidRDefault="00366372" w:rsidP="00D233EA">
      <w:pPr>
        <w:pStyle w:val="LPalineje"/>
        <w:rPr>
          <w:lang w:val="en-GB"/>
        </w:rPr>
      </w:pPr>
      <w:r>
        <w:rPr>
          <w:lang w:val="en-GB"/>
        </w:rPr>
        <w:t xml:space="preserve">the </w:t>
      </w:r>
      <w:r w:rsidR="00CB3A79" w:rsidRPr="00CD2EEF">
        <w:rPr>
          <w:lang w:val="en-GB"/>
        </w:rPr>
        <w:t>enhanced communication of the parties involved in the nuclear industry (the power plant, technical support organisations, the regulatory body) – two conferences implemented;</w:t>
      </w:r>
    </w:p>
    <w:p w14:paraId="370A048A" w14:textId="4E4A3B38" w:rsidR="00CB3A79" w:rsidRPr="00CD2EEF" w:rsidRDefault="00CB3A79" w:rsidP="00D233EA">
      <w:pPr>
        <w:pStyle w:val="LPalineje"/>
        <w:rPr>
          <w:lang w:val="en-GB"/>
        </w:rPr>
      </w:pPr>
      <w:r w:rsidRPr="00CD2EEF">
        <w:rPr>
          <w:lang w:val="en-GB"/>
        </w:rPr>
        <w:t xml:space="preserve">education and training of </w:t>
      </w:r>
      <w:r w:rsidR="00A726E8">
        <w:rPr>
          <w:lang w:val="en-GB"/>
        </w:rPr>
        <w:t>the</w:t>
      </w:r>
      <w:r w:rsidR="00E63423">
        <w:rPr>
          <w:lang w:val="en-GB"/>
        </w:rPr>
        <w:t xml:space="preserve"> SNSA</w:t>
      </w:r>
      <w:r w:rsidRPr="00CD2EEF">
        <w:rPr>
          <w:lang w:val="en-GB"/>
        </w:rPr>
        <w:t xml:space="preserve"> staff as regards accident management and the defence</w:t>
      </w:r>
      <w:r w:rsidR="00366372">
        <w:rPr>
          <w:lang w:val="en-GB"/>
        </w:rPr>
        <w:t>-</w:t>
      </w:r>
      <w:r w:rsidRPr="00CD2EEF">
        <w:rPr>
          <w:lang w:val="en-GB"/>
        </w:rPr>
        <w:t>in</w:t>
      </w:r>
      <w:r w:rsidR="00366372">
        <w:rPr>
          <w:lang w:val="en-GB"/>
        </w:rPr>
        <w:t>-</w:t>
      </w:r>
      <w:r w:rsidRPr="00CD2EEF">
        <w:rPr>
          <w:lang w:val="en-GB"/>
        </w:rPr>
        <w:t>depth concept – the action was fully implemented</w:t>
      </w:r>
      <w:r w:rsidR="003E4F1D">
        <w:rPr>
          <w:lang w:val="en-GB"/>
        </w:rPr>
        <w:t>;</w:t>
      </w:r>
      <w:r w:rsidRPr="00CD2EEF">
        <w:rPr>
          <w:lang w:val="en-GB"/>
        </w:rPr>
        <w:t xml:space="preserve"> in 2021 refresher training of emergency analysis group members took place with a lecturer from </w:t>
      </w:r>
      <w:r w:rsidR="00A726E8">
        <w:rPr>
          <w:lang w:val="en-GB"/>
        </w:rPr>
        <w:t>the</w:t>
      </w:r>
      <w:r w:rsidR="00E63423">
        <w:rPr>
          <w:lang w:val="en-GB"/>
        </w:rPr>
        <w:t xml:space="preserve"> SNSA</w:t>
      </w:r>
      <w:r w:rsidRPr="00CD2EEF">
        <w:rPr>
          <w:lang w:val="en-GB"/>
        </w:rPr>
        <w:t xml:space="preserve">, but the training with a lecturer from </w:t>
      </w:r>
      <w:r w:rsidR="001B146F">
        <w:rPr>
          <w:lang w:val="en-GB"/>
        </w:rPr>
        <w:t>the Krško NPP</w:t>
      </w:r>
      <w:r w:rsidRPr="00CD2EEF">
        <w:rPr>
          <w:lang w:val="en-GB"/>
        </w:rPr>
        <w:t xml:space="preserve"> was postponed </w:t>
      </w:r>
      <w:r w:rsidR="00471D18">
        <w:rPr>
          <w:lang w:val="en-GB"/>
        </w:rPr>
        <w:t>until</w:t>
      </w:r>
      <w:r w:rsidR="00471D18" w:rsidRPr="00CD2EEF">
        <w:rPr>
          <w:lang w:val="en-GB"/>
        </w:rPr>
        <w:t xml:space="preserve"> </w:t>
      </w:r>
      <w:r w:rsidRPr="00CD2EEF">
        <w:rPr>
          <w:lang w:val="en-GB"/>
        </w:rPr>
        <w:t>2022 due to the pandemic;</w:t>
      </w:r>
    </w:p>
    <w:p w14:paraId="165CEF50" w14:textId="20E65062" w:rsidR="00CB3A79" w:rsidRPr="00CD2EEF" w:rsidRDefault="00CB3A79" w:rsidP="00D233EA">
      <w:pPr>
        <w:pStyle w:val="LPalineje"/>
        <w:rPr>
          <w:lang w:val="en-GB"/>
        </w:rPr>
      </w:pPr>
      <w:r w:rsidRPr="00CD2EEF">
        <w:rPr>
          <w:lang w:val="en-GB"/>
        </w:rPr>
        <w:t>the invitation of international peer review missions – three of the planned missions have been implemented thus far: the IRRS mission (</w:t>
      </w:r>
      <w:r w:rsidRPr="00CD2EEF">
        <w:rPr>
          <w:rStyle w:val="LPnavadenposevnoZnak"/>
          <w:lang w:val="en-GB"/>
        </w:rPr>
        <w:t>Integrated Regulatory Review Service</w:t>
      </w:r>
      <w:r w:rsidRPr="00CD2EEF">
        <w:rPr>
          <w:lang w:val="en-GB"/>
        </w:rPr>
        <w:t>) for the review of the regulatory infrastructure, the EPREV mission (</w:t>
      </w:r>
      <w:r w:rsidRPr="00CD2EEF">
        <w:rPr>
          <w:rStyle w:val="LPnavadenposevnoZnak"/>
          <w:lang w:val="en-GB"/>
        </w:rPr>
        <w:t>Emergency Preparedness Review</w:t>
      </w:r>
      <w:r w:rsidRPr="00CD2EEF">
        <w:rPr>
          <w:lang w:val="en-GB"/>
        </w:rPr>
        <w:t>) for the review of emergency preparedness, the OSART mission (</w:t>
      </w:r>
      <w:r w:rsidRPr="00CD2EEF">
        <w:rPr>
          <w:rStyle w:val="LPnavadenposevnoZnak"/>
          <w:lang w:val="en-GB"/>
        </w:rPr>
        <w:t>Operational Safety Review Team</w:t>
      </w:r>
      <w:r w:rsidRPr="00CD2EEF">
        <w:rPr>
          <w:lang w:val="en-GB"/>
        </w:rPr>
        <w:t>) for the review of the operational safety of the nuclear power plant</w:t>
      </w:r>
      <w:r w:rsidR="003E4F1D">
        <w:rPr>
          <w:lang w:val="en-GB"/>
        </w:rPr>
        <w:t xml:space="preserve">; the </w:t>
      </w:r>
      <w:r w:rsidRPr="00CD2EEF">
        <w:rPr>
          <w:lang w:val="en-GB"/>
        </w:rPr>
        <w:t xml:space="preserve">IRRS </w:t>
      </w:r>
      <w:r w:rsidR="003E4F1D" w:rsidRPr="00CD2EEF">
        <w:rPr>
          <w:lang w:val="en-GB"/>
        </w:rPr>
        <w:t xml:space="preserve">mission </w:t>
      </w:r>
      <w:r w:rsidR="003E4F1D">
        <w:rPr>
          <w:lang w:val="en-GB"/>
        </w:rPr>
        <w:t xml:space="preserve">and </w:t>
      </w:r>
      <w:r w:rsidRPr="00CD2EEF">
        <w:rPr>
          <w:lang w:val="en-GB"/>
        </w:rPr>
        <w:t>EPREV follow</w:t>
      </w:r>
      <w:r w:rsidR="003E4F1D">
        <w:rPr>
          <w:lang w:val="en-GB"/>
        </w:rPr>
        <w:t>-</w:t>
      </w:r>
      <w:r w:rsidRPr="00CD2EEF">
        <w:rPr>
          <w:lang w:val="en-GB"/>
        </w:rPr>
        <w:t xml:space="preserve">up mission are planned again at </w:t>
      </w:r>
      <w:r w:rsidR="00A726E8">
        <w:rPr>
          <w:lang w:val="en-GB"/>
        </w:rPr>
        <w:t>the</w:t>
      </w:r>
      <w:r w:rsidR="00E63423">
        <w:rPr>
          <w:lang w:val="en-GB"/>
        </w:rPr>
        <w:t xml:space="preserve"> SNSA</w:t>
      </w:r>
      <w:r w:rsidRPr="00CD2EEF">
        <w:rPr>
          <w:lang w:val="en-GB"/>
        </w:rPr>
        <w:t xml:space="preserve"> in 2022;</w:t>
      </w:r>
      <w:r w:rsidR="008A1E6B">
        <w:rPr>
          <w:lang w:val="en-GB"/>
        </w:rPr>
        <w:t xml:space="preserve"> </w:t>
      </w:r>
    </w:p>
    <w:p w14:paraId="065586FD" w14:textId="12A2378D" w:rsidR="00CB3A79" w:rsidRPr="00CD2EEF" w:rsidRDefault="00CB3A79" w:rsidP="00D233EA">
      <w:pPr>
        <w:pStyle w:val="LPalineje"/>
        <w:rPr>
          <w:lang w:val="en-GB"/>
        </w:rPr>
      </w:pPr>
      <w:r w:rsidRPr="00CD2EEF">
        <w:rPr>
          <w:lang w:val="en-GB"/>
        </w:rPr>
        <w:t xml:space="preserve">an upgrade of the system for data transfer between the power plant and </w:t>
      </w:r>
      <w:r w:rsidR="00A726E8">
        <w:rPr>
          <w:lang w:val="en-GB"/>
        </w:rPr>
        <w:t>the</w:t>
      </w:r>
      <w:r w:rsidR="00E63423">
        <w:rPr>
          <w:lang w:val="en-GB"/>
        </w:rPr>
        <w:t xml:space="preserve"> SNSA</w:t>
      </w:r>
      <w:r w:rsidRPr="00CD2EEF">
        <w:rPr>
          <w:lang w:val="en-GB"/>
        </w:rPr>
        <w:t xml:space="preserve"> during an emergency (ERDS – </w:t>
      </w:r>
      <w:r w:rsidRPr="00CD2EEF">
        <w:rPr>
          <w:rStyle w:val="LPnavadenposevnoZnak"/>
          <w:lang w:val="en-GB"/>
        </w:rPr>
        <w:t>Emergency Response Data System</w:t>
      </w:r>
      <w:r w:rsidRPr="00CD2EEF">
        <w:rPr>
          <w:lang w:val="en-GB"/>
        </w:rPr>
        <w:t xml:space="preserve">) – implemented; </w:t>
      </w:r>
    </w:p>
    <w:p w14:paraId="1A2850DC" w14:textId="6719881E" w:rsidR="00CB3A79" w:rsidRPr="00CD2EEF" w:rsidRDefault="00CB3A79" w:rsidP="00D233EA">
      <w:pPr>
        <w:pStyle w:val="LPalineje"/>
        <w:rPr>
          <w:lang w:val="en-GB"/>
        </w:rPr>
      </w:pPr>
      <w:r w:rsidRPr="00CD2EEF">
        <w:rPr>
          <w:lang w:val="en-GB"/>
        </w:rPr>
        <w:lastRenderedPageBreak/>
        <w:t xml:space="preserve">an upgrade of </w:t>
      </w:r>
      <w:r w:rsidR="001B146F">
        <w:rPr>
          <w:lang w:val="en-GB"/>
        </w:rPr>
        <w:t>the Krško NPP</w:t>
      </w:r>
      <w:r w:rsidR="00F21D56">
        <w:rPr>
          <w:lang w:val="en-GB"/>
        </w:rPr>
        <w:t>’</w:t>
      </w:r>
      <w:r w:rsidRPr="00CD2EEF">
        <w:rPr>
          <w:lang w:val="en-GB"/>
        </w:rPr>
        <w:t>s probabilistic safety analysis (PSA) for the shutdown states and the spent fuel pool, where the analysis of internal and external hazards is still in progress (internal flooding, fires</w:t>
      </w:r>
      <w:r w:rsidR="00471D18">
        <w:rPr>
          <w:lang w:val="en-GB"/>
        </w:rPr>
        <w:t>,</w:t>
      </w:r>
      <w:r w:rsidRPr="00CD2EEF">
        <w:rPr>
          <w:lang w:val="en-GB"/>
        </w:rPr>
        <w:t xml:space="preserve"> and earthquakes); </w:t>
      </w:r>
    </w:p>
    <w:p w14:paraId="17B2BD33" w14:textId="75D70ED8" w:rsidR="00CB3A79" w:rsidRPr="00CD2EEF" w:rsidRDefault="00CB3A79" w:rsidP="00D233EA">
      <w:pPr>
        <w:pStyle w:val="LPalineje"/>
        <w:rPr>
          <w:lang w:val="en-GB"/>
        </w:rPr>
      </w:pPr>
      <w:r w:rsidRPr="00CD2EEF">
        <w:rPr>
          <w:lang w:val="en-GB"/>
        </w:rPr>
        <w:t xml:space="preserve">a review and enhancement of </w:t>
      </w:r>
      <w:r w:rsidR="001B146F">
        <w:rPr>
          <w:lang w:val="en-GB"/>
        </w:rPr>
        <w:t>the Krško NPP</w:t>
      </w:r>
      <w:r w:rsidR="00F21D56">
        <w:rPr>
          <w:lang w:val="en-GB"/>
        </w:rPr>
        <w:t>’</w:t>
      </w:r>
      <w:r w:rsidRPr="00CD2EEF">
        <w:rPr>
          <w:lang w:val="en-GB"/>
        </w:rPr>
        <w:t xml:space="preserve">s safety culture assessment process with </w:t>
      </w:r>
      <w:r w:rsidR="003E4F1D">
        <w:rPr>
          <w:lang w:val="en-GB"/>
        </w:rPr>
        <w:t xml:space="preserve">the </w:t>
      </w:r>
      <w:r w:rsidRPr="00CD2EEF">
        <w:rPr>
          <w:lang w:val="en-GB"/>
        </w:rPr>
        <w:t xml:space="preserve">development of a process for self-assessment at </w:t>
      </w:r>
      <w:r w:rsidR="00A726E8">
        <w:rPr>
          <w:lang w:val="en-GB"/>
        </w:rPr>
        <w:t>the</w:t>
      </w:r>
      <w:r w:rsidR="00E63423">
        <w:rPr>
          <w:lang w:val="en-GB"/>
        </w:rPr>
        <w:t xml:space="preserve"> SNSA</w:t>
      </w:r>
      <w:r w:rsidRPr="00CD2EEF">
        <w:rPr>
          <w:lang w:val="en-GB"/>
        </w:rPr>
        <w:t xml:space="preserve"> – also in progress</w:t>
      </w:r>
      <w:r w:rsidR="00471D18">
        <w:rPr>
          <w:lang w:val="en-GB"/>
        </w:rPr>
        <w:t>;</w:t>
      </w:r>
      <w:r w:rsidRPr="00CD2EEF">
        <w:rPr>
          <w:lang w:val="en-GB"/>
        </w:rPr>
        <w:t xml:space="preserve"> in 2021 </w:t>
      </w:r>
      <w:r w:rsidR="003E4F1D">
        <w:rPr>
          <w:lang w:val="en-GB"/>
        </w:rPr>
        <w:t xml:space="preserve">a </w:t>
      </w:r>
      <w:r w:rsidRPr="00CD2EEF">
        <w:rPr>
          <w:lang w:val="en-GB"/>
        </w:rPr>
        <w:t>project group for safety culture assessment was formed.</w:t>
      </w:r>
    </w:p>
    <w:p w14:paraId="3F1106A0" w14:textId="2DF8EEBA" w:rsidR="00CB3A79" w:rsidRPr="00CD2EEF" w:rsidRDefault="00CB3A79" w:rsidP="00D233EA">
      <w:pPr>
        <w:pStyle w:val="LPnavaden"/>
        <w:rPr>
          <w:lang w:val="en-GB"/>
        </w:rPr>
      </w:pPr>
      <w:r w:rsidRPr="00CD2EEF">
        <w:rPr>
          <w:lang w:val="en-GB"/>
        </w:rPr>
        <w:t xml:space="preserve">Most of the above actions were implemented or are </w:t>
      </w:r>
      <w:r w:rsidR="003E4F1D">
        <w:rPr>
          <w:lang w:val="en-GB"/>
        </w:rPr>
        <w:t xml:space="preserve">a </w:t>
      </w:r>
      <w:r w:rsidRPr="00CD2EEF">
        <w:rPr>
          <w:lang w:val="en-GB"/>
        </w:rPr>
        <w:t xml:space="preserve">part of the continuous improvement process (for example, legislation is currently being revised again, to include some </w:t>
      </w:r>
      <w:r w:rsidR="003E4F1D">
        <w:rPr>
          <w:lang w:val="en-GB"/>
        </w:rPr>
        <w:t xml:space="preserve">of the </w:t>
      </w:r>
      <w:r w:rsidRPr="00CD2EEF">
        <w:rPr>
          <w:lang w:val="en-GB"/>
        </w:rPr>
        <w:t>newest IAEA design requirements; in April 2022</w:t>
      </w:r>
      <w:r w:rsidR="003E4F1D">
        <w:rPr>
          <w:lang w:val="en-GB"/>
        </w:rPr>
        <w:t>,</w:t>
      </w:r>
      <w:r w:rsidRPr="00CD2EEF">
        <w:rPr>
          <w:lang w:val="en-GB"/>
        </w:rPr>
        <w:t xml:space="preserve"> </w:t>
      </w:r>
      <w:r w:rsidR="00A726E8">
        <w:rPr>
          <w:lang w:val="en-GB"/>
        </w:rPr>
        <w:t>the</w:t>
      </w:r>
      <w:r w:rsidR="00E63423">
        <w:rPr>
          <w:lang w:val="en-GB"/>
        </w:rPr>
        <w:t xml:space="preserve"> SNSA</w:t>
      </w:r>
      <w:r w:rsidRPr="00CD2EEF">
        <w:rPr>
          <w:lang w:val="en-GB"/>
        </w:rPr>
        <w:t xml:space="preserve"> was again being reviewed by </w:t>
      </w:r>
      <w:r w:rsidR="003E4F1D">
        <w:rPr>
          <w:lang w:val="en-GB"/>
        </w:rPr>
        <w:t>an</w:t>
      </w:r>
      <w:r w:rsidR="003E4F1D" w:rsidRPr="00CD2EEF">
        <w:rPr>
          <w:lang w:val="en-GB"/>
        </w:rPr>
        <w:t xml:space="preserve"> </w:t>
      </w:r>
      <w:r w:rsidRPr="00CD2EEF">
        <w:rPr>
          <w:lang w:val="en-GB"/>
        </w:rPr>
        <w:t xml:space="preserve">IAEA IRRS mission, and </w:t>
      </w:r>
      <w:r w:rsidR="0004282D">
        <w:rPr>
          <w:lang w:val="en-GB"/>
        </w:rPr>
        <w:t>will be</w:t>
      </w:r>
      <w:r w:rsidR="0004282D" w:rsidRPr="00CD2EEF">
        <w:rPr>
          <w:lang w:val="en-GB"/>
        </w:rPr>
        <w:t xml:space="preserve"> </w:t>
      </w:r>
      <w:r w:rsidRPr="00CD2EEF">
        <w:rPr>
          <w:lang w:val="en-GB"/>
        </w:rPr>
        <w:t>again in 10 years, etc.)</w:t>
      </w:r>
      <w:r w:rsidR="0004282D">
        <w:rPr>
          <w:lang w:val="en-GB"/>
        </w:rPr>
        <w:t>.</w:t>
      </w:r>
      <w:r w:rsidRPr="00CD2EEF">
        <w:rPr>
          <w:lang w:val="en-GB"/>
        </w:rPr>
        <w:t xml:space="preserve"> There are always new ways to improve the processes that ensure and enhance nuclear and radiation safety.</w:t>
      </w:r>
    </w:p>
    <w:p w14:paraId="0B37EB57" w14:textId="41EB1A0E" w:rsidR="00CB3A79" w:rsidRPr="00CD2EEF" w:rsidRDefault="00CB3A79" w:rsidP="00D233EA">
      <w:pPr>
        <w:pStyle w:val="LPnavaden"/>
        <w:rPr>
          <w:lang w:val="en-GB"/>
        </w:rPr>
      </w:pPr>
      <w:r w:rsidRPr="00CD2EEF">
        <w:rPr>
          <w:lang w:val="en-GB"/>
        </w:rPr>
        <w:t>The final version of the Action Plan (December 2021) is published on th</w:t>
      </w:r>
      <w:r w:rsidR="0004282D">
        <w:rPr>
          <w:lang w:val="en-GB"/>
        </w:rPr>
        <w:t>is</w:t>
      </w:r>
      <w:r w:rsidRPr="00CD2EEF">
        <w:rPr>
          <w:lang w:val="en-GB"/>
        </w:rPr>
        <w:t xml:space="preserve"> </w:t>
      </w:r>
      <w:hyperlink r:id="rId29" w:history="1">
        <w:r w:rsidRPr="00CD2EEF">
          <w:rPr>
            <w:rStyle w:val="Hiperpovezava"/>
            <w:lang w:val="en-GB"/>
          </w:rPr>
          <w:t>website</w:t>
        </w:r>
      </w:hyperlink>
      <w:r w:rsidRPr="00CD2EEF">
        <w:rPr>
          <w:rStyle w:val="Hiperpovezava"/>
          <w:lang w:val="en-GB"/>
        </w:rPr>
        <w:t>.</w:t>
      </w:r>
    </w:p>
    <w:p w14:paraId="7B4C1975" w14:textId="6381ED92" w:rsidR="00CB3A79" w:rsidRPr="00CD2EEF" w:rsidRDefault="00CB3A79" w:rsidP="00FA17D0">
      <w:pPr>
        <w:pStyle w:val="LPviri"/>
        <w:rPr>
          <w:rStyle w:val="LPnavadenpoevno"/>
          <w:i w:val="0"/>
          <w:sz w:val="20"/>
          <w:lang w:val="en-GB"/>
        </w:rPr>
      </w:pPr>
      <w:r w:rsidRPr="00CD2EEF">
        <w:rPr>
          <w:lang w:val="en-GB"/>
        </w:rPr>
        <w:t>References: [</w:t>
      </w:r>
      <w:hyperlink w:anchor="r07" w:history="1">
        <w:r w:rsidRPr="00CD2EEF">
          <w:rPr>
            <w:rStyle w:val="Hiperpovezava"/>
            <w:lang w:val="en-GB"/>
          </w:rPr>
          <w:t>7</w:t>
        </w:r>
      </w:hyperlink>
      <w:r w:rsidRPr="00CD2EEF">
        <w:rPr>
          <w:lang w:val="en-GB"/>
        </w:rPr>
        <w:t>], [</w:t>
      </w:r>
      <w:hyperlink w:anchor="r08" w:history="1">
        <w:r w:rsidRPr="00CD2EEF">
          <w:rPr>
            <w:rStyle w:val="Hiperpovezava"/>
            <w:lang w:val="en-GB"/>
          </w:rPr>
          <w:t>8</w:t>
        </w:r>
      </w:hyperlink>
      <w:r w:rsidRPr="00CD2EEF">
        <w:rPr>
          <w:lang w:val="en-GB"/>
        </w:rPr>
        <w:t>], [</w:t>
      </w:r>
      <w:hyperlink w:anchor="r09" w:history="1">
        <w:r w:rsidRPr="00CD2EEF">
          <w:rPr>
            <w:rStyle w:val="Hiperpovezava"/>
            <w:lang w:val="en-GB"/>
          </w:rPr>
          <w:t>9</w:t>
        </w:r>
      </w:hyperlink>
      <w:r w:rsidRPr="00CD2EEF">
        <w:rPr>
          <w:lang w:val="en-GB"/>
        </w:rPr>
        <w:t>], [</w:t>
      </w:r>
      <w:hyperlink w:anchor="r10" w:history="1">
        <w:r w:rsidRPr="00CD2EEF">
          <w:rPr>
            <w:rStyle w:val="Hiperpovezava"/>
            <w:lang w:val="en-GB"/>
          </w:rPr>
          <w:t>10</w:t>
        </w:r>
      </w:hyperlink>
      <w:r w:rsidRPr="00CD2EEF">
        <w:rPr>
          <w:lang w:val="en-GB"/>
        </w:rPr>
        <w:t>], [</w:t>
      </w:r>
      <w:hyperlink w:anchor="r11" w:history="1">
        <w:r w:rsidRPr="00CD2EEF">
          <w:rPr>
            <w:rStyle w:val="Hiperpovezava"/>
            <w:lang w:val="en-GB"/>
          </w:rPr>
          <w:t>11</w:t>
        </w:r>
      </w:hyperlink>
      <w:r w:rsidRPr="00CD2EEF">
        <w:rPr>
          <w:lang w:val="en-GB"/>
        </w:rPr>
        <w:t>], [</w:t>
      </w:r>
      <w:hyperlink w:anchor="r12" w:history="1">
        <w:r w:rsidRPr="00CD2EEF">
          <w:rPr>
            <w:rStyle w:val="Hiperpovezava"/>
            <w:lang w:val="en-GB"/>
          </w:rPr>
          <w:t>12</w:t>
        </w:r>
      </w:hyperlink>
      <w:r w:rsidRPr="00CD2EEF">
        <w:rPr>
          <w:lang w:val="en-GB"/>
        </w:rPr>
        <w:t>], [</w:t>
      </w:r>
      <w:hyperlink w:anchor="r13" w:history="1">
        <w:r w:rsidRPr="00CD2EEF">
          <w:rPr>
            <w:rStyle w:val="Hiperpovezava"/>
            <w:lang w:val="en-GB"/>
          </w:rPr>
          <w:t>13</w:t>
        </w:r>
      </w:hyperlink>
      <w:r w:rsidRPr="00CD2EEF">
        <w:rPr>
          <w:lang w:val="en-GB"/>
        </w:rPr>
        <w:t>], [</w:t>
      </w:r>
      <w:hyperlink w:anchor="r14" w:history="1">
        <w:r w:rsidRPr="00CD2EEF">
          <w:rPr>
            <w:rStyle w:val="Hiperpovezava"/>
            <w:lang w:val="en-GB"/>
          </w:rPr>
          <w:t>14</w:t>
        </w:r>
      </w:hyperlink>
      <w:r w:rsidRPr="00CD2EEF">
        <w:rPr>
          <w:lang w:val="en-GB"/>
        </w:rPr>
        <w:t>]</w:t>
      </w:r>
    </w:p>
    <w:p w14:paraId="317987D4" w14:textId="3064E6DD" w:rsidR="00CB3A79" w:rsidRPr="00CD2EEF" w:rsidRDefault="001B146F" w:rsidP="00CB3A79">
      <w:pPr>
        <w:pStyle w:val="LPNaslov4"/>
        <w:rPr>
          <w:lang w:val="en-GB"/>
        </w:rPr>
      </w:pPr>
      <w:r>
        <w:rPr>
          <w:lang w:val="en-GB"/>
        </w:rPr>
        <w:t>The Krško NPP</w:t>
      </w:r>
      <w:r w:rsidR="00CB3A79" w:rsidRPr="00CD2EEF">
        <w:rPr>
          <w:lang w:val="en-GB"/>
        </w:rPr>
        <w:t xml:space="preserve"> Spent Fuel Dry Storag</w:t>
      </w:r>
      <w:r w:rsidR="00F4468D">
        <w:rPr>
          <w:lang w:val="en-GB"/>
        </w:rPr>
        <w:t>e</w:t>
      </w:r>
    </w:p>
    <w:p w14:paraId="1E5CA044" w14:textId="238EBB0C" w:rsidR="00CB3A79" w:rsidRPr="00CD2EEF" w:rsidRDefault="00CB3A79" w:rsidP="00FA17D0">
      <w:pPr>
        <w:pStyle w:val="LPnavaden"/>
        <w:rPr>
          <w:lang w:val="en-GB"/>
        </w:rPr>
      </w:pPr>
      <w:r w:rsidRPr="00CD2EEF">
        <w:rPr>
          <w:lang w:val="en-GB"/>
        </w:rPr>
        <w:t>In 2021, the main focus was on the procedure for approving a safety</w:t>
      </w:r>
      <w:r w:rsidR="00F4468D">
        <w:rPr>
          <w:lang w:val="en-GB"/>
        </w:rPr>
        <w:t>-</w:t>
      </w:r>
      <w:r w:rsidRPr="00CD2EEF">
        <w:rPr>
          <w:lang w:val="en-GB"/>
        </w:rPr>
        <w:t xml:space="preserve">relevant modification of </w:t>
      </w:r>
      <w:r w:rsidR="001B146F">
        <w:rPr>
          <w:lang w:val="en-GB"/>
        </w:rPr>
        <w:t>the Krško NPP</w:t>
      </w:r>
      <w:r w:rsidRPr="00CD2EEF">
        <w:rPr>
          <w:lang w:val="en-GB"/>
        </w:rPr>
        <w:t xml:space="preserve"> represented by the new storage of spent fuel in accordance with the requirements of the</w:t>
      </w:r>
      <w:r w:rsidRPr="00CD2EEF">
        <w:rPr>
          <w:rStyle w:val="LPnavadenpoevno"/>
          <w:lang w:val="en-GB"/>
        </w:rPr>
        <w:t xml:space="preserve"> Ionising Radiation and Safety Protection Act </w:t>
      </w:r>
      <w:r w:rsidRPr="005A1023">
        <w:rPr>
          <w:rStyle w:val="LPnavadenpoevno"/>
          <w:i w:val="0"/>
          <w:iCs/>
          <w:lang w:val="en-GB"/>
        </w:rPr>
        <w:t>(</w:t>
      </w:r>
      <w:r w:rsidRPr="00CD2EEF">
        <w:rPr>
          <w:lang w:val="en-GB"/>
        </w:rPr>
        <w:t>Official Gazette of the Republic of Slovenia, No</w:t>
      </w:r>
      <w:r w:rsidR="00340322">
        <w:rPr>
          <w:lang w:val="en-GB"/>
        </w:rPr>
        <w:t>s</w:t>
      </w:r>
      <w:r w:rsidRPr="00CD2EEF">
        <w:rPr>
          <w:lang w:val="en-GB"/>
        </w:rPr>
        <w:t>. 76/17, 26/19</w:t>
      </w:r>
      <w:r w:rsidR="00340322">
        <w:rPr>
          <w:lang w:val="en-GB"/>
        </w:rPr>
        <w:t>,</w:t>
      </w:r>
      <w:r w:rsidRPr="00CD2EEF">
        <w:rPr>
          <w:lang w:val="en-GB"/>
        </w:rPr>
        <w:t xml:space="preserve"> and 172/21, hereinafter: ZVISJV-1). </w:t>
      </w:r>
      <w:r w:rsidR="00666AD1">
        <w:rPr>
          <w:lang w:val="en-GB"/>
        </w:rPr>
        <w:t>There</w:t>
      </w:r>
      <w:r w:rsidR="00666AD1" w:rsidRPr="00CD2EEF">
        <w:rPr>
          <w:lang w:val="en-GB"/>
        </w:rPr>
        <w:t xml:space="preserve"> </w:t>
      </w:r>
      <w:r w:rsidRPr="00CD2EEF">
        <w:rPr>
          <w:lang w:val="en-GB"/>
        </w:rPr>
        <w:t>is an extensive licenc</w:t>
      </w:r>
      <w:r w:rsidR="00666AD1">
        <w:rPr>
          <w:lang w:val="en-GB"/>
        </w:rPr>
        <w:t>ing</w:t>
      </w:r>
      <w:r w:rsidRPr="00CD2EEF">
        <w:rPr>
          <w:lang w:val="en-GB"/>
        </w:rPr>
        <w:t xml:space="preserve"> procedure, which </w:t>
      </w:r>
      <w:r w:rsidR="00340322">
        <w:rPr>
          <w:lang w:val="en-GB"/>
        </w:rPr>
        <w:t>was</w:t>
      </w:r>
      <w:r w:rsidR="00340322" w:rsidRPr="00CD2EEF">
        <w:rPr>
          <w:lang w:val="en-GB"/>
        </w:rPr>
        <w:t xml:space="preserve"> </w:t>
      </w:r>
      <w:r w:rsidRPr="00CD2EEF">
        <w:rPr>
          <w:lang w:val="en-GB"/>
        </w:rPr>
        <w:t xml:space="preserve">not completed in 2021. </w:t>
      </w:r>
    </w:p>
    <w:p w14:paraId="627D18C8" w14:textId="338CA896" w:rsidR="00CB3A79" w:rsidRPr="00CD2EEF" w:rsidRDefault="00CB3A79" w:rsidP="00FA17D0">
      <w:pPr>
        <w:pStyle w:val="LPnavaden"/>
        <w:rPr>
          <w:lang w:val="en-GB"/>
        </w:rPr>
      </w:pPr>
      <w:r w:rsidRPr="00CD2EEF">
        <w:rPr>
          <w:lang w:val="en-GB"/>
        </w:rPr>
        <w:t xml:space="preserve">In April 2021, </w:t>
      </w:r>
      <w:r w:rsidR="001B146F">
        <w:rPr>
          <w:lang w:val="en-GB"/>
        </w:rPr>
        <w:t>the Krško NPP</w:t>
      </w:r>
      <w:r w:rsidRPr="00CD2EEF">
        <w:rPr>
          <w:lang w:val="en-GB"/>
        </w:rPr>
        <w:t xml:space="preserve"> started the construction of a dry storage building on the basis of the issued building permit for the dry storage facility of spent fuel and </w:t>
      </w:r>
      <w:r w:rsidR="00A726E8">
        <w:rPr>
          <w:lang w:val="en-GB"/>
        </w:rPr>
        <w:t>the</w:t>
      </w:r>
      <w:r w:rsidR="00E63423">
        <w:rPr>
          <w:lang w:val="en-GB"/>
        </w:rPr>
        <w:t xml:space="preserve"> SNSA</w:t>
      </w:r>
      <w:r w:rsidRPr="00CD2EEF">
        <w:rPr>
          <w:lang w:val="en-GB"/>
        </w:rPr>
        <w:t xml:space="preserve"> provisional decision. The process of obtaining a permit to operate the storage ha</w:t>
      </w:r>
      <w:r w:rsidR="00121EF4">
        <w:rPr>
          <w:lang w:val="en-GB"/>
        </w:rPr>
        <w:t>d</w:t>
      </w:r>
      <w:r w:rsidRPr="00CD2EEF">
        <w:rPr>
          <w:lang w:val="en-GB"/>
        </w:rPr>
        <w:t xml:space="preserve"> not yet been completed by the end of 2021. </w:t>
      </w:r>
    </w:p>
    <w:p w14:paraId="742CA6D1" w14:textId="5E60803D" w:rsidR="00CB3A79" w:rsidRPr="00CD2EEF" w:rsidRDefault="00CB3A79" w:rsidP="00FA17D0">
      <w:pPr>
        <w:pStyle w:val="LPnavaden"/>
        <w:rPr>
          <w:lang w:val="en-GB"/>
        </w:rPr>
      </w:pPr>
      <w:r w:rsidRPr="00CD2EEF">
        <w:rPr>
          <w:lang w:val="en-GB"/>
        </w:rPr>
        <w:t>The construction of the dry spent fuel storage is expected to be completed in 2022</w:t>
      </w:r>
      <w:r w:rsidR="00121EF4">
        <w:rPr>
          <w:lang w:val="en-GB"/>
        </w:rPr>
        <w:t xml:space="preserve">; </w:t>
      </w:r>
      <w:r w:rsidRPr="00CD2EEF">
        <w:rPr>
          <w:lang w:val="en-GB"/>
        </w:rPr>
        <w:t xml:space="preserve">the first transfer of spent fuel elements from the spent fuel pool to </w:t>
      </w:r>
      <w:r w:rsidR="00340322">
        <w:rPr>
          <w:lang w:val="en-GB"/>
        </w:rPr>
        <w:t>the</w:t>
      </w:r>
      <w:r w:rsidR="00340322" w:rsidRPr="00CD2EEF">
        <w:rPr>
          <w:lang w:val="en-GB"/>
        </w:rPr>
        <w:t xml:space="preserve"> </w:t>
      </w:r>
      <w:r w:rsidRPr="00CD2EEF">
        <w:rPr>
          <w:lang w:val="en-GB"/>
        </w:rPr>
        <w:t>dry spent fuel storage facility is planned for 2023.</w:t>
      </w:r>
    </w:p>
    <w:p w14:paraId="70088AEC" w14:textId="0B2B7F53" w:rsidR="00CB3A79" w:rsidRPr="006D28FB" w:rsidRDefault="00CB3A79" w:rsidP="00CB3A79">
      <w:pPr>
        <w:pStyle w:val="LPNaslov4"/>
        <w:rPr>
          <w:lang w:val="en-GB"/>
        </w:rPr>
      </w:pPr>
      <w:r w:rsidRPr="00CD2EEF">
        <w:rPr>
          <w:lang w:val="en-GB"/>
        </w:rPr>
        <w:t xml:space="preserve">Long-term </w:t>
      </w:r>
      <w:r w:rsidR="002D5FFC">
        <w:rPr>
          <w:lang w:val="en-GB"/>
        </w:rPr>
        <w:t>O</w:t>
      </w:r>
      <w:r w:rsidRPr="00CD2EEF">
        <w:rPr>
          <w:lang w:val="en-GB"/>
        </w:rPr>
        <w:t xml:space="preserve">peration of </w:t>
      </w:r>
      <w:r w:rsidR="00C5169D">
        <w:rPr>
          <w:lang w:val="en-GB"/>
        </w:rPr>
        <w:t>the Krško NPP</w:t>
      </w:r>
      <w:r w:rsidRPr="00CD2EEF">
        <w:rPr>
          <w:lang w:val="en-GB"/>
        </w:rPr>
        <w:t xml:space="preserve"> </w:t>
      </w:r>
      <w:r w:rsidRPr="006D28FB">
        <w:rPr>
          <w:lang w:val="en-GB"/>
        </w:rPr>
        <w:t>(2023</w:t>
      </w:r>
      <w:r w:rsidR="00C53F99" w:rsidRPr="006D28FB">
        <w:rPr>
          <w:lang w:val="en-GB"/>
        </w:rPr>
        <w:t>–</w:t>
      </w:r>
      <w:r w:rsidRPr="006D28FB">
        <w:rPr>
          <w:lang w:val="en-GB"/>
        </w:rPr>
        <w:t>2043)</w:t>
      </w:r>
    </w:p>
    <w:p w14:paraId="12C66843" w14:textId="341CC07B" w:rsidR="00CB3A79" w:rsidRPr="00CD2EEF" w:rsidRDefault="00CB3A79" w:rsidP="004C6C04">
      <w:pPr>
        <w:pStyle w:val="LPnavaden"/>
        <w:rPr>
          <w:lang w:val="en-GB"/>
        </w:rPr>
      </w:pPr>
      <w:r w:rsidRPr="00CD2EEF">
        <w:rPr>
          <w:lang w:val="en-GB"/>
        </w:rPr>
        <w:t xml:space="preserve">In 1983, </w:t>
      </w:r>
      <w:r w:rsidR="001B146F">
        <w:rPr>
          <w:lang w:val="en-GB"/>
        </w:rPr>
        <w:t>the Krško NPP</w:t>
      </w:r>
      <w:r w:rsidRPr="00CD2EEF">
        <w:rPr>
          <w:lang w:val="en-GB"/>
        </w:rPr>
        <w:t xml:space="preserve"> obtained a permit for regular operation and began commercial operation. At the time of construction, the facility was expected to operate for 40 years. </w:t>
      </w:r>
      <w:r w:rsidR="009957BB">
        <w:rPr>
          <w:lang w:val="en-GB"/>
        </w:rPr>
        <w:t>Subsequently</w:t>
      </w:r>
      <w:r w:rsidRPr="00CD2EEF">
        <w:rPr>
          <w:lang w:val="en-GB"/>
        </w:rPr>
        <w:t xml:space="preserve">, during this period, many safety and other upgrades of the power plant were carried out, and from various analyses that were made during this time </w:t>
      </w:r>
      <w:r w:rsidR="009957BB">
        <w:rPr>
          <w:lang w:val="en-GB"/>
        </w:rPr>
        <w:t>there</w:t>
      </w:r>
      <w:r w:rsidR="009957BB" w:rsidRPr="00CD2EEF">
        <w:rPr>
          <w:lang w:val="en-GB"/>
        </w:rPr>
        <w:t xml:space="preserve"> </w:t>
      </w:r>
      <w:r w:rsidRPr="00CD2EEF">
        <w:rPr>
          <w:lang w:val="en-GB"/>
        </w:rPr>
        <w:t xml:space="preserve">follows the possibility of extending the operating life of the NPP, taking into account </w:t>
      </w:r>
      <w:r w:rsidR="0075133E">
        <w:rPr>
          <w:lang w:val="en-GB"/>
        </w:rPr>
        <w:t xml:space="preserve">the </w:t>
      </w:r>
      <w:r w:rsidRPr="00CD2EEF">
        <w:rPr>
          <w:lang w:val="en-GB"/>
        </w:rPr>
        <w:t>aspects of energy needs, climate change</w:t>
      </w:r>
      <w:r w:rsidR="0075133E">
        <w:rPr>
          <w:lang w:val="en-GB"/>
        </w:rPr>
        <w:t>,</w:t>
      </w:r>
      <w:r w:rsidRPr="00CD2EEF">
        <w:rPr>
          <w:lang w:val="en-GB"/>
        </w:rPr>
        <w:t xml:space="preserve"> and economics, as well as established solutions also elsewhere in the world. Slovenia (GEN energija) and Croatia (HEP) are the owners of </w:t>
      </w:r>
      <w:r w:rsidR="001B146F">
        <w:rPr>
          <w:lang w:val="en-GB"/>
        </w:rPr>
        <w:t>the Krško NPP</w:t>
      </w:r>
      <w:r w:rsidRPr="00CD2EEF">
        <w:rPr>
          <w:lang w:val="en-GB"/>
        </w:rPr>
        <w:t xml:space="preserve"> on the basis of the </w:t>
      </w:r>
      <w:r w:rsidRPr="00CD2EEF">
        <w:rPr>
          <w:rStyle w:val="LPnavadenpoevno"/>
          <w:lang w:val="en-GB"/>
        </w:rPr>
        <w:t xml:space="preserve">Treaty between the Government of the Republic of Slovenia and the </w:t>
      </w:r>
      <w:r w:rsidR="0075133E">
        <w:rPr>
          <w:rStyle w:val="LPnavadenpoevno"/>
          <w:lang w:val="en-GB"/>
        </w:rPr>
        <w:t>G</w:t>
      </w:r>
      <w:r w:rsidR="0075133E" w:rsidRPr="00CD2EEF">
        <w:rPr>
          <w:rStyle w:val="LPnavadenpoevno"/>
          <w:lang w:val="en-GB"/>
        </w:rPr>
        <w:t xml:space="preserve">overnment </w:t>
      </w:r>
      <w:r w:rsidRPr="00CD2EEF">
        <w:rPr>
          <w:rStyle w:val="LPnavadenpoevno"/>
          <w:lang w:val="en-GB"/>
        </w:rPr>
        <w:t>of the Republic of Croatia on the regulation of the status and other legal relations regarding investment</w:t>
      </w:r>
      <w:r w:rsidR="0075133E">
        <w:rPr>
          <w:rStyle w:val="LPnavadenpoevno"/>
          <w:lang w:val="en-GB"/>
        </w:rPr>
        <w:t xml:space="preserve"> in</w:t>
      </w:r>
      <w:r w:rsidRPr="00CD2EEF">
        <w:rPr>
          <w:rStyle w:val="LPnavadenpoevno"/>
          <w:lang w:val="en-GB"/>
        </w:rPr>
        <w:t xml:space="preserve">, </w:t>
      </w:r>
      <w:r w:rsidR="0075133E">
        <w:rPr>
          <w:rStyle w:val="LPnavadenpoevno"/>
          <w:lang w:val="en-GB"/>
        </w:rPr>
        <w:t xml:space="preserve">and the </w:t>
      </w:r>
      <w:r w:rsidRPr="00CD2EEF">
        <w:rPr>
          <w:rStyle w:val="LPnavadenpoevno"/>
          <w:lang w:val="en-GB"/>
        </w:rPr>
        <w:t>exploitation and decommissioning of the Krško Nuclear Plant</w:t>
      </w:r>
      <w:r w:rsidRPr="00CD2EEF">
        <w:rPr>
          <w:lang w:val="en-GB"/>
        </w:rPr>
        <w:t xml:space="preserve"> (Official Gazette of the Republic of Slovenia, </w:t>
      </w:r>
      <w:r w:rsidR="00074AFC">
        <w:rPr>
          <w:lang w:val="en-GB"/>
        </w:rPr>
        <w:t>No.</w:t>
      </w:r>
      <w:r w:rsidRPr="00CD2EEF">
        <w:rPr>
          <w:lang w:val="en-GB"/>
        </w:rPr>
        <w:t xml:space="preserve"> 5/03</w:t>
      </w:r>
      <w:r w:rsidR="008342C3">
        <w:rPr>
          <w:lang w:val="en-GB"/>
        </w:rPr>
        <w:t xml:space="preserve"> – </w:t>
      </w:r>
      <w:r w:rsidRPr="00CD2EEF">
        <w:rPr>
          <w:lang w:val="en-GB"/>
        </w:rPr>
        <w:t xml:space="preserve">International </w:t>
      </w:r>
      <w:r w:rsidR="0075133E">
        <w:rPr>
          <w:lang w:val="en-GB"/>
        </w:rPr>
        <w:t>T</w:t>
      </w:r>
      <w:r w:rsidRPr="00CD2EEF">
        <w:rPr>
          <w:lang w:val="en-GB"/>
        </w:rPr>
        <w:t xml:space="preserve">reaties), which regulates status issues related to </w:t>
      </w:r>
      <w:r w:rsidR="001B146F">
        <w:rPr>
          <w:lang w:val="en-GB"/>
        </w:rPr>
        <w:t>the Krško NPP</w:t>
      </w:r>
      <w:r w:rsidRPr="00CD2EEF">
        <w:rPr>
          <w:lang w:val="en-GB"/>
        </w:rPr>
        <w:t xml:space="preserve">, supported the extension of </w:t>
      </w:r>
      <w:r w:rsidR="001B146F">
        <w:rPr>
          <w:lang w:val="en-GB"/>
        </w:rPr>
        <w:t>the Krško NPP</w:t>
      </w:r>
      <w:r w:rsidR="00F21D56">
        <w:rPr>
          <w:lang w:val="en-GB"/>
        </w:rPr>
        <w:t>’</w:t>
      </w:r>
      <w:r w:rsidRPr="00CD2EEF">
        <w:rPr>
          <w:lang w:val="en-GB"/>
        </w:rPr>
        <w:t>s operating period until 2043.</w:t>
      </w:r>
    </w:p>
    <w:p w14:paraId="609A94CD" w14:textId="2DB662AF" w:rsidR="00CB3A79" w:rsidRPr="00CD2EEF" w:rsidRDefault="0051678E" w:rsidP="004C6C04">
      <w:pPr>
        <w:pStyle w:val="LPnavaden"/>
        <w:rPr>
          <w:lang w:val="en-GB"/>
        </w:rPr>
      </w:pPr>
      <w:r>
        <w:rPr>
          <w:lang w:val="en-GB"/>
        </w:rPr>
        <w:t>Hitherto</w:t>
      </w:r>
      <w:r w:rsidR="00CB3A79" w:rsidRPr="00CD2EEF">
        <w:rPr>
          <w:lang w:val="en-GB"/>
        </w:rPr>
        <w:t xml:space="preserve">, some of the necessary technical prerequisites for the long-term operation of the NPP have already been implemented. In 2012, </w:t>
      </w:r>
      <w:r w:rsidR="00A726E8">
        <w:rPr>
          <w:lang w:val="en-GB"/>
        </w:rPr>
        <w:t>the</w:t>
      </w:r>
      <w:r w:rsidR="00E63423">
        <w:rPr>
          <w:lang w:val="en-GB"/>
        </w:rPr>
        <w:t xml:space="preserve"> SNSA</w:t>
      </w:r>
      <w:r w:rsidR="00CB3A79" w:rsidRPr="00CD2EEF">
        <w:rPr>
          <w:lang w:val="en-GB"/>
        </w:rPr>
        <w:t xml:space="preserve"> issued decisions </w:t>
      </w:r>
      <w:r w:rsidR="00074AFC">
        <w:rPr>
          <w:lang w:val="en-GB"/>
        </w:rPr>
        <w:t>No.</w:t>
      </w:r>
      <w:r w:rsidR="00CB3A79" w:rsidRPr="00CD2EEF">
        <w:rPr>
          <w:lang w:val="en-GB"/>
        </w:rPr>
        <w:t xml:space="preserve"> 3570-6/2009/28 and </w:t>
      </w:r>
      <w:r w:rsidR="00074AFC">
        <w:rPr>
          <w:lang w:val="en-GB"/>
        </w:rPr>
        <w:t>No.</w:t>
      </w:r>
      <w:r w:rsidR="00CB3A79" w:rsidRPr="00CD2EEF">
        <w:rPr>
          <w:lang w:val="en-GB"/>
        </w:rPr>
        <w:t xml:space="preserve"> 3570-6/2009/32, which approved the necessary changes to </w:t>
      </w:r>
      <w:r w:rsidR="001B146F">
        <w:rPr>
          <w:lang w:val="en-GB"/>
        </w:rPr>
        <w:t>the Krško NPP</w:t>
      </w:r>
      <w:r w:rsidR="00CB3A79" w:rsidRPr="00CD2EEF">
        <w:rPr>
          <w:lang w:val="en-GB"/>
        </w:rPr>
        <w:t xml:space="preserve"> Safety Report and related documentation, which until then limited the operating period to 40 years. The approved changes now enable the operation of the NPP for a further 20 years, i.e. a total of 60 years, subject </w:t>
      </w:r>
      <w:r w:rsidR="00CB3A79" w:rsidRPr="00CD2EEF">
        <w:rPr>
          <w:lang w:val="en-GB"/>
        </w:rPr>
        <w:lastRenderedPageBreak/>
        <w:t xml:space="preserve">to the successful completion of </w:t>
      </w:r>
      <w:r w:rsidR="00900D80" w:rsidRPr="005A1023">
        <w:rPr>
          <w:lang w:val="en-GB"/>
        </w:rPr>
        <w:t xml:space="preserve">the </w:t>
      </w:r>
      <w:r w:rsidR="00DF53AC" w:rsidRPr="005A1023">
        <w:rPr>
          <w:lang w:val="en-GB"/>
        </w:rPr>
        <w:t xml:space="preserve">ten-year </w:t>
      </w:r>
      <w:r w:rsidR="00CB3A79" w:rsidRPr="005A1023">
        <w:rPr>
          <w:lang w:val="en-GB"/>
        </w:rPr>
        <w:t>Safety Review, the</w:t>
      </w:r>
      <w:r w:rsidR="00CB3A79" w:rsidRPr="00CD2EEF">
        <w:rPr>
          <w:lang w:val="en-GB"/>
        </w:rPr>
        <w:t xml:space="preserve"> next one in 2023 (see </w:t>
      </w:r>
      <w:hyperlink w:anchor="ch2111" w:history="1">
        <w:r w:rsidR="001C6FAB" w:rsidRPr="00CD2EEF">
          <w:rPr>
            <w:rStyle w:val="Hiperpovezava"/>
            <w:lang w:val="en-GB"/>
          </w:rPr>
          <w:t>C</w:t>
        </w:r>
        <w:r w:rsidR="00CB3A79" w:rsidRPr="00CD2EEF">
          <w:rPr>
            <w:rStyle w:val="Hiperpovezava"/>
            <w:lang w:val="en-GB"/>
          </w:rPr>
          <w:t>hapter 2.1.1.1</w:t>
        </w:r>
      </w:hyperlink>
      <w:r w:rsidR="00CB3A79" w:rsidRPr="00CD2EEF">
        <w:rPr>
          <w:lang w:val="en-GB"/>
        </w:rPr>
        <w:t>).</w:t>
      </w:r>
    </w:p>
    <w:p w14:paraId="254B5ABC" w14:textId="576A6489" w:rsidR="00CB3A79" w:rsidRPr="00CD2EEF" w:rsidRDefault="00CB3A79" w:rsidP="004C6C04">
      <w:pPr>
        <w:pStyle w:val="LPnavaden"/>
        <w:rPr>
          <w:lang w:val="en-GB"/>
        </w:rPr>
      </w:pPr>
      <w:r w:rsidRPr="00CD2EEF">
        <w:rPr>
          <w:lang w:val="en-GB"/>
        </w:rPr>
        <w:t xml:space="preserve">For extended operation from 2023 to 2043, </w:t>
      </w:r>
      <w:r w:rsidR="001B146F">
        <w:rPr>
          <w:lang w:val="en-GB"/>
        </w:rPr>
        <w:t>the Krško NPP</w:t>
      </w:r>
      <w:r w:rsidRPr="00CD2EEF">
        <w:rPr>
          <w:lang w:val="en-GB"/>
        </w:rPr>
        <w:t xml:space="preserve"> must obtain an environmental protection consent (OVS). The process of obtaining </w:t>
      </w:r>
      <w:r w:rsidR="00DF53AC">
        <w:rPr>
          <w:lang w:val="en-GB"/>
        </w:rPr>
        <w:t xml:space="preserve">an </w:t>
      </w:r>
      <w:r w:rsidRPr="00CD2EEF">
        <w:rPr>
          <w:lang w:val="en-GB"/>
        </w:rPr>
        <w:t xml:space="preserve">OVS is led by the Ministry of the Environment and Spatial Planning (MESP) and takes place in accordance with the </w:t>
      </w:r>
      <w:r w:rsidRPr="00CD2EEF">
        <w:rPr>
          <w:rStyle w:val="LPnavadenpoevno"/>
          <w:lang w:val="en-GB"/>
        </w:rPr>
        <w:t>Environmental Protection Act</w:t>
      </w:r>
      <w:r w:rsidRPr="00CD2EEF">
        <w:rPr>
          <w:lang w:val="en-GB"/>
        </w:rPr>
        <w:t xml:space="preserve"> (ZVO 1, </w:t>
      </w:r>
      <w:r w:rsidRPr="005A1023">
        <w:rPr>
          <w:lang w:val="en-GB"/>
        </w:rPr>
        <w:t xml:space="preserve">Official </w:t>
      </w:r>
      <w:r w:rsidR="00DF53AC" w:rsidRPr="005A1023">
        <w:rPr>
          <w:lang w:val="en-GB"/>
        </w:rPr>
        <w:t xml:space="preserve">Gazette </w:t>
      </w:r>
      <w:r w:rsidRPr="005A1023">
        <w:rPr>
          <w:lang w:val="en-GB"/>
        </w:rPr>
        <w:t>of</w:t>
      </w:r>
      <w:r w:rsidRPr="00CD2EEF">
        <w:rPr>
          <w:lang w:val="en-GB"/>
        </w:rPr>
        <w:t xml:space="preserve"> the RS, </w:t>
      </w:r>
      <w:r w:rsidR="00074AFC">
        <w:rPr>
          <w:lang w:val="en-GB"/>
        </w:rPr>
        <w:t>No</w:t>
      </w:r>
      <w:r w:rsidR="00DF53AC">
        <w:rPr>
          <w:lang w:val="en-GB"/>
        </w:rPr>
        <w:t>s</w:t>
      </w:r>
      <w:r w:rsidR="00074AFC">
        <w:rPr>
          <w:lang w:val="en-GB"/>
        </w:rPr>
        <w:t>.</w:t>
      </w:r>
      <w:r w:rsidRPr="00CD2EEF">
        <w:rPr>
          <w:lang w:val="en-GB"/>
        </w:rPr>
        <w:t xml:space="preserve"> 39/06, 49/06</w:t>
      </w:r>
      <w:r w:rsidR="008342C3">
        <w:rPr>
          <w:lang w:val="en-GB"/>
        </w:rPr>
        <w:t xml:space="preserve"> – </w:t>
      </w:r>
      <w:r w:rsidRPr="00CD2EEF">
        <w:rPr>
          <w:lang w:val="en-GB"/>
        </w:rPr>
        <w:t>ZMetD, 66/06</w:t>
      </w:r>
      <w:r w:rsidR="008342C3">
        <w:rPr>
          <w:lang w:val="en-GB"/>
        </w:rPr>
        <w:t xml:space="preserve"> – </w:t>
      </w:r>
      <w:r w:rsidRPr="00CD2EEF">
        <w:rPr>
          <w:lang w:val="en-GB"/>
        </w:rPr>
        <w:t>odl. US, 33/07 – ZPPlan, 57/08 – ZFO-1A, 70/08, 108/09, 108/09 – ZPPlan-A, 48/12, 57/12, 92/13, 56/15, 102/15, 30/16, 61/17 – GZ, 21/18 – ZNOrg, 84/18 – ZIURKOE</w:t>
      </w:r>
      <w:r w:rsidR="00900D80">
        <w:rPr>
          <w:lang w:val="en-GB"/>
        </w:rPr>
        <w:t>,</w:t>
      </w:r>
      <w:r w:rsidRPr="00CD2EEF">
        <w:rPr>
          <w:lang w:val="en-GB"/>
        </w:rPr>
        <w:t xml:space="preserve"> and 158/20).</w:t>
      </w:r>
    </w:p>
    <w:p w14:paraId="56E4A51A" w14:textId="270A30DC" w:rsidR="00CB3A79" w:rsidRPr="00CD2EEF" w:rsidRDefault="00CB3A79" w:rsidP="004C6C04">
      <w:pPr>
        <w:pStyle w:val="LPnavaden"/>
        <w:rPr>
          <w:lang w:val="en-GB"/>
        </w:rPr>
      </w:pPr>
      <w:r w:rsidRPr="00CD2EEF">
        <w:rPr>
          <w:lang w:val="en-GB"/>
        </w:rPr>
        <w:t xml:space="preserve">In October 2021, </w:t>
      </w:r>
      <w:r w:rsidR="00C5169D">
        <w:rPr>
          <w:lang w:val="en-GB"/>
        </w:rPr>
        <w:t>the Krško NPP</w:t>
      </w:r>
      <w:r w:rsidRPr="00CD2EEF">
        <w:rPr>
          <w:lang w:val="en-GB"/>
        </w:rPr>
        <w:t xml:space="preserve"> applied to the MESP for an Environmental Consent for the project: </w:t>
      </w:r>
      <w:r w:rsidR="00882592">
        <w:rPr>
          <w:lang w:val="en-GB"/>
        </w:rPr>
        <w:t>l</w:t>
      </w:r>
      <w:r w:rsidRPr="00CD2EEF">
        <w:rPr>
          <w:lang w:val="en-GB"/>
        </w:rPr>
        <w:t>ong-term operation from 40 to 60 years</w:t>
      </w:r>
      <w:r w:rsidR="00E63423">
        <w:rPr>
          <w:lang w:val="en-GB"/>
        </w:rPr>
        <w:t>. The SNSA</w:t>
      </w:r>
      <w:r w:rsidRPr="00CD2EEF">
        <w:rPr>
          <w:lang w:val="en-GB"/>
        </w:rPr>
        <w:t xml:space="preserve"> is included in the procedure as an opinion giver</w:t>
      </w:r>
      <w:r w:rsidR="00C3313B">
        <w:rPr>
          <w:lang w:val="en-GB"/>
        </w:rPr>
        <w:t>,</w:t>
      </w:r>
      <w:r w:rsidRPr="00CD2EEF">
        <w:rPr>
          <w:lang w:val="en-GB"/>
        </w:rPr>
        <w:t xml:space="preserve"> and gave a positive opinion on the intended intervention in accordance with the legislative requirements under Article 52 of ZVO-1.</w:t>
      </w:r>
    </w:p>
    <w:p w14:paraId="1C9EC93D" w14:textId="77777777" w:rsidR="00CB3A79" w:rsidRPr="00CD2EEF" w:rsidRDefault="00CB3A79" w:rsidP="004C6C04">
      <w:pPr>
        <w:pStyle w:val="LPnavaden"/>
        <w:rPr>
          <w:lang w:val="en-GB"/>
        </w:rPr>
      </w:pPr>
      <w:r w:rsidRPr="00CD2EEF">
        <w:rPr>
          <w:lang w:val="en-GB"/>
        </w:rPr>
        <w:t>The next step in the process is, according to the provisions of the Aarhus and Espoo Conventions, public disclosure and cross-border assessment, which began to take place in the first half of 2022.</w:t>
      </w:r>
    </w:p>
    <w:p w14:paraId="129AE721" w14:textId="4D011D32" w:rsidR="00CB3A79" w:rsidRPr="00CD2EEF" w:rsidRDefault="00C3313B" w:rsidP="00CB3A79">
      <w:pPr>
        <w:pStyle w:val="LPNaslov4"/>
        <w:rPr>
          <w:lang w:val="en-GB"/>
        </w:rPr>
      </w:pPr>
      <w:r>
        <w:rPr>
          <w:lang w:val="en-GB"/>
        </w:rPr>
        <w:t xml:space="preserve">The </w:t>
      </w:r>
      <w:r w:rsidR="00CB3A79" w:rsidRPr="00CD2EEF">
        <w:rPr>
          <w:lang w:val="en-GB"/>
        </w:rPr>
        <w:t xml:space="preserve">Pre-SALTO Mission to </w:t>
      </w:r>
      <w:r w:rsidR="00C5169D">
        <w:rPr>
          <w:lang w:val="en-GB"/>
        </w:rPr>
        <w:t>the Krško NPP</w:t>
      </w:r>
    </w:p>
    <w:p w14:paraId="1A1A17B8" w14:textId="74069AB8" w:rsidR="007C478E" w:rsidRPr="00CD2EEF" w:rsidRDefault="007C478E" w:rsidP="007C478E">
      <w:pPr>
        <w:pStyle w:val="LPnavaden"/>
        <w:rPr>
          <w:lang w:val="en-GB"/>
        </w:rPr>
      </w:pPr>
      <w:r w:rsidRPr="00CD2EEF">
        <w:rPr>
          <w:lang w:val="en-GB"/>
        </w:rPr>
        <w:t>Slovenia invited the IAEA pre-SALTO (</w:t>
      </w:r>
      <w:r w:rsidRPr="00CD2EEF">
        <w:rPr>
          <w:rStyle w:val="LPnavadenposevnoZnak"/>
          <w:lang w:val="en-GB"/>
        </w:rPr>
        <w:t>Safety Aspects of Long</w:t>
      </w:r>
      <w:r w:rsidR="007F5EBF">
        <w:rPr>
          <w:rStyle w:val="LPnavadenposevnoZnak"/>
          <w:lang w:val="en-GB"/>
        </w:rPr>
        <w:t>-</w:t>
      </w:r>
      <w:r w:rsidRPr="00CD2EEF">
        <w:rPr>
          <w:rStyle w:val="LPnavadenposevnoZnak"/>
          <w:lang w:val="en-GB"/>
        </w:rPr>
        <w:t>Term Operation</w:t>
      </w:r>
      <w:r w:rsidRPr="00CD2EEF">
        <w:rPr>
          <w:lang w:val="en-GB"/>
        </w:rPr>
        <w:t xml:space="preserve">) mission prior to the beginning of </w:t>
      </w:r>
      <w:r w:rsidR="001B146F">
        <w:rPr>
          <w:lang w:val="en-GB"/>
        </w:rPr>
        <w:t>the Krško NPP</w:t>
      </w:r>
      <w:r w:rsidR="00F21D56">
        <w:rPr>
          <w:lang w:val="en-GB"/>
        </w:rPr>
        <w:t>’</w:t>
      </w:r>
      <w:r w:rsidRPr="00CD2EEF">
        <w:rPr>
          <w:lang w:val="en-GB"/>
        </w:rPr>
        <w:t xml:space="preserve">s long-term operation in order to verify the quality and adequacy of the </w:t>
      </w:r>
      <w:r w:rsidR="00377F35" w:rsidRPr="005A1023">
        <w:rPr>
          <w:lang w:val="en-GB"/>
        </w:rPr>
        <w:t xml:space="preserve">Ageing Management Programme </w:t>
      </w:r>
      <w:r w:rsidRPr="005A1023">
        <w:rPr>
          <w:lang w:val="en-GB"/>
        </w:rPr>
        <w:t>with</w:t>
      </w:r>
      <w:r w:rsidRPr="00CD2EEF">
        <w:rPr>
          <w:lang w:val="en-GB"/>
        </w:rPr>
        <w:t xml:space="preserve"> </w:t>
      </w:r>
      <w:r w:rsidR="00C3313B">
        <w:rPr>
          <w:lang w:val="en-GB"/>
        </w:rPr>
        <w:t xml:space="preserve">the </w:t>
      </w:r>
      <w:r w:rsidRPr="00CD2EEF">
        <w:rPr>
          <w:lang w:val="en-GB"/>
        </w:rPr>
        <w:t xml:space="preserve">subject programmes and procedures of </w:t>
      </w:r>
      <w:r w:rsidR="001B146F">
        <w:rPr>
          <w:lang w:val="en-GB"/>
        </w:rPr>
        <w:t>the Krško NPP</w:t>
      </w:r>
      <w:r w:rsidRPr="00CD2EEF">
        <w:rPr>
          <w:lang w:val="en-GB"/>
        </w:rPr>
        <w:t xml:space="preserve">, </w:t>
      </w:r>
      <w:r w:rsidR="00C3313B">
        <w:rPr>
          <w:lang w:val="en-GB"/>
        </w:rPr>
        <w:t>as</w:t>
      </w:r>
      <w:r w:rsidR="00C3313B" w:rsidRPr="00CD2EEF">
        <w:rPr>
          <w:lang w:val="en-GB"/>
        </w:rPr>
        <w:t xml:space="preserve"> </w:t>
      </w:r>
      <w:r w:rsidRPr="00CD2EEF">
        <w:rPr>
          <w:lang w:val="en-GB"/>
        </w:rPr>
        <w:t xml:space="preserve">these are </w:t>
      </w:r>
      <w:r w:rsidR="00C3313B">
        <w:rPr>
          <w:lang w:val="en-GB"/>
        </w:rPr>
        <w:t xml:space="preserve">the </w:t>
      </w:r>
      <w:r w:rsidRPr="00CD2EEF">
        <w:rPr>
          <w:lang w:val="en-GB"/>
        </w:rPr>
        <w:t>key factors for safe long-term operation.</w:t>
      </w:r>
    </w:p>
    <w:p w14:paraId="760CA73C" w14:textId="098E62AF" w:rsidR="007C478E" w:rsidRPr="00CD2EEF" w:rsidRDefault="007C478E" w:rsidP="007C478E">
      <w:pPr>
        <w:pStyle w:val="LPnavaden"/>
        <w:rPr>
          <w:lang w:val="en-GB"/>
        </w:rPr>
      </w:pPr>
      <w:r w:rsidRPr="00CD2EEF">
        <w:rPr>
          <w:lang w:val="en-GB"/>
        </w:rPr>
        <w:t xml:space="preserve">Prior to the pre-SALTO mission, </w:t>
      </w:r>
      <w:r w:rsidR="001B146F">
        <w:rPr>
          <w:lang w:val="en-GB"/>
        </w:rPr>
        <w:t>the Krško NPP</w:t>
      </w:r>
      <w:r w:rsidRPr="00CD2EEF">
        <w:rPr>
          <w:lang w:val="en-GB"/>
        </w:rPr>
        <w:t xml:space="preserve"> carried out some additional activities in the frame</w:t>
      </w:r>
      <w:r w:rsidR="00C3313B">
        <w:rPr>
          <w:lang w:val="en-GB"/>
        </w:rPr>
        <w:t>work</w:t>
      </w:r>
      <w:r w:rsidRPr="00CD2EEF">
        <w:rPr>
          <w:lang w:val="en-GB"/>
        </w:rPr>
        <w:t xml:space="preserve"> of </w:t>
      </w:r>
      <w:r w:rsidR="00C3313B">
        <w:rPr>
          <w:lang w:val="en-GB"/>
        </w:rPr>
        <w:t xml:space="preserve">the </w:t>
      </w:r>
      <w:r w:rsidRPr="00CD2EEF">
        <w:rPr>
          <w:lang w:val="en-GB"/>
        </w:rPr>
        <w:t xml:space="preserve">preparations for long-term operation. The most notable were the establishment of </w:t>
      </w:r>
      <w:r w:rsidRPr="009735F6">
        <w:rPr>
          <w:lang w:val="en-GB"/>
        </w:rPr>
        <w:t xml:space="preserve">the Department of </w:t>
      </w:r>
      <w:r w:rsidR="00691C4A" w:rsidRPr="005A1023">
        <w:rPr>
          <w:lang w:val="en-GB"/>
        </w:rPr>
        <w:t>E</w:t>
      </w:r>
      <w:r w:rsidRPr="009735F6">
        <w:rPr>
          <w:lang w:val="en-GB"/>
        </w:rPr>
        <w:t xml:space="preserve">ngineering </w:t>
      </w:r>
      <w:r w:rsidR="00691C4A" w:rsidRPr="005A1023">
        <w:rPr>
          <w:lang w:val="en-GB"/>
        </w:rPr>
        <w:t>S</w:t>
      </w:r>
      <w:r w:rsidRPr="009735F6">
        <w:rPr>
          <w:lang w:val="en-GB"/>
        </w:rPr>
        <w:t xml:space="preserve">upport for </w:t>
      </w:r>
      <w:r w:rsidR="00691C4A" w:rsidRPr="005A1023">
        <w:rPr>
          <w:lang w:val="en-GB"/>
        </w:rPr>
        <w:t>L</w:t>
      </w:r>
      <w:r w:rsidRPr="009735F6">
        <w:rPr>
          <w:lang w:val="en-GB"/>
        </w:rPr>
        <w:t xml:space="preserve">ong-term </w:t>
      </w:r>
      <w:r w:rsidR="00691C4A" w:rsidRPr="005A1023">
        <w:rPr>
          <w:lang w:val="en-GB"/>
        </w:rPr>
        <w:t>O</w:t>
      </w:r>
      <w:r w:rsidRPr="009735F6">
        <w:rPr>
          <w:lang w:val="en-GB"/>
        </w:rPr>
        <w:t>peration</w:t>
      </w:r>
      <w:r w:rsidRPr="00CD2EEF">
        <w:rPr>
          <w:lang w:val="en-GB"/>
        </w:rPr>
        <w:t xml:space="preserve">, </w:t>
      </w:r>
      <w:r w:rsidR="00394F6B">
        <w:rPr>
          <w:lang w:val="en-GB"/>
        </w:rPr>
        <w:t xml:space="preserve">the </w:t>
      </w:r>
      <w:r w:rsidRPr="00CD2EEF">
        <w:rPr>
          <w:lang w:val="en-GB"/>
        </w:rPr>
        <w:t xml:space="preserve">new long-term operation programme, upgrades of </w:t>
      </w:r>
      <w:r w:rsidR="00394F6B">
        <w:rPr>
          <w:lang w:val="en-GB"/>
        </w:rPr>
        <w:t xml:space="preserve">the </w:t>
      </w:r>
      <w:r w:rsidRPr="00CD2EEF">
        <w:rPr>
          <w:lang w:val="en-GB"/>
        </w:rPr>
        <w:t xml:space="preserve">existing corrective action programme for better ageing management involving operating experiences as well as new programmes for </w:t>
      </w:r>
      <w:r w:rsidR="00394F6B">
        <w:rPr>
          <w:lang w:val="en-GB"/>
        </w:rPr>
        <w:t xml:space="preserve">the </w:t>
      </w:r>
      <w:r w:rsidRPr="00CD2EEF">
        <w:rPr>
          <w:lang w:val="en-GB"/>
        </w:rPr>
        <w:t>ageing management of active components and technological obsolescence.</w:t>
      </w:r>
    </w:p>
    <w:p w14:paraId="5BA198C8" w14:textId="700DC87B" w:rsidR="00CB3A79" w:rsidRPr="00CD2EEF" w:rsidRDefault="007C478E" w:rsidP="006E11F4">
      <w:pPr>
        <w:pStyle w:val="LPnavaden"/>
        <w:rPr>
          <w:lang w:val="en-GB"/>
        </w:rPr>
      </w:pPr>
      <w:r w:rsidRPr="00CD2EEF">
        <w:rPr>
          <w:lang w:val="en-GB"/>
        </w:rPr>
        <w:t xml:space="preserve">The pre-SALTO mission took place at </w:t>
      </w:r>
      <w:r w:rsidR="001B146F">
        <w:rPr>
          <w:lang w:val="en-GB"/>
        </w:rPr>
        <w:t>the Krško NPP</w:t>
      </w:r>
      <w:r w:rsidRPr="00CD2EEF">
        <w:rPr>
          <w:lang w:val="en-GB"/>
        </w:rPr>
        <w:t xml:space="preserve"> between 5 and 14 October 2021. Members of </w:t>
      </w:r>
      <w:r w:rsidR="00A726E8">
        <w:rPr>
          <w:lang w:val="en-GB"/>
        </w:rPr>
        <w:t>the</w:t>
      </w:r>
      <w:r w:rsidR="00E63423">
        <w:rPr>
          <w:lang w:val="en-GB"/>
        </w:rPr>
        <w:t xml:space="preserve"> SNSA</w:t>
      </w:r>
      <w:r w:rsidRPr="00CD2EEF">
        <w:rPr>
          <w:lang w:val="en-GB"/>
        </w:rPr>
        <w:t xml:space="preserve"> participated in the mission three times: at the entrance meeting, in discussions with the team leader after the end of the mission, and at the exit meeting. </w:t>
      </w:r>
      <w:r w:rsidR="00394F6B">
        <w:rPr>
          <w:lang w:val="en-GB"/>
        </w:rPr>
        <w:t>The f</w:t>
      </w:r>
      <w:r w:rsidRPr="00CD2EEF">
        <w:rPr>
          <w:lang w:val="en-GB"/>
        </w:rPr>
        <w:t>indings of the pre-SALTO mission included 9 good performances, 9 suggestions</w:t>
      </w:r>
      <w:r w:rsidR="00394F6B">
        <w:rPr>
          <w:lang w:val="en-GB"/>
        </w:rPr>
        <w:t>,</w:t>
      </w:r>
      <w:r w:rsidRPr="00CD2EEF">
        <w:rPr>
          <w:lang w:val="en-GB"/>
        </w:rPr>
        <w:t xml:space="preserve"> and 5 recommendations; some of the latter refer to several review areas concurrently. For reviewing and potential commenting, </w:t>
      </w:r>
      <w:r w:rsidR="00A726E8">
        <w:rPr>
          <w:lang w:val="en-GB"/>
        </w:rPr>
        <w:t>the</w:t>
      </w:r>
      <w:r w:rsidR="00E63423">
        <w:rPr>
          <w:lang w:val="en-GB"/>
        </w:rPr>
        <w:t xml:space="preserve"> SNSA</w:t>
      </w:r>
      <w:r w:rsidRPr="00CD2EEF">
        <w:rPr>
          <w:lang w:val="en-GB"/>
        </w:rPr>
        <w:t xml:space="preserve"> and </w:t>
      </w:r>
      <w:r w:rsidR="00C5169D">
        <w:rPr>
          <w:lang w:val="en-GB"/>
        </w:rPr>
        <w:t>the Krško NPP</w:t>
      </w:r>
      <w:r w:rsidRPr="00CD2EEF">
        <w:rPr>
          <w:lang w:val="en-GB"/>
        </w:rPr>
        <w:t xml:space="preserve"> received from the IAEA a preliminary (draft) report with the mission</w:t>
      </w:r>
      <w:r w:rsidR="00F21D56">
        <w:rPr>
          <w:lang w:val="en-GB"/>
        </w:rPr>
        <w:t>’</w:t>
      </w:r>
      <w:r w:rsidRPr="00CD2EEF">
        <w:rPr>
          <w:lang w:val="en-GB"/>
        </w:rPr>
        <w:t xml:space="preserve">s findings. The final report was issued by the IAEA at the end of January 2022. An action plan was established at </w:t>
      </w:r>
      <w:r w:rsidR="001B146F">
        <w:rPr>
          <w:lang w:val="en-GB"/>
        </w:rPr>
        <w:t>the Krško NPP</w:t>
      </w:r>
      <w:r w:rsidRPr="00CD2EEF">
        <w:rPr>
          <w:lang w:val="en-GB"/>
        </w:rPr>
        <w:t xml:space="preserve"> as part of the corrective programme in order to address all the issues from the pre-SALTO mission. The pre-SALTO action plan </w:t>
      </w:r>
      <w:r w:rsidR="00394F6B">
        <w:rPr>
          <w:lang w:val="en-GB"/>
        </w:rPr>
        <w:t>will</w:t>
      </w:r>
      <w:r w:rsidR="00394F6B" w:rsidRPr="00CD2EEF">
        <w:rPr>
          <w:lang w:val="en-GB"/>
        </w:rPr>
        <w:t xml:space="preserve"> </w:t>
      </w:r>
      <w:r w:rsidRPr="00CD2EEF">
        <w:rPr>
          <w:lang w:val="en-GB"/>
        </w:rPr>
        <w:t xml:space="preserve">also be independently reviewed within the preparation process of the </w:t>
      </w:r>
      <w:r w:rsidRPr="005A1023">
        <w:rPr>
          <w:lang w:val="en-GB"/>
        </w:rPr>
        <w:t xml:space="preserve">PSR3 </w:t>
      </w:r>
      <w:r w:rsidR="005A1023" w:rsidRPr="005A1023">
        <w:rPr>
          <w:lang w:val="en-GB"/>
        </w:rPr>
        <w:t>A</w:t>
      </w:r>
      <w:r w:rsidRPr="005A1023">
        <w:rPr>
          <w:lang w:val="en-GB"/>
        </w:rPr>
        <w:t>ction plan.</w:t>
      </w:r>
    </w:p>
    <w:p w14:paraId="616F088C" w14:textId="53D22418" w:rsidR="00CB3A79" w:rsidRPr="00CD2EEF" w:rsidRDefault="00CB3A79" w:rsidP="00CB3A79">
      <w:pPr>
        <w:pStyle w:val="LPNaslov4"/>
        <w:rPr>
          <w:lang w:val="en-GB"/>
        </w:rPr>
      </w:pPr>
      <w:r w:rsidRPr="00CD2EEF">
        <w:rPr>
          <w:lang w:val="en-GB"/>
        </w:rPr>
        <w:t xml:space="preserve">Technical </w:t>
      </w:r>
      <w:r w:rsidR="002D5FFC">
        <w:rPr>
          <w:lang w:val="en-GB"/>
        </w:rPr>
        <w:t>I</w:t>
      </w:r>
      <w:r w:rsidRPr="00CD2EEF">
        <w:rPr>
          <w:lang w:val="en-GB"/>
        </w:rPr>
        <w:t xml:space="preserve">mprovements and </w:t>
      </w:r>
      <w:r w:rsidR="002D5FFC">
        <w:rPr>
          <w:lang w:val="en-GB"/>
        </w:rPr>
        <w:t>M</w:t>
      </w:r>
      <w:r w:rsidRPr="00CD2EEF">
        <w:rPr>
          <w:lang w:val="en-GB"/>
        </w:rPr>
        <w:t>odifications</w:t>
      </w:r>
    </w:p>
    <w:p w14:paraId="7BA7BF2B" w14:textId="7C42F86B" w:rsidR="00CB3A79" w:rsidRPr="00CD2EEF" w:rsidRDefault="00CB3A79" w:rsidP="00551070">
      <w:pPr>
        <w:pStyle w:val="LPnavaden"/>
        <w:rPr>
          <w:lang w:val="en-GB"/>
        </w:rPr>
      </w:pPr>
      <w:r w:rsidRPr="00CD2EEF">
        <w:rPr>
          <w:lang w:val="en-GB"/>
        </w:rPr>
        <w:t xml:space="preserve">In addition to the day-to-day monitoring of the operation of the nuclear power plant, </w:t>
      </w:r>
      <w:r w:rsidR="00A726E8">
        <w:rPr>
          <w:lang w:val="en-GB"/>
        </w:rPr>
        <w:t>the</w:t>
      </w:r>
      <w:r w:rsidR="00E63423">
        <w:rPr>
          <w:lang w:val="en-GB"/>
        </w:rPr>
        <w:t xml:space="preserve"> SNSA</w:t>
      </w:r>
      <w:r w:rsidRPr="00CD2EEF">
        <w:rPr>
          <w:lang w:val="en-GB"/>
        </w:rPr>
        <w:t xml:space="preserve"> devotes particular attention to the inspection and validation of modifications and improvements in the power plant based on global practice, operational experience</w:t>
      </w:r>
      <w:r w:rsidR="004A6BC4">
        <w:rPr>
          <w:lang w:val="en-GB"/>
        </w:rPr>
        <w:t>s</w:t>
      </w:r>
      <w:r w:rsidRPr="00CD2EEF">
        <w:rPr>
          <w:lang w:val="en-GB"/>
        </w:rPr>
        <w:t>, and the latest developments in the nuclear field. Modifications of the design conditions and the design bases of the nuclear power plant or the conditions for the exploitation of nuclear power plants are some of the most important activities that can affect the safety of the nuclear power plant; therefore, modifications must be strictly controlled and properly documented.</w:t>
      </w:r>
    </w:p>
    <w:p w14:paraId="6D5DCC6E" w14:textId="2B8F69BC" w:rsidR="00CB3A79" w:rsidRPr="00CD2EEF" w:rsidRDefault="00CB3A79" w:rsidP="00551070">
      <w:pPr>
        <w:pStyle w:val="LPnavaden"/>
        <w:rPr>
          <w:lang w:val="en-GB"/>
        </w:rPr>
      </w:pPr>
      <w:r w:rsidRPr="00CD2EEF">
        <w:rPr>
          <w:lang w:val="en-GB"/>
        </w:rPr>
        <w:t xml:space="preserve">In 2021, </w:t>
      </w:r>
      <w:r w:rsidR="00A726E8">
        <w:rPr>
          <w:lang w:val="en-GB"/>
        </w:rPr>
        <w:t>the</w:t>
      </w:r>
      <w:r w:rsidR="00E63423">
        <w:rPr>
          <w:lang w:val="en-GB"/>
        </w:rPr>
        <w:t xml:space="preserve"> SNSA</w:t>
      </w:r>
      <w:r w:rsidRPr="00CD2EEF">
        <w:rPr>
          <w:lang w:val="en-GB"/>
        </w:rPr>
        <w:t xml:space="preserve"> approved 5 modifications and agreed to 25 modifications. During the safety evaluation screening, </w:t>
      </w:r>
      <w:r w:rsidR="001B146F">
        <w:rPr>
          <w:lang w:val="en-GB"/>
        </w:rPr>
        <w:t>the Krško NPP</w:t>
      </w:r>
      <w:r w:rsidRPr="00CD2EEF">
        <w:rPr>
          <w:lang w:val="en-GB"/>
        </w:rPr>
        <w:t xml:space="preserve"> did not identify any open safety issues for 408 modifications. </w:t>
      </w:r>
      <w:r w:rsidRPr="00CD2EEF">
        <w:rPr>
          <w:lang w:val="en-GB"/>
        </w:rPr>
        <w:lastRenderedPageBreak/>
        <w:t xml:space="preserve">Therefore, </w:t>
      </w:r>
      <w:r w:rsidR="001B146F">
        <w:rPr>
          <w:lang w:val="en-GB"/>
        </w:rPr>
        <w:t>the Krško NPP</w:t>
      </w:r>
      <w:r w:rsidRPr="00CD2EEF">
        <w:rPr>
          <w:lang w:val="en-GB"/>
        </w:rPr>
        <w:t xml:space="preserve"> only informed </w:t>
      </w:r>
      <w:r w:rsidR="00A726E8">
        <w:rPr>
          <w:lang w:val="en-GB"/>
        </w:rPr>
        <w:t>the</w:t>
      </w:r>
      <w:r w:rsidR="00E63423">
        <w:rPr>
          <w:lang w:val="en-GB"/>
        </w:rPr>
        <w:t xml:space="preserve"> SNSA</w:t>
      </w:r>
      <w:r w:rsidRPr="00CD2EEF">
        <w:rPr>
          <w:lang w:val="en-GB"/>
        </w:rPr>
        <w:t xml:space="preserve"> of those 408 modifications. As of 31 December 2021, there were 17 active temporary modifications, 51 were open in 2021</w:t>
      </w:r>
      <w:r w:rsidR="0049663C">
        <w:rPr>
          <w:lang w:val="en-GB"/>
        </w:rPr>
        <w:t>,</w:t>
      </w:r>
      <w:r w:rsidRPr="00CD2EEF">
        <w:rPr>
          <w:lang w:val="en-GB"/>
        </w:rPr>
        <w:t xml:space="preserve"> and 39 were </w:t>
      </w:r>
      <w:r w:rsidRPr="00A20662">
        <w:rPr>
          <w:lang w:val="en-GB"/>
        </w:rPr>
        <w:t>opened and closed.</w:t>
      </w:r>
      <w:r w:rsidRPr="00CD2EEF">
        <w:rPr>
          <w:lang w:val="en-GB"/>
        </w:rPr>
        <w:t xml:space="preserve"> There are 26 such temporary modifications that opened before 2021 and closed in 2021. There </w:t>
      </w:r>
      <w:r w:rsidR="0049663C">
        <w:rPr>
          <w:lang w:val="en-GB"/>
        </w:rPr>
        <w:t>were</w:t>
      </w:r>
      <w:r w:rsidR="0049663C" w:rsidRPr="00CD2EEF">
        <w:rPr>
          <w:lang w:val="en-GB"/>
        </w:rPr>
        <w:t xml:space="preserve"> </w:t>
      </w:r>
      <w:r w:rsidR="0049663C">
        <w:rPr>
          <w:lang w:val="en-GB"/>
        </w:rPr>
        <w:t>five</w:t>
      </w:r>
      <w:r w:rsidRPr="00CD2EEF">
        <w:rPr>
          <w:lang w:val="en-GB"/>
        </w:rPr>
        <w:t xml:space="preserve"> temporary modifications already started in 2020 and they relate to: </w:t>
      </w:r>
      <w:r w:rsidR="00263D93">
        <w:rPr>
          <w:lang w:val="en-GB"/>
        </w:rPr>
        <w:t>“</w:t>
      </w:r>
      <w:r w:rsidRPr="00CD2EEF">
        <w:rPr>
          <w:lang w:val="en-GB"/>
        </w:rPr>
        <w:t>Emergency Airlock</w:t>
      </w:r>
      <w:r w:rsidR="00263D93">
        <w:rPr>
          <w:lang w:val="en-GB"/>
        </w:rPr>
        <w:t>”</w:t>
      </w:r>
      <w:r w:rsidRPr="00CD2EEF">
        <w:rPr>
          <w:lang w:val="en-GB"/>
        </w:rPr>
        <w:t xml:space="preserve"> video surveillance, increasing the time delay for the failure of the </w:t>
      </w:r>
      <w:r w:rsidR="00263D93">
        <w:rPr>
          <w:lang w:val="en-GB"/>
        </w:rPr>
        <w:t>“</w:t>
      </w:r>
      <w:r w:rsidRPr="00CD2EEF">
        <w:rPr>
          <w:lang w:val="en-GB"/>
        </w:rPr>
        <w:t>IA904CPR-003</w:t>
      </w:r>
      <w:r w:rsidR="00263D93">
        <w:rPr>
          <w:lang w:val="en-GB"/>
        </w:rPr>
        <w:t>”</w:t>
      </w:r>
      <w:r w:rsidRPr="00CD2EEF">
        <w:rPr>
          <w:lang w:val="en-GB"/>
        </w:rPr>
        <w:t xml:space="preserve"> component </w:t>
      </w:r>
      <w:r w:rsidR="005A1023">
        <w:rPr>
          <w:lang w:val="en-GB"/>
        </w:rPr>
        <w:t>to</w:t>
      </w:r>
      <w:r w:rsidR="005A1023" w:rsidRPr="00CD2EEF">
        <w:rPr>
          <w:lang w:val="en-GB"/>
        </w:rPr>
        <w:t xml:space="preserve"> </w:t>
      </w:r>
      <w:r w:rsidRPr="00CD2EEF">
        <w:rPr>
          <w:lang w:val="en-GB"/>
        </w:rPr>
        <w:t xml:space="preserve">low cooling water flow, installing pressure indicators on the cooling water lines </w:t>
      </w:r>
      <w:r w:rsidRPr="005A1023">
        <w:rPr>
          <w:lang w:val="en-GB"/>
        </w:rPr>
        <w:t xml:space="preserve">of </w:t>
      </w:r>
      <w:r w:rsidR="007A20A1" w:rsidRPr="005A1023">
        <w:rPr>
          <w:lang w:val="en-GB"/>
        </w:rPr>
        <w:t xml:space="preserve">water supply </w:t>
      </w:r>
      <w:r w:rsidRPr="005A1023">
        <w:rPr>
          <w:lang w:val="en-GB"/>
        </w:rPr>
        <w:t xml:space="preserve">seals, </w:t>
      </w:r>
      <w:r w:rsidR="00D06F71" w:rsidRPr="005A1023">
        <w:rPr>
          <w:lang w:val="en-GB"/>
        </w:rPr>
        <w:t xml:space="preserve">the </w:t>
      </w:r>
      <w:r w:rsidRPr="005A1023">
        <w:rPr>
          <w:lang w:val="en-GB"/>
        </w:rPr>
        <w:t>preparation</w:t>
      </w:r>
      <w:r w:rsidRPr="00CD2EEF">
        <w:rPr>
          <w:lang w:val="en-GB"/>
        </w:rPr>
        <w:t xml:space="preserve"> of the measurement site for measuring the vibrations of the control valves during </w:t>
      </w:r>
      <w:r w:rsidR="00D06F71">
        <w:rPr>
          <w:lang w:val="en-GB"/>
        </w:rPr>
        <w:t>a</w:t>
      </w:r>
      <w:r w:rsidR="00D06F71" w:rsidRPr="00CD2EEF">
        <w:rPr>
          <w:lang w:val="en-GB"/>
        </w:rPr>
        <w:t xml:space="preserve"> </w:t>
      </w:r>
      <w:r w:rsidRPr="00CD2EEF">
        <w:rPr>
          <w:lang w:val="en-GB"/>
        </w:rPr>
        <w:t xml:space="preserve">turbine valve test and </w:t>
      </w:r>
      <w:r w:rsidR="00D06F71">
        <w:rPr>
          <w:lang w:val="en-GB"/>
        </w:rPr>
        <w:t>a</w:t>
      </w:r>
      <w:r w:rsidR="00D06F71" w:rsidRPr="00CD2EEF">
        <w:rPr>
          <w:lang w:val="en-GB"/>
        </w:rPr>
        <w:t xml:space="preserve"> </w:t>
      </w:r>
      <w:r w:rsidRPr="00CD2EEF">
        <w:rPr>
          <w:lang w:val="en-GB"/>
        </w:rPr>
        <w:t xml:space="preserve">change of components </w:t>
      </w:r>
      <w:r w:rsidR="00D06F71">
        <w:rPr>
          <w:lang w:val="en-GB"/>
        </w:rPr>
        <w:t>in</w:t>
      </w:r>
      <w:r w:rsidR="00D06F71" w:rsidRPr="00CD2EEF">
        <w:rPr>
          <w:lang w:val="en-GB"/>
        </w:rPr>
        <w:t xml:space="preserve"> </w:t>
      </w:r>
      <w:r w:rsidRPr="00CD2EEF">
        <w:rPr>
          <w:lang w:val="en-GB"/>
        </w:rPr>
        <w:t xml:space="preserve">the </w:t>
      </w:r>
      <w:r w:rsidR="00263D93">
        <w:rPr>
          <w:lang w:val="en-GB"/>
        </w:rPr>
        <w:t>“</w:t>
      </w:r>
      <w:r w:rsidRPr="00CD2EEF">
        <w:rPr>
          <w:lang w:val="en-GB"/>
        </w:rPr>
        <w:t>FS6746</w:t>
      </w:r>
      <w:r w:rsidR="00263D93">
        <w:rPr>
          <w:lang w:val="en-GB"/>
        </w:rPr>
        <w:t>”</w:t>
      </w:r>
      <w:r w:rsidRPr="00CD2EEF">
        <w:rPr>
          <w:lang w:val="en-GB"/>
        </w:rPr>
        <w:t xml:space="preserve"> system.</w:t>
      </w:r>
    </w:p>
    <w:p w14:paraId="427882E2" w14:textId="6F1EB4E2" w:rsidR="00CB3A79" w:rsidRPr="00CD2EEF" w:rsidRDefault="00CB3A79" w:rsidP="00551070">
      <w:pPr>
        <w:pStyle w:val="LPnavaden"/>
        <w:rPr>
          <w:lang w:val="en-GB"/>
        </w:rPr>
      </w:pPr>
      <w:r w:rsidRPr="00CD2EEF">
        <w:rPr>
          <w:lang w:val="en-GB"/>
        </w:rPr>
        <w:t xml:space="preserve">In 2021, </w:t>
      </w:r>
      <w:r w:rsidR="001B146F">
        <w:rPr>
          <w:lang w:val="en-GB"/>
        </w:rPr>
        <w:t>the Krško NPP</w:t>
      </w:r>
      <w:r w:rsidRPr="00CD2EEF">
        <w:rPr>
          <w:lang w:val="en-GB"/>
        </w:rPr>
        <w:t xml:space="preserve"> issued the 28</w:t>
      </w:r>
      <w:r w:rsidRPr="00CD2EEF">
        <w:rPr>
          <w:rStyle w:val="LPnadpisano"/>
          <w:lang w:val="en-GB"/>
        </w:rPr>
        <w:t xml:space="preserve">th </w:t>
      </w:r>
      <w:r w:rsidRPr="00CD2EEF">
        <w:rPr>
          <w:lang w:val="en-GB"/>
        </w:rPr>
        <w:t xml:space="preserve">revision of the </w:t>
      </w:r>
      <w:r w:rsidR="00263D93">
        <w:rPr>
          <w:lang w:val="en-GB"/>
        </w:rPr>
        <w:t>“</w:t>
      </w:r>
      <w:r w:rsidRPr="00CD2EEF">
        <w:rPr>
          <w:lang w:val="en-GB"/>
        </w:rPr>
        <w:t>Updated Safety Analysis Report</w:t>
      </w:r>
      <w:r w:rsidR="00263D93">
        <w:rPr>
          <w:lang w:val="en-GB"/>
        </w:rPr>
        <w:t>”</w:t>
      </w:r>
      <w:r w:rsidRPr="00CD2EEF">
        <w:rPr>
          <w:lang w:val="en-GB"/>
        </w:rPr>
        <w:t xml:space="preserve">, which considered the changes approved up to 1 November 2021. </w:t>
      </w:r>
    </w:p>
    <w:p w14:paraId="2441F9BC" w14:textId="7BE07AEE" w:rsidR="00CB3A79" w:rsidRPr="00CD2EEF" w:rsidRDefault="00CB3A79" w:rsidP="00551070">
      <w:pPr>
        <w:pStyle w:val="LPnavaden"/>
        <w:rPr>
          <w:lang w:val="en-GB"/>
        </w:rPr>
      </w:pPr>
      <w:r w:rsidRPr="00CD2EEF">
        <w:rPr>
          <w:lang w:val="en-GB"/>
        </w:rPr>
        <w:t xml:space="preserve">A list of modifications since 2000 approved by </w:t>
      </w:r>
      <w:r w:rsidR="00A726E8">
        <w:rPr>
          <w:lang w:val="en-GB"/>
        </w:rPr>
        <w:t>the</w:t>
      </w:r>
      <w:r w:rsidR="00E63423">
        <w:rPr>
          <w:lang w:val="en-GB"/>
        </w:rPr>
        <w:t xml:space="preserve"> SNSA</w:t>
      </w:r>
      <w:r w:rsidRPr="00CD2EEF">
        <w:rPr>
          <w:lang w:val="en-GB"/>
        </w:rPr>
        <w:t xml:space="preserve"> and those of which </w:t>
      </w:r>
      <w:r w:rsidR="00A726E8">
        <w:rPr>
          <w:lang w:val="en-GB"/>
        </w:rPr>
        <w:t>the</w:t>
      </w:r>
      <w:r w:rsidR="00E63423">
        <w:rPr>
          <w:lang w:val="en-GB"/>
        </w:rPr>
        <w:t xml:space="preserve"> SNSA</w:t>
      </w:r>
      <w:r w:rsidRPr="00CD2EEF">
        <w:rPr>
          <w:lang w:val="en-GB"/>
        </w:rPr>
        <w:t xml:space="preserve"> was informed can </w:t>
      </w:r>
      <w:r w:rsidRPr="00F01EBF">
        <w:rPr>
          <w:lang w:val="en-GB"/>
        </w:rPr>
        <w:t xml:space="preserve">be found on the </w:t>
      </w:r>
      <w:hyperlink r:id="rId30" w:history="1">
        <w:r w:rsidRPr="00F01EBF">
          <w:rPr>
            <w:rStyle w:val="Hiperpovezava"/>
            <w:lang w:val="en-GB"/>
          </w:rPr>
          <w:t>SNSA website</w:t>
        </w:r>
      </w:hyperlink>
      <w:r w:rsidRPr="00F01EBF">
        <w:rPr>
          <w:lang w:val="en-GB"/>
        </w:rPr>
        <w:t>.</w:t>
      </w:r>
    </w:p>
    <w:p w14:paraId="12166EC7" w14:textId="2FC7D85E" w:rsidR="00CB3A79" w:rsidRPr="00CD2EEF" w:rsidRDefault="00CB3A79" w:rsidP="00CB3A79">
      <w:pPr>
        <w:pStyle w:val="LPNaslov4"/>
        <w:rPr>
          <w:lang w:val="en-GB"/>
        </w:rPr>
      </w:pPr>
      <w:r w:rsidRPr="00CD2EEF">
        <w:rPr>
          <w:lang w:val="en-GB"/>
        </w:rPr>
        <w:t xml:space="preserve">Topical </w:t>
      </w:r>
      <w:r w:rsidR="00616B26">
        <w:rPr>
          <w:lang w:val="en-GB"/>
        </w:rPr>
        <w:t>P</w:t>
      </w:r>
      <w:r w:rsidRPr="00CD2EEF">
        <w:rPr>
          <w:lang w:val="en-GB"/>
        </w:rPr>
        <w:t xml:space="preserve">eer </w:t>
      </w:r>
      <w:r w:rsidR="00616B26">
        <w:rPr>
          <w:lang w:val="en-GB"/>
        </w:rPr>
        <w:t>R</w:t>
      </w:r>
      <w:r w:rsidRPr="00CD2EEF">
        <w:rPr>
          <w:lang w:val="en-GB"/>
        </w:rPr>
        <w:t xml:space="preserve">eview of the </w:t>
      </w:r>
      <w:r w:rsidR="00616B26">
        <w:rPr>
          <w:lang w:val="en-GB"/>
        </w:rPr>
        <w:t>A</w:t>
      </w:r>
      <w:r w:rsidRPr="00CD2EEF">
        <w:rPr>
          <w:lang w:val="en-GB"/>
        </w:rPr>
        <w:t xml:space="preserve">geing </w:t>
      </w:r>
      <w:r w:rsidR="00616B26">
        <w:rPr>
          <w:lang w:val="en-GB"/>
        </w:rPr>
        <w:t>M</w:t>
      </w:r>
      <w:r w:rsidRPr="00CD2EEF">
        <w:rPr>
          <w:lang w:val="en-GB"/>
        </w:rPr>
        <w:t xml:space="preserve">anagement </w:t>
      </w:r>
      <w:r w:rsidR="00616B26">
        <w:rPr>
          <w:lang w:val="en-GB"/>
        </w:rPr>
        <w:t>P</w:t>
      </w:r>
      <w:r w:rsidRPr="00CD2EEF">
        <w:rPr>
          <w:lang w:val="en-GB"/>
        </w:rPr>
        <w:t>rogramme (TPR</w:t>
      </w:r>
      <w:r w:rsidR="008342C3">
        <w:rPr>
          <w:lang w:val="en-GB"/>
        </w:rPr>
        <w:t xml:space="preserve"> – </w:t>
      </w:r>
      <w:r w:rsidRPr="00CD2EEF">
        <w:rPr>
          <w:lang w:val="en-GB"/>
        </w:rPr>
        <w:t>AMP)</w:t>
      </w:r>
    </w:p>
    <w:p w14:paraId="01A474BB" w14:textId="59BCF580" w:rsidR="00CB3A79" w:rsidRPr="00CD2EEF" w:rsidRDefault="00CB3A79" w:rsidP="002239FA">
      <w:pPr>
        <w:pStyle w:val="LPnavaden"/>
        <w:rPr>
          <w:lang w:val="en-GB"/>
        </w:rPr>
      </w:pPr>
      <w:r w:rsidRPr="00CD2EEF">
        <w:rPr>
          <w:lang w:val="en-GB"/>
        </w:rPr>
        <w:t xml:space="preserve">The purpose of Topical Peer Reviews (TPR) is to carry out a review of a certain area that is important for nuclear safety; such a review is executed simultaneously in all European countries. The first TPR is dedicated to the ageing of nuclear facilities and </w:t>
      </w:r>
      <w:r w:rsidR="007219D2">
        <w:rPr>
          <w:lang w:val="en-GB"/>
        </w:rPr>
        <w:t xml:space="preserve">a </w:t>
      </w:r>
      <w:r w:rsidRPr="00CD2EEF">
        <w:rPr>
          <w:lang w:val="en-GB"/>
        </w:rPr>
        <w:t xml:space="preserve">review of </w:t>
      </w:r>
      <w:r w:rsidR="007219D2">
        <w:rPr>
          <w:lang w:val="en-GB"/>
        </w:rPr>
        <w:t xml:space="preserve">the </w:t>
      </w:r>
      <w:r w:rsidRPr="00CD2EEF">
        <w:rPr>
          <w:lang w:val="en-GB"/>
        </w:rPr>
        <w:t xml:space="preserve">Ageing Management Programme (AMP). After the execution of comparative reviews of technical reports, prepared also by </w:t>
      </w:r>
      <w:r w:rsidR="00A726E8">
        <w:rPr>
          <w:lang w:val="en-GB"/>
        </w:rPr>
        <w:t>the</w:t>
      </w:r>
      <w:r w:rsidR="00E63423">
        <w:rPr>
          <w:lang w:val="en-GB"/>
        </w:rPr>
        <w:t xml:space="preserve"> SNSA</w:t>
      </w:r>
      <w:r w:rsidRPr="00CD2EEF">
        <w:rPr>
          <w:lang w:val="en-GB"/>
        </w:rPr>
        <w:t xml:space="preserve"> in cooperation with </w:t>
      </w:r>
      <w:r w:rsidR="001B146F">
        <w:rPr>
          <w:lang w:val="en-GB"/>
        </w:rPr>
        <w:t>the Krško NPP</w:t>
      </w:r>
      <w:r w:rsidRPr="00CD2EEF">
        <w:rPr>
          <w:lang w:val="en-GB"/>
        </w:rPr>
        <w:t>, and</w:t>
      </w:r>
      <w:r w:rsidR="007219D2">
        <w:rPr>
          <w:lang w:val="en-GB"/>
        </w:rPr>
        <w:t xml:space="preserve"> the</w:t>
      </w:r>
      <w:r w:rsidRPr="00CD2EEF">
        <w:rPr>
          <w:lang w:val="en-GB"/>
        </w:rPr>
        <w:t xml:space="preserve"> formation of generic and specific country findings</w:t>
      </w:r>
      <w:r w:rsidR="007219D2">
        <w:rPr>
          <w:lang w:val="en-GB"/>
        </w:rPr>
        <w:t>,</w:t>
      </w:r>
      <w:r w:rsidRPr="00CD2EEF">
        <w:rPr>
          <w:lang w:val="en-GB"/>
        </w:rPr>
        <w:t xml:space="preserve"> the preparation of Action Plans for each participating country followed. </w:t>
      </w:r>
      <w:r w:rsidR="00A726E8">
        <w:rPr>
          <w:lang w:val="en-GB"/>
        </w:rPr>
        <w:t>The</w:t>
      </w:r>
      <w:r w:rsidR="00E63423">
        <w:rPr>
          <w:lang w:val="en-GB"/>
        </w:rPr>
        <w:t xml:space="preserve"> SNSA</w:t>
      </w:r>
      <w:r w:rsidRPr="00CD2EEF">
        <w:rPr>
          <w:lang w:val="en-GB"/>
        </w:rPr>
        <w:t xml:space="preserve"> sent its national Action Plan to </w:t>
      </w:r>
      <w:r w:rsidR="007219D2">
        <w:rPr>
          <w:lang w:val="en-GB"/>
        </w:rPr>
        <w:t xml:space="preserve">the </w:t>
      </w:r>
      <w:r w:rsidRPr="00CD2EEF">
        <w:rPr>
          <w:lang w:val="en-GB"/>
        </w:rPr>
        <w:t>ENSREG in September 2019.</w:t>
      </w:r>
    </w:p>
    <w:p w14:paraId="1D1ED266" w14:textId="6D84E7BC" w:rsidR="00CB3A79" w:rsidRPr="00CD2EEF" w:rsidRDefault="00CB3A79" w:rsidP="00E53EE4">
      <w:pPr>
        <w:pStyle w:val="LPnavaden"/>
        <w:rPr>
          <w:lang w:val="en-GB"/>
        </w:rPr>
      </w:pPr>
      <w:r w:rsidRPr="00CD2EEF">
        <w:rPr>
          <w:lang w:val="en-GB"/>
        </w:rPr>
        <w:t xml:space="preserve">The </w:t>
      </w:r>
      <w:r w:rsidRPr="00616B26">
        <w:rPr>
          <w:lang w:val="en-GB"/>
        </w:rPr>
        <w:t>Action Plan defines</w:t>
      </w:r>
      <w:r w:rsidRPr="00CD2EEF">
        <w:rPr>
          <w:lang w:val="en-GB"/>
        </w:rPr>
        <w:t xml:space="preserve"> the scope and time frame of the necessary improvements and actions to be implemented, which were identified during the TPR process. </w:t>
      </w:r>
      <w:r w:rsidR="00A726E8">
        <w:rPr>
          <w:lang w:val="en-GB"/>
        </w:rPr>
        <w:t>The</w:t>
      </w:r>
      <w:r w:rsidR="00E63423">
        <w:rPr>
          <w:lang w:val="en-GB"/>
        </w:rPr>
        <w:t xml:space="preserve"> SNSA</w:t>
      </w:r>
      <w:r w:rsidRPr="00CD2EEF">
        <w:rPr>
          <w:lang w:val="en-GB"/>
        </w:rPr>
        <w:t xml:space="preserve"> defined nine actions in the national TPR Action Plan from the areas of electrical cables, concealed pipework, reactor pressure vessel, </w:t>
      </w:r>
      <w:r w:rsidR="007219D2">
        <w:rPr>
          <w:lang w:val="en-GB"/>
        </w:rPr>
        <w:t xml:space="preserve">the </w:t>
      </w:r>
      <w:r w:rsidRPr="00CD2EEF">
        <w:rPr>
          <w:lang w:val="en-GB"/>
        </w:rPr>
        <w:t>concrete containment structure</w:t>
      </w:r>
      <w:r w:rsidR="007219D2">
        <w:rPr>
          <w:lang w:val="en-GB"/>
        </w:rPr>
        <w:t>,</w:t>
      </w:r>
      <w:r w:rsidRPr="00CD2EEF">
        <w:rPr>
          <w:lang w:val="en-GB"/>
        </w:rPr>
        <w:t xml:space="preserve"> and </w:t>
      </w:r>
      <w:r w:rsidR="007219D2">
        <w:rPr>
          <w:lang w:val="en-GB"/>
        </w:rPr>
        <w:t xml:space="preserve">in </w:t>
      </w:r>
      <w:r w:rsidRPr="00CD2EEF">
        <w:rPr>
          <w:lang w:val="en-GB"/>
        </w:rPr>
        <w:t xml:space="preserve">general </w:t>
      </w:r>
      <w:r w:rsidR="007219D2">
        <w:rPr>
          <w:lang w:val="en-GB"/>
        </w:rPr>
        <w:t xml:space="preserve">the </w:t>
      </w:r>
      <w:r w:rsidRPr="00CD2EEF">
        <w:rPr>
          <w:lang w:val="en-GB"/>
        </w:rPr>
        <w:t xml:space="preserve">Ageing Management Programme of </w:t>
      </w:r>
      <w:r w:rsidR="001B146F">
        <w:rPr>
          <w:lang w:val="en-GB"/>
        </w:rPr>
        <w:t>the Krško NPP</w:t>
      </w:r>
      <w:r w:rsidRPr="00CD2EEF">
        <w:rPr>
          <w:lang w:val="en-GB"/>
        </w:rPr>
        <w:t xml:space="preserve">. Actions from the first three mentioned areas were carried out in 2020 in accordance with the schedule of the Action Plan. In 2021, </w:t>
      </w:r>
      <w:r w:rsidR="00A726E8">
        <w:rPr>
          <w:lang w:val="en-GB"/>
        </w:rPr>
        <w:t>the</w:t>
      </w:r>
      <w:r w:rsidR="00E63423">
        <w:rPr>
          <w:lang w:val="en-GB"/>
        </w:rPr>
        <w:t xml:space="preserve"> SNSA</w:t>
      </w:r>
      <w:r w:rsidRPr="00CD2EEF">
        <w:rPr>
          <w:lang w:val="en-GB"/>
        </w:rPr>
        <w:t xml:space="preserve"> checked the progress in the area of </w:t>
      </w:r>
      <w:r w:rsidR="007219D2">
        <w:rPr>
          <w:lang w:val="en-GB"/>
        </w:rPr>
        <w:t xml:space="preserve">the </w:t>
      </w:r>
      <w:r w:rsidRPr="00CD2EEF">
        <w:rPr>
          <w:lang w:val="en-GB"/>
        </w:rPr>
        <w:t>general Ageing Management Programme and concrete containment structure.</w:t>
      </w:r>
    </w:p>
    <w:p w14:paraId="427A49D4" w14:textId="1035DDEF" w:rsidR="00CB3A79" w:rsidRPr="00CD2EEF" w:rsidRDefault="00CB3A79" w:rsidP="00E53EE4">
      <w:pPr>
        <w:pStyle w:val="LPnavaden"/>
        <w:rPr>
          <w:lang w:val="en-GB"/>
        </w:rPr>
      </w:pPr>
      <w:r w:rsidRPr="00CD2EEF">
        <w:rPr>
          <w:lang w:val="en-GB"/>
        </w:rPr>
        <w:t xml:space="preserve">One of the anticipated actions regarding the general Ageing Management Programme is reviewing the scope of this programme and (if necessary) its updating in line with the new IAEA Safety Standard. The review of </w:t>
      </w:r>
      <w:r w:rsidR="001B146F">
        <w:rPr>
          <w:lang w:val="en-GB"/>
        </w:rPr>
        <w:t>the Krško NPP</w:t>
      </w:r>
      <w:r w:rsidR="00F21D56">
        <w:rPr>
          <w:lang w:val="en-GB"/>
        </w:rPr>
        <w:t>’</w:t>
      </w:r>
      <w:r w:rsidRPr="00CD2EEF">
        <w:rPr>
          <w:lang w:val="en-GB"/>
        </w:rPr>
        <w:t>s AMP was to be part of the 3</w:t>
      </w:r>
      <w:r w:rsidR="007219D2" w:rsidRPr="005A1023">
        <w:rPr>
          <w:vertAlign w:val="superscript"/>
          <w:lang w:val="en-GB"/>
        </w:rPr>
        <w:t>rd</w:t>
      </w:r>
      <w:r w:rsidRPr="00CD2EEF">
        <w:rPr>
          <w:lang w:val="en-GB"/>
        </w:rPr>
        <w:t xml:space="preserve"> Periodic Safety Review (PSR3), where the review from </w:t>
      </w:r>
      <w:r w:rsidRPr="00FC1601">
        <w:rPr>
          <w:lang w:val="en-GB"/>
        </w:rPr>
        <w:t>the perspective</w:t>
      </w:r>
      <w:r w:rsidRPr="00CD2EEF">
        <w:rPr>
          <w:lang w:val="en-GB"/>
        </w:rPr>
        <w:t xml:space="preserve"> of</w:t>
      </w:r>
      <w:r w:rsidR="00377F35">
        <w:rPr>
          <w:lang w:val="en-GB"/>
        </w:rPr>
        <w:t xml:space="preserve"> the</w:t>
      </w:r>
      <w:r w:rsidRPr="00CD2EEF">
        <w:rPr>
          <w:lang w:val="en-GB"/>
        </w:rPr>
        <w:t xml:space="preserve"> </w:t>
      </w:r>
      <w:r w:rsidR="00377F35" w:rsidRPr="00CD2EEF">
        <w:rPr>
          <w:lang w:val="en-GB"/>
        </w:rPr>
        <w:t>requirements</w:t>
      </w:r>
      <w:r w:rsidR="00377F35">
        <w:rPr>
          <w:lang w:val="en-GB"/>
        </w:rPr>
        <w:t xml:space="preserve"> under</w:t>
      </w:r>
      <w:r w:rsidR="00377F35" w:rsidRPr="00CD2EEF">
        <w:rPr>
          <w:lang w:val="en-GB"/>
        </w:rPr>
        <w:t xml:space="preserve"> </w:t>
      </w:r>
      <w:r w:rsidRPr="00CD2EEF">
        <w:rPr>
          <w:lang w:val="en-GB"/>
        </w:rPr>
        <w:t xml:space="preserve">IAEA </w:t>
      </w:r>
      <w:r w:rsidRPr="00CD2EEF">
        <w:rPr>
          <w:rStyle w:val="LPnavadenpoevno"/>
          <w:lang w:val="en-GB"/>
        </w:rPr>
        <w:t>SSG-48</w:t>
      </w:r>
      <w:r w:rsidR="00377F35" w:rsidRPr="007F5EBF">
        <w:rPr>
          <w:rStyle w:val="LPnavadenpoevno"/>
          <w:i w:val="0"/>
          <w:iCs/>
          <w:lang w:val="en-GB"/>
        </w:rPr>
        <w:t>,</w:t>
      </w:r>
      <w:r w:rsidRPr="007F5EBF">
        <w:rPr>
          <w:rStyle w:val="LPnavadenpoevno"/>
          <w:lang w:val="en-GB"/>
        </w:rPr>
        <w:t xml:space="preserve"> </w:t>
      </w:r>
      <w:r w:rsidR="007219D2" w:rsidRPr="007F5EBF">
        <w:rPr>
          <w:rStyle w:val="LPnavadenpoevno"/>
          <w:lang w:val="en-GB"/>
        </w:rPr>
        <w:t>“</w:t>
      </w:r>
      <w:r w:rsidRPr="007F5EBF">
        <w:rPr>
          <w:rStyle w:val="LPnavadenpoevno"/>
          <w:lang w:val="en-GB"/>
        </w:rPr>
        <w:t>Ageing Management and Development of a Programme for Long</w:t>
      </w:r>
      <w:r w:rsidR="00581206" w:rsidRPr="007F5EBF">
        <w:rPr>
          <w:rStyle w:val="LPnavadenpoevno"/>
          <w:lang w:val="en-GB"/>
        </w:rPr>
        <w:t>-t</w:t>
      </w:r>
      <w:r w:rsidRPr="007F5EBF">
        <w:rPr>
          <w:rStyle w:val="LPnavadenpoevno"/>
          <w:lang w:val="en-GB"/>
        </w:rPr>
        <w:t>erm Operation of Nuclear Power Plants</w:t>
      </w:r>
      <w:r w:rsidR="007219D2" w:rsidRPr="007F5EBF">
        <w:rPr>
          <w:rStyle w:val="LPnavadenpoevno"/>
          <w:lang w:val="en-GB"/>
        </w:rPr>
        <w:t>”</w:t>
      </w:r>
      <w:r w:rsidR="00377F35" w:rsidRPr="007F5EBF">
        <w:rPr>
          <w:rStyle w:val="LPnavadenpoevno"/>
          <w:i w:val="0"/>
          <w:iCs/>
          <w:lang w:val="en-GB"/>
        </w:rPr>
        <w:t>,</w:t>
      </w:r>
      <w:r w:rsidRPr="007F5EBF">
        <w:rPr>
          <w:lang w:val="en-GB"/>
        </w:rPr>
        <w:t xml:space="preserve"> w</w:t>
      </w:r>
      <w:r w:rsidRPr="00CD2EEF">
        <w:rPr>
          <w:lang w:val="en-GB"/>
        </w:rPr>
        <w:t xml:space="preserve">as also planned to be performed. </w:t>
      </w:r>
      <w:r w:rsidR="00A726E8">
        <w:rPr>
          <w:lang w:val="en-GB"/>
        </w:rPr>
        <w:t>The</w:t>
      </w:r>
      <w:r w:rsidR="00E63423">
        <w:rPr>
          <w:lang w:val="en-GB"/>
        </w:rPr>
        <w:t xml:space="preserve"> SNSA</w:t>
      </w:r>
      <w:r w:rsidRPr="00CD2EEF">
        <w:rPr>
          <w:lang w:val="en-GB"/>
        </w:rPr>
        <w:t xml:space="preserve"> has already reviewed and approved the programme for PSR3</w:t>
      </w:r>
      <w:r w:rsidR="00522DD1">
        <w:rPr>
          <w:lang w:val="en-GB"/>
        </w:rPr>
        <w:t>,</w:t>
      </w:r>
      <w:r w:rsidRPr="00CD2EEF">
        <w:rPr>
          <w:lang w:val="en-GB"/>
        </w:rPr>
        <w:t xml:space="preserve"> which is based on IAEA SSG-25</w:t>
      </w:r>
      <w:r w:rsidR="00522DD1">
        <w:rPr>
          <w:lang w:val="en-GB"/>
        </w:rPr>
        <w:t>,</w:t>
      </w:r>
      <w:r w:rsidRPr="00CD2EEF">
        <w:rPr>
          <w:lang w:val="en-GB"/>
        </w:rPr>
        <w:t xml:space="preserve"> </w:t>
      </w:r>
      <w:r w:rsidR="007219D2">
        <w:rPr>
          <w:lang w:val="en-GB"/>
        </w:rPr>
        <w:t>“</w:t>
      </w:r>
      <w:r w:rsidRPr="00CD2EEF">
        <w:rPr>
          <w:lang w:val="en-GB"/>
        </w:rPr>
        <w:t>Periodic Safety Review for Nuclear Power Plants</w:t>
      </w:r>
      <w:r w:rsidR="007219D2">
        <w:rPr>
          <w:lang w:val="en-GB"/>
        </w:rPr>
        <w:t>”</w:t>
      </w:r>
      <w:r w:rsidR="00522DD1">
        <w:rPr>
          <w:lang w:val="en-GB"/>
        </w:rPr>
        <w:t>,</w:t>
      </w:r>
      <w:r w:rsidRPr="00CD2EEF">
        <w:rPr>
          <w:lang w:val="en-GB"/>
        </w:rPr>
        <w:t xml:space="preserve"> and is extended with requirements from Slovenian legislation (</w:t>
      </w:r>
      <w:r w:rsidR="00522DD1">
        <w:rPr>
          <w:lang w:val="en-GB"/>
        </w:rPr>
        <w:t xml:space="preserve">the </w:t>
      </w:r>
      <w:r w:rsidRPr="00CD2EEF">
        <w:rPr>
          <w:lang w:val="en-GB"/>
        </w:rPr>
        <w:t xml:space="preserve">JV9 Rules). The other action that addresses the general </w:t>
      </w:r>
      <w:r w:rsidRPr="00FC1601">
        <w:rPr>
          <w:lang w:val="en-GB"/>
        </w:rPr>
        <w:t>Ageing Management Programme</w:t>
      </w:r>
      <w:r w:rsidRPr="00CD2EEF">
        <w:rPr>
          <w:lang w:val="en-GB"/>
        </w:rPr>
        <w:t xml:space="preserve"> refers to the identification of ageing mechanisms and</w:t>
      </w:r>
      <w:r w:rsidR="00522DD1">
        <w:rPr>
          <w:lang w:val="en-GB"/>
        </w:rPr>
        <w:t xml:space="preserve"> the</w:t>
      </w:r>
      <w:r w:rsidRPr="00CD2EEF">
        <w:rPr>
          <w:lang w:val="en-GB"/>
        </w:rPr>
        <w:t xml:space="preserve"> implementation of appropriate measures during extended shutdowns of the NPP</w:t>
      </w:r>
      <w:r w:rsidR="00E63423">
        <w:rPr>
          <w:lang w:val="en-GB"/>
        </w:rPr>
        <w:t>. The SNSA</w:t>
      </w:r>
      <w:r w:rsidRPr="00CD2EEF">
        <w:rPr>
          <w:lang w:val="en-GB"/>
        </w:rPr>
        <w:t xml:space="preserve"> has reviewed the legislation regarding this matter and prepared appropriate amendments </w:t>
      </w:r>
      <w:r w:rsidR="00522DD1">
        <w:rPr>
          <w:lang w:val="en-GB"/>
        </w:rPr>
        <w:t>to</w:t>
      </w:r>
      <w:r w:rsidR="00522DD1" w:rsidRPr="00CD2EEF">
        <w:rPr>
          <w:lang w:val="en-GB"/>
        </w:rPr>
        <w:t xml:space="preserve"> </w:t>
      </w:r>
      <w:r w:rsidRPr="00CD2EEF">
        <w:rPr>
          <w:lang w:val="en-GB"/>
        </w:rPr>
        <w:t>the JV9 Rules. These amendments are included in the new revision of Rules JV9</w:t>
      </w:r>
      <w:r w:rsidR="00522DD1">
        <w:rPr>
          <w:lang w:val="en-GB"/>
        </w:rPr>
        <w:t xml:space="preserve">, which </w:t>
      </w:r>
      <w:r w:rsidRPr="00CD2EEF">
        <w:rPr>
          <w:lang w:val="en-GB"/>
        </w:rPr>
        <w:t>was submitted to public proceedings as a draft version in December 2021.</w:t>
      </w:r>
    </w:p>
    <w:p w14:paraId="686F26E3" w14:textId="5A884CC0" w:rsidR="00CB3A79" w:rsidRPr="00CD2EEF" w:rsidRDefault="00CB3A79" w:rsidP="005F2979">
      <w:pPr>
        <w:pStyle w:val="LPnavaden"/>
        <w:rPr>
          <w:lang w:val="en-GB"/>
        </w:rPr>
      </w:pPr>
      <w:r w:rsidRPr="00CD2EEF">
        <w:rPr>
          <w:lang w:val="en-GB"/>
        </w:rPr>
        <w:t xml:space="preserve">In March 2021, </w:t>
      </w:r>
      <w:r w:rsidR="00A726E8">
        <w:rPr>
          <w:lang w:val="en-GB"/>
        </w:rPr>
        <w:t>the</w:t>
      </w:r>
      <w:r w:rsidR="00E63423">
        <w:rPr>
          <w:lang w:val="en-GB"/>
        </w:rPr>
        <w:t xml:space="preserve"> SNSA</w:t>
      </w:r>
      <w:r w:rsidRPr="00CD2EEF">
        <w:rPr>
          <w:lang w:val="en-GB"/>
        </w:rPr>
        <w:t xml:space="preserve"> carried out a thematic inspection of concrete structures important to safety, including the containment concrete shield building</w:t>
      </w:r>
      <w:r w:rsidR="000E66E9">
        <w:rPr>
          <w:lang w:val="en-GB"/>
        </w:rPr>
        <w:t>,</w:t>
      </w:r>
      <w:r w:rsidRPr="00CD2EEF">
        <w:rPr>
          <w:lang w:val="en-GB"/>
        </w:rPr>
        <w:t xml:space="preserve"> </w:t>
      </w:r>
      <w:r w:rsidR="000E66E9">
        <w:rPr>
          <w:lang w:val="en-GB"/>
        </w:rPr>
        <w:t>which</w:t>
      </w:r>
      <w:r w:rsidR="000E66E9" w:rsidRPr="00CD2EEF">
        <w:rPr>
          <w:lang w:val="en-GB"/>
        </w:rPr>
        <w:t xml:space="preserve"> </w:t>
      </w:r>
      <w:r w:rsidRPr="00CD2EEF">
        <w:rPr>
          <w:lang w:val="en-GB"/>
        </w:rPr>
        <w:t xml:space="preserve">is also subjected to activities within the TPR Action Plan. The conclusions of the inspection were that </w:t>
      </w:r>
      <w:r w:rsidR="001B146F">
        <w:rPr>
          <w:lang w:val="en-GB"/>
        </w:rPr>
        <w:t>the Krško NPP</w:t>
      </w:r>
      <w:r w:rsidRPr="00CD2EEF">
        <w:rPr>
          <w:lang w:val="en-GB"/>
        </w:rPr>
        <w:t xml:space="preserve"> follows the development of the relevant Non-Destructive Examination (NDE) methods and applies them appropriately.</w:t>
      </w:r>
      <w:r w:rsidR="008A1E6B">
        <w:rPr>
          <w:lang w:val="en-GB"/>
        </w:rPr>
        <w:t xml:space="preserve"> </w:t>
      </w:r>
      <w:r w:rsidRPr="00CD2EEF">
        <w:rPr>
          <w:lang w:val="en-GB"/>
        </w:rPr>
        <w:t>These methods include</w:t>
      </w:r>
      <w:r w:rsidR="000E66E9">
        <w:rPr>
          <w:lang w:val="en-GB"/>
        </w:rPr>
        <w:t>,</w:t>
      </w:r>
      <w:r w:rsidRPr="00CD2EEF">
        <w:rPr>
          <w:lang w:val="en-GB"/>
        </w:rPr>
        <w:t xml:space="preserve"> above all</w:t>
      </w:r>
      <w:r w:rsidR="000E66E9">
        <w:rPr>
          <w:lang w:val="en-GB"/>
        </w:rPr>
        <w:t>,</w:t>
      </w:r>
      <w:r w:rsidRPr="00CD2EEF">
        <w:rPr>
          <w:lang w:val="en-GB"/>
        </w:rPr>
        <w:t xml:space="preserve"> the georadar method</w:t>
      </w:r>
      <w:r w:rsidR="000E66E9">
        <w:rPr>
          <w:lang w:val="en-GB"/>
        </w:rPr>
        <w:t>, which</w:t>
      </w:r>
      <w:r w:rsidRPr="00CD2EEF">
        <w:rPr>
          <w:lang w:val="en-GB"/>
        </w:rPr>
        <w:t xml:space="preserve"> can detect segregation states in concrete up to </w:t>
      </w:r>
      <w:r w:rsidR="000E66E9">
        <w:rPr>
          <w:lang w:val="en-GB"/>
        </w:rPr>
        <w:t>a</w:t>
      </w:r>
      <w:r w:rsidR="000E66E9" w:rsidRPr="00CD2EEF">
        <w:rPr>
          <w:lang w:val="en-GB"/>
        </w:rPr>
        <w:t xml:space="preserve"> </w:t>
      </w:r>
      <w:r w:rsidRPr="00CD2EEF">
        <w:rPr>
          <w:lang w:val="en-GB"/>
        </w:rPr>
        <w:t xml:space="preserve">depth of </w:t>
      </w:r>
      <w:r w:rsidR="000E66E9">
        <w:rPr>
          <w:lang w:val="en-GB"/>
        </w:rPr>
        <w:t>three</w:t>
      </w:r>
      <w:r w:rsidRPr="00CD2EEF">
        <w:rPr>
          <w:lang w:val="en-GB"/>
        </w:rPr>
        <w:t xml:space="preserve"> meters, and ultrasound inspection methods </w:t>
      </w:r>
      <w:r w:rsidRPr="00CD2EEF">
        <w:rPr>
          <w:lang w:val="en-GB"/>
        </w:rPr>
        <w:lastRenderedPageBreak/>
        <w:t xml:space="preserve">(UT) that enable </w:t>
      </w:r>
      <w:r w:rsidR="000E66E9">
        <w:rPr>
          <w:lang w:val="en-GB"/>
        </w:rPr>
        <w:t xml:space="preserve">the </w:t>
      </w:r>
      <w:r w:rsidRPr="00CD2EEF">
        <w:rPr>
          <w:lang w:val="en-GB"/>
        </w:rPr>
        <w:t>detection of non-homogeneities, cracks</w:t>
      </w:r>
      <w:r w:rsidR="000E66E9">
        <w:rPr>
          <w:lang w:val="en-GB"/>
        </w:rPr>
        <w:t>,</w:t>
      </w:r>
      <w:r w:rsidRPr="00CD2EEF">
        <w:rPr>
          <w:lang w:val="en-GB"/>
        </w:rPr>
        <w:t xml:space="preserve"> and other concrete damage. Apart from that, </w:t>
      </w:r>
      <w:r w:rsidR="001B146F">
        <w:rPr>
          <w:lang w:val="en-GB"/>
        </w:rPr>
        <w:t>the Krško NPP</w:t>
      </w:r>
      <w:r w:rsidRPr="00CD2EEF">
        <w:rPr>
          <w:lang w:val="en-GB"/>
        </w:rPr>
        <w:t xml:space="preserve"> carries out appropriate activities in order to ensure that the buried part of the containment </w:t>
      </w:r>
      <w:r w:rsidR="000E66E9">
        <w:rPr>
          <w:lang w:val="en-GB"/>
        </w:rPr>
        <w:t>is</w:t>
      </w:r>
      <w:r w:rsidR="000E66E9" w:rsidRPr="00CD2EEF">
        <w:rPr>
          <w:lang w:val="en-GB"/>
        </w:rPr>
        <w:t xml:space="preserve"> </w:t>
      </w:r>
      <w:r w:rsidRPr="00CD2EEF">
        <w:rPr>
          <w:lang w:val="en-GB"/>
        </w:rPr>
        <w:t xml:space="preserve">surrounded by </w:t>
      </w:r>
      <w:r w:rsidR="000E66E9">
        <w:rPr>
          <w:lang w:val="en-GB"/>
        </w:rPr>
        <w:t>a</w:t>
      </w:r>
      <w:r w:rsidR="000E66E9" w:rsidRPr="00CD2EEF">
        <w:rPr>
          <w:lang w:val="en-GB"/>
        </w:rPr>
        <w:t xml:space="preserve"> </w:t>
      </w:r>
      <w:r w:rsidRPr="00CD2EEF">
        <w:rPr>
          <w:lang w:val="en-GB"/>
        </w:rPr>
        <w:t>chemically non-aggressive environment.</w:t>
      </w:r>
    </w:p>
    <w:p w14:paraId="0B33C4F5" w14:textId="77678AAF" w:rsidR="00CB3A79" w:rsidRPr="00CD2EEF" w:rsidRDefault="001B146F" w:rsidP="00E53EE4">
      <w:pPr>
        <w:pStyle w:val="LPnavaden"/>
        <w:rPr>
          <w:lang w:val="en-GB"/>
        </w:rPr>
      </w:pPr>
      <w:r>
        <w:rPr>
          <w:lang w:val="en-GB"/>
        </w:rPr>
        <w:t>The Krško NPP</w:t>
      </w:r>
      <w:r w:rsidR="00CB3A79" w:rsidRPr="00CD2EEF">
        <w:rPr>
          <w:lang w:val="en-GB"/>
        </w:rPr>
        <w:t xml:space="preserve"> has also made a commitment within the TPR Action Plan that it would revise the programme TD-2N </w:t>
      </w:r>
      <w:r w:rsidR="00263D93">
        <w:rPr>
          <w:lang w:val="en-GB"/>
        </w:rPr>
        <w:t>“</w:t>
      </w:r>
      <w:r w:rsidR="00CB3A79" w:rsidRPr="00CD2EEF">
        <w:rPr>
          <w:lang w:val="en-GB"/>
        </w:rPr>
        <w:t xml:space="preserve"> Structures Monitoring Programme</w:t>
      </w:r>
      <w:r w:rsidR="00263D93">
        <w:rPr>
          <w:lang w:val="en-GB"/>
        </w:rPr>
        <w:t>”</w:t>
      </w:r>
      <w:r w:rsidR="00CB3A79" w:rsidRPr="00CD2EEF">
        <w:rPr>
          <w:lang w:val="en-GB"/>
        </w:rPr>
        <w:t xml:space="preserve"> to include a section addressing </w:t>
      </w:r>
      <w:r w:rsidR="000E66E9">
        <w:rPr>
          <w:lang w:val="en-GB"/>
        </w:rPr>
        <w:t xml:space="preserve">the </w:t>
      </w:r>
      <w:r w:rsidR="00CB3A79" w:rsidRPr="00CD2EEF">
        <w:rPr>
          <w:lang w:val="en-GB"/>
        </w:rPr>
        <w:t xml:space="preserve">NDE of inaccessible parts of the concrete shield building structure. The TD-2N programme was still not revised in 2021, partly due to </w:t>
      </w:r>
      <w:r w:rsidR="000E66E9">
        <w:rPr>
          <w:lang w:val="en-GB"/>
        </w:rPr>
        <w:t xml:space="preserve">the </w:t>
      </w:r>
      <w:r w:rsidR="00CB3A79" w:rsidRPr="00CD2EEF">
        <w:rPr>
          <w:lang w:val="en-GB"/>
        </w:rPr>
        <w:t>Covid-</w:t>
      </w:r>
      <w:r w:rsidR="00CB3A79" w:rsidRPr="005A1023">
        <w:rPr>
          <w:lang w:val="en-GB"/>
        </w:rPr>
        <w:t xml:space="preserve">19 </w:t>
      </w:r>
      <w:r w:rsidR="00EB3A1B" w:rsidRPr="005A1023">
        <w:rPr>
          <w:lang w:val="en-GB"/>
        </w:rPr>
        <w:t>epi</w:t>
      </w:r>
      <w:r w:rsidR="00CB3A79" w:rsidRPr="005A1023">
        <w:rPr>
          <w:lang w:val="en-GB"/>
        </w:rPr>
        <w:t>demic and</w:t>
      </w:r>
      <w:r w:rsidR="00CB3A79" w:rsidRPr="00CD2EEF">
        <w:rPr>
          <w:lang w:val="en-GB"/>
        </w:rPr>
        <w:t xml:space="preserve"> partly due to the IAEA Pre-SALTO mission that took place at </w:t>
      </w:r>
      <w:r>
        <w:rPr>
          <w:lang w:val="en-GB"/>
        </w:rPr>
        <w:t>the Krško NPP</w:t>
      </w:r>
      <w:r w:rsidR="00CB3A79" w:rsidRPr="00CD2EEF">
        <w:rPr>
          <w:lang w:val="en-GB"/>
        </w:rPr>
        <w:t xml:space="preserve"> in October 2021; the NPP aims to include some </w:t>
      </w:r>
      <w:r w:rsidR="000E66E9">
        <w:rPr>
          <w:lang w:val="en-GB"/>
        </w:rPr>
        <w:t>p</w:t>
      </w:r>
      <w:r w:rsidR="00CB3A79" w:rsidRPr="00CD2EEF">
        <w:rPr>
          <w:lang w:val="en-GB"/>
        </w:rPr>
        <w:t>re-SALTO mission findings into the revision of the TD-2N programme</w:t>
      </w:r>
      <w:r w:rsidR="000E66E9">
        <w:rPr>
          <w:lang w:val="en-GB"/>
        </w:rPr>
        <w:t>, which should</w:t>
      </w:r>
      <w:r w:rsidR="00CB3A79" w:rsidRPr="00CD2EEF">
        <w:rPr>
          <w:lang w:val="en-GB"/>
        </w:rPr>
        <w:t xml:space="preserve"> be available no later than in April 2022</w:t>
      </w:r>
      <w:r w:rsidR="000E66E9">
        <w:rPr>
          <w:lang w:val="en-GB"/>
        </w:rPr>
        <w:t>,</w:t>
      </w:r>
      <w:r w:rsidR="00CB3A79" w:rsidRPr="00CD2EEF">
        <w:rPr>
          <w:lang w:val="en-GB"/>
        </w:rPr>
        <w:t xml:space="preserve"> and reviewed by </w:t>
      </w:r>
      <w:r w:rsidR="00A726E8">
        <w:rPr>
          <w:lang w:val="en-GB"/>
        </w:rPr>
        <w:t>the</w:t>
      </w:r>
      <w:r w:rsidR="00E63423">
        <w:rPr>
          <w:lang w:val="en-GB"/>
        </w:rPr>
        <w:t xml:space="preserve"> SNSA</w:t>
      </w:r>
      <w:r w:rsidR="00CB3A79" w:rsidRPr="00CD2EEF">
        <w:rPr>
          <w:lang w:val="en-GB"/>
        </w:rPr>
        <w:t xml:space="preserve"> accordingly.</w:t>
      </w:r>
    </w:p>
    <w:p w14:paraId="5C17B375" w14:textId="16C2A692" w:rsidR="00CB3A79" w:rsidRPr="00CD2EEF" w:rsidRDefault="000E66E9" w:rsidP="00E53EE4">
      <w:pPr>
        <w:pStyle w:val="LPnavaden"/>
        <w:rPr>
          <w:lang w:val="en-GB"/>
        </w:rPr>
      </w:pPr>
      <w:r>
        <w:rPr>
          <w:lang w:val="en-GB"/>
        </w:rPr>
        <w:t>T</w:t>
      </w:r>
      <w:r w:rsidR="00E63423">
        <w:rPr>
          <w:lang w:val="en-GB"/>
        </w:rPr>
        <w:t>he SNSA</w:t>
      </w:r>
      <w:r w:rsidR="00CB3A79" w:rsidRPr="00CD2EEF">
        <w:rPr>
          <w:lang w:val="en-GB"/>
        </w:rPr>
        <w:t xml:space="preserve"> submitted a status report on the implementation of the TPR Action Plan to ENSREG at the end of May 2021. Apart from two actions that were delayed due to </w:t>
      </w:r>
      <w:r w:rsidR="000A118E">
        <w:rPr>
          <w:lang w:val="en-GB"/>
        </w:rPr>
        <w:t xml:space="preserve">the </w:t>
      </w:r>
      <w:r w:rsidR="00CB3A79" w:rsidRPr="00CD2EEF">
        <w:rPr>
          <w:lang w:val="en-GB"/>
        </w:rPr>
        <w:t>above</w:t>
      </w:r>
      <w:r w:rsidR="000A118E">
        <w:rPr>
          <w:lang w:val="en-GB"/>
        </w:rPr>
        <w:t>-</w:t>
      </w:r>
      <w:r w:rsidR="00CB3A79" w:rsidRPr="00CD2EEF">
        <w:rPr>
          <w:lang w:val="en-GB"/>
        </w:rPr>
        <w:t xml:space="preserve">stated circumstances, all other actions from the TPR Action Plan were completed in time. </w:t>
      </w:r>
      <w:r w:rsidR="000A118E">
        <w:rPr>
          <w:lang w:val="en-GB"/>
        </w:rPr>
        <w:t>The n</w:t>
      </w:r>
      <w:r w:rsidR="00CB3A79" w:rsidRPr="00CD2EEF">
        <w:rPr>
          <w:lang w:val="en-GB"/>
        </w:rPr>
        <w:t>ext reporting on the TPR Action Plan implementation status is scheduled for 2023.</w:t>
      </w:r>
    </w:p>
    <w:p w14:paraId="144C8226" w14:textId="447CF5B2" w:rsidR="00CB3A79" w:rsidRPr="00CD2EEF" w:rsidRDefault="00CB3A79" w:rsidP="00CB3A79">
      <w:pPr>
        <w:pStyle w:val="LPNaslov4"/>
        <w:rPr>
          <w:lang w:val="en-GB"/>
        </w:rPr>
      </w:pPr>
      <w:bookmarkStart w:id="78" w:name="_Hlk103687122"/>
      <w:r w:rsidRPr="00CD2EEF">
        <w:rPr>
          <w:lang w:val="en-GB"/>
        </w:rPr>
        <w:t xml:space="preserve"> 2021</w:t>
      </w:r>
      <w:r w:rsidR="003B2BEF" w:rsidRPr="003B2BEF">
        <w:rPr>
          <w:lang w:val="en-GB"/>
        </w:rPr>
        <w:t xml:space="preserve"> </w:t>
      </w:r>
      <w:r w:rsidR="003B2BEF" w:rsidRPr="00CD2EEF">
        <w:rPr>
          <w:lang w:val="en-GB"/>
        </w:rPr>
        <w:t>Outage</w:t>
      </w:r>
    </w:p>
    <w:p w14:paraId="56299BD5" w14:textId="2A03BE87" w:rsidR="00CB3A79" w:rsidRPr="00CD2EEF" w:rsidRDefault="00CB3A79" w:rsidP="00AB4D92">
      <w:pPr>
        <w:pStyle w:val="LPnavaden"/>
        <w:rPr>
          <w:lang w:val="en-GB"/>
        </w:rPr>
      </w:pPr>
      <w:r w:rsidRPr="00CD2EEF">
        <w:rPr>
          <w:lang w:val="en-GB"/>
        </w:rPr>
        <w:t>After 18 months of safe and stable operation</w:t>
      </w:r>
      <w:r w:rsidR="009B308E">
        <w:rPr>
          <w:lang w:val="en-GB"/>
        </w:rPr>
        <w:t>,</w:t>
      </w:r>
      <w:r w:rsidRPr="00CD2EEF">
        <w:rPr>
          <w:lang w:val="en-GB"/>
        </w:rPr>
        <w:t xml:space="preserve"> a regular outage commenced in </w:t>
      </w:r>
      <w:r w:rsidR="001B146F">
        <w:rPr>
          <w:lang w:val="en-GB"/>
        </w:rPr>
        <w:t>the Krško NPP</w:t>
      </w:r>
      <w:r w:rsidRPr="00CD2EEF">
        <w:rPr>
          <w:lang w:val="en-GB"/>
        </w:rPr>
        <w:t xml:space="preserve"> on 1 April; it ended on 5 May as planned.</w:t>
      </w:r>
    </w:p>
    <w:p w14:paraId="154C24C8" w14:textId="7BCAB5E2" w:rsidR="00CB3A79" w:rsidRPr="003710F1" w:rsidRDefault="00CB3A79" w:rsidP="00AB4D92">
      <w:pPr>
        <w:pStyle w:val="LPnavaden"/>
        <w:rPr>
          <w:lang w:val="en-GB"/>
        </w:rPr>
      </w:pPr>
      <w:r w:rsidRPr="00CD2EEF">
        <w:rPr>
          <w:lang w:val="en-GB"/>
        </w:rPr>
        <w:t>During the 2021 outage, the following important activities were performed, in addition to changing part of the fuel (</w:t>
      </w:r>
      <w:r w:rsidR="009B308E">
        <w:rPr>
          <w:lang w:val="en-GB"/>
        </w:rPr>
        <w:t xml:space="preserve">the </w:t>
      </w:r>
      <w:r w:rsidRPr="00CD2EEF">
        <w:rPr>
          <w:lang w:val="en-GB"/>
        </w:rPr>
        <w:t>replacement of 56 of the 121 fuel elements): extensive maintenance work and some technological improvements/modifications or upgrades</w:t>
      </w:r>
      <w:r w:rsidR="009B308E">
        <w:rPr>
          <w:lang w:val="en-GB"/>
        </w:rPr>
        <w:t>,</w:t>
      </w:r>
      <w:r w:rsidRPr="00CD2EEF">
        <w:rPr>
          <w:lang w:val="en-GB"/>
        </w:rPr>
        <w:t xml:space="preserve"> </w:t>
      </w:r>
      <w:r w:rsidR="009B308E">
        <w:rPr>
          <w:lang w:val="en-GB"/>
        </w:rPr>
        <w:t>which</w:t>
      </w:r>
      <w:r w:rsidR="009B308E" w:rsidRPr="00CD2EEF">
        <w:rPr>
          <w:lang w:val="en-GB"/>
        </w:rPr>
        <w:t xml:space="preserve"> </w:t>
      </w:r>
      <w:r w:rsidRPr="00CD2EEF">
        <w:rPr>
          <w:lang w:val="en-GB"/>
        </w:rPr>
        <w:t xml:space="preserve">will continue to ensure a high level of nuclear and radiation safety. Among the most important activities were the overhaul of the electric motor pump </w:t>
      </w:r>
      <w:r w:rsidR="009B308E">
        <w:rPr>
          <w:lang w:val="en-GB"/>
        </w:rPr>
        <w:t>for</w:t>
      </w:r>
      <w:r w:rsidR="009B308E" w:rsidRPr="00CD2EEF">
        <w:rPr>
          <w:lang w:val="en-GB"/>
        </w:rPr>
        <w:t xml:space="preserve"> </w:t>
      </w:r>
      <w:r w:rsidRPr="00CD2EEF">
        <w:rPr>
          <w:lang w:val="en-GB"/>
        </w:rPr>
        <w:t>auxiliary feed water on train B, work on the diesel generator DG2,</w:t>
      </w:r>
      <w:r w:rsidR="009B55C9">
        <w:rPr>
          <w:lang w:val="en-GB"/>
        </w:rPr>
        <w:t xml:space="preserve"> and</w:t>
      </w:r>
      <w:r w:rsidRPr="00CD2EEF">
        <w:rPr>
          <w:lang w:val="en-GB"/>
        </w:rPr>
        <w:t xml:space="preserve"> activities </w:t>
      </w:r>
      <w:r w:rsidR="009B308E">
        <w:rPr>
          <w:lang w:val="en-GB"/>
        </w:rPr>
        <w:t>involving</w:t>
      </w:r>
      <w:r w:rsidR="009B308E" w:rsidRPr="00CD2EEF">
        <w:rPr>
          <w:lang w:val="en-GB"/>
        </w:rPr>
        <w:t xml:space="preserve"> </w:t>
      </w:r>
      <w:r w:rsidRPr="00CD2EEF">
        <w:rPr>
          <w:lang w:val="en-GB"/>
        </w:rPr>
        <w:t xml:space="preserve">non-destructive testing under the </w:t>
      </w:r>
      <w:r w:rsidR="009B55C9">
        <w:rPr>
          <w:lang w:val="en-GB"/>
        </w:rPr>
        <w:t>ten</w:t>
      </w:r>
      <w:r w:rsidRPr="00CD2EEF">
        <w:rPr>
          <w:lang w:val="en-GB"/>
        </w:rPr>
        <w:t xml:space="preserve">-year plan of in-service inspections of the primary circuit and reactor vessel. A sample of the U-tubes of both steam generators was inspected by the eddy current method. The electric motor of reactor cooling </w:t>
      </w:r>
      <w:r w:rsidRPr="003710F1">
        <w:rPr>
          <w:lang w:val="en-GB"/>
        </w:rPr>
        <w:t>pump</w:t>
      </w:r>
      <w:r w:rsidR="009B55C9" w:rsidRPr="003710F1">
        <w:rPr>
          <w:lang w:val="en-GB"/>
        </w:rPr>
        <w:t xml:space="preserve"> No.</w:t>
      </w:r>
      <w:r w:rsidR="00283DDA" w:rsidRPr="003710F1">
        <w:rPr>
          <w:lang w:val="en-GB"/>
        </w:rPr>
        <w:t xml:space="preserve"> </w:t>
      </w:r>
      <w:r w:rsidRPr="003710F1">
        <w:rPr>
          <w:lang w:val="en-GB"/>
        </w:rPr>
        <w:t>1 was replaced with a refurbished one, and extensive work was also done on the turbine</w:t>
      </w:r>
      <w:r w:rsidR="00867032" w:rsidRPr="003710F1">
        <w:rPr>
          <w:lang w:val="en-GB"/>
        </w:rPr>
        <w:t>,</w:t>
      </w:r>
      <w:r w:rsidRPr="003710F1">
        <w:rPr>
          <w:lang w:val="en-GB"/>
        </w:rPr>
        <w:t xml:space="preserve"> with </w:t>
      </w:r>
      <w:r w:rsidR="00867032" w:rsidRPr="003710F1">
        <w:rPr>
          <w:lang w:val="en-GB"/>
        </w:rPr>
        <w:t xml:space="preserve">the </w:t>
      </w:r>
      <w:r w:rsidRPr="003710F1">
        <w:rPr>
          <w:lang w:val="en-GB"/>
        </w:rPr>
        <w:t>associated valves and condenser.</w:t>
      </w:r>
    </w:p>
    <w:p w14:paraId="252BBD70" w14:textId="2AFD12FB" w:rsidR="00CB3A79" w:rsidRPr="00CD2EEF" w:rsidRDefault="00CB3A79" w:rsidP="00AB4D92">
      <w:pPr>
        <w:pStyle w:val="LPnavaden"/>
        <w:rPr>
          <w:lang w:val="en-GB"/>
        </w:rPr>
      </w:pPr>
      <w:r w:rsidRPr="003710F1">
        <w:rPr>
          <w:lang w:val="en-GB"/>
        </w:rPr>
        <w:t xml:space="preserve">Regular outage activities were executed professionally and in accordance with approved procedures. </w:t>
      </w:r>
      <w:r w:rsidR="00867032" w:rsidRPr="003710F1">
        <w:rPr>
          <w:lang w:val="en-GB"/>
        </w:rPr>
        <w:t>The r</w:t>
      </w:r>
      <w:r w:rsidRPr="003710F1">
        <w:rPr>
          <w:lang w:val="en-GB"/>
        </w:rPr>
        <w:t xml:space="preserve">esults of inspections and tests showed no unexpected equipment deficiencies or deviations, with a few exceptions. </w:t>
      </w:r>
      <w:r w:rsidR="006E4501" w:rsidRPr="003710F1">
        <w:rPr>
          <w:lang w:val="en-GB"/>
        </w:rPr>
        <w:t>The i</w:t>
      </w:r>
      <w:r w:rsidRPr="003710F1">
        <w:rPr>
          <w:lang w:val="en-GB"/>
        </w:rPr>
        <w:t xml:space="preserve">mportant events during this outage were </w:t>
      </w:r>
      <w:r w:rsidR="00867032" w:rsidRPr="003710F1">
        <w:rPr>
          <w:lang w:val="en-GB"/>
        </w:rPr>
        <w:t>primarily</w:t>
      </w:r>
      <w:r w:rsidRPr="003710F1">
        <w:rPr>
          <w:lang w:val="en-GB"/>
        </w:rPr>
        <w:t xml:space="preserve"> the leakage </w:t>
      </w:r>
      <w:r w:rsidR="00867032" w:rsidRPr="003710F1">
        <w:rPr>
          <w:lang w:val="en-GB"/>
        </w:rPr>
        <w:t xml:space="preserve">in </w:t>
      </w:r>
      <w:r w:rsidRPr="003710F1">
        <w:rPr>
          <w:lang w:val="en-GB"/>
        </w:rPr>
        <w:t>the isolation valve of the system for alternative residual heat removal (ARHR)</w:t>
      </w:r>
      <w:r w:rsidR="00867032" w:rsidRPr="003710F1">
        <w:rPr>
          <w:lang w:val="en-GB"/>
        </w:rPr>
        <w:t>,</w:t>
      </w:r>
      <w:r w:rsidRPr="003710F1">
        <w:rPr>
          <w:lang w:val="en-GB"/>
        </w:rPr>
        <w:t xml:space="preserve"> </w:t>
      </w:r>
      <w:r w:rsidR="006E4501" w:rsidRPr="003710F1">
        <w:rPr>
          <w:lang w:val="en-GB"/>
        </w:rPr>
        <w:t xml:space="preserve">regarding which </w:t>
      </w:r>
      <w:r w:rsidRPr="003710F1">
        <w:rPr>
          <w:lang w:val="en-GB"/>
        </w:rPr>
        <w:t xml:space="preserve">the NPP plans to change the design; </w:t>
      </w:r>
      <w:r w:rsidR="00867032" w:rsidRPr="003710F1">
        <w:rPr>
          <w:lang w:val="en-GB"/>
        </w:rPr>
        <w:t xml:space="preserve">the </w:t>
      </w:r>
      <w:r w:rsidRPr="003710F1">
        <w:rPr>
          <w:lang w:val="en-GB"/>
        </w:rPr>
        <w:t xml:space="preserve">cutting of the pipeline of the auxiliary feedwater system (AF) without </w:t>
      </w:r>
      <w:r w:rsidR="00CA4049" w:rsidRPr="003710F1">
        <w:rPr>
          <w:lang w:val="en-GB"/>
        </w:rPr>
        <w:t xml:space="preserve">the required </w:t>
      </w:r>
      <w:r w:rsidRPr="003710F1">
        <w:rPr>
          <w:lang w:val="en-GB"/>
        </w:rPr>
        <w:t xml:space="preserve">prerequisites; </w:t>
      </w:r>
      <w:r w:rsidR="006E4501" w:rsidRPr="003710F1">
        <w:rPr>
          <w:lang w:val="en-GB"/>
        </w:rPr>
        <w:t xml:space="preserve">the </w:t>
      </w:r>
      <w:r w:rsidRPr="003710F1">
        <w:rPr>
          <w:lang w:val="en-GB"/>
        </w:rPr>
        <w:t xml:space="preserve">occurrence of foreign material in different components and systems; </w:t>
      </w:r>
      <w:r w:rsidR="003710F1" w:rsidRPr="003710F1">
        <w:rPr>
          <w:lang w:val="en-GB"/>
        </w:rPr>
        <w:t>insufficient</w:t>
      </w:r>
      <w:r w:rsidRPr="003710F1">
        <w:rPr>
          <w:lang w:val="en-GB"/>
        </w:rPr>
        <w:t xml:space="preserve"> reach of the crane inside the</w:t>
      </w:r>
      <w:r w:rsidRPr="00CD2EEF">
        <w:rPr>
          <w:lang w:val="en-GB"/>
        </w:rPr>
        <w:t xml:space="preserve"> fuel handling building (FHB) after the implementation of the seismic reinforcement; </w:t>
      </w:r>
      <w:r w:rsidR="00CA4049">
        <w:rPr>
          <w:lang w:val="en-GB"/>
        </w:rPr>
        <w:t xml:space="preserve">a </w:t>
      </w:r>
      <w:r w:rsidRPr="00CD2EEF">
        <w:rPr>
          <w:lang w:val="en-GB"/>
        </w:rPr>
        <w:t xml:space="preserve">24-hour test of the diesel generator DG1 without </w:t>
      </w:r>
      <w:r w:rsidR="00CA4049">
        <w:rPr>
          <w:lang w:val="en-GB"/>
        </w:rPr>
        <w:t xml:space="preserve">a </w:t>
      </w:r>
      <w:r w:rsidRPr="00CD2EEF">
        <w:rPr>
          <w:lang w:val="en-GB"/>
        </w:rPr>
        <w:t xml:space="preserve">fast start-up; and </w:t>
      </w:r>
      <w:r w:rsidR="00CA4049">
        <w:rPr>
          <w:lang w:val="en-GB"/>
        </w:rPr>
        <w:t xml:space="preserve">the </w:t>
      </w:r>
      <w:r w:rsidRPr="00CD2EEF">
        <w:rPr>
          <w:lang w:val="en-GB"/>
        </w:rPr>
        <w:t xml:space="preserve">possibility </w:t>
      </w:r>
      <w:r w:rsidR="00B55C87">
        <w:rPr>
          <w:lang w:val="en-GB"/>
        </w:rPr>
        <w:t>of</w:t>
      </w:r>
      <w:r w:rsidR="00B55C87" w:rsidRPr="00CD2EEF">
        <w:rPr>
          <w:lang w:val="en-GB"/>
        </w:rPr>
        <w:t xml:space="preserve"> </w:t>
      </w:r>
      <w:r w:rsidRPr="00CD2EEF">
        <w:rPr>
          <w:lang w:val="en-GB"/>
        </w:rPr>
        <w:t>damag</w:t>
      </w:r>
      <w:r w:rsidR="00B55C87">
        <w:rPr>
          <w:lang w:val="en-GB"/>
        </w:rPr>
        <w:t>ing</w:t>
      </w:r>
      <w:r w:rsidRPr="00CD2EEF">
        <w:rPr>
          <w:lang w:val="en-GB"/>
        </w:rPr>
        <w:t xml:space="preserve"> ties and connecting welds of the cross-under pipeline between the high-pressure turbine and steam reheater. The cause </w:t>
      </w:r>
      <w:r w:rsidR="00CA4049">
        <w:rPr>
          <w:lang w:val="en-GB"/>
        </w:rPr>
        <w:t>of</w:t>
      </w:r>
      <w:r w:rsidR="00CA4049" w:rsidRPr="00CD2EEF">
        <w:rPr>
          <w:lang w:val="en-GB"/>
        </w:rPr>
        <w:t xml:space="preserve"> </w:t>
      </w:r>
      <w:r w:rsidRPr="00CD2EEF">
        <w:rPr>
          <w:lang w:val="en-GB"/>
        </w:rPr>
        <w:t>the majority of the</w:t>
      </w:r>
      <w:r w:rsidR="00CA4049">
        <w:rPr>
          <w:lang w:val="en-GB"/>
        </w:rPr>
        <w:t>se</w:t>
      </w:r>
      <w:r w:rsidRPr="00CD2EEF">
        <w:rPr>
          <w:lang w:val="en-GB"/>
        </w:rPr>
        <w:t xml:space="preserve"> events was </w:t>
      </w:r>
      <w:r w:rsidR="00CA4049">
        <w:rPr>
          <w:lang w:val="en-GB"/>
        </w:rPr>
        <w:t xml:space="preserve">a </w:t>
      </w:r>
      <w:r w:rsidRPr="00CD2EEF">
        <w:rPr>
          <w:lang w:val="en-GB"/>
        </w:rPr>
        <w:t xml:space="preserve">human factor. </w:t>
      </w:r>
      <w:r w:rsidR="001B146F">
        <w:rPr>
          <w:lang w:val="en-GB"/>
        </w:rPr>
        <w:t>The Krško NPP</w:t>
      </w:r>
      <w:r w:rsidRPr="00CD2EEF">
        <w:rPr>
          <w:lang w:val="en-GB"/>
        </w:rPr>
        <w:t xml:space="preserve"> therefore intends to improve the procedures, work processes</w:t>
      </w:r>
      <w:r w:rsidR="00CA4049">
        <w:rPr>
          <w:lang w:val="en-GB"/>
        </w:rPr>
        <w:t>,</w:t>
      </w:r>
      <w:r w:rsidRPr="00CD2EEF">
        <w:rPr>
          <w:lang w:val="en-GB"/>
        </w:rPr>
        <w:t xml:space="preserve"> and workers</w:t>
      </w:r>
      <w:r w:rsidR="00F21D56">
        <w:rPr>
          <w:lang w:val="en-GB"/>
        </w:rPr>
        <w:t>’</w:t>
      </w:r>
      <w:r w:rsidRPr="00CD2EEF">
        <w:rPr>
          <w:lang w:val="en-GB"/>
        </w:rPr>
        <w:t xml:space="preserve"> training in order to avoid </w:t>
      </w:r>
      <w:r w:rsidR="00CA4049">
        <w:rPr>
          <w:lang w:val="en-GB"/>
        </w:rPr>
        <w:t xml:space="preserve">the </w:t>
      </w:r>
      <w:r w:rsidRPr="00CD2EEF">
        <w:rPr>
          <w:lang w:val="en-GB"/>
        </w:rPr>
        <w:t>reoccurrence of similar events.</w:t>
      </w:r>
    </w:p>
    <w:p w14:paraId="1A0F2EAF" w14:textId="5C8B7ACC" w:rsidR="00CB3A79" w:rsidRPr="00CD2EEF" w:rsidRDefault="00CB3A79" w:rsidP="00AB4D92">
      <w:pPr>
        <w:pStyle w:val="LPnavaden"/>
        <w:rPr>
          <w:lang w:val="en-GB"/>
        </w:rPr>
      </w:pPr>
      <w:r w:rsidRPr="00CD2EEF">
        <w:rPr>
          <w:lang w:val="en-GB"/>
        </w:rPr>
        <w:t xml:space="preserve">The post Fukushima Accident SUP in </w:t>
      </w:r>
      <w:r w:rsidR="001B146F">
        <w:rPr>
          <w:lang w:val="en-GB"/>
        </w:rPr>
        <w:t>the Krško NPP</w:t>
      </w:r>
      <w:r w:rsidRPr="00CD2EEF">
        <w:rPr>
          <w:lang w:val="en-GB"/>
        </w:rPr>
        <w:t xml:space="preserve"> is nearing completion. </w:t>
      </w:r>
      <w:r w:rsidR="00CA4049">
        <w:rPr>
          <w:lang w:val="en-GB"/>
        </w:rPr>
        <w:t xml:space="preserve">The </w:t>
      </w:r>
      <w:r w:rsidRPr="00CD2EEF">
        <w:rPr>
          <w:lang w:val="en-GB"/>
        </w:rPr>
        <w:t xml:space="preserve">SUP enables the NPP to be aligned with the requirements </w:t>
      </w:r>
      <w:r w:rsidR="00F550A4">
        <w:rPr>
          <w:lang w:val="en-GB"/>
        </w:rPr>
        <w:t>of the</w:t>
      </w:r>
      <w:r w:rsidR="00F550A4" w:rsidRPr="00CD2EEF">
        <w:rPr>
          <w:lang w:val="en-GB"/>
        </w:rPr>
        <w:t xml:space="preserve"> </w:t>
      </w:r>
      <w:r w:rsidRPr="00CD2EEF">
        <w:rPr>
          <w:lang w:val="en-GB"/>
        </w:rPr>
        <w:t>Design Extended Conditions (DEC) through system adaptation and</w:t>
      </w:r>
      <w:r w:rsidR="00F550A4">
        <w:rPr>
          <w:lang w:val="en-GB"/>
        </w:rPr>
        <w:t xml:space="preserve"> the</w:t>
      </w:r>
      <w:r w:rsidRPr="00CD2EEF">
        <w:rPr>
          <w:lang w:val="en-GB"/>
        </w:rPr>
        <w:t xml:space="preserve"> implementation of additional safety systems. In </w:t>
      </w:r>
      <w:r w:rsidR="00F550A4">
        <w:rPr>
          <w:lang w:val="en-GB"/>
        </w:rPr>
        <w:t>such a manner</w:t>
      </w:r>
      <w:r w:rsidRPr="00CD2EEF">
        <w:rPr>
          <w:lang w:val="en-GB"/>
        </w:rPr>
        <w:t xml:space="preserve">, </w:t>
      </w:r>
      <w:r w:rsidR="001B146F">
        <w:rPr>
          <w:lang w:val="en-GB"/>
        </w:rPr>
        <w:t>the Krško NPP</w:t>
      </w:r>
      <w:r w:rsidRPr="00CD2EEF">
        <w:rPr>
          <w:lang w:val="en-GB"/>
        </w:rPr>
        <w:t xml:space="preserve"> approaches the safety level of new NPPs. Another 13 upgrades were completed during this outage</w:t>
      </w:r>
      <w:r w:rsidR="00F550A4">
        <w:rPr>
          <w:lang w:val="en-GB"/>
        </w:rPr>
        <w:t>,</w:t>
      </w:r>
      <w:r w:rsidRPr="00CD2EEF">
        <w:rPr>
          <w:lang w:val="en-GB"/>
        </w:rPr>
        <w:t xml:space="preserve"> which will increase the power plant</w:t>
      </w:r>
      <w:r w:rsidR="00F21D56">
        <w:rPr>
          <w:lang w:val="en-GB"/>
        </w:rPr>
        <w:t>’</w:t>
      </w:r>
      <w:r w:rsidRPr="00CD2EEF">
        <w:rPr>
          <w:lang w:val="en-GB"/>
        </w:rPr>
        <w:t xml:space="preserve">s resilience to natural and other unlikely events. </w:t>
      </w:r>
      <w:r w:rsidR="00F83D5E">
        <w:rPr>
          <w:lang w:val="en-GB"/>
        </w:rPr>
        <w:t>The i</w:t>
      </w:r>
      <w:r w:rsidRPr="00CD2EEF">
        <w:rPr>
          <w:lang w:val="en-GB"/>
        </w:rPr>
        <w:t xml:space="preserve">mportant actions carried out in this area were the activities on Bunkered Building 2 (BB2), and on new alternative systems for reactor cooling </w:t>
      </w:r>
      <w:r w:rsidR="00F83D5E">
        <w:rPr>
          <w:lang w:val="en-GB"/>
        </w:rPr>
        <w:t>by means of</w:t>
      </w:r>
      <w:r w:rsidR="00F83D5E" w:rsidRPr="00CD2EEF">
        <w:rPr>
          <w:lang w:val="en-GB"/>
        </w:rPr>
        <w:t xml:space="preserve"> </w:t>
      </w:r>
      <w:r w:rsidRPr="00CD2EEF">
        <w:rPr>
          <w:lang w:val="en-GB"/>
        </w:rPr>
        <w:t>residual heat removal (</w:t>
      </w:r>
      <w:r w:rsidR="00F83D5E">
        <w:rPr>
          <w:lang w:val="en-GB"/>
        </w:rPr>
        <w:t xml:space="preserve">the </w:t>
      </w:r>
      <w:r w:rsidRPr="00CD2EEF">
        <w:rPr>
          <w:lang w:val="en-GB"/>
        </w:rPr>
        <w:t xml:space="preserve">ARHR </w:t>
      </w:r>
      <w:r w:rsidRPr="00CD2EEF">
        <w:rPr>
          <w:lang w:val="en-GB"/>
        </w:rPr>
        <w:lastRenderedPageBreak/>
        <w:t>system)</w:t>
      </w:r>
      <w:r w:rsidR="00F83D5E">
        <w:rPr>
          <w:lang w:val="en-GB"/>
        </w:rPr>
        <w:t>,</w:t>
      </w:r>
      <w:r w:rsidRPr="00CD2EEF">
        <w:rPr>
          <w:lang w:val="en-GB"/>
        </w:rPr>
        <w:t xml:space="preserve"> emergency safety injection (</w:t>
      </w:r>
      <w:r w:rsidR="00F550A4">
        <w:rPr>
          <w:lang w:val="en-GB"/>
        </w:rPr>
        <w:t xml:space="preserve">the </w:t>
      </w:r>
      <w:r w:rsidRPr="00CD2EEF">
        <w:rPr>
          <w:lang w:val="en-GB"/>
        </w:rPr>
        <w:t xml:space="preserve">ASI </w:t>
      </w:r>
      <w:r w:rsidRPr="003710F1">
        <w:rPr>
          <w:lang w:val="en-GB"/>
        </w:rPr>
        <w:t>system)</w:t>
      </w:r>
      <w:r w:rsidR="00F550A4" w:rsidRPr="003710F1">
        <w:rPr>
          <w:lang w:val="en-GB"/>
        </w:rPr>
        <w:t>,</w:t>
      </w:r>
      <w:r w:rsidRPr="003710F1">
        <w:rPr>
          <w:lang w:val="en-GB"/>
        </w:rPr>
        <w:t xml:space="preserve"> as well as </w:t>
      </w:r>
      <w:r w:rsidR="00F83D5E" w:rsidRPr="003710F1">
        <w:rPr>
          <w:lang w:val="en-GB"/>
        </w:rPr>
        <w:t xml:space="preserve"> providing</w:t>
      </w:r>
      <w:r w:rsidR="00F83D5E">
        <w:rPr>
          <w:lang w:val="en-GB"/>
        </w:rPr>
        <w:t xml:space="preserve"> </w:t>
      </w:r>
      <w:r w:rsidRPr="00CD2EEF">
        <w:rPr>
          <w:lang w:val="en-GB"/>
        </w:rPr>
        <w:t>alternative auxiliary feedwater to the steam generators (</w:t>
      </w:r>
      <w:r w:rsidR="00F550A4">
        <w:rPr>
          <w:lang w:val="en-GB"/>
        </w:rPr>
        <w:t xml:space="preserve">the </w:t>
      </w:r>
      <w:r w:rsidRPr="00CD2EEF">
        <w:rPr>
          <w:lang w:val="en-GB"/>
        </w:rPr>
        <w:t>AAF system).</w:t>
      </w:r>
      <w:r w:rsidR="008A1E6B">
        <w:rPr>
          <w:lang w:val="en-GB"/>
        </w:rPr>
        <w:t xml:space="preserve"> </w:t>
      </w:r>
    </w:p>
    <w:p w14:paraId="537E9D81" w14:textId="5415EB1E" w:rsidR="00CB3A79" w:rsidRPr="00CD2EEF" w:rsidRDefault="00F550A4" w:rsidP="00AB4D92">
      <w:pPr>
        <w:pStyle w:val="LPnavaden"/>
        <w:rPr>
          <w:lang w:val="en-GB"/>
        </w:rPr>
      </w:pPr>
      <w:r>
        <w:rPr>
          <w:lang w:val="en-GB"/>
        </w:rPr>
        <w:t xml:space="preserve">The </w:t>
      </w:r>
      <w:r w:rsidRPr="00CD2EEF">
        <w:rPr>
          <w:lang w:val="en-GB"/>
        </w:rPr>
        <w:t xml:space="preserve">2021 </w:t>
      </w:r>
      <w:r>
        <w:rPr>
          <w:lang w:val="en-GB"/>
        </w:rPr>
        <w:t>o</w:t>
      </w:r>
      <w:r w:rsidR="00CB3A79" w:rsidRPr="00CD2EEF">
        <w:rPr>
          <w:lang w:val="en-GB"/>
        </w:rPr>
        <w:t xml:space="preserve">utage was also </w:t>
      </w:r>
      <w:r>
        <w:rPr>
          <w:lang w:val="en-GB"/>
        </w:rPr>
        <w:t>extremely</w:t>
      </w:r>
      <w:r w:rsidRPr="00CD2EEF">
        <w:rPr>
          <w:lang w:val="en-GB"/>
        </w:rPr>
        <w:t xml:space="preserve"> </w:t>
      </w:r>
      <w:r w:rsidR="00CB3A79" w:rsidRPr="00CD2EEF">
        <w:rPr>
          <w:lang w:val="en-GB"/>
        </w:rPr>
        <w:t xml:space="preserve">demanding due to the </w:t>
      </w:r>
      <w:r w:rsidR="001829DD">
        <w:rPr>
          <w:lang w:val="en-GB"/>
        </w:rPr>
        <w:t>Covid</w:t>
      </w:r>
      <w:r w:rsidR="00CB3A79" w:rsidRPr="00CD2EEF">
        <w:rPr>
          <w:lang w:val="en-GB"/>
        </w:rPr>
        <w:t xml:space="preserve">-19 </w:t>
      </w:r>
      <w:r w:rsidR="00EB3A1B">
        <w:rPr>
          <w:lang w:val="en-GB"/>
        </w:rPr>
        <w:t>epi</w:t>
      </w:r>
      <w:r w:rsidR="00CB3A79" w:rsidRPr="00CD2EEF">
        <w:rPr>
          <w:lang w:val="en-GB"/>
        </w:rPr>
        <w:t>demic</w:t>
      </w:r>
      <w:r w:rsidR="00A40C27">
        <w:rPr>
          <w:lang w:val="en-GB"/>
        </w:rPr>
        <w:t>, which</w:t>
      </w:r>
      <w:r w:rsidR="00CB3A79" w:rsidRPr="00CD2EEF">
        <w:rPr>
          <w:lang w:val="en-GB"/>
        </w:rPr>
        <w:t xml:space="preserve"> all the </w:t>
      </w:r>
      <w:r w:rsidR="00A40C27" w:rsidRPr="00CD2EEF">
        <w:rPr>
          <w:lang w:val="en-GB"/>
        </w:rPr>
        <w:t xml:space="preserve">parties </w:t>
      </w:r>
      <w:r w:rsidR="00CB3A79" w:rsidRPr="00CD2EEF">
        <w:rPr>
          <w:lang w:val="en-GB"/>
        </w:rPr>
        <w:t>involved had to take into account</w:t>
      </w:r>
      <w:r w:rsidR="00A40C27">
        <w:rPr>
          <w:lang w:val="en-GB"/>
        </w:rPr>
        <w:t>,</w:t>
      </w:r>
      <w:r w:rsidR="00CB3A79" w:rsidRPr="00CD2EEF">
        <w:rPr>
          <w:lang w:val="en-GB"/>
        </w:rPr>
        <w:t xml:space="preserve"> </w:t>
      </w:r>
      <w:r w:rsidR="00A40C27">
        <w:rPr>
          <w:lang w:val="en-GB"/>
        </w:rPr>
        <w:t>as they had to</w:t>
      </w:r>
      <w:r w:rsidR="00A40C27" w:rsidRPr="00CD2EEF">
        <w:rPr>
          <w:lang w:val="en-GB"/>
        </w:rPr>
        <w:t xml:space="preserve"> </w:t>
      </w:r>
      <w:r w:rsidR="00CB3A79" w:rsidRPr="00CD2EEF">
        <w:rPr>
          <w:lang w:val="en-GB"/>
        </w:rPr>
        <w:t>adapt their outage activities accordingly</w:t>
      </w:r>
      <w:r w:rsidR="00E63423">
        <w:rPr>
          <w:lang w:val="en-GB"/>
        </w:rPr>
        <w:t>. The SNSA</w:t>
      </w:r>
      <w:r w:rsidR="00CB3A79" w:rsidRPr="00CD2EEF">
        <w:rPr>
          <w:lang w:val="en-GB"/>
        </w:rPr>
        <w:t xml:space="preserve"> and </w:t>
      </w:r>
      <w:r w:rsidR="001B146F">
        <w:rPr>
          <w:lang w:val="en-GB"/>
        </w:rPr>
        <w:t>the Krško NPP</w:t>
      </w:r>
      <w:r w:rsidR="00CB3A79" w:rsidRPr="00CD2EEF">
        <w:rPr>
          <w:lang w:val="en-GB"/>
        </w:rPr>
        <w:t xml:space="preserve"> had several meetings prior to the outage and carefully planned and studied</w:t>
      </w:r>
      <w:r w:rsidR="00A40C27">
        <w:rPr>
          <w:lang w:val="en-GB"/>
        </w:rPr>
        <w:t xml:space="preserve"> the</w:t>
      </w:r>
      <w:r w:rsidR="00CB3A79" w:rsidRPr="00CD2EEF">
        <w:rPr>
          <w:lang w:val="en-GB"/>
        </w:rPr>
        <w:t xml:space="preserve"> different scenarios that could</w:t>
      </w:r>
      <w:r w:rsidR="00A40C27">
        <w:rPr>
          <w:lang w:val="en-GB"/>
        </w:rPr>
        <w:t xml:space="preserve"> have</w:t>
      </w:r>
      <w:r w:rsidR="00CB3A79" w:rsidRPr="00CD2EEF">
        <w:rPr>
          <w:lang w:val="en-GB"/>
        </w:rPr>
        <w:t xml:space="preserve"> evolve</w:t>
      </w:r>
      <w:r w:rsidR="00A40C27">
        <w:rPr>
          <w:lang w:val="en-GB"/>
        </w:rPr>
        <w:t>d</w:t>
      </w:r>
      <w:r w:rsidR="00CB3A79" w:rsidRPr="00CD2EEF">
        <w:rPr>
          <w:lang w:val="en-GB"/>
        </w:rPr>
        <w:t xml:space="preserve"> due to the </w:t>
      </w:r>
      <w:r w:rsidR="00EB3A1B">
        <w:rPr>
          <w:lang w:val="en-GB"/>
        </w:rPr>
        <w:t>epi</w:t>
      </w:r>
      <w:r w:rsidR="00CB3A79" w:rsidRPr="00CD2EEF">
        <w:rPr>
          <w:lang w:val="en-GB"/>
        </w:rPr>
        <w:t xml:space="preserve">demic. Difficulties linked to potential equipment supply </w:t>
      </w:r>
      <w:r w:rsidR="00DB4E0E" w:rsidRPr="00CD2EEF">
        <w:rPr>
          <w:lang w:val="en-GB"/>
        </w:rPr>
        <w:t>difficulties</w:t>
      </w:r>
      <w:r w:rsidR="00C02816">
        <w:rPr>
          <w:lang w:val="en-GB"/>
        </w:rPr>
        <w:t>, the</w:t>
      </w:r>
      <w:r w:rsidR="00CB3A79" w:rsidRPr="00CD2EEF">
        <w:rPr>
          <w:lang w:val="en-GB"/>
        </w:rPr>
        <w:t xml:space="preserve"> rival</w:t>
      </w:r>
      <w:r w:rsidR="006B0768">
        <w:rPr>
          <w:lang w:val="en-GB"/>
        </w:rPr>
        <w:t>ry</w:t>
      </w:r>
      <w:r w:rsidR="00CB3A79" w:rsidRPr="00CD2EEF">
        <w:rPr>
          <w:lang w:val="en-GB"/>
        </w:rPr>
        <w:t xml:space="preserve"> of domestic</w:t>
      </w:r>
      <w:r w:rsidR="00A40C27">
        <w:rPr>
          <w:lang w:val="en-GB"/>
        </w:rPr>
        <w:t xml:space="preserve"> –</w:t>
      </w:r>
      <w:r w:rsidR="00CB3A79" w:rsidRPr="00CD2EEF">
        <w:rPr>
          <w:lang w:val="en-GB"/>
        </w:rPr>
        <w:t xml:space="preserve"> or foreign</w:t>
      </w:r>
      <w:r w:rsidR="00A40C27">
        <w:rPr>
          <w:lang w:val="en-GB"/>
        </w:rPr>
        <w:t xml:space="preserve"> –</w:t>
      </w:r>
      <w:r w:rsidR="00CB3A79" w:rsidRPr="00CD2EEF">
        <w:rPr>
          <w:lang w:val="en-GB"/>
        </w:rPr>
        <w:t xml:space="preserve"> subcontractors, </w:t>
      </w:r>
      <w:r w:rsidR="00DB4E0E">
        <w:rPr>
          <w:lang w:val="en-GB"/>
        </w:rPr>
        <w:t xml:space="preserve">the </w:t>
      </w:r>
      <w:r w:rsidR="00CB3A79" w:rsidRPr="00CD2EEF">
        <w:rPr>
          <w:lang w:val="en-GB"/>
        </w:rPr>
        <w:t xml:space="preserve">possibility of contagion during </w:t>
      </w:r>
      <w:r w:rsidR="00DB4E0E">
        <w:rPr>
          <w:lang w:val="en-GB"/>
        </w:rPr>
        <w:t xml:space="preserve">the </w:t>
      </w:r>
      <w:r w:rsidR="00CB3A79" w:rsidRPr="00CD2EEF">
        <w:rPr>
          <w:lang w:val="en-GB"/>
        </w:rPr>
        <w:t>outage, etc.</w:t>
      </w:r>
      <w:r w:rsidR="00DB4E0E">
        <w:rPr>
          <w:lang w:val="en-GB"/>
        </w:rPr>
        <w:t>,</w:t>
      </w:r>
      <w:r w:rsidR="00CB3A79" w:rsidRPr="00CD2EEF">
        <w:rPr>
          <w:lang w:val="en-GB"/>
        </w:rPr>
        <w:t xml:space="preserve"> had to be taken into account. Therefore, alternative scenarios were </w:t>
      </w:r>
      <w:r w:rsidR="00DB4E0E" w:rsidRPr="00CD2EEF">
        <w:rPr>
          <w:lang w:val="en-GB"/>
        </w:rPr>
        <w:t>form</w:t>
      </w:r>
      <w:r w:rsidR="00DB4E0E">
        <w:rPr>
          <w:lang w:val="en-GB"/>
        </w:rPr>
        <w:t>ulated</w:t>
      </w:r>
      <w:r w:rsidR="00DB4E0E" w:rsidRPr="00CD2EEF">
        <w:rPr>
          <w:lang w:val="en-GB"/>
        </w:rPr>
        <w:t xml:space="preserve"> </w:t>
      </w:r>
      <w:r w:rsidR="00CB3A79" w:rsidRPr="00CD2EEF">
        <w:rPr>
          <w:lang w:val="en-GB"/>
        </w:rPr>
        <w:t xml:space="preserve">during the outage preparation, but in the </w:t>
      </w:r>
      <w:r w:rsidR="00F83D5E" w:rsidRPr="00CD2EEF">
        <w:rPr>
          <w:lang w:val="en-GB"/>
        </w:rPr>
        <w:t>end,</w:t>
      </w:r>
      <w:r w:rsidR="00CB3A79" w:rsidRPr="00CD2EEF">
        <w:rPr>
          <w:lang w:val="en-GB"/>
        </w:rPr>
        <w:t xml:space="preserve"> there was no need to use them during the outage. </w:t>
      </w:r>
    </w:p>
    <w:p w14:paraId="3B6D44F7" w14:textId="74C853FE" w:rsidR="00CB3A79" w:rsidRPr="00CD2EEF" w:rsidRDefault="00CB3A79" w:rsidP="00AB4D92">
      <w:pPr>
        <w:pStyle w:val="LPnavaden"/>
        <w:rPr>
          <w:lang w:val="en-GB"/>
        </w:rPr>
      </w:pPr>
      <w:r w:rsidRPr="00CD2EEF">
        <w:rPr>
          <w:lang w:val="en-GB"/>
        </w:rPr>
        <w:t xml:space="preserve">Before the outage commenced, </w:t>
      </w:r>
      <w:r w:rsidR="00A726E8">
        <w:rPr>
          <w:lang w:val="en-GB"/>
        </w:rPr>
        <w:t>the</w:t>
      </w:r>
      <w:r w:rsidR="00E63423">
        <w:rPr>
          <w:lang w:val="en-GB"/>
        </w:rPr>
        <w:t xml:space="preserve"> SNSA</w:t>
      </w:r>
      <w:r w:rsidRPr="00CD2EEF">
        <w:rPr>
          <w:lang w:val="en-GB"/>
        </w:rPr>
        <w:t xml:space="preserve"> reviewed and approved the implementation of many outage activities. </w:t>
      </w:r>
      <w:r w:rsidR="00737F6E">
        <w:rPr>
          <w:lang w:val="en-GB"/>
        </w:rPr>
        <w:t>The i</w:t>
      </w:r>
      <w:r w:rsidRPr="00CD2EEF">
        <w:rPr>
          <w:lang w:val="en-GB"/>
        </w:rPr>
        <w:t xml:space="preserve">nspectors and other members of </w:t>
      </w:r>
      <w:r w:rsidR="00A726E8">
        <w:rPr>
          <w:lang w:val="en-GB"/>
        </w:rPr>
        <w:t>the</w:t>
      </w:r>
      <w:r w:rsidR="00E63423">
        <w:rPr>
          <w:lang w:val="en-GB"/>
        </w:rPr>
        <w:t xml:space="preserve"> SNSA</w:t>
      </w:r>
      <w:r w:rsidRPr="00CD2EEF">
        <w:rPr>
          <w:lang w:val="en-GB"/>
        </w:rPr>
        <w:t xml:space="preserve"> team were present on the site </w:t>
      </w:r>
      <w:r w:rsidR="00737F6E">
        <w:rPr>
          <w:lang w:val="en-GB"/>
        </w:rPr>
        <w:t xml:space="preserve">throughout </w:t>
      </w:r>
      <w:r w:rsidRPr="00CD2EEF">
        <w:rPr>
          <w:lang w:val="en-GB"/>
        </w:rPr>
        <w:t xml:space="preserve">the outage. </w:t>
      </w:r>
      <w:r w:rsidR="00A726E8">
        <w:rPr>
          <w:lang w:val="en-GB"/>
        </w:rPr>
        <w:t>The</w:t>
      </w:r>
      <w:r w:rsidR="00E63423">
        <w:rPr>
          <w:lang w:val="en-GB"/>
        </w:rPr>
        <w:t xml:space="preserve"> SNSA</w:t>
      </w:r>
      <w:r w:rsidRPr="00CD2EEF">
        <w:rPr>
          <w:lang w:val="en-GB"/>
        </w:rPr>
        <w:t xml:space="preserve"> carefully monitored all outage activities</w:t>
      </w:r>
      <w:r w:rsidR="005D516B">
        <w:rPr>
          <w:lang w:val="en-GB"/>
        </w:rPr>
        <w:t>,</w:t>
      </w:r>
      <w:r w:rsidRPr="00CD2EEF">
        <w:rPr>
          <w:lang w:val="en-GB"/>
        </w:rPr>
        <w:t xml:space="preserve"> with an emphasis on ensuring nuclear and radiation safety during the shutdown of the power plant. During this year</w:t>
      </w:r>
      <w:r w:rsidR="00F21D56">
        <w:rPr>
          <w:lang w:val="en-GB"/>
        </w:rPr>
        <w:t>’</w:t>
      </w:r>
      <w:r w:rsidRPr="00CD2EEF">
        <w:rPr>
          <w:lang w:val="en-GB"/>
        </w:rPr>
        <w:t xml:space="preserve">s outage, </w:t>
      </w:r>
      <w:r w:rsidRPr="007F5EBF">
        <w:rPr>
          <w:lang w:val="en-GB"/>
        </w:rPr>
        <w:t>it</w:t>
      </w:r>
      <w:r w:rsidRPr="00CD2EEF">
        <w:rPr>
          <w:lang w:val="en-GB"/>
        </w:rPr>
        <w:t xml:space="preserve"> also intensively monitored the implementation of all safety measures related to the </w:t>
      </w:r>
      <w:r w:rsidR="001829DD">
        <w:rPr>
          <w:lang w:val="en-GB"/>
        </w:rPr>
        <w:t>Covid</w:t>
      </w:r>
      <w:r w:rsidRPr="00CD2EEF">
        <w:rPr>
          <w:lang w:val="en-GB"/>
        </w:rPr>
        <w:t xml:space="preserve">-19 </w:t>
      </w:r>
      <w:r w:rsidR="00EB3A1B">
        <w:rPr>
          <w:lang w:val="en-GB"/>
        </w:rPr>
        <w:t>epi</w:t>
      </w:r>
      <w:r w:rsidRPr="00CD2EEF">
        <w:rPr>
          <w:lang w:val="en-GB"/>
        </w:rPr>
        <w:t>demic. Experts from domestic- and foreign technical support organ</w:t>
      </w:r>
      <w:r w:rsidR="00837F00">
        <w:rPr>
          <w:lang w:val="en-GB"/>
        </w:rPr>
        <w:t>is</w:t>
      </w:r>
      <w:r w:rsidRPr="00CD2EEF">
        <w:rPr>
          <w:lang w:val="en-GB"/>
        </w:rPr>
        <w:t>ations (TSO</w:t>
      </w:r>
      <w:r w:rsidR="005D516B">
        <w:rPr>
          <w:lang w:val="en-GB"/>
        </w:rPr>
        <w:t>s</w:t>
      </w:r>
      <w:r w:rsidRPr="00CD2EEF">
        <w:rPr>
          <w:lang w:val="en-GB"/>
        </w:rPr>
        <w:t xml:space="preserve">) provided additional professional help in monitoring the outage activities. </w:t>
      </w:r>
      <w:r w:rsidR="001B146F">
        <w:rPr>
          <w:lang w:val="en-GB"/>
        </w:rPr>
        <w:t>The Krško NPP</w:t>
      </w:r>
      <w:r w:rsidRPr="00CD2EEF">
        <w:rPr>
          <w:lang w:val="en-GB"/>
        </w:rPr>
        <w:t xml:space="preserve"> restarted the production of electric energy only after confirmation from</w:t>
      </w:r>
      <w:r w:rsidR="005D516B">
        <w:rPr>
          <w:lang w:val="en-GB"/>
        </w:rPr>
        <w:t xml:space="preserve"> the</w:t>
      </w:r>
      <w:r w:rsidRPr="00CD2EEF">
        <w:rPr>
          <w:lang w:val="en-GB"/>
        </w:rPr>
        <w:t xml:space="preserve"> TSOs that all the activities had been appropriately executed,</w:t>
      </w:r>
      <w:r w:rsidR="00CA7832">
        <w:rPr>
          <w:lang w:val="en-GB"/>
        </w:rPr>
        <w:t xml:space="preserve"> </w:t>
      </w:r>
      <w:r w:rsidR="005D516B">
        <w:rPr>
          <w:lang w:val="en-GB"/>
        </w:rPr>
        <w:t>that</w:t>
      </w:r>
      <w:r w:rsidRPr="00CD2EEF">
        <w:rPr>
          <w:lang w:val="en-GB"/>
        </w:rPr>
        <w:t xml:space="preserve"> all tests had been successful</w:t>
      </w:r>
      <w:r w:rsidR="005D516B">
        <w:rPr>
          <w:lang w:val="en-GB"/>
        </w:rPr>
        <w:t>,</w:t>
      </w:r>
      <w:r w:rsidRPr="00CD2EEF">
        <w:rPr>
          <w:lang w:val="en-GB"/>
        </w:rPr>
        <w:t xml:space="preserve"> and that nuclear safety </w:t>
      </w:r>
      <w:r w:rsidR="005D516B">
        <w:rPr>
          <w:lang w:val="en-GB"/>
        </w:rPr>
        <w:t>had been</w:t>
      </w:r>
      <w:r w:rsidR="005D516B" w:rsidRPr="00CD2EEF">
        <w:rPr>
          <w:lang w:val="en-GB"/>
        </w:rPr>
        <w:t xml:space="preserve"> </w:t>
      </w:r>
      <w:r w:rsidRPr="00CD2EEF">
        <w:rPr>
          <w:lang w:val="en-GB"/>
        </w:rPr>
        <w:t>appropriately dealt with. In this way, the minimal impact of the NPP on the environment was achieved.</w:t>
      </w:r>
    </w:p>
    <w:p w14:paraId="69FB8F2B" w14:textId="444B2F15" w:rsidR="00CB3A79" w:rsidRPr="00CD2EEF" w:rsidRDefault="005D516B" w:rsidP="00AB4D92">
      <w:pPr>
        <w:pStyle w:val="LPnavaden"/>
        <w:rPr>
          <w:lang w:val="en-GB"/>
        </w:rPr>
      </w:pPr>
      <w:r>
        <w:rPr>
          <w:lang w:val="en-GB"/>
        </w:rPr>
        <w:t>The n</w:t>
      </w:r>
      <w:r w:rsidR="00CB3A79" w:rsidRPr="00CD2EEF">
        <w:rPr>
          <w:lang w:val="en-GB"/>
        </w:rPr>
        <w:t>ext regular outage is scheduled for the fall of 2022.</w:t>
      </w:r>
    </w:p>
    <w:p w14:paraId="72B063D9" w14:textId="6DF2C4C4" w:rsidR="00CB3A79" w:rsidRPr="00CD2EEF" w:rsidRDefault="00CB3A79" w:rsidP="00CB3A79">
      <w:pPr>
        <w:pStyle w:val="LPNaslov4"/>
        <w:rPr>
          <w:lang w:val="en-GB"/>
        </w:rPr>
      </w:pPr>
      <w:bookmarkStart w:id="79" w:name="_Toc41903577"/>
      <w:bookmarkStart w:id="80" w:name="_Toc46257169"/>
      <w:bookmarkStart w:id="81" w:name="_Toc47694612"/>
      <w:r w:rsidRPr="00CD2EEF">
        <w:rPr>
          <w:rStyle w:val="LPpobarvan3"/>
          <w:shd w:val="clear" w:color="auto" w:fill="auto"/>
          <w:lang w:val="en-GB"/>
        </w:rPr>
        <w:t xml:space="preserve"> Nuclear Fuel Integrity, Reactor Coolant Activity and</w:t>
      </w:r>
      <w:r w:rsidRPr="00CD2EEF">
        <w:rPr>
          <w:lang w:val="en-GB"/>
        </w:rPr>
        <w:t xml:space="preserve"> Fuel </w:t>
      </w:r>
      <w:r w:rsidR="00E51CBB" w:rsidRPr="00CD2EEF">
        <w:rPr>
          <w:lang w:val="en-GB"/>
        </w:rPr>
        <w:t>Assembl</w:t>
      </w:r>
      <w:r w:rsidR="00E51CBB">
        <w:rPr>
          <w:lang w:val="en-GB"/>
        </w:rPr>
        <w:t>y</w:t>
      </w:r>
      <w:r w:rsidR="00E51CBB" w:rsidRPr="00CD2EEF">
        <w:rPr>
          <w:lang w:val="en-GB"/>
        </w:rPr>
        <w:t xml:space="preserve"> </w:t>
      </w:r>
      <w:r w:rsidRPr="00CD2EEF">
        <w:rPr>
          <w:lang w:val="en-GB"/>
        </w:rPr>
        <w:t>Inspections</w:t>
      </w:r>
    </w:p>
    <w:bookmarkEnd w:id="79"/>
    <w:bookmarkEnd w:id="80"/>
    <w:bookmarkEnd w:id="81"/>
    <w:p w14:paraId="73F36601" w14:textId="3D1D2A67" w:rsidR="00CB3A79" w:rsidRPr="00CD2EEF" w:rsidRDefault="00CB3A79" w:rsidP="00AA31D0">
      <w:pPr>
        <w:pStyle w:val="LPnavaden"/>
        <w:rPr>
          <w:rStyle w:val="LPpobarvan3"/>
          <w:shd w:val="clear" w:color="auto" w:fill="auto"/>
          <w:lang w:val="en-GB"/>
        </w:rPr>
      </w:pPr>
      <w:r w:rsidRPr="00CD2EEF">
        <w:rPr>
          <w:rStyle w:val="LPpobarvan3"/>
          <w:shd w:val="clear" w:color="auto" w:fill="auto"/>
          <w:lang w:val="en-GB"/>
        </w:rPr>
        <w:t xml:space="preserve">The year 2021 comprised a part of fuel cycle 31, which started on 28 October 2019 and ended on 1 April 2021, and part of fuel cycle 32, which started on 4 May 2021. </w:t>
      </w:r>
      <w:r w:rsidR="00E51CBB">
        <w:rPr>
          <w:rStyle w:val="LPpobarvan3"/>
          <w:shd w:val="clear" w:color="auto" w:fill="auto"/>
          <w:lang w:val="en-GB"/>
        </w:rPr>
        <w:t>F</w:t>
      </w:r>
      <w:r w:rsidRPr="00CD2EEF">
        <w:rPr>
          <w:rStyle w:val="LPpobarvan3"/>
          <w:shd w:val="clear" w:color="auto" w:fill="auto"/>
          <w:lang w:val="en-GB"/>
        </w:rPr>
        <w:t>uel cycle 32 will last 18 months</w:t>
      </w:r>
      <w:r w:rsidR="00E51CBB">
        <w:rPr>
          <w:rStyle w:val="LPpobarvan3"/>
          <w:shd w:val="clear" w:color="auto" w:fill="auto"/>
          <w:lang w:val="en-GB"/>
        </w:rPr>
        <w:t>,</w:t>
      </w:r>
      <w:r w:rsidRPr="00CD2EEF">
        <w:rPr>
          <w:rStyle w:val="LPpobarvan3"/>
          <w:shd w:val="clear" w:color="auto" w:fill="auto"/>
          <w:lang w:val="en-GB"/>
        </w:rPr>
        <w:t xml:space="preserve"> until the refuelling in October 2022.</w:t>
      </w:r>
    </w:p>
    <w:p w14:paraId="5B9D1D09" w14:textId="0F0D1518" w:rsidR="00CB3A79" w:rsidRPr="00CD2EEF" w:rsidRDefault="00CB3A79" w:rsidP="00AA31D0">
      <w:pPr>
        <w:pStyle w:val="LPnavaden"/>
        <w:rPr>
          <w:rStyle w:val="LPpobarvan3"/>
          <w:shd w:val="clear" w:color="auto" w:fill="auto"/>
          <w:lang w:val="en-GB"/>
        </w:rPr>
      </w:pPr>
      <w:r w:rsidRPr="00CD2EEF">
        <w:rPr>
          <w:rStyle w:val="LPpobarvan3"/>
          <w:shd w:val="clear" w:color="auto" w:fill="auto"/>
          <w:lang w:val="en-GB"/>
        </w:rPr>
        <w:t xml:space="preserve">In cycle 32, there was a controlled power decrease on 17 and 18 October 2021 from 100% to 80% power due to corrective works to find the location of </w:t>
      </w:r>
      <w:r w:rsidR="00F83D5E">
        <w:rPr>
          <w:rStyle w:val="LPpobarvan3"/>
          <w:shd w:val="clear" w:color="auto" w:fill="auto"/>
          <w:lang w:val="en-GB"/>
        </w:rPr>
        <w:t xml:space="preserve">a </w:t>
      </w:r>
      <w:r w:rsidRPr="00CD2EEF">
        <w:rPr>
          <w:rStyle w:val="LPpobarvan3"/>
          <w:shd w:val="clear" w:color="auto" w:fill="auto"/>
          <w:lang w:val="en-GB"/>
        </w:rPr>
        <w:t>leakage in the condenser and to tighten the leakage spot. Simultaneously</w:t>
      </w:r>
      <w:r w:rsidR="005F62B6">
        <w:rPr>
          <w:rStyle w:val="LPpobarvan3"/>
          <w:shd w:val="clear" w:color="auto" w:fill="auto"/>
          <w:lang w:val="en-GB"/>
        </w:rPr>
        <w:t>,</w:t>
      </w:r>
      <w:r w:rsidRPr="00CD2EEF">
        <w:rPr>
          <w:rStyle w:val="LPpobarvan3"/>
          <w:shd w:val="clear" w:color="auto" w:fill="auto"/>
          <w:lang w:val="en-GB"/>
        </w:rPr>
        <w:t xml:space="preserve"> the testing of turbine valves and </w:t>
      </w:r>
      <w:r w:rsidR="005F62B6">
        <w:rPr>
          <w:rStyle w:val="LPpobarvan3"/>
          <w:shd w:val="clear" w:color="auto" w:fill="auto"/>
          <w:lang w:val="en-GB"/>
        </w:rPr>
        <w:t xml:space="preserve">the </w:t>
      </w:r>
      <w:r w:rsidRPr="007F5EBF">
        <w:rPr>
          <w:rStyle w:val="LPpobarvan3"/>
          <w:shd w:val="clear" w:color="auto" w:fill="auto"/>
          <w:lang w:val="en-GB"/>
        </w:rPr>
        <w:t>main steamline isolation valves</w:t>
      </w:r>
      <w:r w:rsidRPr="00CD2EEF">
        <w:rPr>
          <w:rStyle w:val="LPpobarvan3"/>
          <w:shd w:val="clear" w:color="auto" w:fill="auto"/>
          <w:lang w:val="en-GB"/>
        </w:rPr>
        <w:t xml:space="preserve"> was performed. At the end of 2021, the core burnup reached 20,961 MWD/MTU, which corresponds to 515.4 Effective Full Power Days (EFPD). At the end of 2021, in fuel cycle 32, the core burnup reached 9</w:t>
      </w:r>
      <w:r w:rsidR="00102E03">
        <w:rPr>
          <w:rStyle w:val="LPpobarvan3"/>
          <w:shd w:val="clear" w:color="auto" w:fill="auto"/>
          <w:lang w:val="en-GB"/>
        </w:rPr>
        <w:t>,</w:t>
      </w:r>
      <w:r w:rsidRPr="00CD2EEF">
        <w:rPr>
          <w:rStyle w:val="LPpobarvan3"/>
          <w:shd w:val="clear" w:color="auto" w:fill="auto"/>
          <w:lang w:val="en-GB"/>
        </w:rPr>
        <w:t>710 MWD/MTU, which corresponds to 238.9 EFPD.</w:t>
      </w:r>
    </w:p>
    <w:p w14:paraId="356FD908" w14:textId="415E0D2F" w:rsidR="00CB3A79" w:rsidRPr="00CD2EEF" w:rsidRDefault="00CB3A79" w:rsidP="00AA31D0">
      <w:pPr>
        <w:pStyle w:val="LPnavaden"/>
        <w:rPr>
          <w:rStyle w:val="LPpobarvan3"/>
          <w:shd w:val="clear" w:color="auto" w:fill="auto"/>
          <w:lang w:val="en-GB"/>
        </w:rPr>
      </w:pPr>
      <w:r w:rsidRPr="00CD2EEF">
        <w:rPr>
          <w:rStyle w:val="LPpobarvan3"/>
          <w:shd w:val="clear" w:color="auto" w:fill="auto"/>
          <w:lang w:val="en-GB"/>
        </w:rPr>
        <w:t>The condition of the fuel assemblies in the reactor (fuel cladding integrity) is monitored indirectly through measurements of specific activities of the reactor coolant in conditions of stable operation and during transient events. Isotopes of xenon, krypton</w:t>
      </w:r>
      <w:r w:rsidR="009A315F">
        <w:rPr>
          <w:rStyle w:val="LPpobarvan3"/>
          <w:shd w:val="clear" w:color="auto" w:fill="auto"/>
          <w:lang w:val="en-GB"/>
        </w:rPr>
        <w:t>,</w:t>
      </w:r>
      <w:r w:rsidRPr="00CD2EEF">
        <w:rPr>
          <w:rStyle w:val="LPpobarvan3"/>
          <w:shd w:val="clear" w:color="auto" w:fill="auto"/>
          <w:lang w:val="en-GB"/>
        </w:rPr>
        <w:t xml:space="preserve"> and iodine indicate fuel defects; from measurements of specific activities of iodine isotopes, the defect size and coolant contamination can be determined. From specific activities of caesium isotopes, the burnup of damaged fuel can be estimated. In the event of fuel rod cladding degradation, solid particles can be detected in the coolant, such as Neptunium (</w:t>
      </w:r>
      <w:r w:rsidRPr="00CD2EEF">
        <w:rPr>
          <w:rStyle w:val="LPnadpisano"/>
          <w:lang w:val="en-GB"/>
        </w:rPr>
        <w:t>239</w:t>
      </w:r>
      <w:r w:rsidRPr="00CD2EEF">
        <w:rPr>
          <w:rStyle w:val="LPpobarvan3"/>
          <w:shd w:val="clear" w:color="auto" w:fill="auto"/>
          <w:lang w:val="en-GB"/>
        </w:rPr>
        <w:t>Np) or Barium (</w:t>
      </w:r>
      <w:r w:rsidRPr="00CD2EEF">
        <w:rPr>
          <w:rStyle w:val="LPnadpisano"/>
          <w:lang w:val="en-GB"/>
        </w:rPr>
        <w:t>140</w:t>
      </w:r>
      <w:r w:rsidRPr="00CD2EEF">
        <w:rPr>
          <w:rStyle w:val="LPpobarvan3"/>
          <w:shd w:val="clear" w:color="auto" w:fill="auto"/>
          <w:lang w:val="en-GB"/>
        </w:rPr>
        <w:t>Ba).</w:t>
      </w:r>
    </w:p>
    <w:p w14:paraId="1EE5DDED" w14:textId="22F07A53" w:rsidR="00CB3A79" w:rsidRPr="00CD2EEF" w:rsidRDefault="00CB3A79" w:rsidP="00AA31D0">
      <w:pPr>
        <w:pStyle w:val="LPnavaden"/>
        <w:rPr>
          <w:rStyle w:val="LPpobarvan3"/>
          <w:shd w:val="clear" w:color="auto" w:fill="auto"/>
          <w:lang w:val="en-GB"/>
        </w:rPr>
      </w:pPr>
      <w:r w:rsidRPr="00CD2EEF">
        <w:rPr>
          <w:rStyle w:val="LPpobarvan3"/>
          <w:shd w:val="clear" w:color="auto" w:fill="auto"/>
          <w:lang w:val="en-GB"/>
        </w:rPr>
        <w:t>At the end of the year 2021, analyses of isotopes</w:t>
      </w:r>
      <w:r w:rsidR="00F21D56">
        <w:rPr>
          <w:rStyle w:val="LPpobarvan3"/>
          <w:shd w:val="clear" w:color="auto" w:fill="auto"/>
          <w:lang w:val="en-GB"/>
        </w:rPr>
        <w:t>’</w:t>
      </w:r>
      <w:r w:rsidRPr="00CD2EEF">
        <w:rPr>
          <w:rStyle w:val="LPpobarvan3"/>
          <w:shd w:val="clear" w:color="auto" w:fill="auto"/>
          <w:lang w:val="en-GB"/>
        </w:rPr>
        <w:t xml:space="preserve"> specific activities indicated that there were no leaking fuel rods in the cycle 32 core. </w:t>
      </w:r>
    </w:p>
    <w:p w14:paraId="737F94A7" w14:textId="7E9191DF" w:rsidR="00CB3A79" w:rsidRPr="00CD2EEF" w:rsidRDefault="00CB3A79" w:rsidP="00A95514">
      <w:pPr>
        <w:pStyle w:val="LPnaslovkrepko"/>
        <w:rPr>
          <w:lang w:val="en-GB"/>
        </w:rPr>
      </w:pPr>
      <w:r w:rsidRPr="00CD2EEF">
        <w:rPr>
          <w:lang w:val="en-GB"/>
        </w:rPr>
        <w:t xml:space="preserve">Inspections of fuel assemblies during the </w:t>
      </w:r>
      <w:r w:rsidR="005276F7" w:rsidRPr="00CD2EEF">
        <w:rPr>
          <w:lang w:val="en-GB"/>
        </w:rPr>
        <w:t>2021</w:t>
      </w:r>
      <w:r w:rsidR="005276F7">
        <w:rPr>
          <w:lang w:val="en-GB"/>
        </w:rPr>
        <w:t xml:space="preserve"> </w:t>
      </w:r>
      <w:r w:rsidRPr="00CD2EEF">
        <w:rPr>
          <w:lang w:val="en-GB"/>
        </w:rPr>
        <w:t xml:space="preserve">refuelling outage </w:t>
      </w:r>
    </w:p>
    <w:p w14:paraId="0076B66B" w14:textId="4E024C0F" w:rsidR="00CB3A79" w:rsidRPr="00CD2EEF" w:rsidRDefault="009A315F" w:rsidP="003D4C79">
      <w:pPr>
        <w:pStyle w:val="LPnavaden"/>
        <w:rPr>
          <w:lang w:val="en-GB"/>
        </w:rPr>
      </w:pPr>
      <w:r>
        <w:rPr>
          <w:lang w:val="en-GB"/>
        </w:rPr>
        <w:t>Using</w:t>
      </w:r>
      <w:r w:rsidRPr="00CD2EEF">
        <w:rPr>
          <w:lang w:val="en-GB"/>
        </w:rPr>
        <w:t xml:space="preserve"> </w:t>
      </w:r>
      <w:r w:rsidR="00CB3A79" w:rsidRPr="00CD2EEF">
        <w:rPr>
          <w:lang w:val="en-GB"/>
        </w:rPr>
        <w:t>the In-Mast Sipping (IMS) method, an inspection of cladding integrity was performed for all 121 fuel assemblies of the fuel cycle 31 core. The inspection showed that there was one suspect fuel assembly</w:t>
      </w:r>
      <w:r w:rsidR="005276F7">
        <w:rPr>
          <w:lang w:val="en-GB"/>
        </w:rPr>
        <w:t>,</w:t>
      </w:r>
      <w:r w:rsidR="00CB3A79" w:rsidRPr="00CD2EEF">
        <w:rPr>
          <w:lang w:val="en-GB"/>
        </w:rPr>
        <w:t xml:space="preserve"> AK23. This fuel assembly was not planned for reload into the core of fuel cycle 32 and was stored in the spent fuel pool. </w:t>
      </w:r>
      <w:r w:rsidR="005276F7">
        <w:rPr>
          <w:lang w:val="en-GB"/>
        </w:rPr>
        <w:t>Taking a</w:t>
      </w:r>
      <w:r w:rsidR="005276F7" w:rsidRPr="00CD2EEF">
        <w:rPr>
          <w:lang w:val="en-GB"/>
        </w:rPr>
        <w:t xml:space="preserve"> </w:t>
      </w:r>
      <w:r w:rsidR="00CB3A79" w:rsidRPr="00CD2EEF">
        <w:rPr>
          <w:lang w:val="en-GB"/>
        </w:rPr>
        <w:t>conservative view</w:t>
      </w:r>
      <w:r w:rsidR="005276F7">
        <w:rPr>
          <w:lang w:val="en-GB"/>
        </w:rPr>
        <w:t>,</w:t>
      </w:r>
      <w:r w:rsidR="00CB3A79" w:rsidRPr="00CD2EEF">
        <w:rPr>
          <w:lang w:val="en-GB"/>
        </w:rPr>
        <w:t xml:space="preserve"> this fuel assembly was marked </w:t>
      </w:r>
      <w:r w:rsidR="00CB3A79" w:rsidRPr="00CD2EEF">
        <w:rPr>
          <w:lang w:val="en-GB"/>
        </w:rPr>
        <w:lastRenderedPageBreak/>
        <w:t xml:space="preserve">as a suspected leaker. The results of </w:t>
      </w:r>
      <w:r w:rsidR="005276F7">
        <w:rPr>
          <w:lang w:val="en-GB"/>
        </w:rPr>
        <w:t xml:space="preserve">the </w:t>
      </w:r>
      <w:r w:rsidR="00CB3A79" w:rsidRPr="00CD2EEF">
        <w:rPr>
          <w:lang w:val="en-GB"/>
        </w:rPr>
        <w:t>inspection of fuel assemblies</w:t>
      </w:r>
      <w:r w:rsidR="00F21D56">
        <w:rPr>
          <w:lang w:val="en-GB"/>
        </w:rPr>
        <w:t>’</w:t>
      </w:r>
      <w:r w:rsidR="00CB3A79" w:rsidRPr="00CD2EEF">
        <w:rPr>
          <w:lang w:val="en-GB"/>
        </w:rPr>
        <w:t xml:space="preserve"> cladding tightness are shown in </w:t>
      </w:r>
      <w:hyperlink w:anchor="fig12" w:history="1">
        <w:r w:rsidR="00CB3A79" w:rsidRPr="00CD2EEF">
          <w:rPr>
            <w:rStyle w:val="Hiperpovezava"/>
            <w:lang w:val="en-GB"/>
          </w:rPr>
          <w:t>Figure 12</w:t>
        </w:r>
      </w:hyperlink>
      <w:r w:rsidR="00CB3A79" w:rsidRPr="00CD2EEF">
        <w:rPr>
          <w:lang w:val="en-GB"/>
        </w:rPr>
        <w:t>.</w:t>
      </w:r>
    </w:p>
    <w:p w14:paraId="6540E223" w14:textId="77777777" w:rsidR="00CB3A79" w:rsidRPr="00CD2EEF" w:rsidRDefault="00CB3A79" w:rsidP="003D4C79">
      <w:pPr>
        <w:pStyle w:val="LPnavaden"/>
        <w:rPr>
          <w:lang w:val="en-GB"/>
        </w:rPr>
      </w:pPr>
      <w:r w:rsidRPr="00CD2EEF">
        <w:rPr>
          <w:lang w:val="en-GB"/>
        </w:rPr>
        <w:t>A Quick Underwater Visual Inspection (Q-UWTV) was performed during core unload for the top part of the fuel assemblies between grids 7 and 8 and the top nozzle. No anomalies were found.</w:t>
      </w:r>
    </w:p>
    <w:p w14:paraId="05304C8F" w14:textId="492CB224" w:rsidR="00CB3A79" w:rsidRPr="00CD2EEF" w:rsidRDefault="00CB3A79" w:rsidP="003D4C79">
      <w:pPr>
        <w:pStyle w:val="LPnavaden"/>
        <w:rPr>
          <w:lang w:val="en-GB"/>
        </w:rPr>
      </w:pPr>
      <w:r w:rsidRPr="00CD2EEF">
        <w:rPr>
          <w:lang w:val="en-GB"/>
        </w:rPr>
        <w:t>An Underwater Visual Inspection (UWTV) was performed for all four sides of 146 fuel assemblies (all 121 fuel assemblies from the core of fuel cycle 31 and 20 fuel assemblies from fuel cycle 30). All fuel assemblies planned for the original core design and for the revised core design of fuel cycle 32</w:t>
      </w:r>
      <w:r w:rsidR="005276F7" w:rsidRPr="005276F7">
        <w:rPr>
          <w:lang w:val="en-GB"/>
        </w:rPr>
        <w:t xml:space="preserve"> </w:t>
      </w:r>
      <w:r w:rsidR="005276F7" w:rsidRPr="00CD2EEF">
        <w:rPr>
          <w:lang w:val="en-GB"/>
        </w:rPr>
        <w:t>were inspected</w:t>
      </w:r>
      <w:r w:rsidRPr="00CD2EEF">
        <w:rPr>
          <w:lang w:val="en-GB"/>
        </w:rPr>
        <w:t>. Mechanical damage to the first distancer grid was found on fuel assembly AL48 and therefore this fuel assembly cannot be employed for further use in the core. A revised core design for fuel cycle 32 had to be prepared.</w:t>
      </w:r>
    </w:p>
    <w:p w14:paraId="28F5C1D9" w14:textId="52BAEEFC" w:rsidR="00CB3A79" w:rsidRPr="00CD2EEF" w:rsidRDefault="00CB3A79" w:rsidP="003D4C79">
      <w:pPr>
        <w:pStyle w:val="LPnavaden"/>
        <w:rPr>
          <w:lang w:val="en-GB"/>
        </w:rPr>
      </w:pPr>
      <w:r w:rsidRPr="00CD2EEF">
        <w:rPr>
          <w:lang w:val="en-GB"/>
        </w:rPr>
        <w:t>Ultrasonic Testing (UT) of fuel assemblies was not performed during the outage because this was not needed since, according to the primary coolant activity</w:t>
      </w:r>
      <w:r w:rsidR="005276F7">
        <w:rPr>
          <w:lang w:val="en-GB"/>
        </w:rPr>
        <w:t>,</w:t>
      </w:r>
      <w:r w:rsidRPr="00CD2EEF">
        <w:rPr>
          <w:lang w:val="en-GB"/>
        </w:rPr>
        <w:t xml:space="preserve"> there were no leaking fuel rods and it was expected that the IMS inspection would detect a suspect fuel assembly. UT inspection is used to detect leaking fuel rods in a tight fuel assembly.</w:t>
      </w:r>
    </w:p>
    <w:p w14:paraId="771A68A3" w14:textId="77777777" w:rsidR="00CB3A79" w:rsidRPr="00CD2EEF" w:rsidRDefault="00CB3A79" w:rsidP="00A40018">
      <w:pPr>
        <w:pStyle w:val="LPnavaden"/>
        <w:rPr>
          <w:lang w:val="en-GB"/>
        </w:rPr>
      </w:pPr>
    </w:p>
    <w:p w14:paraId="4B2D2801" w14:textId="77777777" w:rsidR="00CB3A79" w:rsidRPr="00CD2EEF" w:rsidRDefault="00CB3A79" w:rsidP="00A40018">
      <w:pPr>
        <w:rPr>
          <w:lang w:val="en-GB"/>
        </w:rPr>
      </w:pPr>
      <w:bookmarkStart w:id="82" w:name="fig12"/>
      <w:r w:rsidRPr="00CD2EEF">
        <w:rPr>
          <w:noProof/>
          <w:lang w:val="en-GB"/>
        </w:rPr>
        <w:drawing>
          <wp:inline distT="0" distB="0" distL="0" distR="0" wp14:anchorId="2C9D0370" wp14:editId="0DD9C8F7">
            <wp:extent cx="4143375" cy="2982595"/>
            <wp:effectExtent l="0" t="0" r="9525" b="8255"/>
            <wp:docPr id="9" name="Grafikon 9" descr="graphical introduction of fuel integrity inspections since fuel cycle 17">
              <a:extLst xmlns:a="http://schemas.openxmlformats.org/drawingml/2006/main">
                <a:ext uri="{FF2B5EF4-FFF2-40B4-BE49-F238E27FC236}">
                  <a16:creationId xmlns:a16="http://schemas.microsoft.com/office/drawing/2014/main" id="{A2A6E46E-8D11-41A9-A51D-9340E3E84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6492B2" w14:textId="686F2691" w:rsidR="00CB3A79" w:rsidRPr="00CD2EEF" w:rsidRDefault="003673DB" w:rsidP="003673DB">
      <w:pPr>
        <w:pStyle w:val="LPnaslovslika"/>
        <w:rPr>
          <w:lang w:val="en-GB"/>
        </w:rPr>
      </w:pPr>
      <w:bookmarkStart w:id="83" w:name="_Toc106628914"/>
      <w:bookmarkStart w:id="84" w:name="_Toc106629089"/>
      <w:bookmarkStart w:id="85" w:name="_Toc126309891"/>
      <w:bookmarkEnd w:id="82"/>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12</w:t>
      </w:r>
      <w:r w:rsidR="00366B6D" w:rsidRPr="00CD2EEF">
        <w:rPr>
          <w:lang w:val="en-GB"/>
        </w:rPr>
        <w:fldChar w:fldCharType="end"/>
      </w:r>
      <w:r w:rsidR="00CB3A79" w:rsidRPr="00CD2EEF">
        <w:rPr>
          <w:lang w:val="en-GB"/>
        </w:rPr>
        <w:t xml:space="preserve">: Results of fuel integrity inspections by the IMS method during outages since 2000 (fuel </w:t>
      </w:r>
      <w:r w:rsidR="00CB3A79" w:rsidRPr="009A315F">
        <w:rPr>
          <w:lang w:val="en-GB"/>
        </w:rPr>
        <w:t>cycle 17)</w:t>
      </w:r>
      <w:bookmarkEnd w:id="83"/>
      <w:bookmarkEnd w:id="84"/>
      <w:bookmarkEnd w:id="85"/>
      <w:r w:rsidR="008879D1">
        <w:rPr>
          <w:lang w:val="en-GB"/>
        </w:rPr>
        <w:t xml:space="preserve"> </w:t>
      </w:r>
    </w:p>
    <w:p w14:paraId="135C7276" w14:textId="491BA457" w:rsidR="00CB3A79" w:rsidRPr="00CD2EEF" w:rsidRDefault="00CB3A79" w:rsidP="00A40018">
      <w:pPr>
        <w:pStyle w:val="LPVirienojni"/>
        <w:rPr>
          <w:lang w:val="en-GB"/>
        </w:rPr>
      </w:pPr>
      <w:r w:rsidRPr="00CD2EEF">
        <w:rPr>
          <w:lang w:val="en-GB"/>
        </w:rPr>
        <w:t>Reference: [</w:t>
      </w:r>
      <w:hyperlink w:anchor="r01" w:history="1">
        <w:r w:rsidRPr="00CD2EEF">
          <w:rPr>
            <w:rStyle w:val="Hiperpovezava"/>
            <w:lang w:val="en-GB"/>
          </w:rPr>
          <w:t>1</w:t>
        </w:r>
      </w:hyperlink>
      <w:r w:rsidRPr="00CD2EEF">
        <w:rPr>
          <w:lang w:val="en-GB"/>
        </w:rPr>
        <w:t>]</w:t>
      </w:r>
    </w:p>
    <w:p w14:paraId="5C9FCA65" w14:textId="357F60BF" w:rsidR="00CB3A79" w:rsidRPr="00CD2EEF" w:rsidRDefault="00CB3A79" w:rsidP="00CB3A79">
      <w:pPr>
        <w:pStyle w:val="LPNaslov4"/>
        <w:rPr>
          <w:lang w:val="en-GB"/>
        </w:rPr>
      </w:pPr>
      <w:bookmarkStart w:id="86" w:name="_Toc46257173"/>
      <w:bookmarkStart w:id="87" w:name="_Toc47694616"/>
      <w:r w:rsidRPr="00CD2EEF">
        <w:rPr>
          <w:lang w:val="en-GB"/>
        </w:rPr>
        <w:t xml:space="preserve"> Safety </w:t>
      </w:r>
      <w:r w:rsidR="002D5FFC">
        <w:rPr>
          <w:lang w:val="en-GB"/>
        </w:rPr>
        <w:t>C</w:t>
      </w:r>
      <w:r w:rsidRPr="00CD2EEF">
        <w:rPr>
          <w:lang w:val="en-GB"/>
        </w:rPr>
        <w:t>ulture</w:t>
      </w:r>
      <w:bookmarkEnd w:id="86"/>
      <w:bookmarkEnd w:id="87"/>
    </w:p>
    <w:p w14:paraId="79246100" w14:textId="0CA63A47" w:rsidR="00CB3A79" w:rsidRPr="00CD2EEF" w:rsidRDefault="00A726E8" w:rsidP="00A87313">
      <w:pPr>
        <w:pStyle w:val="LPnavaden"/>
        <w:rPr>
          <w:lang w:val="en-GB"/>
        </w:rPr>
      </w:pPr>
      <w:r>
        <w:rPr>
          <w:lang w:val="en-GB"/>
        </w:rPr>
        <w:t>The</w:t>
      </w:r>
      <w:r w:rsidR="00E63423">
        <w:rPr>
          <w:lang w:val="en-GB"/>
        </w:rPr>
        <w:t xml:space="preserve"> SNSA</w:t>
      </w:r>
      <w:r w:rsidR="00CB3A79" w:rsidRPr="00CD2EEF">
        <w:rPr>
          <w:lang w:val="en-GB"/>
        </w:rPr>
        <w:t xml:space="preserve"> regularly assesses the safety culture in </w:t>
      </w:r>
      <w:r w:rsidR="001B146F">
        <w:rPr>
          <w:lang w:val="en-GB"/>
        </w:rPr>
        <w:t>the Krško NPP</w:t>
      </w:r>
      <w:r w:rsidR="00CB3A79" w:rsidRPr="00CD2EEF">
        <w:rPr>
          <w:lang w:val="en-GB"/>
        </w:rPr>
        <w:t xml:space="preserve"> over the whole year. The observations include the period from the beginning of the implementation of a modification (the administrative procedure, documentation overview, communication with </w:t>
      </w:r>
      <w:r w:rsidR="00C5169D">
        <w:rPr>
          <w:lang w:val="en-GB"/>
        </w:rPr>
        <w:t>the Krško NPP</w:t>
      </w:r>
      <w:r w:rsidR="00CB3A79" w:rsidRPr="00CD2EEF">
        <w:rPr>
          <w:lang w:val="en-GB"/>
        </w:rPr>
        <w:t>)</w:t>
      </w:r>
      <w:r w:rsidR="00240B97">
        <w:rPr>
          <w:lang w:val="en-GB"/>
        </w:rPr>
        <w:t>,</w:t>
      </w:r>
      <w:r w:rsidR="00CB3A79" w:rsidRPr="00CD2EEF">
        <w:rPr>
          <w:lang w:val="en-GB"/>
        </w:rPr>
        <w:t xml:space="preserve"> to the realisation of the modification. In addition, </w:t>
      </w:r>
      <w:r>
        <w:rPr>
          <w:lang w:val="en-GB"/>
        </w:rPr>
        <w:t>the</w:t>
      </w:r>
      <w:r w:rsidR="00E63423">
        <w:rPr>
          <w:lang w:val="en-GB"/>
        </w:rPr>
        <w:t xml:space="preserve"> SNSA</w:t>
      </w:r>
      <w:r w:rsidR="00CB3A79" w:rsidRPr="00CD2EEF">
        <w:rPr>
          <w:lang w:val="en-GB"/>
        </w:rPr>
        <w:t xml:space="preserve"> collects the observations from the inspections and outage activities.</w:t>
      </w:r>
    </w:p>
    <w:p w14:paraId="03AA34D0" w14:textId="6F5C754A" w:rsidR="00CB3A79" w:rsidRPr="00CD2EEF" w:rsidRDefault="00CB3A79" w:rsidP="00A87313">
      <w:pPr>
        <w:pStyle w:val="LPnavaden"/>
        <w:rPr>
          <w:lang w:val="en-GB"/>
        </w:rPr>
      </w:pPr>
      <w:r w:rsidRPr="00CD2EEF">
        <w:rPr>
          <w:lang w:val="en-GB"/>
        </w:rPr>
        <w:t xml:space="preserve">Safety culture observations are categorised into five safety culture characteristics defined in the IAEA document </w:t>
      </w:r>
      <w:r w:rsidRPr="00CD2EEF">
        <w:rPr>
          <w:rStyle w:val="LPnavadenposevnoZnak"/>
          <w:lang w:val="en-GB"/>
        </w:rPr>
        <w:t xml:space="preserve">GS-G-3.1 </w:t>
      </w:r>
      <w:r w:rsidR="00263D93">
        <w:rPr>
          <w:rStyle w:val="LPnavadenposevnoZnak"/>
          <w:lang w:val="en-GB"/>
        </w:rPr>
        <w:t>“</w:t>
      </w:r>
      <w:r w:rsidRPr="00CD2EEF">
        <w:rPr>
          <w:rStyle w:val="LPnavadenposevnoZnak"/>
          <w:lang w:val="en-GB"/>
        </w:rPr>
        <w:t>Application of the Management System for Facilities and Activities</w:t>
      </w:r>
      <w:r w:rsidR="00263D93" w:rsidRPr="003710F1">
        <w:rPr>
          <w:i/>
          <w:iCs/>
          <w:lang w:val="en-GB"/>
        </w:rPr>
        <w:t>”</w:t>
      </w:r>
      <w:r w:rsidRPr="00CD2EEF">
        <w:rPr>
          <w:lang w:val="en-GB"/>
        </w:rPr>
        <w:t>.</w:t>
      </w:r>
      <w:r w:rsidR="008A1E6B">
        <w:rPr>
          <w:lang w:val="en-GB"/>
        </w:rPr>
        <w:t xml:space="preserve"> </w:t>
      </w:r>
    </w:p>
    <w:p w14:paraId="33B8D41F" w14:textId="3182E61B" w:rsidR="00CB3A79" w:rsidRPr="00CD2EEF" w:rsidRDefault="00CB3A79" w:rsidP="00EC35C9">
      <w:pPr>
        <w:pStyle w:val="LPnavaden"/>
        <w:rPr>
          <w:lang w:val="en-GB"/>
        </w:rPr>
      </w:pPr>
      <w:r w:rsidRPr="00CD2EEF">
        <w:rPr>
          <w:lang w:val="en-GB"/>
        </w:rPr>
        <w:t xml:space="preserve">In 2022, </w:t>
      </w:r>
      <w:r w:rsidR="00A726E8">
        <w:rPr>
          <w:lang w:val="en-GB"/>
        </w:rPr>
        <w:t>the</w:t>
      </w:r>
      <w:r w:rsidR="00E63423">
        <w:rPr>
          <w:lang w:val="en-GB"/>
        </w:rPr>
        <w:t xml:space="preserve"> SNSA</w:t>
      </w:r>
      <w:r w:rsidRPr="00CD2EEF">
        <w:rPr>
          <w:lang w:val="en-GB"/>
        </w:rPr>
        <w:t xml:space="preserve"> will send the observations </w:t>
      </w:r>
      <w:r w:rsidR="00240B97">
        <w:rPr>
          <w:lang w:val="en-GB"/>
        </w:rPr>
        <w:t>regarding</w:t>
      </w:r>
      <w:r w:rsidR="00240B97" w:rsidRPr="00CD2EEF">
        <w:rPr>
          <w:lang w:val="en-GB"/>
        </w:rPr>
        <w:t xml:space="preserve"> </w:t>
      </w:r>
      <w:r w:rsidR="00240B97">
        <w:rPr>
          <w:lang w:val="en-GB"/>
        </w:rPr>
        <w:t xml:space="preserve">the </w:t>
      </w:r>
      <w:r w:rsidRPr="00CD2EEF">
        <w:rPr>
          <w:lang w:val="en-GB"/>
        </w:rPr>
        <w:t>positive and negative safety culture from the 31</w:t>
      </w:r>
      <w:r w:rsidRPr="00CD2EEF">
        <w:rPr>
          <w:rStyle w:val="LPnadpisano"/>
          <w:lang w:val="en-GB"/>
        </w:rPr>
        <w:t xml:space="preserve">st </w:t>
      </w:r>
      <w:r w:rsidRPr="00CD2EEF">
        <w:rPr>
          <w:lang w:val="en-GB"/>
        </w:rPr>
        <w:t xml:space="preserve">fuel cycle to </w:t>
      </w:r>
      <w:r w:rsidR="00C5169D">
        <w:rPr>
          <w:lang w:val="en-GB"/>
        </w:rPr>
        <w:t>the Krško NPP</w:t>
      </w:r>
      <w:r w:rsidRPr="00CD2EEF">
        <w:rPr>
          <w:lang w:val="en-GB"/>
        </w:rPr>
        <w:t>. After that</w:t>
      </w:r>
      <w:r w:rsidR="00240B97">
        <w:rPr>
          <w:lang w:val="en-GB"/>
        </w:rPr>
        <w:t>,</w:t>
      </w:r>
      <w:r w:rsidRPr="00CD2EEF">
        <w:rPr>
          <w:lang w:val="en-GB"/>
        </w:rPr>
        <w:t xml:space="preserve"> the observations will be discussed jointly by the working group of </w:t>
      </w:r>
      <w:r w:rsidR="00E63423">
        <w:rPr>
          <w:lang w:val="en-GB"/>
        </w:rPr>
        <w:t>the SNSA</w:t>
      </w:r>
      <w:r w:rsidRPr="00CD2EEF">
        <w:rPr>
          <w:lang w:val="en-GB"/>
        </w:rPr>
        <w:t xml:space="preserve"> and </w:t>
      </w:r>
      <w:r w:rsidR="00C5169D">
        <w:rPr>
          <w:lang w:val="en-GB"/>
        </w:rPr>
        <w:t>the Krško NPP</w:t>
      </w:r>
      <w:r w:rsidRPr="00CD2EEF">
        <w:rPr>
          <w:lang w:val="en-GB"/>
        </w:rPr>
        <w:t xml:space="preserve"> experts.</w:t>
      </w:r>
    </w:p>
    <w:p w14:paraId="54AE8AD1" w14:textId="77777777" w:rsidR="00CB3A79" w:rsidRPr="00CD2EEF" w:rsidRDefault="00CB3A79" w:rsidP="00CB3A79">
      <w:pPr>
        <w:pStyle w:val="LPNaslov4"/>
        <w:rPr>
          <w:lang w:val="en-GB"/>
        </w:rPr>
      </w:pPr>
      <w:r w:rsidRPr="00CD2EEF">
        <w:rPr>
          <w:lang w:val="en-GB"/>
        </w:rPr>
        <w:lastRenderedPageBreak/>
        <w:t xml:space="preserve"> Inspection Reviews</w:t>
      </w:r>
    </w:p>
    <w:p w14:paraId="471060CC" w14:textId="4AAA9F86" w:rsidR="00CB3A79" w:rsidRPr="00CD2EEF" w:rsidRDefault="00CB3A79" w:rsidP="008A5F03">
      <w:pPr>
        <w:pStyle w:val="LPnavaden"/>
        <w:rPr>
          <w:lang w:val="en-GB"/>
        </w:rPr>
      </w:pPr>
      <w:r w:rsidRPr="00CD2EEF">
        <w:rPr>
          <w:lang w:val="en-GB"/>
        </w:rPr>
        <w:t xml:space="preserve">In 2021, 52 planned inspections were performed </w:t>
      </w:r>
      <w:r w:rsidR="00A0792B">
        <w:rPr>
          <w:lang w:val="en-GB"/>
        </w:rPr>
        <w:t>in total</w:t>
      </w:r>
      <w:r w:rsidR="00A0792B" w:rsidRPr="00CD2EEF">
        <w:rPr>
          <w:lang w:val="en-GB"/>
        </w:rPr>
        <w:t xml:space="preserve"> </w:t>
      </w:r>
      <w:r w:rsidRPr="00CD2EEF">
        <w:rPr>
          <w:lang w:val="en-GB"/>
        </w:rPr>
        <w:t xml:space="preserve">at </w:t>
      </w:r>
      <w:r w:rsidR="001B146F">
        <w:rPr>
          <w:lang w:val="en-GB"/>
        </w:rPr>
        <w:t>the Krško NPP</w:t>
      </w:r>
      <w:r w:rsidRPr="00CD2EEF">
        <w:rPr>
          <w:lang w:val="en-GB"/>
        </w:rPr>
        <w:t>. There were no reactive inspections related to abnormal events. Two unannounced inspections were also carried out within the scope of the planned ones.</w:t>
      </w:r>
    </w:p>
    <w:p w14:paraId="5A5E4906" w14:textId="613B96CA" w:rsidR="00CB3A79" w:rsidRPr="00CD2EEF" w:rsidRDefault="00CB3A79" w:rsidP="008A5F03">
      <w:pPr>
        <w:pStyle w:val="LPnavaden"/>
        <w:rPr>
          <w:lang w:val="en-GB"/>
        </w:rPr>
      </w:pPr>
      <w:r w:rsidRPr="00CD2EEF">
        <w:rPr>
          <w:lang w:val="en-GB"/>
        </w:rPr>
        <w:t>According to the Annual Plan of the Radiation and Nuclear Safety Service</w:t>
      </w:r>
      <w:r w:rsidR="008A1E6B">
        <w:rPr>
          <w:lang w:val="en-GB"/>
        </w:rPr>
        <w:t xml:space="preserve"> </w:t>
      </w:r>
      <w:r w:rsidRPr="00CD2EEF">
        <w:rPr>
          <w:lang w:val="en-GB"/>
        </w:rPr>
        <w:t xml:space="preserve">for the year 2021, topics for the inspection supervision of </w:t>
      </w:r>
      <w:r w:rsidR="001B146F">
        <w:rPr>
          <w:lang w:val="en-GB"/>
        </w:rPr>
        <w:t>the Krško NPP</w:t>
      </w:r>
      <w:r w:rsidRPr="00CD2EEF">
        <w:rPr>
          <w:lang w:val="en-GB"/>
        </w:rPr>
        <w:t xml:space="preserve"> are divided into 8 groups, namely:</w:t>
      </w:r>
    </w:p>
    <w:p w14:paraId="6E245FFE" w14:textId="77777777" w:rsidR="00CB3A79" w:rsidRPr="00CD2EEF" w:rsidRDefault="00CB3A79" w:rsidP="00B839A3">
      <w:pPr>
        <w:pStyle w:val="LPalineje"/>
        <w:rPr>
          <w:lang w:val="en-GB"/>
        </w:rPr>
      </w:pPr>
      <w:r w:rsidRPr="00CD2EEF">
        <w:rPr>
          <w:lang w:val="en-GB"/>
        </w:rPr>
        <w:t xml:space="preserve">general inspection, </w:t>
      </w:r>
    </w:p>
    <w:p w14:paraId="048373EF" w14:textId="77777777" w:rsidR="00CB3A79" w:rsidRPr="00CD2EEF" w:rsidRDefault="00CB3A79" w:rsidP="00B839A3">
      <w:pPr>
        <w:pStyle w:val="LPalineje"/>
        <w:rPr>
          <w:lang w:val="en-GB"/>
        </w:rPr>
      </w:pPr>
      <w:r w:rsidRPr="00CD2EEF">
        <w:rPr>
          <w:lang w:val="en-GB"/>
        </w:rPr>
        <w:t>operation, equipment qualification, ageing management,</w:t>
      </w:r>
    </w:p>
    <w:p w14:paraId="42035797" w14:textId="77777777" w:rsidR="00CB3A79" w:rsidRPr="00CD2EEF" w:rsidRDefault="00CB3A79" w:rsidP="00B839A3">
      <w:pPr>
        <w:pStyle w:val="LPalineje"/>
        <w:rPr>
          <w:lang w:val="en-GB"/>
        </w:rPr>
      </w:pPr>
      <w:r w:rsidRPr="00CD2EEF">
        <w:rPr>
          <w:lang w:val="en-GB"/>
        </w:rPr>
        <w:t>design basis,</w:t>
      </w:r>
    </w:p>
    <w:p w14:paraId="15440570" w14:textId="77777777" w:rsidR="00CB3A79" w:rsidRPr="00CD2EEF" w:rsidRDefault="00CB3A79" w:rsidP="00B839A3">
      <w:pPr>
        <w:pStyle w:val="LPalineje"/>
        <w:rPr>
          <w:lang w:val="en-GB"/>
        </w:rPr>
      </w:pPr>
      <w:r w:rsidRPr="00CD2EEF">
        <w:rPr>
          <w:lang w:val="en-GB"/>
        </w:rPr>
        <w:t>safety analyses,</w:t>
      </w:r>
    </w:p>
    <w:p w14:paraId="6D915B66" w14:textId="77777777" w:rsidR="00CB3A79" w:rsidRPr="00CD2EEF" w:rsidRDefault="00CB3A79" w:rsidP="00B839A3">
      <w:pPr>
        <w:pStyle w:val="LPalineje"/>
        <w:rPr>
          <w:lang w:val="en-GB"/>
        </w:rPr>
      </w:pPr>
      <w:r w:rsidRPr="00CD2EEF">
        <w:rPr>
          <w:lang w:val="en-GB"/>
        </w:rPr>
        <w:t>management for safety, human factors, training, safety documentation, operating experiences,</w:t>
      </w:r>
    </w:p>
    <w:p w14:paraId="7C6C3D5B" w14:textId="4614AE88" w:rsidR="00CB3A79" w:rsidRPr="00CD2EEF" w:rsidRDefault="00CB3A79" w:rsidP="00B839A3">
      <w:pPr>
        <w:pStyle w:val="LPalineje"/>
        <w:rPr>
          <w:lang w:val="en-GB"/>
        </w:rPr>
      </w:pPr>
      <w:r w:rsidRPr="00CD2EEF">
        <w:rPr>
          <w:lang w:val="en-GB"/>
        </w:rPr>
        <w:t xml:space="preserve">emergency response, security, </w:t>
      </w:r>
      <w:r w:rsidR="00C66836" w:rsidRPr="00CD2EEF">
        <w:rPr>
          <w:lang w:val="en-GB"/>
        </w:rPr>
        <w:t>cybersecurity</w:t>
      </w:r>
      <w:r w:rsidRPr="00CD2EEF">
        <w:rPr>
          <w:lang w:val="en-GB"/>
        </w:rPr>
        <w:t>,</w:t>
      </w:r>
    </w:p>
    <w:p w14:paraId="5F7ABC13" w14:textId="6D4E908C" w:rsidR="00CB3A79" w:rsidRPr="00CD2EEF" w:rsidRDefault="00CB3A79" w:rsidP="00B839A3">
      <w:pPr>
        <w:pStyle w:val="LPalineje"/>
        <w:rPr>
          <w:lang w:val="en-GB"/>
        </w:rPr>
      </w:pPr>
      <w:r w:rsidRPr="00CD2EEF">
        <w:rPr>
          <w:lang w:val="en-GB"/>
        </w:rPr>
        <w:t>radiation protection, radioactive waste, radiological impacts, decommissioning</w:t>
      </w:r>
      <w:r w:rsidR="00A0792B">
        <w:rPr>
          <w:lang w:val="en-GB"/>
        </w:rPr>
        <w:t>,</w:t>
      </w:r>
      <w:r w:rsidRPr="00CD2EEF">
        <w:rPr>
          <w:lang w:val="en-GB"/>
        </w:rPr>
        <w:t xml:space="preserve"> and</w:t>
      </w:r>
    </w:p>
    <w:p w14:paraId="028E1406" w14:textId="77777777" w:rsidR="00CB3A79" w:rsidRPr="00CD2EEF" w:rsidRDefault="00CB3A79" w:rsidP="00B839A3">
      <w:pPr>
        <w:pStyle w:val="LPalineje"/>
        <w:rPr>
          <w:lang w:val="en-GB"/>
        </w:rPr>
      </w:pPr>
      <w:r w:rsidRPr="00CD2EEF">
        <w:rPr>
          <w:lang w:val="en-GB"/>
        </w:rPr>
        <w:t>outage.</w:t>
      </w:r>
    </w:p>
    <w:p w14:paraId="1FA2EBF8" w14:textId="15D03D24" w:rsidR="00CB3A79" w:rsidRPr="00CD2EEF" w:rsidRDefault="00CB3A79" w:rsidP="008A5F03">
      <w:pPr>
        <w:pStyle w:val="LPnavaden"/>
        <w:rPr>
          <w:lang w:val="en-GB"/>
        </w:rPr>
      </w:pPr>
      <w:r w:rsidRPr="00CD2EEF">
        <w:rPr>
          <w:lang w:val="en-GB"/>
        </w:rPr>
        <w:t xml:space="preserve">Most of the inspections lasted one day. Permanent inspection supervision with the involvement of inspectors, experts from the Nuclear Safety Division </w:t>
      </w:r>
      <w:r w:rsidRPr="003710F1">
        <w:rPr>
          <w:lang w:val="en-GB"/>
        </w:rPr>
        <w:t>and TSO</w:t>
      </w:r>
      <w:r w:rsidR="006A7858" w:rsidRPr="003710F1">
        <w:rPr>
          <w:lang w:val="en-GB"/>
        </w:rPr>
        <w:t>s</w:t>
      </w:r>
      <w:r w:rsidRPr="00CD2EEF">
        <w:rPr>
          <w:lang w:val="en-GB"/>
        </w:rPr>
        <w:t xml:space="preserve"> was carried out throughout the duration of the outage in April and early May 2021. The focus of these inspections was on activities important for ensuring a high level of nuclear safety and </w:t>
      </w:r>
      <w:r w:rsidR="00A0792B">
        <w:rPr>
          <w:lang w:val="en-GB"/>
        </w:rPr>
        <w:t xml:space="preserve">the </w:t>
      </w:r>
      <w:r w:rsidRPr="00CD2EEF">
        <w:rPr>
          <w:lang w:val="en-GB"/>
        </w:rPr>
        <w:t xml:space="preserve">safe long-term operation of </w:t>
      </w:r>
      <w:r w:rsidR="001B146F">
        <w:rPr>
          <w:lang w:val="en-GB"/>
        </w:rPr>
        <w:t>the Krško NPP</w:t>
      </w:r>
      <w:r w:rsidRPr="00CD2EEF">
        <w:rPr>
          <w:lang w:val="en-GB"/>
        </w:rPr>
        <w:t xml:space="preserve"> after 2023. Regarding the long-term operation, an additional week</w:t>
      </w:r>
      <w:r w:rsidR="00A0792B">
        <w:rPr>
          <w:lang w:val="en-GB"/>
        </w:rPr>
        <w:t>-long</w:t>
      </w:r>
      <w:r w:rsidRPr="00CD2EEF">
        <w:rPr>
          <w:lang w:val="en-GB"/>
        </w:rPr>
        <w:t xml:space="preserve"> inspection was carried out, during which the NPP activities ensuring the efficiency and integrity of the safety</w:t>
      </w:r>
      <w:r w:rsidR="00A0792B">
        <w:rPr>
          <w:lang w:val="en-GB"/>
        </w:rPr>
        <w:t>-</w:t>
      </w:r>
      <w:r w:rsidRPr="00CD2EEF">
        <w:rPr>
          <w:lang w:val="en-GB"/>
        </w:rPr>
        <w:t>related equipment were verified.</w:t>
      </w:r>
    </w:p>
    <w:p w14:paraId="48434F01" w14:textId="2ECB5612" w:rsidR="00CB3A79" w:rsidRPr="00CD2EEF" w:rsidRDefault="00F30254" w:rsidP="008A5F03">
      <w:pPr>
        <w:pStyle w:val="LPnavaden"/>
        <w:rPr>
          <w:lang w:val="en-GB"/>
        </w:rPr>
      </w:pPr>
      <w:r>
        <w:rPr>
          <w:lang w:val="en-GB"/>
        </w:rPr>
        <w:t xml:space="preserve">In 2021, </w:t>
      </w:r>
      <w:r w:rsidR="00CB3A79" w:rsidRPr="00CD2EEF">
        <w:rPr>
          <w:lang w:val="en-GB"/>
        </w:rPr>
        <w:t xml:space="preserve">inspectors issued 38 requests to </w:t>
      </w:r>
      <w:r w:rsidR="001B146F">
        <w:rPr>
          <w:lang w:val="en-GB"/>
        </w:rPr>
        <w:t>the Krško NPP</w:t>
      </w:r>
      <w:r w:rsidR="00CB3A79" w:rsidRPr="00CD2EEF">
        <w:rPr>
          <w:lang w:val="en-GB"/>
        </w:rPr>
        <w:t xml:space="preserve"> for corrections of deviations, </w:t>
      </w:r>
      <w:r w:rsidR="00A0792B">
        <w:rPr>
          <w:lang w:val="en-GB"/>
        </w:rPr>
        <w:t xml:space="preserve">the </w:t>
      </w:r>
      <w:r w:rsidR="00CB3A79" w:rsidRPr="00CD2EEF">
        <w:rPr>
          <w:lang w:val="en-GB"/>
        </w:rPr>
        <w:t xml:space="preserve">implementation of improvements or additional reporting. Most of the requirements have already been properly met, but for some of them </w:t>
      </w:r>
      <w:r w:rsidR="00A0792B">
        <w:rPr>
          <w:lang w:val="en-GB"/>
        </w:rPr>
        <w:t>the</w:t>
      </w:r>
      <w:r w:rsidR="00A0792B" w:rsidRPr="00CD2EEF">
        <w:rPr>
          <w:lang w:val="en-GB"/>
        </w:rPr>
        <w:t xml:space="preserve"> </w:t>
      </w:r>
      <w:r w:rsidR="00CB3A79" w:rsidRPr="00CD2EEF">
        <w:rPr>
          <w:lang w:val="en-GB"/>
        </w:rPr>
        <w:t xml:space="preserve">deadline for fulfilment has not </w:t>
      </w:r>
      <w:r w:rsidR="00A0792B" w:rsidRPr="00CD2EEF">
        <w:rPr>
          <w:lang w:val="en-GB"/>
        </w:rPr>
        <w:t xml:space="preserve">yet </w:t>
      </w:r>
      <w:r w:rsidR="00CB3A79" w:rsidRPr="00CD2EEF">
        <w:rPr>
          <w:lang w:val="en-GB"/>
        </w:rPr>
        <w:t xml:space="preserve">expired. Two warnings were issued due to </w:t>
      </w:r>
      <w:r w:rsidR="00A0792B">
        <w:rPr>
          <w:lang w:val="en-GB"/>
        </w:rPr>
        <w:t>a</w:t>
      </w:r>
      <w:r w:rsidR="00A0792B" w:rsidRPr="00CD2EEF">
        <w:rPr>
          <w:lang w:val="en-GB"/>
        </w:rPr>
        <w:t xml:space="preserve"> </w:t>
      </w:r>
      <w:r w:rsidR="00CB3A79" w:rsidRPr="00CD2EEF">
        <w:rPr>
          <w:lang w:val="en-GB"/>
        </w:rPr>
        <w:t xml:space="preserve">violation of the provisions </w:t>
      </w:r>
      <w:r w:rsidR="00A0792B">
        <w:rPr>
          <w:lang w:val="en-GB"/>
        </w:rPr>
        <w:t>determined</w:t>
      </w:r>
      <w:r w:rsidR="00A0792B" w:rsidRPr="00CD2EEF">
        <w:rPr>
          <w:lang w:val="en-GB"/>
        </w:rPr>
        <w:t xml:space="preserve"> </w:t>
      </w:r>
      <w:r w:rsidR="00CB3A79" w:rsidRPr="00CD2EEF">
        <w:rPr>
          <w:lang w:val="en-GB"/>
        </w:rPr>
        <w:t>in</w:t>
      </w:r>
      <w:r w:rsidR="008A1E6B">
        <w:rPr>
          <w:lang w:val="en-GB"/>
        </w:rPr>
        <w:t xml:space="preserve"> </w:t>
      </w:r>
      <w:r w:rsidR="00CB3A79" w:rsidRPr="00CD2EEF">
        <w:rPr>
          <w:lang w:val="en-GB"/>
        </w:rPr>
        <w:t xml:space="preserve">the legislation. The first case was related to the installation of additional fire detectors as a result of </w:t>
      </w:r>
      <w:r w:rsidR="00A31834">
        <w:rPr>
          <w:lang w:val="en-GB"/>
        </w:rPr>
        <w:t xml:space="preserve">a </w:t>
      </w:r>
      <w:r w:rsidR="00A31834" w:rsidRPr="00CD2EEF">
        <w:rPr>
          <w:lang w:val="en-GB"/>
        </w:rPr>
        <w:t xml:space="preserve">request </w:t>
      </w:r>
      <w:r w:rsidR="00A31834">
        <w:rPr>
          <w:lang w:val="en-GB"/>
        </w:rPr>
        <w:t xml:space="preserve">by </w:t>
      </w:r>
      <w:r w:rsidR="00CB3A79" w:rsidRPr="00CD2EEF">
        <w:rPr>
          <w:lang w:val="en-GB"/>
        </w:rPr>
        <w:t xml:space="preserve">the fire inspector, whereby </w:t>
      </w:r>
      <w:r w:rsidR="001B146F">
        <w:rPr>
          <w:lang w:val="en-GB"/>
        </w:rPr>
        <w:t>the Krško NPP</w:t>
      </w:r>
      <w:r w:rsidR="00CB3A79" w:rsidRPr="00CD2EEF">
        <w:rPr>
          <w:lang w:val="en-GB"/>
        </w:rPr>
        <w:t xml:space="preserve"> overlooked that such installation results in a change in the Technical Specifications, which must be approved by </w:t>
      </w:r>
      <w:r w:rsidR="00A726E8">
        <w:rPr>
          <w:lang w:val="en-GB"/>
        </w:rPr>
        <w:t>the</w:t>
      </w:r>
      <w:r w:rsidR="00E63423">
        <w:rPr>
          <w:lang w:val="en-GB"/>
        </w:rPr>
        <w:t xml:space="preserve"> SNSA</w:t>
      </w:r>
      <w:r w:rsidR="00CB3A79" w:rsidRPr="00CD2EEF">
        <w:rPr>
          <w:lang w:val="en-GB"/>
        </w:rPr>
        <w:t xml:space="preserve">. The second case was related to the testing of the emergency diesel generator. Although the testing was correct in terms of its scope, it did not completely meet the requirements of the Technical Specifications regarding the </w:t>
      </w:r>
      <w:r w:rsidR="00F660F4" w:rsidRPr="00CD2EEF">
        <w:rPr>
          <w:lang w:val="en-GB"/>
        </w:rPr>
        <w:t xml:space="preserve">procedure </w:t>
      </w:r>
      <w:r w:rsidR="00CB3A79" w:rsidRPr="00CD2EEF">
        <w:rPr>
          <w:lang w:val="en-GB"/>
        </w:rPr>
        <w:t xml:space="preserve">used. </w:t>
      </w:r>
      <w:r w:rsidR="001B146F">
        <w:rPr>
          <w:lang w:val="en-GB"/>
        </w:rPr>
        <w:t>The Krško NPP</w:t>
      </w:r>
      <w:r w:rsidR="00CB3A79" w:rsidRPr="00CD2EEF">
        <w:rPr>
          <w:lang w:val="en-GB"/>
        </w:rPr>
        <w:t xml:space="preserve"> has already carried out the appropriate improvements for both non-compliances.</w:t>
      </w:r>
    </w:p>
    <w:p w14:paraId="593AB5E6" w14:textId="753AF8CC" w:rsidR="00CB3A79" w:rsidRPr="00CD2EEF" w:rsidRDefault="00A726E8" w:rsidP="00605CA6">
      <w:pPr>
        <w:pStyle w:val="LPnavaden"/>
        <w:rPr>
          <w:lang w:val="en-GB"/>
        </w:rPr>
      </w:pPr>
      <w:r w:rsidRPr="003710F1">
        <w:rPr>
          <w:lang w:val="en-GB"/>
        </w:rPr>
        <w:t>The</w:t>
      </w:r>
      <w:r w:rsidR="00E63423" w:rsidRPr="003710F1">
        <w:rPr>
          <w:lang w:val="en-GB"/>
        </w:rPr>
        <w:t xml:space="preserve"> </w:t>
      </w:r>
      <w:r w:rsidR="005427D6" w:rsidRPr="003710F1">
        <w:rPr>
          <w:lang w:val="en-GB"/>
        </w:rPr>
        <w:t xml:space="preserve">SNSA Inspection Service (hereinafter the SNSA Inspection) </w:t>
      </w:r>
      <w:r w:rsidR="00CB3A79" w:rsidRPr="003710F1">
        <w:rPr>
          <w:lang w:val="en-GB"/>
        </w:rPr>
        <w:t>concludes</w:t>
      </w:r>
      <w:r w:rsidR="00CB3A79" w:rsidRPr="00CD2EEF">
        <w:rPr>
          <w:lang w:val="en-GB"/>
        </w:rPr>
        <w:t xml:space="preserve"> that </w:t>
      </w:r>
      <w:r w:rsidR="001B146F">
        <w:rPr>
          <w:lang w:val="en-GB"/>
        </w:rPr>
        <w:t>the Krško NPP</w:t>
      </w:r>
      <w:r w:rsidR="00CB3A79" w:rsidRPr="00CD2EEF">
        <w:rPr>
          <w:lang w:val="en-GB"/>
        </w:rPr>
        <w:t xml:space="preserve"> operated safely in 2021, i.e. without causing harm to people and the environment. </w:t>
      </w:r>
      <w:r w:rsidR="00F660F4">
        <w:rPr>
          <w:lang w:val="en-GB"/>
        </w:rPr>
        <w:t>The i</w:t>
      </w:r>
      <w:r w:rsidR="00CB3A79" w:rsidRPr="00CD2EEF">
        <w:rPr>
          <w:lang w:val="en-GB"/>
        </w:rPr>
        <w:t xml:space="preserve">mplementation of activities during the 2021 </w:t>
      </w:r>
      <w:r w:rsidR="003B2BEF" w:rsidRPr="00CD2EEF">
        <w:rPr>
          <w:lang w:val="en-GB"/>
        </w:rPr>
        <w:t xml:space="preserve">outage </w:t>
      </w:r>
      <w:r w:rsidR="00CB3A79" w:rsidRPr="00CD2EEF">
        <w:rPr>
          <w:lang w:val="en-GB"/>
        </w:rPr>
        <w:t xml:space="preserve">enables safe and reliable operation </w:t>
      </w:r>
      <w:r w:rsidR="003B2BEF">
        <w:rPr>
          <w:lang w:val="en-GB"/>
        </w:rPr>
        <w:t>for</w:t>
      </w:r>
      <w:r w:rsidR="003B2BEF" w:rsidRPr="00CD2EEF">
        <w:rPr>
          <w:lang w:val="en-GB"/>
        </w:rPr>
        <w:t xml:space="preserve"> </w:t>
      </w:r>
      <w:r w:rsidR="00CB3A79" w:rsidRPr="00CD2EEF">
        <w:rPr>
          <w:lang w:val="en-GB"/>
        </w:rPr>
        <w:t xml:space="preserve">the next 18 months. The deviations identified were regularly analysed and corrected within </w:t>
      </w:r>
      <w:r w:rsidR="003B2BEF">
        <w:rPr>
          <w:lang w:val="en-GB"/>
        </w:rPr>
        <w:t xml:space="preserve">the </w:t>
      </w:r>
      <w:r w:rsidR="00CB3A79" w:rsidRPr="00CD2EEF">
        <w:rPr>
          <w:lang w:val="en-GB"/>
        </w:rPr>
        <w:t xml:space="preserve">implementation of the Corrective Programme. </w:t>
      </w:r>
      <w:r>
        <w:rPr>
          <w:lang w:val="en-GB"/>
        </w:rPr>
        <w:t>The</w:t>
      </w:r>
      <w:r w:rsidR="00E63423">
        <w:rPr>
          <w:lang w:val="en-GB"/>
        </w:rPr>
        <w:t xml:space="preserve"> SNSA</w:t>
      </w:r>
      <w:r w:rsidR="00CB3A79" w:rsidRPr="00CD2EEF">
        <w:rPr>
          <w:lang w:val="en-GB"/>
        </w:rPr>
        <w:t xml:space="preserve"> </w:t>
      </w:r>
      <w:r w:rsidR="006D630B">
        <w:rPr>
          <w:lang w:val="en-GB"/>
        </w:rPr>
        <w:t>I</w:t>
      </w:r>
      <w:r w:rsidR="00CB3A79" w:rsidRPr="00CD2EEF">
        <w:rPr>
          <w:lang w:val="en-GB"/>
        </w:rPr>
        <w:t>nspection unit assessed the activities of most organ</w:t>
      </w:r>
      <w:r w:rsidR="00837F00">
        <w:rPr>
          <w:lang w:val="en-GB"/>
        </w:rPr>
        <w:t>is</w:t>
      </w:r>
      <w:r w:rsidR="00CB3A79" w:rsidRPr="00CD2EEF">
        <w:rPr>
          <w:lang w:val="en-GB"/>
        </w:rPr>
        <w:t xml:space="preserve">ational units of </w:t>
      </w:r>
      <w:r w:rsidR="001B146F">
        <w:rPr>
          <w:lang w:val="en-GB"/>
        </w:rPr>
        <w:t>the Krško NPP</w:t>
      </w:r>
      <w:r w:rsidR="00CB3A79" w:rsidRPr="00CD2EEF">
        <w:rPr>
          <w:lang w:val="en-GB"/>
        </w:rPr>
        <w:t xml:space="preserve"> as good.</w:t>
      </w:r>
    </w:p>
    <w:p w14:paraId="3C611EE8" w14:textId="21538D74" w:rsidR="00CB3A79" w:rsidRPr="00CD2EEF" w:rsidRDefault="00CB3A79" w:rsidP="008A5F03">
      <w:pPr>
        <w:pStyle w:val="LPnavaden"/>
        <w:rPr>
          <w:lang w:val="en-GB"/>
        </w:rPr>
      </w:pPr>
      <w:r w:rsidRPr="00CD2EEF">
        <w:rPr>
          <w:lang w:val="en-GB"/>
        </w:rPr>
        <w:t xml:space="preserve">In the area of the protection of exposed workers against radiation, </w:t>
      </w:r>
      <w:r w:rsidR="001B146F">
        <w:rPr>
          <w:lang w:val="en-GB"/>
        </w:rPr>
        <w:t>the Krško NPP</w:t>
      </w:r>
      <w:r w:rsidRPr="00CD2EEF">
        <w:rPr>
          <w:lang w:val="en-GB"/>
        </w:rPr>
        <w:t xml:space="preserve"> is also supervised by the Slovenian Radiation Protection Administration (SRPA). In 2021, the SRPA carried out three inspections at </w:t>
      </w:r>
      <w:r w:rsidR="001B146F">
        <w:rPr>
          <w:lang w:val="en-GB"/>
        </w:rPr>
        <w:t>the Krško NPP</w:t>
      </w:r>
      <w:r w:rsidRPr="00CD2EEF">
        <w:rPr>
          <w:lang w:val="en-GB"/>
        </w:rPr>
        <w:t xml:space="preserve">, including one joint inspection with </w:t>
      </w:r>
      <w:r w:rsidR="00A726E8">
        <w:rPr>
          <w:lang w:val="en-GB"/>
        </w:rPr>
        <w:t>the</w:t>
      </w:r>
      <w:r w:rsidR="00E63423">
        <w:rPr>
          <w:lang w:val="en-GB"/>
        </w:rPr>
        <w:t xml:space="preserve"> SNSA</w:t>
      </w:r>
      <w:r w:rsidRPr="00CD2EEF">
        <w:rPr>
          <w:lang w:val="en-GB"/>
        </w:rPr>
        <w:t>. Inspection areas included the radiation exposure of workers during the outage</w:t>
      </w:r>
      <w:r w:rsidR="007F59E2">
        <w:rPr>
          <w:lang w:val="en-GB"/>
        </w:rPr>
        <w:t>,</w:t>
      </w:r>
      <w:r w:rsidRPr="00CD2EEF">
        <w:rPr>
          <w:lang w:val="en-GB"/>
        </w:rPr>
        <w:t xml:space="preserve"> including their personal contamination, supervision of the radiation levels and contamination of the working environment, </w:t>
      </w:r>
      <w:r w:rsidR="00263D93">
        <w:rPr>
          <w:lang w:val="en-GB"/>
        </w:rPr>
        <w:t>“</w:t>
      </w:r>
      <w:r w:rsidRPr="00CD2EEF">
        <w:rPr>
          <w:lang w:val="en-GB"/>
        </w:rPr>
        <w:t>ALARA</w:t>
      </w:r>
      <w:r w:rsidR="00263D93">
        <w:rPr>
          <w:lang w:val="en-GB"/>
        </w:rPr>
        <w:t>”</w:t>
      </w:r>
      <w:r w:rsidRPr="00CD2EEF">
        <w:rPr>
          <w:lang w:val="en-GB"/>
        </w:rPr>
        <w:t xml:space="preserve"> (</w:t>
      </w:r>
      <w:r w:rsidRPr="00CD2EEF">
        <w:rPr>
          <w:rStyle w:val="LPnavadenpoevno"/>
          <w:lang w:val="en-GB"/>
        </w:rPr>
        <w:t>As Low As Reasonably Achievable</w:t>
      </w:r>
      <w:r w:rsidRPr="00CD2EEF">
        <w:rPr>
          <w:lang w:val="en-GB"/>
        </w:rPr>
        <w:t xml:space="preserve">) planning of the outage in 2021, </w:t>
      </w:r>
      <w:r w:rsidR="007F59E2">
        <w:rPr>
          <w:lang w:val="en-GB"/>
        </w:rPr>
        <w:t xml:space="preserve">the </w:t>
      </w:r>
      <w:r w:rsidRPr="00CD2EEF">
        <w:rPr>
          <w:lang w:val="en-GB"/>
        </w:rPr>
        <w:lastRenderedPageBreak/>
        <w:t xml:space="preserve">training of workers in radiation protection and the implementation of measures for the prevention and management of infections with the </w:t>
      </w:r>
      <w:r w:rsidR="001829DD">
        <w:rPr>
          <w:lang w:val="en-GB"/>
        </w:rPr>
        <w:t>Covid</w:t>
      </w:r>
      <w:r w:rsidRPr="00CD2EEF">
        <w:rPr>
          <w:lang w:val="en-GB"/>
        </w:rPr>
        <w:t>-19 infectious disease. No deficiencies were identified.</w:t>
      </w:r>
    </w:p>
    <w:p w14:paraId="0AEAA2EB" w14:textId="2E8B68B8" w:rsidR="00CB3A79" w:rsidRPr="00CD2EEF" w:rsidRDefault="001C6FAB" w:rsidP="001C6FAB">
      <w:pPr>
        <w:pStyle w:val="LPVirienojni"/>
        <w:rPr>
          <w:lang w:val="en-GB"/>
        </w:rPr>
      </w:pPr>
      <w:r w:rsidRPr="00CD2EEF">
        <w:rPr>
          <w:lang w:val="en-GB"/>
        </w:rPr>
        <w:t>Reference: [</w:t>
      </w:r>
      <w:hyperlink w:anchor="r01" w:history="1">
        <w:r w:rsidRPr="00CD2EEF">
          <w:rPr>
            <w:rStyle w:val="Hiperpovezava"/>
            <w:lang w:val="en-GB"/>
          </w:rPr>
          <w:t>1</w:t>
        </w:r>
      </w:hyperlink>
      <w:r w:rsidRPr="00CD2EEF">
        <w:rPr>
          <w:lang w:val="en-GB"/>
        </w:rPr>
        <w:t>]</w:t>
      </w:r>
    </w:p>
    <w:p w14:paraId="6678D16F" w14:textId="5A168AD5" w:rsidR="00CB3A79" w:rsidRPr="00CD2EEF" w:rsidRDefault="00CB3A79" w:rsidP="00CB3A79">
      <w:pPr>
        <w:pStyle w:val="LPNaslov3"/>
        <w:rPr>
          <w:lang w:val="en-GB"/>
        </w:rPr>
      </w:pPr>
      <w:bookmarkStart w:id="88" w:name="_Toc126311990"/>
      <w:r w:rsidRPr="00CD2EEF">
        <w:rPr>
          <w:lang w:val="en-GB"/>
        </w:rPr>
        <w:t>The TRIGA Mark II Research Reactor in Brinje</w:t>
      </w:r>
      <w:bookmarkEnd w:id="88"/>
    </w:p>
    <w:p w14:paraId="440774C7" w14:textId="77777777" w:rsidR="00CB3A79" w:rsidRPr="00CD2EEF" w:rsidRDefault="00CB3A79" w:rsidP="00963D24">
      <w:pPr>
        <w:pStyle w:val="LPnavaden"/>
        <w:rPr>
          <w:lang w:val="en-GB"/>
        </w:rPr>
      </w:pPr>
      <w:r w:rsidRPr="00CD2EEF">
        <w:rPr>
          <w:lang w:val="en-GB"/>
        </w:rPr>
        <w:t>The operator of the TRIGA Mark II Research Reactor is the Jožef Stefan Institute (JSI) and it is operated by the staff of the Reactor Infrastructure Centre (RIC).</w:t>
      </w:r>
    </w:p>
    <w:p w14:paraId="6D17CDE2" w14:textId="77777777" w:rsidR="00CB3A79" w:rsidRPr="00CD2EEF" w:rsidRDefault="00CB3A79" w:rsidP="00CB3A79">
      <w:pPr>
        <w:pStyle w:val="LPNaslov4"/>
        <w:rPr>
          <w:lang w:val="en-GB"/>
        </w:rPr>
      </w:pPr>
      <w:r w:rsidRPr="00CD2EEF">
        <w:rPr>
          <w:lang w:val="en-GB"/>
        </w:rPr>
        <w:t>Operation</w:t>
      </w:r>
    </w:p>
    <w:p w14:paraId="45423DE7" w14:textId="79EB492B" w:rsidR="00CB3A79" w:rsidRPr="00CD2EEF" w:rsidRDefault="00CB3A79" w:rsidP="00D17121">
      <w:pPr>
        <w:pStyle w:val="LPnavaden"/>
        <w:rPr>
          <w:lang w:val="en-GB"/>
        </w:rPr>
      </w:pPr>
      <w:r w:rsidRPr="00CD2EEF">
        <w:rPr>
          <w:lang w:val="en-GB"/>
        </w:rPr>
        <w:t xml:space="preserve">In 2021, the reactor operated for 167 days, during which it released 128.2 MWh of heat. Operations were carried out according to a programme that is approved for each week by the head of the RIC and the JSI radiation protection service. </w:t>
      </w:r>
      <w:r w:rsidRPr="00CD2EEF">
        <w:rPr>
          <w:rStyle w:val="LPpobarvan2"/>
          <w:shd w:val="clear" w:color="auto" w:fill="auto"/>
          <w:lang w:val="en-GB"/>
        </w:rPr>
        <w:t>The reactor operated in stationary mode and in pulse mode</w:t>
      </w:r>
      <w:r w:rsidR="00AE0868">
        <w:rPr>
          <w:rStyle w:val="LPpobarvan2"/>
          <w:shd w:val="clear" w:color="auto" w:fill="auto"/>
          <w:lang w:val="en-GB"/>
        </w:rPr>
        <w:t>;</w:t>
      </w:r>
      <w:r w:rsidRPr="00CD2EEF">
        <w:rPr>
          <w:rStyle w:val="LPpobarvan2"/>
          <w:shd w:val="clear" w:color="auto" w:fill="auto"/>
          <w:lang w:val="en-GB"/>
        </w:rPr>
        <w:t xml:space="preserve"> 70 pulses were performed. </w:t>
      </w:r>
      <w:r w:rsidRPr="00CD2EEF">
        <w:rPr>
          <w:lang w:val="en-GB"/>
        </w:rPr>
        <w:t xml:space="preserve">The reactor was mostly used as a neutron source for neutron activation analysis, for the irradiation of electronic components or other materials, and for educational purposes. The reactor in shutdown mode was used as a source of gamma radiation to test electronic components. A total of 641 samples were irradiated in the carousel and the irradiation channels. </w:t>
      </w:r>
      <w:r w:rsidR="00F30254">
        <w:rPr>
          <w:lang w:val="en-GB"/>
        </w:rPr>
        <w:t xml:space="preserve">In 2021, </w:t>
      </w:r>
      <w:r w:rsidRPr="00CD2EEF">
        <w:rPr>
          <w:lang w:val="en-GB"/>
        </w:rPr>
        <w:t xml:space="preserve">the reactor operated more than in any of the last 10 years. </w:t>
      </w:r>
    </w:p>
    <w:p w14:paraId="194DA8DA" w14:textId="5262FADE" w:rsidR="00CB3A79" w:rsidRPr="00CD2EEF" w:rsidRDefault="00CB3A79" w:rsidP="00963D24">
      <w:pPr>
        <w:pStyle w:val="LPnavaden"/>
        <w:rPr>
          <w:lang w:val="en-GB"/>
        </w:rPr>
      </w:pPr>
      <w:r w:rsidRPr="00CD2EEF">
        <w:rPr>
          <w:lang w:val="en-GB"/>
        </w:rPr>
        <w:t xml:space="preserve">In the Hot Cell Facility (HCF), which is a part of the research reactor, the Department of Environmental Sciences, the JSI radiation protection service, and the </w:t>
      </w:r>
      <w:r w:rsidR="00D654B0">
        <w:rPr>
          <w:lang w:val="en-GB"/>
        </w:rPr>
        <w:t>A</w:t>
      </w:r>
      <w:r w:rsidRPr="00CD2EEF">
        <w:rPr>
          <w:lang w:val="en-GB"/>
        </w:rPr>
        <w:t>gency for Radwaste Management, Ljubljana</w:t>
      </w:r>
      <w:r w:rsidR="00DE02C4">
        <w:rPr>
          <w:lang w:val="en-GB"/>
        </w:rPr>
        <w:t>,</w:t>
      </w:r>
      <w:r w:rsidRPr="00CD2EEF">
        <w:rPr>
          <w:lang w:val="en-GB"/>
        </w:rPr>
        <w:t xml:space="preserve"> (ARAO) regularly carried out radioactive waste treatment and preparations for the purpose of radioactive waste storage.</w:t>
      </w:r>
    </w:p>
    <w:p w14:paraId="5353762E" w14:textId="098D2D22" w:rsidR="00CB3A79" w:rsidRPr="00CD2EEF" w:rsidRDefault="00CB3A79" w:rsidP="00963D24">
      <w:pPr>
        <w:pStyle w:val="LPnavaden"/>
        <w:rPr>
          <w:lang w:val="en-GB"/>
        </w:rPr>
      </w:pPr>
      <w:r w:rsidRPr="00CD2EEF">
        <w:rPr>
          <w:lang w:val="en-GB"/>
        </w:rPr>
        <w:t>In 2021, there were three automatic reactor shutdowns. One was due to</w:t>
      </w:r>
      <w:r w:rsidR="00316CE7">
        <w:rPr>
          <w:lang w:val="en-GB"/>
        </w:rPr>
        <w:t xml:space="preserve"> a</w:t>
      </w:r>
      <w:r w:rsidRPr="00CD2EEF">
        <w:rPr>
          <w:lang w:val="en-GB"/>
        </w:rPr>
        <w:t xml:space="preserve"> power exceedance in safety channel 2, another one due to operator error</w:t>
      </w:r>
      <w:r w:rsidR="00046CE0">
        <w:rPr>
          <w:lang w:val="en-GB"/>
        </w:rPr>
        <w:t>,</w:t>
      </w:r>
      <w:r w:rsidRPr="00CD2EEF">
        <w:rPr>
          <w:lang w:val="en-GB"/>
        </w:rPr>
        <w:t xml:space="preserve"> and the third due to </w:t>
      </w:r>
      <w:r w:rsidR="00316CE7">
        <w:rPr>
          <w:lang w:val="en-GB"/>
        </w:rPr>
        <w:t xml:space="preserve">a </w:t>
      </w:r>
      <w:r w:rsidRPr="00CD2EEF">
        <w:rPr>
          <w:lang w:val="en-GB"/>
        </w:rPr>
        <w:t xml:space="preserve">disturbance in the power switch of the LIN channel. The power exceedance in safety channel 2 was caused by </w:t>
      </w:r>
      <w:r w:rsidR="00316CE7">
        <w:rPr>
          <w:lang w:val="en-GB"/>
        </w:rPr>
        <w:t xml:space="preserve">a </w:t>
      </w:r>
      <w:r w:rsidRPr="00CD2EEF">
        <w:rPr>
          <w:lang w:val="en-GB"/>
        </w:rPr>
        <w:t xml:space="preserve">too large flux tilt </w:t>
      </w:r>
      <w:r w:rsidR="00316CE7">
        <w:rPr>
          <w:lang w:val="en-GB"/>
        </w:rPr>
        <w:t>while</w:t>
      </w:r>
      <w:r w:rsidR="00316CE7" w:rsidRPr="00CD2EEF">
        <w:rPr>
          <w:lang w:val="en-GB"/>
        </w:rPr>
        <w:t xml:space="preserve"> </w:t>
      </w:r>
      <w:r w:rsidRPr="00CD2EEF">
        <w:rPr>
          <w:lang w:val="en-GB"/>
        </w:rPr>
        <w:t>the reactor power in the LIN channel was still 250 kW. The trouble was eliminated by more precise calibration of safety channel 2</w:t>
      </w:r>
      <w:r w:rsidR="00316CE7">
        <w:rPr>
          <w:lang w:val="en-GB"/>
        </w:rPr>
        <w:t>,</w:t>
      </w:r>
      <w:r w:rsidRPr="00CD2EEF">
        <w:rPr>
          <w:lang w:val="en-GB"/>
        </w:rPr>
        <w:t xml:space="preserve"> which indicated slightly higher power. Disturbances in the power switch of the LIN channel occur during automatic switch</w:t>
      </w:r>
      <w:r w:rsidR="00316CE7">
        <w:rPr>
          <w:lang w:val="en-GB"/>
        </w:rPr>
        <w:t>ing</w:t>
      </w:r>
      <w:r w:rsidRPr="00CD2EEF">
        <w:rPr>
          <w:lang w:val="en-GB"/>
        </w:rPr>
        <w:t xml:space="preserve"> between the ranges of 300 mW and 1 W and </w:t>
      </w:r>
      <w:r w:rsidR="00316CE7">
        <w:rPr>
          <w:lang w:val="en-GB"/>
        </w:rPr>
        <w:t>it has not yet been possible to</w:t>
      </w:r>
      <w:r w:rsidRPr="00CD2EEF">
        <w:rPr>
          <w:lang w:val="en-GB"/>
        </w:rPr>
        <w:t xml:space="preserve"> eliminate</w:t>
      </w:r>
      <w:r w:rsidR="00316CE7">
        <w:rPr>
          <w:lang w:val="en-GB"/>
        </w:rPr>
        <w:t xml:space="preserve"> such</w:t>
      </w:r>
      <w:r w:rsidRPr="00CD2EEF">
        <w:rPr>
          <w:lang w:val="en-GB"/>
        </w:rPr>
        <w:t>.</w:t>
      </w:r>
    </w:p>
    <w:p w14:paraId="43E9AB63" w14:textId="0809292D" w:rsidR="00CB3A79" w:rsidRPr="00CD2EEF" w:rsidRDefault="00CB3A79" w:rsidP="00963D24">
      <w:pPr>
        <w:pStyle w:val="LPnavaden"/>
        <w:rPr>
          <w:lang w:val="en-GB"/>
        </w:rPr>
      </w:pPr>
      <w:r w:rsidRPr="00CD2EEF">
        <w:rPr>
          <w:lang w:val="en-GB"/>
        </w:rPr>
        <w:t>There were no violations of the operational limits and conditions referred to in the Safety Analysis Report in 2021.</w:t>
      </w:r>
    </w:p>
    <w:p w14:paraId="7660C549" w14:textId="1E196157" w:rsidR="00CB3A79" w:rsidRPr="00CD2EEF" w:rsidRDefault="00CB3A79" w:rsidP="00963D24">
      <w:pPr>
        <w:pStyle w:val="LPnavaden"/>
        <w:rPr>
          <w:lang w:val="en-GB"/>
        </w:rPr>
      </w:pPr>
      <w:r w:rsidRPr="00CD2EEF">
        <w:rPr>
          <w:lang w:val="en-GB"/>
        </w:rPr>
        <w:t xml:space="preserve">On 8 January 2021, </w:t>
      </w:r>
      <w:r w:rsidRPr="00EC38DE">
        <w:rPr>
          <w:lang w:val="en-GB"/>
        </w:rPr>
        <w:t>a</w:t>
      </w:r>
      <w:r w:rsidR="00831D42" w:rsidRPr="00EC38DE">
        <w:rPr>
          <w:lang w:val="en-GB"/>
        </w:rPr>
        <w:t>n</w:t>
      </w:r>
      <w:r w:rsidRPr="00EC38DE">
        <w:rPr>
          <w:lang w:val="en-GB"/>
        </w:rPr>
        <w:t xml:space="preserve"> </w:t>
      </w:r>
      <w:r w:rsidR="00831D42" w:rsidRPr="00EC38DE">
        <w:rPr>
          <w:lang w:val="en-GB"/>
        </w:rPr>
        <w:t xml:space="preserve">unintentional </w:t>
      </w:r>
      <w:r w:rsidR="00EC38DE" w:rsidRPr="00EC38DE">
        <w:rPr>
          <w:lang w:val="en-GB"/>
        </w:rPr>
        <w:t xml:space="preserve">intrusion </w:t>
      </w:r>
      <w:r w:rsidRPr="00EC38DE">
        <w:rPr>
          <w:lang w:val="en-GB"/>
        </w:rPr>
        <w:t>into the controlled</w:t>
      </w:r>
      <w:r w:rsidRPr="00CD2EEF">
        <w:rPr>
          <w:lang w:val="en-GB"/>
        </w:rPr>
        <w:t xml:space="preserve"> area of the JSI Reactor </w:t>
      </w:r>
      <w:r w:rsidR="002273B1">
        <w:rPr>
          <w:lang w:val="en-GB"/>
        </w:rPr>
        <w:t>C</w:t>
      </w:r>
      <w:r w:rsidRPr="00CD2EEF">
        <w:rPr>
          <w:lang w:val="en-GB"/>
        </w:rPr>
        <w:t xml:space="preserve">entre occurred. The event did not affect nuclear safety and the JSI notified </w:t>
      </w:r>
      <w:r w:rsidR="00A726E8">
        <w:rPr>
          <w:lang w:val="en-GB"/>
        </w:rPr>
        <w:t>the</w:t>
      </w:r>
      <w:r w:rsidR="00E63423">
        <w:rPr>
          <w:lang w:val="en-GB"/>
        </w:rPr>
        <w:t xml:space="preserve"> SNSA</w:t>
      </w:r>
      <w:r w:rsidRPr="00CD2EEF">
        <w:rPr>
          <w:lang w:val="en-GB"/>
        </w:rPr>
        <w:t xml:space="preserve"> </w:t>
      </w:r>
      <w:r w:rsidR="002273B1">
        <w:rPr>
          <w:lang w:val="en-GB"/>
        </w:rPr>
        <w:t>of</w:t>
      </w:r>
      <w:r w:rsidR="002273B1" w:rsidRPr="00CD2EEF">
        <w:rPr>
          <w:lang w:val="en-GB"/>
        </w:rPr>
        <w:t xml:space="preserve"> </w:t>
      </w:r>
      <w:r w:rsidRPr="00CD2EEF">
        <w:rPr>
          <w:lang w:val="en-GB"/>
        </w:rPr>
        <w:t xml:space="preserve">the event. </w:t>
      </w:r>
      <w:r w:rsidR="00F30254">
        <w:rPr>
          <w:lang w:val="en-GB"/>
        </w:rPr>
        <w:t xml:space="preserve">In 2021, </w:t>
      </w:r>
      <w:r w:rsidRPr="00CD2EEF">
        <w:rPr>
          <w:lang w:val="en-GB"/>
        </w:rPr>
        <w:t xml:space="preserve">there were some fire alarms but these were not caused by a fire. The fire alarms were caused by construction works or </w:t>
      </w:r>
      <w:r w:rsidR="002273B1">
        <w:rPr>
          <w:lang w:val="en-GB"/>
        </w:rPr>
        <w:t xml:space="preserve">the </w:t>
      </w:r>
      <w:r w:rsidRPr="00CD2EEF">
        <w:rPr>
          <w:lang w:val="en-GB"/>
        </w:rPr>
        <w:t xml:space="preserve">use of </w:t>
      </w:r>
      <w:r w:rsidR="002273B1">
        <w:rPr>
          <w:lang w:val="en-GB"/>
        </w:rPr>
        <w:t xml:space="preserve">a </w:t>
      </w:r>
      <w:r w:rsidRPr="00CD2EEF">
        <w:rPr>
          <w:lang w:val="en-GB"/>
        </w:rPr>
        <w:t>kitchen. Such minor events are promptly analysed and</w:t>
      </w:r>
      <w:r w:rsidR="002273B1">
        <w:rPr>
          <w:lang w:val="en-GB"/>
        </w:rPr>
        <w:t>,</w:t>
      </w:r>
      <w:r w:rsidRPr="00CD2EEF">
        <w:rPr>
          <w:lang w:val="en-GB"/>
        </w:rPr>
        <w:t xml:space="preserve"> if needed, corrective actions are defined.</w:t>
      </w:r>
    </w:p>
    <w:p w14:paraId="797D76EE" w14:textId="45CA2448" w:rsidR="00CB3A79" w:rsidRPr="00CD2EEF" w:rsidRDefault="00CB3A79" w:rsidP="00963D24">
      <w:pPr>
        <w:pStyle w:val="LPnavaden"/>
        <w:rPr>
          <w:lang w:val="en-GB"/>
        </w:rPr>
      </w:pPr>
      <w:r w:rsidRPr="00CD2EEF">
        <w:rPr>
          <w:lang w:val="en-GB"/>
        </w:rPr>
        <w:t xml:space="preserve">The performance indicators regarding the doses acquired by the operating staff and researchers showed values far below the regulatory limits. The collective dose in 2021 was 1.82 man-mSv for operating staff and 3.34 man-mSv for personnel carrying out work at the reactor. The doses in 2021 were the highest in last ten years. The probable cause is </w:t>
      </w:r>
      <w:r w:rsidR="002273B1">
        <w:rPr>
          <w:lang w:val="en-GB"/>
        </w:rPr>
        <w:t>the</w:t>
      </w:r>
      <w:r w:rsidR="002273B1" w:rsidRPr="00CD2EEF">
        <w:rPr>
          <w:lang w:val="en-GB"/>
        </w:rPr>
        <w:t xml:space="preserve"> </w:t>
      </w:r>
      <w:r w:rsidRPr="00CD2EEF">
        <w:rPr>
          <w:lang w:val="en-GB"/>
        </w:rPr>
        <w:t>higher intensity of works.</w:t>
      </w:r>
    </w:p>
    <w:p w14:paraId="5D487A93" w14:textId="77777777" w:rsidR="00CB3A79" w:rsidRPr="00CD2EEF" w:rsidRDefault="00CB3A79" w:rsidP="00CB3A79">
      <w:pPr>
        <w:pStyle w:val="LPNaslov4"/>
        <w:rPr>
          <w:lang w:val="en-GB"/>
        </w:rPr>
      </w:pPr>
      <w:r w:rsidRPr="00CD2EEF">
        <w:rPr>
          <w:lang w:val="en-GB"/>
        </w:rPr>
        <w:t>Nuclear Fuel</w:t>
      </w:r>
    </w:p>
    <w:p w14:paraId="40934BD1" w14:textId="72AF4E35" w:rsidR="00CB3A79" w:rsidRPr="00CD2EEF" w:rsidRDefault="00CB3A79" w:rsidP="00963D24">
      <w:pPr>
        <w:pStyle w:val="LPnavaden"/>
        <w:rPr>
          <w:lang w:val="en-GB"/>
        </w:rPr>
      </w:pPr>
      <w:r w:rsidRPr="00CD2EEF">
        <w:rPr>
          <w:lang w:val="en-GB"/>
        </w:rPr>
        <w:t xml:space="preserve">In 2021, a total of 84 fuel elements were located on the reactor site. There were no spent fuel elements. All fuel elements were standard fuel elements with 12% uranium content and 20% enrichment. Control measurements of radioactivity in the reactor building and in the reactor coolant showed that no fuel elements were damaged. In 2021, inspections of 15 fuel elements were </w:t>
      </w:r>
      <w:r w:rsidRPr="00CD2EEF">
        <w:rPr>
          <w:lang w:val="en-GB"/>
        </w:rPr>
        <w:lastRenderedPageBreak/>
        <w:t>performed and no anomalies were detected. All fuel elements were photographed</w:t>
      </w:r>
      <w:r w:rsidR="00046CE0">
        <w:rPr>
          <w:lang w:val="en-GB"/>
        </w:rPr>
        <w:t>;</w:t>
      </w:r>
      <w:r w:rsidRPr="00CD2EEF">
        <w:rPr>
          <w:lang w:val="en-GB"/>
        </w:rPr>
        <w:t xml:space="preserve"> the pictures were reviewed and stored for possible future analysis. The length of fuel elements was measured.</w:t>
      </w:r>
    </w:p>
    <w:p w14:paraId="6DD078C6" w14:textId="0349A612" w:rsidR="00CB3A79" w:rsidRPr="00CD2EEF" w:rsidRDefault="00CB3A79" w:rsidP="00963D24">
      <w:pPr>
        <w:pStyle w:val="LPnavaden"/>
        <w:rPr>
          <w:lang w:val="en-GB"/>
        </w:rPr>
      </w:pPr>
      <w:r w:rsidRPr="00CD2EEF">
        <w:rPr>
          <w:lang w:val="en-GB"/>
        </w:rPr>
        <w:t xml:space="preserve">The JSI reported on the fuel balance monthly to the Euratom and to </w:t>
      </w:r>
      <w:r w:rsidR="00A726E8">
        <w:rPr>
          <w:lang w:val="en-GB"/>
        </w:rPr>
        <w:t>the</w:t>
      </w:r>
      <w:r w:rsidR="00E63423">
        <w:rPr>
          <w:lang w:val="en-GB"/>
        </w:rPr>
        <w:t xml:space="preserve"> SNSA</w:t>
      </w:r>
      <w:r w:rsidRPr="00CD2EEF">
        <w:rPr>
          <w:lang w:val="en-GB"/>
        </w:rPr>
        <w:t>. In 2021, the Euratom performed an inspection of the status of the nuclear material.</w:t>
      </w:r>
    </w:p>
    <w:p w14:paraId="71B63AB0" w14:textId="77777777" w:rsidR="00CB3A79" w:rsidRPr="00CD2EEF" w:rsidRDefault="00CB3A79" w:rsidP="00CB3A79">
      <w:pPr>
        <w:pStyle w:val="LPNaslov4"/>
        <w:rPr>
          <w:lang w:val="en-GB"/>
        </w:rPr>
      </w:pPr>
      <w:r w:rsidRPr="00CD2EEF">
        <w:rPr>
          <w:lang w:val="en-GB"/>
        </w:rPr>
        <w:t>Staff Training</w:t>
      </w:r>
    </w:p>
    <w:p w14:paraId="76F66E64" w14:textId="08E85B16" w:rsidR="00CB3A79" w:rsidRPr="00CD2EEF" w:rsidRDefault="00CB3A79" w:rsidP="00963D24">
      <w:pPr>
        <w:pStyle w:val="LPnavaden"/>
        <w:rPr>
          <w:lang w:val="en-GB"/>
        </w:rPr>
      </w:pPr>
      <w:r w:rsidRPr="00CD2EEF">
        <w:rPr>
          <w:lang w:val="en-GB"/>
        </w:rPr>
        <w:t xml:space="preserve">In 2021, a fire simulation </w:t>
      </w:r>
      <w:r w:rsidR="00AC20B4" w:rsidRPr="00CD2EEF">
        <w:rPr>
          <w:lang w:val="en-GB"/>
        </w:rPr>
        <w:t xml:space="preserve">exercise </w:t>
      </w:r>
      <w:r w:rsidRPr="00CD2EEF">
        <w:rPr>
          <w:lang w:val="en-GB"/>
        </w:rPr>
        <w:t xml:space="preserve">inside the reactor hall was successfully performed and consisted of </w:t>
      </w:r>
      <w:r w:rsidR="00AC20B4">
        <w:rPr>
          <w:lang w:val="en-GB"/>
        </w:rPr>
        <w:t xml:space="preserve">the </w:t>
      </w:r>
      <w:r w:rsidRPr="00CD2EEF">
        <w:rPr>
          <w:lang w:val="en-GB"/>
        </w:rPr>
        <w:t>evacuation of operating staff and the JSI radiation protection service.</w:t>
      </w:r>
    </w:p>
    <w:p w14:paraId="66F5E74A" w14:textId="54FB0C12" w:rsidR="00CB3A79" w:rsidRPr="00CD2EEF" w:rsidRDefault="00CB3A79" w:rsidP="00963D24">
      <w:pPr>
        <w:pStyle w:val="LPnavaden"/>
        <w:rPr>
          <w:lang w:val="en-GB"/>
        </w:rPr>
      </w:pPr>
      <w:r w:rsidRPr="00CD2EEF">
        <w:rPr>
          <w:lang w:val="en-GB"/>
        </w:rPr>
        <w:t xml:space="preserve">From 29 November to 3 December 2021, three operators visited the World Nuclear Exhibition in Paris, France. This is the largest reactor fair in this part of the </w:t>
      </w:r>
      <w:r w:rsidR="00AC20B4">
        <w:rPr>
          <w:lang w:val="en-GB"/>
        </w:rPr>
        <w:t>w</w:t>
      </w:r>
      <w:r w:rsidRPr="00CD2EEF">
        <w:rPr>
          <w:lang w:val="en-GB"/>
        </w:rPr>
        <w:t>orld and is organised biannually.</w:t>
      </w:r>
    </w:p>
    <w:p w14:paraId="02B6F08E" w14:textId="77777777" w:rsidR="00CB3A79" w:rsidRPr="00CD2EEF" w:rsidRDefault="00CB3A79" w:rsidP="00963D24">
      <w:pPr>
        <w:pStyle w:val="LPnavaden"/>
        <w:rPr>
          <w:lang w:val="en-GB"/>
        </w:rPr>
      </w:pPr>
      <w:r w:rsidRPr="00CD2EEF">
        <w:rPr>
          <w:lang w:val="en-GB"/>
        </w:rPr>
        <w:t>One operator successfully passed the exam on 15 December 2021 and thus fulfilled the condition for license extension.</w:t>
      </w:r>
    </w:p>
    <w:p w14:paraId="3F3735ED" w14:textId="435C4497" w:rsidR="00CB3A79" w:rsidRPr="00CD2EEF" w:rsidRDefault="00CB3A79" w:rsidP="00963D24">
      <w:pPr>
        <w:pStyle w:val="LPnavaden"/>
        <w:rPr>
          <w:lang w:val="en-GB"/>
        </w:rPr>
      </w:pPr>
      <w:r w:rsidRPr="00CD2EEF">
        <w:rPr>
          <w:lang w:val="en-GB"/>
        </w:rPr>
        <w:t>Regular training of staff was performed in line with the annual programme for the expert training of TRIGA Mark II Research Reactor operators for the years 2020</w:t>
      </w:r>
      <w:r w:rsidR="00AD02E0">
        <w:rPr>
          <w:lang w:val="en-GB"/>
        </w:rPr>
        <w:t>–20</w:t>
      </w:r>
      <w:r w:rsidRPr="00CD2EEF">
        <w:rPr>
          <w:lang w:val="en-GB"/>
        </w:rPr>
        <w:t>21.</w:t>
      </w:r>
    </w:p>
    <w:p w14:paraId="441CA3BC" w14:textId="77777777" w:rsidR="00CB3A79" w:rsidRPr="00CD2EEF" w:rsidRDefault="00CB3A79" w:rsidP="00CB3A79">
      <w:pPr>
        <w:pStyle w:val="LPNaslov4"/>
        <w:rPr>
          <w:lang w:val="en-GB"/>
        </w:rPr>
      </w:pPr>
      <w:r w:rsidRPr="00CD2EEF">
        <w:rPr>
          <w:lang w:val="en-GB"/>
        </w:rPr>
        <w:t>Modifications and Inspections of the Systems, Structures, and Components of the Nuclear Facility</w:t>
      </w:r>
    </w:p>
    <w:p w14:paraId="19C23D97" w14:textId="3748AA97" w:rsidR="00CB3A79" w:rsidRPr="00CD2EEF" w:rsidRDefault="00CB3A79" w:rsidP="00963D24">
      <w:pPr>
        <w:pStyle w:val="LPnavaden"/>
        <w:rPr>
          <w:lang w:val="en-GB"/>
        </w:rPr>
      </w:pPr>
      <w:r w:rsidRPr="00CD2EEF">
        <w:rPr>
          <w:lang w:val="en-GB"/>
        </w:rPr>
        <w:t xml:space="preserve">The reactor operated in stationary mode and pulse mode. The pulsing was performed for exercise purposes for trainees and for the purpose of testing the response of different neutron detectors. The pulsing was approved in advance by the reactor safety committee and </w:t>
      </w:r>
      <w:r w:rsidR="00A726E8">
        <w:rPr>
          <w:lang w:val="en-GB"/>
        </w:rPr>
        <w:t>the</w:t>
      </w:r>
      <w:r w:rsidR="00E63423">
        <w:rPr>
          <w:lang w:val="en-GB"/>
        </w:rPr>
        <w:t xml:space="preserve"> SNSA</w:t>
      </w:r>
      <w:r w:rsidRPr="00CD2EEF">
        <w:rPr>
          <w:lang w:val="en-GB"/>
        </w:rPr>
        <w:t xml:space="preserve"> was notified of the pulsing.</w:t>
      </w:r>
    </w:p>
    <w:p w14:paraId="4BC1789C" w14:textId="1EA8F60C" w:rsidR="00CB3A79" w:rsidRPr="00CD2EEF" w:rsidRDefault="00CB3A79" w:rsidP="00963D24">
      <w:pPr>
        <w:pStyle w:val="LPnavaden"/>
        <w:rPr>
          <w:lang w:val="en-GB"/>
        </w:rPr>
      </w:pPr>
      <w:r w:rsidRPr="00CD2EEF">
        <w:rPr>
          <w:lang w:val="en-GB"/>
        </w:rPr>
        <w:t xml:space="preserve">In 2021, a refurbishment of </w:t>
      </w:r>
      <w:r w:rsidR="009339F7">
        <w:rPr>
          <w:lang w:val="en-GB"/>
        </w:rPr>
        <w:t xml:space="preserve">the </w:t>
      </w:r>
      <w:r w:rsidRPr="00CD2EEF">
        <w:rPr>
          <w:lang w:val="en-GB"/>
        </w:rPr>
        <w:t>automatic measurement system for meteorological and radiological data was performed.</w:t>
      </w:r>
    </w:p>
    <w:p w14:paraId="583CDFB2" w14:textId="1BD689C7" w:rsidR="00CB3A79" w:rsidRPr="00CD2EEF" w:rsidRDefault="00CB3A79" w:rsidP="00963D24">
      <w:pPr>
        <w:pStyle w:val="LPnavaden"/>
        <w:rPr>
          <w:lang w:val="en-GB"/>
        </w:rPr>
      </w:pPr>
      <w:r w:rsidRPr="00CD2EEF">
        <w:rPr>
          <w:lang w:val="en-GB"/>
        </w:rPr>
        <w:t>The RIC personnel, the JSI technical services, the JSI radiation protection service</w:t>
      </w:r>
      <w:r w:rsidR="00653BB4">
        <w:rPr>
          <w:lang w:val="en-GB"/>
        </w:rPr>
        <w:t>,</w:t>
      </w:r>
      <w:r w:rsidRPr="00CD2EEF">
        <w:rPr>
          <w:lang w:val="en-GB"/>
        </w:rPr>
        <w:t xml:space="preserve"> and authorised external organisations conducted periodic inspections and supervision of the safety-related structures, systems, and components (SSC). In 2021, all safety</w:t>
      </w:r>
      <w:r w:rsidR="00F4468D">
        <w:rPr>
          <w:lang w:val="en-GB"/>
        </w:rPr>
        <w:t>-</w:t>
      </w:r>
      <w:r w:rsidRPr="00CD2EEF">
        <w:rPr>
          <w:lang w:val="en-GB"/>
        </w:rPr>
        <w:t xml:space="preserve">relevant SSCs were inspected and </w:t>
      </w:r>
      <w:r w:rsidR="009339F7" w:rsidRPr="00CD2EEF">
        <w:rPr>
          <w:lang w:val="en-GB"/>
        </w:rPr>
        <w:t>no noncompliant SSC</w:t>
      </w:r>
      <w:r w:rsidR="009339F7">
        <w:rPr>
          <w:lang w:val="en-GB"/>
        </w:rPr>
        <w:t>s</w:t>
      </w:r>
      <w:r w:rsidR="009339F7" w:rsidRPr="00CD2EEF">
        <w:rPr>
          <w:lang w:val="en-GB"/>
        </w:rPr>
        <w:t xml:space="preserve"> </w:t>
      </w:r>
      <w:r w:rsidRPr="00CD2EEF">
        <w:rPr>
          <w:lang w:val="en-GB"/>
        </w:rPr>
        <w:t>were found.</w:t>
      </w:r>
    </w:p>
    <w:p w14:paraId="325EA680" w14:textId="77777777" w:rsidR="00CB3A79" w:rsidRPr="00CD2EEF" w:rsidRDefault="00CB3A79" w:rsidP="00CB3A79">
      <w:pPr>
        <w:pStyle w:val="LPNaslov4"/>
        <w:rPr>
          <w:lang w:val="en-GB"/>
        </w:rPr>
      </w:pPr>
      <w:r w:rsidRPr="00CD2EEF">
        <w:rPr>
          <w:lang w:val="en-GB"/>
        </w:rPr>
        <w:t>Periodic Safety Review</w:t>
      </w:r>
    </w:p>
    <w:p w14:paraId="7426597C" w14:textId="2A9D777F" w:rsidR="00CB3A79" w:rsidRPr="00CD2EEF" w:rsidRDefault="00CB3A79" w:rsidP="00963D24">
      <w:pPr>
        <w:pStyle w:val="LPnavaden"/>
        <w:rPr>
          <w:lang w:val="en-GB"/>
        </w:rPr>
      </w:pPr>
      <w:r w:rsidRPr="00CD2EEF">
        <w:rPr>
          <w:lang w:val="en-GB"/>
        </w:rPr>
        <w:t xml:space="preserve">The second Periodic Safety Review </w:t>
      </w:r>
      <w:r w:rsidR="00AB71FB">
        <w:rPr>
          <w:lang w:val="en-GB"/>
        </w:rPr>
        <w:t xml:space="preserve">programme </w:t>
      </w:r>
      <w:r w:rsidRPr="00CD2EEF">
        <w:rPr>
          <w:lang w:val="en-GB"/>
        </w:rPr>
        <w:t xml:space="preserve">of the nuclear facility that comprises the TRIGA Mark II Research Reactor and the hot cell facility was approved in 2021. The </w:t>
      </w:r>
      <w:r w:rsidR="00AB71FB">
        <w:rPr>
          <w:lang w:val="en-GB"/>
        </w:rPr>
        <w:t xml:space="preserve">programme </w:t>
      </w:r>
      <w:r w:rsidRPr="00CD2EEF">
        <w:rPr>
          <w:lang w:val="en-GB"/>
        </w:rPr>
        <w:t>for the second Periodic Safety Review determines the content, scope</w:t>
      </w:r>
      <w:r w:rsidR="00653BB4">
        <w:rPr>
          <w:lang w:val="en-GB"/>
        </w:rPr>
        <w:t>,</w:t>
      </w:r>
      <w:r w:rsidRPr="00CD2EEF">
        <w:rPr>
          <w:lang w:val="en-GB"/>
        </w:rPr>
        <w:t xml:space="preserve"> and timeline of the review and was prepared according to the Rules on the safety assurance of radiation and nuclear facilities and includes</w:t>
      </w:r>
      <w:r w:rsidR="00AA0D2D">
        <w:rPr>
          <w:lang w:val="en-GB"/>
        </w:rPr>
        <w:t xml:space="preserve"> a</w:t>
      </w:r>
      <w:r w:rsidRPr="00CD2EEF">
        <w:rPr>
          <w:lang w:val="en-GB"/>
        </w:rPr>
        <w:t xml:space="preserve"> review of three new safety factors: Radioactive </w:t>
      </w:r>
      <w:r w:rsidR="00474A4D">
        <w:rPr>
          <w:lang w:val="en-GB"/>
        </w:rPr>
        <w:t>W</w:t>
      </w:r>
      <w:r w:rsidRPr="00CD2EEF">
        <w:rPr>
          <w:lang w:val="en-GB"/>
        </w:rPr>
        <w:t xml:space="preserve">aste and </w:t>
      </w:r>
      <w:r w:rsidR="00474A4D">
        <w:rPr>
          <w:lang w:val="en-GB"/>
        </w:rPr>
        <w:t>S</w:t>
      </w:r>
      <w:r w:rsidRPr="00CD2EEF">
        <w:rPr>
          <w:lang w:val="en-GB"/>
        </w:rPr>
        <w:t xml:space="preserve">pent </w:t>
      </w:r>
      <w:r w:rsidR="00474A4D">
        <w:rPr>
          <w:lang w:val="en-GB"/>
        </w:rPr>
        <w:t>F</w:t>
      </w:r>
      <w:r w:rsidRPr="00CD2EEF">
        <w:rPr>
          <w:lang w:val="en-GB"/>
        </w:rPr>
        <w:t>uel</w:t>
      </w:r>
      <w:r w:rsidR="00AA0D2D">
        <w:rPr>
          <w:lang w:val="en-GB"/>
        </w:rPr>
        <w:t>,</w:t>
      </w:r>
      <w:r w:rsidRPr="00CD2EEF">
        <w:rPr>
          <w:lang w:val="en-GB"/>
        </w:rPr>
        <w:t xml:space="preserve"> Physical </w:t>
      </w:r>
      <w:r w:rsidR="00474A4D">
        <w:rPr>
          <w:lang w:val="en-GB"/>
        </w:rPr>
        <w:t>S</w:t>
      </w:r>
      <w:r w:rsidRPr="00CD2EEF">
        <w:rPr>
          <w:lang w:val="en-GB"/>
        </w:rPr>
        <w:t>ecurity</w:t>
      </w:r>
      <w:r w:rsidR="00AA0D2D">
        <w:rPr>
          <w:lang w:val="en-GB"/>
        </w:rPr>
        <w:t>,</w:t>
      </w:r>
      <w:r w:rsidRPr="00CD2EEF">
        <w:rPr>
          <w:lang w:val="en-GB"/>
        </w:rPr>
        <w:t xml:space="preserve"> and Radiation </w:t>
      </w:r>
      <w:r w:rsidR="00474A4D">
        <w:rPr>
          <w:lang w:val="en-GB"/>
        </w:rPr>
        <w:t>P</w:t>
      </w:r>
      <w:r w:rsidRPr="00CD2EEF">
        <w:rPr>
          <w:lang w:val="en-GB"/>
        </w:rPr>
        <w:t xml:space="preserve">rotection. The review of </w:t>
      </w:r>
      <w:r w:rsidR="00474A4D">
        <w:rPr>
          <w:lang w:val="en-GB"/>
        </w:rPr>
        <w:t xml:space="preserve">the </w:t>
      </w:r>
      <w:r w:rsidRPr="00CD2EEF">
        <w:rPr>
          <w:lang w:val="en-GB"/>
        </w:rPr>
        <w:t xml:space="preserve">safety factor Physical </w:t>
      </w:r>
      <w:r w:rsidR="00474A4D">
        <w:rPr>
          <w:lang w:val="en-GB"/>
        </w:rPr>
        <w:t>S</w:t>
      </w:r>
      <w:r w:rsidRPr="00CD2EEF">
        <w:rPr>
          <w:lang w:val="en-GB"/>
        </w:rPr>
        <w:t xml:space="preserve">ecurity has to performed separately and in accordance with requirements for </w:t>
      </w:r>
      <w:r w:rsidR="00AA0D2D">
        <w:rPr>
          <w:lang w:val="en-GB"/>
        </w:rPr>
        <w:t xml:space="preserve">the </w:t>
      </w:r>
      <w:r w:rsidRPr="00CD2EEF">
        <w:rPr>
          <w:lang w:val="en-GB"/>
        </w:rPr>
        <w:t>protection of classified information.</w:t>
      </w:r>
    </w:p>
    <w:p w14:paraId="7E43D3D8" w14:textId="77777777" w:rsidR="00CB3A79" w:rsidRPr="00CD2EEF" w:rsidRDefault="00CB3A79" w:rsidP="00CB3A79">
      <w:pPr>
        <w:pStyle w:val="LPNaslov4"/>
        <w:rPr>
          <w:lang w:val="en-GB"/>
        </w:rPr>
      </w:pPr>
      <w:r w:rsidRPr="00CD2EEF">
        <w:rPr>
          <w:lang w:val="en-GB"/>
        </w:rPr>
        <w:t>Inspection Reviews</w:t>
      </w:r>
    </w:p>
    <w:p w14:paraId="0B22F198" w14:textId="77777777" w:rsidR="00CB3A79" w:rsidRPr="00CD2EEF" w:rsidRDefault="00CB3A79" w:rsidP="00963D24">
      <w:pPr>
        <w:pStyle w:val="LPnavaden"/>
        <w:rPr>
          <w:lang w:val="en-GB"/>
        </w:rPr>
      </w:pPr>
      <w:r w:rsidRPr="00CD2EEF">
        <w:rPr>
          <w:lang w:val="en-GB"/>
        </w:rPr>
        <w:t xml:space="preserve">In 2021, there were three inspection reviews of the TRIGA Mark II Research Reactor. </w:t>
      </w:r>
    </w:p>
    <w:p w14:paraId="569B0BE4" w14:textId="391543E5" w:rsidR="00CB3A79" w:rsidRPr="00CD2EEF" w:rsidRDefault="00CB3A79" w:rsidP="00963D24">
      <w:pPr>
        <w:pStyle w:val="LPnavaden"/>
        <w:rPr>
          <w:lang w:val="en-GB"/>
        </w:rPr>
      </w:pPr>
      <w:r w:rsidRPr="00CD2EEF">
        <w:rPr>
          <w:lang w:val="en-GB"/>
        </w:rPr>
        <w:t xml:space="preserve">The inspection review comprised of review of work orders, approved modifications in implementation, pulses and their characteristics, core changes and </w:t>
      </w:r>
      <w:r w:rsidR="00DB7B67">
        <w:rPr>
          <w:lang w:val="en-GB"/>
        </w:rPr>
        <w:t xml:space="preserve">a </w:t>
      </w:r>
      <w:r w:rsidRPr="00CD2EEF">
        <w:rPr>
          <w:lang w:val="en-GB"/>
        </w:rPr>
        <w:t xml:space="preserve">review of </w:t>
      </w:r>
      <w:r w:rsidR="00DB7B67">
        <w:rPr>
          <w:lang w:val="en-GB"/>
        </w:rPr>
        <w:t xml:space="preserve">the </w:t>
      </w:r>
      <w:r w:rsidRPr="00CD2EEF">
        <w:rPr>
          <w:lang w:val="en-GB"/>
        </w:rPr>
        <w:t xml:space="preserve">scheme, </w:t>
      </w:r>
      <w:r w:rsidR="00DB7B67">
        <w:rPr>
          <w:lang w:val="en-GB"/>
        </w:rPr>
        <w:t xml:space="preserve">a </w:t>
      </w:r>
      <w:r w:rsidRPr="00CD2EEF">
        <w:rPr>
          <w:lang w:val="en-GB"/>
        </w:rPr>
        <w:t xml:space="preserve">review of aging management and preventive maintenance, </w:t>
      </w:r>
      <w:r w:rsidR="00DB7B67">
        <w:rPr>
          <w:lang w:val="en-GB"/>
        </w:rPr>
        <w:t xml:space="preserve">a </w:t>
      </w:r>
      <w:r w:rsidRPr="00CD2EEF">
        <w:rPr>
          <w:lang w:val="en-GB"/>
        </w:rPr>
        <w:t xml:space="preserve">review of </w:t>
      </w:r>
      <w:r w:rsidR="00DB7B67">
        <w:rPr>
          <w:lang w:val="en-GB"/>
        </w:rPr>
        <w:t xml:space="preserve">the </w:t>
      </w:r>
      <w:r w:rsidRPr="00CD2EEF">
        <w:rPr>
          <w:lang w:val="en-GB"/>
        </w:rPr>
        <w:t>assessment of foreign operational experience</w:t>
      </w:r>
      <w:r w:rsidR="004A6BC4">
        <w:rPr>
          <w:lang w:val="en-GB"/>
        </w:rPr>
        <w:t>s</w:t>
      </w:r>
      <w:r w:rsidRPr="00CD2EEF">
        <w:rPr>
          <w:lang w:val="en-GB"/>
        </w:rPr>
        <w:t xml:space="preserve">, equipment qualification, improvements </w:t>
      </w:r>
      <w:r w:rsidR="00DB7B67">
        <w:rPr>
          <w:lang w:val="en-GB"/>
        </w:rPr>
        <w:t>in</w:t>
      </w:r>
      <w:r w:rsidR="00DB7B67" w:rsidRPr="00CD2EEF">
        <w:rPr>
          <w:lang w:val="en-GB"/>
        </w:rPr>
        <w:t xml:space="preserve"> </w:t>
      </w:r>
      <w:r w:rsidRPr="00CD2EEF">
        <w:rPr>
          <w:lang w:val="en-GB"/>
        </w:rPr>
        <w:t>fire safety</w:t>
      </w:r>
      <w:r w:rsidR="008342C3">
        <w:rPr>
          <w:lang w:val="en-GB"/>
        </w:rPr>
        <w:t xml:space="preserve"> – </w:t>
      </w:r>
      <w:r w:rsidRPr="00CD2EEF">
        <w:rPr>
          <w:lang w:val="en-GB"/>
        </w:rPr>
        <w:t>fire sectors and long-term operation. One inspection review was dedicated to review compliance with cybersecurity requirements.</w:t>
      </w:r>
    </w:p>
    <w:p w14:paraId="15240219" w14:textId="5B2D2B07" w:rsidR="00CB3A79" w:rsidRPr="00CD2EEF" w:rsidRDefault="004A6BC4" w:rsidP="00963D24">
      <w:pPr>
        <w:pStyle w:val="LPnavaden"/>
        <w:rPr>
          <w:lang w:val="en-GB"/>
        </w:rPr>
      </w:pPr>
      <w:r w:rsidRPr="000C09EB">
        <w:rPr>
          <w:lang w:val="en-GB"/>
        </w:rPr>
        <w:lastRenderedPageBreak/>
        <w:t>It was agreed that s</w:t>
      </w:r>
      <w:r w:rsidR="00CB3A79" w:rsidRPr="000C09EB">
        <w:rPr>
          <w:lang w:val="en-GB"/>
        </w:rPr>
        <w:t xml:space="preserve">ome activities for 2021 </w:t>
      </w:r>
      <w:r w:rsidRPr="000C09EB">
        <w:rPr>
          <w:lang w:val="en-GB"/>
        </w:rPr>
        <w:t>would</w:t>
      </w:r>
      <w:r w:rsidR="00CB3A79" w:rsidRPr="000C09EB">
        <w:rPr>
          <w:lang w:val="en-GB"/>
        </w:rPr>
        <w:t xml:space="preserve"> include corrections</w:t>
      </w:r>
      <w:r w:rsidR="00CB3A79" w:rsidRPr="00CD2EEF">
        <w:rPr>
          <w:lang w:val="en-GB"/>
        </w:rPr>
        <w:t xml:space="preserve"> to procedures and </w:t>
      </w:r>
      <w:r>
        <w:rPr>
          <w:lang w:val="en-GB"/>
        </w:rPr>
        <w:t xml:space="preserve">the </w:t>
      </w:r>
      <w:r w:rsidR="00CB3A79" w:rsidRPr="00CD2EEF">
        <w:rPr>
          <w:lang w:val="en-GB"/>
        </w:rPr>
        <w:t xml:space="preserve">delivery of certain procedures to </w:t>
      </w:r>
      <w:r w:rsidR="00A726E8">
        <w:rPr>
          <w:lang w:val="en-GB"/>
        </w:rPr>
        <w:t>the</w:t>
      </w:r>
      <w:r w:rsidR="00E63423">
        <w:rPr>
          <w:lang w:val="en-GB"/>
        </w:rPr>
        <w:t xml:space="preserve"> SNSA</w:t>
      </w:r>
      <w:r w:rsidR="00CB3A79" w:rsidRPr="00CD2EEF">
        <w:rPr>
          <w:lang w:val="en-GB"/>
        </w:rPr>
        <w:t>. These activities were completed in 2021.</w:t>
      </w:r>
    </w:p>
    <w:p w14:paraId="21712B83" w14:textId="77777777" w:rsidR="00CB3A79" w:rsidRPr="00CD2EEF" w:rsidRDefault="00CB3A79" w:rsidP="00963D24">
      <w:pPr>
        <w:pStyle w:val="LPnavaden"/>
        <w:rPr>
          <w:lang w:val="en-GB"/>
        </w:rPr>
      </w:pPr>
      <w:r w:rsidRPr="00CD2EEF">
        <w:rPr>
          <w:lang w:val="en-GB"/>
        </w:rPr>
        <w:t>There were no non-compliances or violations found that would require inspection actions.</w:t>
      </w:r>
    </w:p>
    <w:p w14:paraId="0D9EFD6F" w14:textId="35C2DE83" w:rsidR="00CB3A79" w:rsidRPr="00CD2EEF" w:rsidRDefault="00CB3A79" w:rsidP="00963D24">
      <w:pPr>
        <w:pStyle w:val="LPnavaden"/>
        <w:rPr>
          <w:lang w:val="en-GB"/>
        </w:rPr>
      </w:pPr>
      <w:r w:rsidRPr="00CD2EEF">
        <w:rPr>
          <w:lang w:val="en-GB"/>
        </w:rPr>
        <w:t xml:space="preserve">An inspection review of radioactivity in the environment around the Reactor </w:t>
      </w:r>
      <w:r w:rsidR="004B2BA4">
        <w:rPr>
          <w:lang w:val="en-GB"/>
        </w:rPr>
        <w:t>I</w:t>
      </w:r>
      <w:r w:rsidRPr="00CD2EEF">
        <w:rPr>
          <w:lang w:val="en-GB"/>
        </w:rPr>
        <w:t xml:space="preserve">nfrastructure </w:t>
      </w:r>
      <w:r w:rsidR="004B2BA4">
        <w:rPr>
          <w:lang w:val="en-GB"/>
        </w:rPr>
        <w:t>C</w:t>
      </w:r>
      <w:r w:rsidRPr="00CD2EEF">
        <w:rPr>
          <w:lang w:val="en-GB"/>
        </w:rPr>
        <w:t xml:space="preserve">entre was performed and is described in </w:t>
      </w:r>
      <w:hyperlink w:anchor="ch334" w:history="1">
        <w:r w:rsidRPr="00CD2EEF">
          <w:rPr>
            <w:rStyle w:val="Hiperpovezava"/>
            <w:lang w:val="en-GB"/>
          </w:rPr>
          <w:t>Chapter 3.3.4</w:t>
        </w:r>
      </w:hyperlink>
      <w:r w:rsidRPr="00CD2EEF">
        <w:rPr>
          <w:lang w:val="en-GB"/>
        </w:rPr>
        <w:t>.</w:t>
      </w:r>
    </w:p>
    <w:p w14:paraId="276D51AF" w14:textId="77777777" w:rsidR="00CB3A79" w:rsidRPr="00CD2EEF" w:rsidRDefault="00CB3A79" w:rsidP="00963D24">
      <w:pPr>
        <w:pStyle w:val="LPnavaden"/>
        <w:rPr>
          <w:lang w:val="en-GB"/>
        </w:rPr>
      </w:pPr>
      <w:r w:rsidRPr="00CD2EEF">
        <w:rPr>
          <w:lang w:val="en-GB"/>
        </w:rPr>
        <w:t xml:space="preserve">Regarding the radiation protection of exposed workers, the Reactor Centre of the JSI is also supervised by the SRPA. The SRPA did not inspect the Research Reactor Centre in 2021. </w:t>
      </w:r>
    </w:p>
    <w:p w14:paraId="27E36F8E" w14:textId="74827DF8" w:rsidR="00CB3A79" w:rsidRPr="00CD2EEF" w:rsidRDefault="00CB3A79" w:rsidP="007E0BC0">
      <w:pPr>
        <w:pStyle w:val="LPVirienojni"/>
        <w:rPr>
          <w:lang w:val="en-GB"/>
        </w:rPr>
      </w:pPr>
      <w:r w:rsidRPr="00CD2EEF">
        <w:rPr>
          <w:lang w:val="en-GB"/>
        </w:rPr>
        <w:t>References: [</w:t>
      </w:r>
      <w:hyperlink w:anchor="r15" w:history="1">
        <w:r w:rsidRPr="00CD2EEF">
          <w:rPr>
            <w:rStyle w:val="Hiperpovezava"/>
            <w:lang w:val="en-GB"/>
          </w:rPr>
          <w:t>15</w:t>
        </w:r>
      </w:hyperlink>
      <w:r w:rsidRPr="00CD2EEF">
        <w:rPr>
          <w:lang w:val="en-GB"/>
        </w:rPr>
        <w:t>], [</w:t>
      </w:r>
      <w:hyperlink w:anchor="r16" w:history="1">
        <w:r w:rsidRPr="00CD2EEF">
          <w:rPr>
            <w:rStyle w:val="Hiperpovezava"/>
            <w:lang w:val="en-GB"/>
          </w:rPr>
          <w:t>16</w:t>
        </w:r>
      </w:hyperlink>
      <w:r w:rsidRPr="00CD2EEF">
        <w:rPr>
          <w:lang w:val="en-GB"/>
        </w:rPr>
        <w:t>], [</w:t>
      </w:r>
      <w:hyperlink w:anchor="r17" w:history="1">
        <w:r w:rsidRPr="00CD2EEF">
          <w:rPr>
            <w:rStyle w:val="Hiperpovezava"/>
            <w:lang w:val="en-GB"/>
          </w:rPr>
          <w:t>17</w:t>
        </w:r>
      </w:hyperlink>
      <w:r w:rsidRPr="00CD2EEF">
        <w:rPr>
          <w:lang w:val="en-GB"/>
        </w:rPr>
        <w:t>]</w:t>
      </w:r>
    </w:p>
    <w:p w14:paraId="5B3B7147" w14:textId="1DD7849F" w:rsidR="00CB3A79" w:rsidRPr="00CD2EEF" w:rsidRDefault="00CB3A79" w:rsidP="00CB3A79">
      <w:pPr>
        <w:pStyle w:val="LPNaslov3"/>
        <w:rPr>
          <w:lang w:val="en-GB"/>
        </w:rPr>
      </w:pPr>
      <w:bookmarkStart w:id="89" w:name="ch213"/>
      <w:bookmarkStart w:id="90" w:name="_Toc126311991"/>
      <w:bookmarkEnd w:id="89"/>
      <w:r w:rsidRPr="00CD2EEF">
        <w:rPr>
          <w:lang w:val="en-GB"/>
        </w:rPr>
        <w:t>The Central Radioactive Waste Facility (CSRW)</w:t>
      </w:r>
      <w:bookmarkEnd w:id="90"/>
    </w:p>
    <w:p w14:paraId="127590B4" w14:textId="1CC00113" w:rsidR="00CB3A79" w:rsidRPr="00CD2EEF" w:rsidRDefault="00CB3A79" w:rsidP="001707CA">
      <w:pPr>
        <w:pStyle w:val="LPnavaden"/>
        <w:rPr>
          <w:lang w:val="en-GB"/>
        </w:rPr>
      </w:pPr>
      <w:r w:rsidRPr="00CD2EEF">
        <w:rPr>
          <w:lang w:val="en-GB"/>
        </w:rPr>
        <w:t>The Central Radioactive Waste Facility (CSRW) in Brinje is operated by the ARAO. The facility</w:t>
      </w:r>
      <w:r w:rsidR="00F21D56">
        <w:rPr>
          <w:lang w:val="en-GB"/>
        </w:rPr>
        <w:t>’</w:t>
      </w:r>
      <w:r w:rsidRPr="00CD2EEF">
        <w:rPr>
          <w:lang w:val="en-GB"/>
        </w:rPr>
        <w:t xml:space="preserve">s operating licence was renewed for a further 10 years in 2018. The modifications and improvements resulting from the action plan from the first periodic safety inspection of the facility shall be implemented and reported regularly to </w:t>
      </w:r>
      <w:r w:rsidR="00A726E8">
        <w:rPr>
          <w:lang w:val="en-GB"/>
        </w:rPr>
        <w:t>the</w:t>
      </w:r>
      <w:r w:rsidR="00E63423">
        <w:rPr>
          <w:lang w:val="en-GB"/>
        </w:rPr>
        <w:t xml:space="preserve"> SNSA</w:t>
      </w:r>
      <w:r w:rsidRPr="00CD2EEF">
        <w:rPr>
          <w:lang w:val="en-GB"/>
        </w:rPr>
        <w:t>. Preventive period maintenance, inspections</w:t>
      </w:r>
      <w:r w:rsidR="004A2950">
        <w:rPr>
          <w:lang w:val="en-GB"/>
        </w:rPr>
        <w:t>,</w:t>
      </w:r>
      <w:r w:rsidRPr="00CD2EEF">
        <w:rPr>
          <w:lang w:val="en-GB"/>
        </w:rPr>
        <w:t xml:space="preserve"> and tests of components, systems</w:t>
      </w:r>
      <w:r w:rsidR="004A2950">
        <w:rPr>
          <w:lang w:val="en-GB"/>
        </w:rPr>
        <w:t>,</w:t>
      </w:r>
      <w:r w:rsidRPr="00CD2EEF">
        <w:rPr>
          <w:lang w:val="en-GB"/>
        </w:rPr>
        <w:t xml:space="preserve"> and structures have been carried out.</w:t>
      </w:r>
    </w:p>
    <w:p w14:paraId="433D100C" w14:textId="77777777" w:rsidR="00CB3A79" w:rsidRPr="00CD2EEF" w:rsidRDefault="00CB3A79" w:rsidP="001707CA">
      <w:pPr>
        <w:pStyle w:val="LPnavaden"/>
        <w:rPr>
          <w:lang w:val="en-GB"/>
        </w:rPr>
      </w:pPr>
      <w:r w:rsidRPr="00CD2EEF">
        <w:rPr>
          <w:lang w:val="en-GB"/>
        </w:rPr>
        <w:t>Records of radioactive waste and nuclear materials, preventive and corrective maintenance, changes, operational events, and experiences have been carefully maintained. The ARAO monitored foreign and its own operational experiences, following the development of technology in the field of nuclear and radiation facilities and innovations in the field of radioactive waste management. The changes were considered in accordance with the law and communicated accordingly.</w:t>
      </w:r>
    </w:p>
    <w:p w14:paraId="189D8137" w14:textId="0CC12A8D" w:rsidR="00CB3A79" w:rsidRPr="00CD2EEF" w:rsidRDefault="00CB3A79" w:rsidP="001707CA">
      <w:pPr>
        <w:pStyle w:val="LPnavaden"/>
        <w:rPr>
          <w:lang w:val="en-GB"/>
        </w:rPr>
      </w:pPr>
      <w:r w:rsidRPr="00CD2EEF">
        <w:rPr>
          <w:lang w:val="en-GB"/>
        </w:rPr>
        <w:t xml:space="preserve">More information on the acceptance of radioactive waste at the CSRW in 2021 and the state of stored waste at the end of 2021 is available in </w:t>
      </w:r>
      <w:hyperlink w:anchor="ch64" w:history="1">
        <w:r w:rsidRPr="00CD2EEF">
          <w:rPr>
            <w:rStyle w:val="Hiperpovezava"/>
            <w:lang w:val="en-GB"/>
          </w:rPr>
          <w:t xml:space="preserve">Chapter </w:t>
        </w:r>
        <w:r w:rsidR="0026410E" w:rsidRPr="00CD2EEF">
          <w:rPr>
            <w:rStyle w:val="Hiperpovezava"/>
            <w:lang w:val="en-GB"/>
          </w:rPr>
          <w:t>6</w:t>
        </w:r>
        <w:r w:rsidRPr="00CD2EEF">
          <w:rPr>
            <w:rStyle w:val="Hiperpovezava"/>
            <w:lang w:val="en-GB"/>
          </w:rPr>
          <w:t>.4</w:t>
        </w:r>
      </w:hyperlink>
      <w:r w:rsidRPr="00CD2EEF">
        <w:rPr>
          <w:lang w:val="en-GB"/>
        </w:rPr>
        <w:t>.</w:t>
      </w:r>
    </w:p>
    <w:p w14:paraId="6D72E130" w14:textId="34539513" w:rsidR="00CB3A79" w:rsidRPr="00CD2EEF" w:rsidRDefault="00CB3A79" w:rsidP="001707CA">
      <w:pPr>
        <w:pStyle w:val="LPnavaden"/>
        <w:rPr>
          <w:lang w:val="en-GB"/>
        </w:rPr>
      </w:pPr>
      <w:r w:rsidRPr="00CD2EEF">
        <w:rPr>
          <w:lang w:val="en-GB"/>
        </w:rPr>
        <w:t xml:space="preserve">Regarding the radiation protection of exposed workers, the ARAO is also supervised by the SRPA. In the year 2021, one joint inspection with </w:t>
      </w:r>
      <w:r w:rsidR="00A726E8" w:rsidRPr="006D630B">
        <w:rPr>
          <w:lang w:val="en-GB"/>
        </w:rPr>
        <w:t>the</w:t>
      </w:r>
      <w:r w:rsidR="00E63423" w:rsidRPr="006D630B">
        <w:rPr>
          <w:lang w:val="en-GB"/>
        </w:rPr>
        <w:t xml:space="preserve"> SNSA</w:t>
      </w:r>
      <w:r w:rsidRPr="006D630B">
        <w:rPr>
          <w:lang w:val="en-GB"/>
        </w:rPr>
        <w:t xml:space="preserve"> </w:t>
      </w:r>
      <w:r w:rsidR="006D630B" w:rsidRPr="000C09EB">
        <w:rPr>
          <w:lang w:val="en-GB"/>
        </w:rPr>
        <w:t>I</w:t>
      </w:r>
      <w:r w:rsidRPr="006D630B">
        <w:rPr>
          <w:lang w:val="en-GB"/>
        </w:rPr>
        <w:t>nspection</w:t>
      </w:r>
      <w:r w:rsidRPr="00CD2EEF">
        <w:rPr>
          <w:lang w:val="en-GB"/>
        </w:rPr>
        <w:t xml:space="preserve"> was carried out. The areas of control included the organ</w:t>
      </w:r>
      <w:r w:rsidR="00837F00">
        <w:rPr>
          <w:lang w:val="en-GB"/>
        </w:rPr>
        <w:t>is</w:t>
      </w:r>
      <w:r w:rsidRPr="00CD2EEF">
        <w:rPr>
          <w:lang w:val="en-GB"/>
        </w:rPr>
        <w:t xml:space="preserve">ation of the Radiation Protection Service and the training of </w:t>
      </w:r>
      <w:r w:rsidR="004B2BA4">
        <w:rPr>
          <w:lang w:val="en-GB"/>
        </w:rPr>
        <w:t>its</w:t>
      </w:r>
      <w:r w:rsidR="004B2BA4" w:rsidRPr="00CD2EEF">
        <w:rPr>
          <w:lang w:val="en-GB"/>
        </w:rPr>
        <w:t xml:space="preserve"> </w:t>
      </w:r>
      <w:r w:rsidRPr="00CD2EEF">
        <w:rPr>
          <w:lang w:val="en-GB"/>
        </w:rPr>
        <w:t xml:space="preserve">workers in radiation protection, as well as the implementation of measures to prevent and control infections with the </w:t>
      </w:r>
      <w:r w:rsidR="004B2BA4">
        <w:rPr>
          <w:lang w:val="en-GB"/>
        </w:rPr>
        <w:t>Covid</w:t>
      </w:r>
      <w:r w:rsidR="004B2BA4" w:rsidRPr="00CD2EEF">
        <w:rPr>
          <w:lang w:val="en-GB"/>
        </w:rPr>
        <w:t>-19</w:t>
      </w:r>
      <w:r w:rsidR="004B2BA4">
        <w:rPr>
          <w:lang w:val="en-GB"/>
        </w:rPr>
        <w:t xml:space="preserve"> </w:t>
      </w:r>
      <w:r w:rsidRPr="00CD2EEF">
        <w:rPr>
          <w:lang w:val="en-GB"/>
        </w:rPr>
        <w:t xml:space="preserve">infectious disease. An inconsistency was detected in the certificate of the Institute of Occupational Safety (IOS), where the training duration is 40 hours over three working days. </w:t>
      </w:r>
      <w:r w:rsidR="004B2BA4">
        <w:rPr>
          <w:lang w:val="en-GB"/>
        </w:rPr>
        <w:t>Subsequently</w:t>
      </w:r>
      <w:r w:rsidRPr="00CD2EEF">
        <w:rPr>
          <w:lang w:val="en-GB"/>
        </w:rPr>
        <w:t xml:space="preserve">, </w:t>
      </w:r>
      <w:r w:rsidR="004B2BA4">
        <w:rPr>
          <w:lang w:val="en-GB"/>
        </w:rPr>
        <w:t xml:space="preserve">the </w:t>
      </w:r>
      <w:r w:rsidRPr="00CD2EEF">
        <w:rPr>
          <w:lang w:val="en-GB"/>
        </w:rPr>
        <w:t xml:space="preserve">ARAO additionally explained that, in addition to listening to the content on the Institute of Occupational Safety (IOS), training for works at </w:t>
      </w:r>
      <w:r w:rsidR="004B2BA4">
        <w:rPr>
          <w:lang w:val="en-GB"/>
        </w:rPr>
        <w:t xml:space="preserve">the </w:t>
      </w:r>
      <w:r w:rsidRPr="00CD2EEF">
        <w:rPr>
          <w:lang w:val="en-GB"/>
        </w:rPr>
        <w:t>CSRW and the LILW repository, as can be seen from the certificate</w:t>
      </w:r>
      <w:r w:rsidR="004B2BA4">
        <w:rPr>
          <w:lang w:val="en-GB"/>
        </w:rPr>
        <w:t>,</w:t>
      </w:r>
      <w:r w:rsidRPr="00CD2EEF">
        <w:rPr>
          <w:lang w:val="en-GB"/>
        </w:rPr>
        <w:t xml:space="preserve"> was also completed.</w:t>
      </w:r>
    </w:p>
    <w:p w14:paraId="6B35CFD8" w14:textId="0D99D42E" w:rsidR="00CB3A79" w:rsidRPr="00CD2EEF" w:rsidRDefault="00CB3A79" w:rsidP="001707CA">
      <w:pPr>
        <w:pStyle w:val="LPVirienojni"/>
        <w:rPr>
          <w:lang w:val="en-GB"/>
        </w:rPr>
      </w:pPr>
      <w:r w:rsidRPr="00CD2EEF">
        <w:rPr>
          <w:lang w:val="en-GB"/>
        </w:rPr>
        <w:t>References: [</w:t>
      </w:r>
      <w:hyperlink w:anchor="r15" w:history="1">
        <w:r w:rsidRPr="00CD2EEF">
          <w:rPr>
            <w:rStyle w:val="Hiperpovezava"/>
            <w:lang w:val="en-GB"/>
          </w:rPr>
          <w:t>15</w:t>
        </w:r>
      </w:hyperlink>
      <w:r w:rsidRPr="00CD2EEF">
        <w:rPr>
          <w:lang w:val="en-GB"/>
        </w:rPr>
        <w:t>], [</w:t>
      </w:r>
      <w:hyperlink w:anchor="r18" w:history="1">
        <w:r w:rsidRPr="00CD2EEF">
          <w:rPr>
            <w:rStyle w:val="Hiperpovezava"/>
            <w:lang w:val="en-GB"/>
          </w:rPr>
          <w:t>18</w:t>
        </w:r>
      </w:hyperlink>
      <w:r w:rsidRPr="00CD2EEF">
        <w:rPr>
          <w:lang w:val="en-GB"/>
        </w:rPr>
        <w:t xml:space="preserve">] </w:t>
      </w:r>
    </w:p>
    <w:p w14:paraId="0A737068" w14:textId="77777777" w:rsidR="00CB3A79" w:rsidRPr="00CD2EEF" w:rsidRDefault="00CB3A79" w:rsidP="00CB3A79">
      <w:pPr>
        <w:pStyle w:val="LPNaslov3"/>
        <w:rPr>
          <w:lang w:val="en-GB"/>
        </w:rPr>
      </w:pPr>
      <w:bookmarkStart w:id="91" w:name="_Toc14414230"/>
      <w:bookmarkStart w:id="92" w:name="_Toc46257184"/>
      <w:bookmarkStart w:id="93" w:name="_Toc47694627"/>
      <w:bookmarkStart w:id="94" w:name="_Toc126311992"/>
      <w:r w:rsidRPr="00CD2EEF">
        <w:rPr>
          <w:lang w:val="en-GB"/>
        </w:rPr>
        <w:t>The Former Žirovski Vrh Uranium Mine</w:t>
      </w:r>
      <w:bookmarkEnd w:id="91"/>
      <w:bookmarkEnd w:id="92"/>
      <w:bookmarkEnd w:id="93"/>
      <w:bookmarkEnd w:id="94"/>
    </w:p>
    <w:p w14:paraId="09ABFEA8" w14:textId="77777777" w:rsidR="00CB3A79" w:rsidRPr="00CD2EEF" w:rsidRDefault="00CB3A79" w:rsidP="001707CA">
      <w:pPr>
        <w:pStyle w:val="LPnavaden"/>
        <w:rPr>
          <w:lang w:val="en-GB"/>
        </w:rPr>
      </w:pPr>
      <w:r w:rsidRPr="00CD2EEF">
        <w:rPr>
          <w:lang w:val="en-GB"/>
        </w:rPr>
        <w:t>The excavation of uranium ore took place in the area around Žirovski Vrh between 1982 and 1990 and uranium concentrate was processed therefrom. Mill tailings were disposed of in the Jazbec mine tailings disposal site and hydrometallurgical tailings were disposed of at the Boršt hydro-metallurgical tailings disposal site. In 1990, after the exploitation of uranium ore was temporarily halted and the subsequent decision on permanent cessation was made, the process of the remediation of this mining process and its consequences began.</w:t>
      </w:r>
    </w:p>
    <w:p w14:paraId="26552157" w14:textId="058AC98E" w:rsidR="00CB3A79" w:rsidRPr="00CD2EEF" w:rsidRDefault="00CB3A79" w:rsidP="001707CA">
      <w:pPr>
        <w:pStyle w:val="LPnavaden"/>
        <w:rPr>
          <w:lang w:val="en-GB"/>
        </w:rPr>
      </w:pPr>
      <w:r w:rsidRPr="00CD2EEF">
        <w:rPr>
          <w:lang w:val="en-GB"/>
        </w:rPr>
        <w:t>The Jazbec disposal site was closed in 2015. The area covering the landfill body of the site became a national infrastructure object, and since the end of 2016 it has been managed by the ARAO under the State</w:t>
      </w:r>
      <w:r w:rsidR="00F21D56">
        <w:rPr>
          <w:lang w:val="en-GB"/>
        </w:rPr>
        <w:t>’</w:t>
      </w:r>
      <w:r w:rsidRPr="00CD2EEF">
        <w:rPr>
          <w:lang w:val="en-GB"/>
        </w:rPr>
        <w:t xml:space="preserve">s authority. The P-10 plateau at the foot of the body of the disposal site is also included in the area of the national infrastructure facility referred to as the Jazbec disposal site due to the </w:t>
      </w:r>
      <w:r w:rsidRPr="00CD2EEF">
        <w:rPr>
          <w:lang w:val="en-GB"/>
        </w:rPr>
        <w:lastRenderedPageBreak/>
        <w:t>rupture of mining waste. The area, together with the facilities that stand on the plateau, has been rehabilitated and is managed by several legal entities.</w:t>
      </w:r>
    </w:p>
    <w:p w14:paraId="2AECC3D3" w14:textId="6FD49FA8" w:rsidR="00CB3A79" w:rsidRPr="00CD2EEF" w:rsidRDefault="00CB3A79" w:rsidP="001707CA">
      <w:pPr>
        <w:pStyle w:val="LPnavaden"/>
        <w:rPr>
          <w:lang w:val="en-GB"/>
        </w:rPr>
      </w:pPr>
      <w:r w:rsidRPr="00CD2EEF">
        <w:rPr>
          <w:lang w:val="en-GB"/>
        </w:rPr>
        <w:t xml:space="preserve">For the disposal site, the year 2021 was the eleventh year (the sixth additional year) when regular maintenance work was carried out. More information on the remediation activities regarding the former mining activities at Žirovski Vrh can be found in </w:t>
      </w:r>
      <w:hyperlink w:anchor="ch65" w:history="1">
        <w:r w:rsidRPr="00CD2EEF">
          <w:rPr>
            <w:rStyle w:val="Hiperpovezava"/>
            <w:lang w:val="en-GB"/>
          </w:rPr>
          <w:t>Chapter 6.5</w:t>
        </w:r>
      </w:hyperlink>
      <w:r w:rsidRPr="00CD2EEF">
        <w:rPr>
          <w:lang w:val="en-GB"/>
        </w:rPr>
        <w:t>.</w:t>
      </w:r>
    </w:p>
    <w:p w14:paraId="5821387D" w14:textId="38630349" w:rsidR="00CB3A79" w:rsidRPr="00CD2EEF" w:rsidRDefault="00CB3A79" w:rsidP="001707CA">
      <w:pPr>
        <w:pStyle w:val="LPnavaden"/>
        <w:rPr>
          <w:lang w:val="en-GB"/>
        </w:rPr>
      </w:pPr>
      <w:bookmarkStart w:id="95" w:name="_Hlk116029087"/>
      <w:r w:rsidRPr="00CD2EEF">
        <w:rPr>
          <w:lang w:val="en-GB"/>
        </w:rPr>
        <w:t xml:space="preserve">The protection of exposed workers from the radiation of the Žirovski </w:t>
      </w:r>
      <w:r w:rsidR="00795EB3">
        <w:rPr>
          <w:lang w:val="en-GB"/>
        </w:rPr>
        <w:t>V</w:t>
      </w:r>
      <w:r w:rsidRPr="00CD2EEF">
        <w:rPr>
          <w:lang w:val="en-GB"/>
        </w:rPr>
        <w:t xml:space="preserve">rh uranium mine is also inspected by the SRPA, which did not perform any inspection in 2021 due to </w:t>
      </w:r>
      <w:r w:rsidR="00463FAD">
        <w:rPr>
          <w:lang w:val="en-GB"/>
        </w:rPr>
        <w:t xml:space="preserve">the </w:t>
      </w:r>
      <w:r w:rsidRPr="00CD2EEF">
        <w:rPr>
          <w:lang w:val="en-GB"/>
        </w:rPr>
        <w:t>low radiation loads.</w:t>
      </w:r>
    </w:p>
    <w:bookmarkEnd w:id="95"/>
    <w:p w14:paraId="0D80EE27" w14:textId="7650B6D1" w:rsidR="00CB3A79" w:rsidRPr="00CD2EEF" w:rsidRDefault="00CB3A79" w:rsidP="001707CA">
      <w:pPr>
        <w:pStyle w:val="LPVirienojni"/>
        <w:rPr>
          <w:lang w:val="en-GB"/>
        </w:rPr>
      </w:pPr>
      <w:r w:rsidRPr="00CD2EEF">
        <w:rPr>
          <w:lang w:val="en-GB"/>
        </w:rPr>
        <w:t>References: [</w:t>
      </w:r>
      <w:hyperlink w:anchor="r15" w:history="1">
        <w:r w:rsidRPr="00CD2EEF">
          <w:rPr>
            <w:rStyle w:val="Hiperpovezava"/>
            <w:lang w:val="en-GB"/>
          </w:rPr>
          <w:t>15</w:t>
        </w:r>
      </w:hyperlink>
      <w:r w:rsidRPr="00CD2EEF">
        <w:rPr>
          <w:lang w:val="en-GB"/>
        </w:rPr>
        <w:t>], [</w:t>
      </w:r>
      <w:hyperlink w:anchor="r18" w:history="1">
        <w:r w:rsidRPr="00CD2EEF">
          <w:rPr>
            <w:rStyle w:val="Hiperpovezava"/>
            <w:lang w:val="en-GB"/>
          </w:rPr>
          <w:t>18</w:t>
        </w:r>
      </w:hyperlink>
      <w:r w:rsidRPr="00CD2EEF">
        <w:rPr>
          <w:lang w:val="en-GB"/>
        </w:rPr>
        <w:t>], [</w:t>
      </w:r>
      <w:hyperlink w:anchor="r19" w:history="1">
        <w:r w:rsidRPr="00CD2EEF">
          <w:rPr>
            <w:rStyle w:val="Hiperpovezava"/>
            <w:lang w:val="en-GB"/>
          </w:rPr>
          <w:t>19</w:t>
        </w:r>
      </w:hyperlink>
      <w:r w:rsidRPr="00CD2EEF">
        <w:rPr>
          <w:lang w:val="en-GB"/>
        </w:rPr>
        <w:t>]</w:t>
      </w:r>
    </w:p>
    <w:p w14:paraId="263D005F" w14:textId="53CD385E" w:rsidR="00CB3A79" w:rsidRPr="00CD2EEF" w:rsidRDefault="00CB3A79" w:rsidP="00CB3A79">
      <w:pPr>
        <w:pStyle w:val="LPNaslov2"/>
        <w:rPr>
          <w:lang w:val="en-GB"/>
        </w:rPr>
      </w:pPr>
      <w:bookmarkStart w:id="96" w:name="_Toc46257185"/>
      <w:bookmarkStart w:id="97" w:name="_Toc47694628"/>
      <w:bookmarkStart w:id="98" w:name="_Toc126311993"/>
      <w:r w:rsidRPr="00CD2EEF">
        <w:rPr>
          <w:lang w:val="en-GB"/>
        </w:rPr>
        <w:t>RADIATION PRACTICES AND THE USE OF RADIATION SOURCES</w:t>
      </w:r>
      <w:bookmarkEnd w:id="96"/>
      <w:bookmarkEnd w:id="97"/>
      <w:bookmarkEnd w:id="98"/>
    </w:p>
    <w:p w14:paraId="0D440AD1" w14:textId="145F32BD" w:rsidR="00CB3A79" w:rsidRPr="00CD2EEF" w:rsidRDefault="00CB3A79" w:rsidP="0018486A">
      <w:pPr>
        <w:pStyle w:val="LPnavaden"/>
        <w:rPr>
          <w:lang w:val="en-GB"/>
        </w:rPr>
      </w:pPr>
      <w:r w:rsidRPr="00CD2EEF">
        <w:rPr>
          <w:lang w:val="en-GB"/>
        </w:rPr>
        <w:t xml:space="preserve">The use of radiation sources is regulated by the ZVISJV-1 and secondary legislation adopted on the basis thereof. </w:t>
      </w:r>
      <w:r w:rsidR="00A726E8">
        <w:rPr>
          <w:lang w:val="en-GB"/>
        </w:rPr>
        <w:t>The</w:t>
      </w:r>
      <w:r w:rsidR="00E63423">
        <w:rPr>
          <w:lang w:val="en-GB"/>
        </w:rPr>
        <w:t xml:space="preserve"> SNSA</w:t>
      </w:r>
      <w:r w:rsidRPr="00CD2EEF">
        <w:rPr>
          <w:lang w:val="en-GB"/>
        </w:rPr>
        <w:t xml:space="preserve"> is responsible for reviewing radiation assessment elaborations in industry and in other areas, while the SRPA is responsible for the area of medicine and veterinary care.</w:t>
      </w:r>
    </w:p>
    <w:p w14:paraId="065FA04A" w14:textId="232A34A2" w:rsidR="00CB3A79" w:rsidRPr="00CD2EEF" w:rsidRDefault="00CB3A79" w:rsidP="00CB3A79">
      <w:pPr>
        <w:pStyle w:val="LPNaslov3"/>
        <w:rPr>
          <w:lang w:val="en-GB"/>
        </w:rPr>
      </w:pPr>
      <w:bookmarkStart w:id="99" w:name="_Toc14414232"/>
      <w:bookmarkStart w:id="100" w:name="_Toc46257186"/>
      <w:bookmarkStart w:id="101" w:name="_Toc47694629"/>
      <w:bookmarkStart w:id="102" w:name="_Toc126311994"/>
      <w:r w:rsidRPr="00CD2EEF">
        <w:rPr>
          <w:lang w:val="en-GB"/>
        </w:rPr>
        <w:t>Use of Ionising Sources in Industry, Research, and Education</w:t>
      </w:r>
      <w:bookmarkEnd w:id="99"/>
      <w:bookmarkEnd w:id="100"/>
      <w:bookmarkEnd w:id="101"/>
      <w:bookmarkEnd w:id="102"/>
    </w:p>
    <w:p w14:paraId="1D94D861" w14:textId="3AB62A6A" w:rsidR="00CB3A79" w:rsidRPr="00CD2EEF" w:rsidRDefault="00CB3A79" w:rsidP="0018486A">
      <w:pPr>
        <w:pStyle w:val="LPnavaden"/>
        <w:rPr>
          <w:lang w:val="en-GB"/>
        </w:rPr>
      </w:pPr>
      <w:r w:rsidRPr="00CD2EEF">
        <w:rPr>
          <w:lang w:val="en-GB"/>
        </w:rPr>
        <w:t xml:space="preserve">In 2021, 48 licenses to carry out radiation practices, </w:t>
      </w:r>
      <w:r w:rsidRPr="000C09EB">
        <w:rPr>
          <w:lang w:val="en-GB"/>
        </w:rPr>
        <w:t xml:space="preserve">10 </w:t>
      </w:r>
      <w:r w:rsidR="00F325BF" w:rsidRPr="000C09EB">
        <w:rPr>
          <w:lang w:val="en-GB"/>
        </w:rPr>
        <w:t xml:space="preserve">extracts </w:t>
      </w:r>
      <w:r w:rsidRPr="000C09EB">
        <w:rPr>
          <w:lang w:val="en-GB"/>
        </w:rPr>
        <w:t xml:space="preserve">from the register of radiation practices, 26 licenses for the use of a radiation source, 95 </w:t>
      </w:r>
      <w:r w:rsidR="00F325BF" w:rsidRPr="000C09EB">
        <w:rPr>
          <w:lang w:val="en-GB"/>
        </w:rPr>
        <w:t xml:space="preserve">extracts </w:t>
      </w:r>
      <w:r w:rsidRPr="000C09EB">
        <w:rPr>
          <w:lang w:val="en-GB"/>
        </w:rPr>
        <w:t>from</w:t>
      </w:r>
      <w:r w:rsidRPr="00CD2EEF">
        <w:rPr>
          <w:lang w:val="en-GB"/>
        </w:rPr>
        <w:t xml:space="preserve"> the register of radiation sources, 8 approvals for external operators of radiation practices, 2 decisions on the termination of the validity of a license to carry out radiation practices, one decision on sealing an X-ray device, and 3 decisions on unsealing an X-ray device were issued by </w:t>
      </w:r>
      <w:r w:rsidR="00A726E8">
        <w:rPr>
          <w:lang w:val="en-GB"/>
        </w:rPr>
        <w:t>the</w:t>
      </w:r>
      <w:r w:rsidR="00E63423">
        <w:rPr>
          <w:lang w:val="en-GB"/>
        </w:rPr>
        <w:t xml:space="preserve"> SNSA</w:t>
      </w:r>
      <w:r w:rsidRPr="00CD2EEF">
        <w:rPr>
          <w:lang w:val="en-GB"/>
        </w:rPr>
        <w:t>.</w:t>
      </w:r>
    </w:p>
    <w:p w14:paraId="723DBC21" w14:textId="21BF6EC4" w:rsidR="00CB3A79" w:rsidRPr="00CD2EEF" w:rsidRDefault="00CB3A79" w:rsidP="0018486A">
      <w:pPr>
        <w:pStyle w:val="LPnavaden"/>
        <w:rPr>
          <w:lang w:val="en-GB"/>
        </w:rPr>
      </w:pPr>
      <w:r w:rsidRPr="00CD2EEF">
        <w:rPr>
          <w:lang w:val="en-GB"/>
        </w:rPr>
        <w:t xml:space="preserve">In 2021, </w:t>
      </w:r>
      <w:r w:rsidR="00A726E8">
        <w:rPr>
          <w:lang w:val="en-GB"/>
        </w:rPr>
        <w:t>the</w:t>
      </w:r>
      <w:r w:rsidR="00E63423">
        <w:rPr>
          <w:lang w:val="en-GB"/>
        </w:rPr>
        <w:t xml:space="preserve"> SNSA</w:t>
      </w:r>
      <w:r w:rsidRPr="00CD2EEF">
        <w:rPr>
          <w:lang w:val="en-GB"/>
        </w:rPr>
        <w:t xml:space="preserve"> continued to inform radiation practitioners regarding the expiry of licenses to carry out radiation practices and licenses for the use of a radiation source. Notifications, which are automatically generated by the InfoURSJV intranet portal, were sent a few weeks before the licenses expired. Thus, the parties still had sufficient time to prepare applications for their renewal. Despite the above-mentioned notifications, parties are still late in submitting applications for the renewal of licenses and providing information on radiation protection officers. They are also late in ordering periodic reviews of radiation sources, which must be carried out by technical support organisations. In some cases, radiation sources are not reviewed until customers are alerted by </w:t>
      </w:r>
      <w:r w:rsidR="00A726E8">
        <w:rPr>
          <w:lang w:val="en-GB"/>
        </w:rPr>
        <w:t>the</w:t>
      </w:r>
      <w:r w:rsidR="00E63423">
        <w:rPr>
          <w:lang w:val="en-GB"/>
        </w:rPr>
        <w:t xml:space="preserve"> SNSA</w:t>
      </w:r>
      <w:r w:rsidRPr="00CD2EEF">
        <w:rPr>
          <w:lang w:val="en-GB"/>
        </w:rPr>
        <w:t xml:space="preserve">. Since 2004, </w:t>
      </w:r>
      <w:r w:rsidR="00A726E8">
        <w:rPr>
          <w:lang w:val="en-GB"/>
        </w:rPr>
        <w:t>the</w:t>
      </w:r>
      <w:r w:rsidR="00E63423">
        <w:rPr>
          <w:lang w:val="en-GB"/>
        </w:rPr>
        <w:t xml:space="preserve"> SNSA</w:t>
      </w:r>
      <w:r w:rsidRPr="00CD2EEF">
        <w:rPr>
          <w:lang w:val="en-GB"/>
        </w:rPr>
        <w:t xml:space="preserve"> has periodically issued the leaflet </w:t>
      </w:r>
      <w:hyperlink r:id="rId32" w:history="1">
        <w:r w:rsidRPr="00CD2EEF">
          <w:rPr>
            <w:rStyle w:val="Hiperpovezava"/>
            <w:lang w:val="en-GB"/>
          </w:rPr>
          <w:t>Radiation News</w:t>
        </w:r>
      </w:hyperlink>
      <w:r w:rsidRPr="00CD2EEF">
        <w:rPr>
          <w:lang w:val="en-GB"/>
        </w:rPr>
        <w:t>, with the aim of disseminating useful information in the field of regulatory control and the use of radiation sources to entities carrying out radiation practices. As of the end of 2021, 55 editions of the leaflet had been issued, two of them in 2021.</w:t>
      </w:r>
    </w:p>
    <w:p w14:paraId="45673559" w14:textId="130B2ECF" w:rsidR="00CB3A79" w:rsidRPr="00CD2EEF" w:rsidRDefault="00CB3A79" w:rsidP="0018486A">
      <w:pPr>
        <w:pStyle w:val="LPnavaden"/>
        <w:rPr>
          <w:lang w:val="en-GB"/>
        </w:rPr>
      </w:pPr>
      <w:r w:rsidRPr="00CD2EEF">
        <w:rPr>
          <w:lang w:val="en-GB"/>
        </w:rPr>
        <w:t>At the end of 2021, 212 organisations in industry, research</w:t>
      </w:r>
      <w:r w:rsidR="000B411C">
        <w:rPr>
          <w:lang w:val="en-GB"/>
        </w:rPr>
        <w:t>,</w:t>
      </w:r>
      <w:r w:rsidRPr="00CD2EEF">
        <w:rPr>
          <w:lang w:val="en-GB"/>
        </w:rPr>
        <w:t xml:space="preserve"> and the state administration in the Republic of Slovenia were using 429 X-ray devices, and 706 sealed sources were being used in 72 organisations. As many as 24 radioactive sources were stored at 15 organisations, which are intended to be handed over to the ARAO in the future, among them 6 empty shielding containers with depleted uranium, </w:t>
      </w:r>
      <w:r w:rsidR="007A7F88">
        <w:rPr>
          <w:lang w:val="en-GB"/>
        </w:rPr>
        <w:t>which</w:t>
      </w:r>
      <w:r w:rsidR="007A7F88" w:rsidRPr="00CD2EEF">
        <w:rPr>
          <w:lang w:val="en-GB"/>
        </w:rPr>
        <w:t xml:space="preserve"> </w:t>
      </w:r>
      <w:r w:rsidRPr="00CD2EEF">
        <w:rPr>
          <w:lang w:val="en-GB"/>
        </w:rPr>
        <w:t xml:space="preserve">will not be handed over to the ARAO but will be reused as needed. </w:t>
      </w:r>
    </w:p>
    <w:p w14:paraId="23767ECF" w14:textId="560C566A" w:rsidR="00CB3A79" w:rsidRPr="00CD2EEF" w:rsidRDefault="00C45A5E" w:rsidP="0018486A">
      <w:pPr>
        <w:pStyle w:val="LPnavaden"/>
        <w:rPr>
          <w:lang w:val="en-GB"/>
        </w:rPr>
      </w:pPr>
      <w:r>
        <w:rPr>
          <w:lang w:val="en-GB"/>
        </w:rPr>
        <w:t>I</w:t>
      </w:r>
      <w:r w:rsidRPr="00C45A5E">
        <w:rPr>
          <w:lang w:val="en-GB"/>
        </w:rPr>
        <w:t>onisation</w:t>
      </w:r>
      <w:r w:rsidR="00CB3A79" w:rsidRPr="00CD2EEF">
        <w:rPr>
          <w:lang w:val="en-GB"/>
        </w:rPr>
        <w:t xml:space="preserve"> smoke detectors, utilising isotope </w:t>
      </w:r>
      <w:r w:rsidR="00CB3A79" w:rsidRPr="00CD2EEF">
        <w:rPr>
          <w:rStyle w:val="LPnadpisano"/>
          <w:lang w:val="en-GB"/>
        </w:rPr>
        <w:t>241</w:t>
      </w:r>
      <w:r w:rsidR="00CB3A79" w:rsidRPr="00CD2EEF">
        <w:rPr>
          <w:lang w:val="en-GB"/>
        </w:rPr>
        <w:t xml:space="preserve">Am, form a special group of radiation sources. According to the registry of radiation sources, there were 18,719 </w:t>
      </w:r>
      <w:r w:rsidRPr="00C45A5E">
        <w:rPr>
          <w:lang w:val="en-GB"/>
        </w:rPr>
        <w:t>ionisation</w:t>
      </w:r>
      <w:r w:rsidR="00CB3A79" w:rsidRPr="00CD2EEF">
        <w:rPr>
          <w:lang w:val="en-GB"/>
        </w:rPr>
        <w:t xml:space="preserve"> smoke detectors being used at 243 organisations at the end of 2021. In addition, 212 </w:t>
      </w:r>
      <w:r w:rsidR="00CB3A79" w:rsidRPr="00C45A5E">
        <w:rPr>
          <w:lang w:val="en-GB"/>
        </w:rPr>
        <w:t>ionisation</w:t>
      </w:r>
      <w:r w:rsidR="00CB3A79" w:rsidRPr="00CD2EEF">
        <w:rPr>
          <w:lang w:val="en-GB"/>
        </w:rPr>
        <w:t xml:space="preserve"> smoke detectors were stored on users</w:t>
      </w:r>
      <w:r w:rsidR="00F21D56">
        <w:rPr>
          <w:lang w:val="en-GB"/>
        </w:rPr>
        <w:t>’</w:t>
      </w:r>
      <w:r w:rsidR="00CB3A79" w:rsidRPr="00CD2EEF">
        <w:rPr>
          <w:lang w:val="en-GB"/>
        </w:rPr>
        <w:t xml:space="preserve"> premises. Among them, 105 were stored on the premises of companies dealing with the maintenance, mounting, and dismounting of ionisat</w:t>
      </w:r>
      <w:r w:rsidR="00CB3A79" w:rsidRPr="00C45A5E">
        <w:rPr>
          <w:lang w:val="en-GB"/>
        </w:rPr>
        <w:t>ion</w:t>
      </w:r>
      <w:r w:rsidR="00CB3A79" w:rsidRPr="00CD2EEF">
        <w:rPr>
          <w:lang w:val="en-GB"/>
        </w:rPr>
        <w:t xml:space="preserve"> smoke detectors. </w:t>
      </w:r>
      <w:r w:rsidR="007A7F88">
        <w:rPr>
          <w:lang w:val="en-GB"/>
        </w:rPr>
        <w:t>T</w:t>
      </w:r>
      <w:r w:rsidR="00CB3A79" w:rsidRPr="00CD2EEF">
        <w:rPr>
          <w:lang w:val="en-GB"/>
        </w:rPr>
        <w:t xml:space="preserve">he number of detectors transferred to the CSRW </w:t>
      </w:r>
      <w:r w:rsidR="007A7F88">
        <w:rPr>
          <w:lang w:val="en-GB"/>
        </w:rPr>
        <w:t xml:space="preserve">has </w:t>
      </w:r>
      <w:r w:rsidR="00CB3A79" w:rsidRPr="00CD2EEF">
        <w:rPr>
          <w:lang w:val="en-GB"/>
        </w:rPr>
        <w:t>increased</w:t>
      </w:r>
      <w:r w:rsidR="007A7F88">
        <w:rPr>
          <w:lang w:val="en-GB"/>
        </w:rPr>
        <w:t xml:space="preserve"> recently</w:t>
      </w:r>
      <w:r w:rsidR="00CB3A79" w:rsidRPr="00CD2EEF">
        <w:rPr>
          <w:lang w:val="en-GB"/>
        </w:rPr>
        <w:t>. In October</w:t>
      </w:r>
      <w:r w:rsidR="007A7F88">
        <w:rPr>
          <w:lang w:val="en-GB"/>
        </w:rPr>
        <w:t xml:space="preserve"> </w:t>
      </w:r>
      <w:r w:rsidR="007A7F88" w:rsidRPr="00C45A5E">
        <w:rPr>
          <w:lang w:val="en-GB"/>
        </w:rPr>
        <w:t>2021</w:t>
      </w:r>
      <w:r w:rsidR="00CB3A79" w:rsidRPr="00CD2EEF">
        <w:rPr>
          <w:lang w:val="en-GB"/>
        </w:rPr>
        <w:t xml:space="preserve">, 1,049 </w:t>
      </w:r>
      <w:r w:rsidRPr="00C45A5E">
        <w:rPr>
          <w:lang w:val="en-GB"/>
        </w:rPr>
        <w:t>ionisation</w:t>
      </w:r>
      <w:r w:rsidR="00CB3A79" w:rsidRPr="00CD2EEF">
        <w:rPr>
          <w:lang w:val="en-GB"/>
        </w:rPr>
        <w:t xml:space="preserve"> smoke </w:t>
      </w:r>
      <w:r w:rsidR="00CB3A79" w:rsidRPr="00CD2EEF">
        <w:rPr>
          <w:lang w:val="en-GB"/>
        </w:rPr>
        <w:lastRenderedPageBreak/>
        <w:t>detectors were transferred by the ARAO from the central storage facility to the German company Gamma Service Group GmbH</w:t>
      </w:r>
      <w:r w:rsidR="007A7F88">
        <w:rPr>
          <w:lang w:val="en-GB"/>
        </w:rPr>
        <w:t>,</w:t>
      </w:r>
      <w:r w:rsidR="00CB3A79" w:rsidRPr="00CD2EEF">
        <w:rPr>
          <w:lang w:val="en-GB"/>
        </w:rPr>
        <w:t xml:space="preserve"> and in </w:t>
      </w:r>
      <w:r w:rsidR="00CB3A79" w:rsidRPr="00C45A5E">
        <w:rPr>
          <w:lang w:val="en-GB"/>
        </w:rPr>
        <w:t>December</w:t>
      </w:r>
      <w:r w:rsidR="007A7F88" w:rsidRPr="00C45A5E">
        <w:rPr>
          <w:lang w:val="en-GB"/>
        </w:rPr>
        <w:t xml:space="preserve"> 2021</w:t>
      </w:r>
      <w:r w:rsidRPr="00C45A5E">
        <w:rPr>
          <w:lang w:val="en-GB"/>
        </w:rPr>
        <w:t>,</w:t>
      </w:r>
      <w:r w:rsidR="007A7F88" w:rsidRPr="00C45A5E">
        <w:rPr>
          <w:lang w:val="en-GB"/>
        </w:rPr>
        <w:t xml:space="preserve"> an additional</w:t>
      </w:r>
      <w:r w:rsidR="00CB3A79" w:rsidRPr="00CD2EEF">
        <w:rPr>
          <w:lang w:val="en-GB"/>
        </w:rPr>
        <w:t xml:space="preserve"> 1,031, all together 2,080. By the end of 2021, as many as 9 different companies obtained </w:t>
      </w:r>
      <w:r w:rsidR="00E028B0">
        <w:rPr>
          <w:lang w:val="en-GB"/>
        </w:rPr>
        <w:t>a</w:t>
      </w:r>
      <w:r w:rsidR="00E028B0" w:rsidRPr="00CD2EEF">
        <w:rPr>
          <w:lang w:val="en-GB"/>
        </w:rPr>
        <w:t xml:space="preserve"> </w:t>
      </w:r>
      <w:r w:rsidR="00CB3A79" w:rsidRPr="00CD2EEF">
        <w:rPr>
          <w:lang w:val="en-GB"/>
        </w:rPr>
        <w:t xml:space="preserve">licence to carry out </w:t>
      </w:r>
      <w:r w:rsidR="00E028B0">
        <w:rPr>
          <w:lang w:val="en-GB"/>
        </w:rPr>
        <w:t xml:space="preserve">the </w:t>
      </w:r>
      <w:r w:rsidR="00CB3A79" w:rsidRPr="00CD2EEF">
        <w:rPr>
          <w:lang w:val="en-GB"/>
        </w:rPr>
        <w:t xml:space="preserve">radiation practice of </w:t>
      </w:r>
      <w:r w:rsidR="00E028B0" w:rsidRPr="00CD2EEF">
        <w:rPr>
          <w:lang w:val="en-GB"/>
        </w:rPr>
        <w:t>maint</w:t>
      </w:r>
      <w:r w:rsidR="00E028B0">
        <w:rPr>
          <w:lang w:val="en-GB"/>
        </w:rPr>
        <w:t>aining</w:t>
      </w:r>
      <w:r w:rsidR="00E028B0" w:rsidRPr="00CD2EEF">
        <w:rPr>
          <w:lang w:val="en-GB"/>
        </w:rPr>
        <w:t xml:space="preserve"> </w:t>
      </w:r>
      <w:r w:rsidR="00CB3A79" w:rsidRPr="00CD2EEF">
        <w:rPr>
          <w:lang w:val="en-GB"/>
        </w:rPr>
        <w:t xml:space="preserve">(mounting, dismounting) </w:t>
      </w:r>
      <w:r w:rsidRPr="00C45A5E">
        <w:rPr>
          <w:lang w:val="en-GB"/>
        </w:rPr>
        <w:t>ionisation</w:t>
      </w:r>
      <w:r w:rsidR="00CB3A79" w:rsidRPr="00CD2EEF">
        <w:rPr>
          <w:lang w:val="en-GB"/>
        </w:rPr>
        <w:t xml:space="preserve"> smoke detectors. All of </w:t>
      </w:r>
      <w:r w:rsidR="00E028B0">
        <w:rPr>
          <w:lang w:val="en-GB"/>
        </w:rPr>
        <w:t>these</w:t>
      </w:r>
      <w:r w:rsidR="00E028B0" w:rsidRPr="00CD2EEF">
        <w:rPr>
          <w:lang w:val="en-GB"/>
        </w:rPr>
        <w:t xml:space="preserve"> </w:t>
      </w:r>
      <w:r w:rsidR="00CB3A79" w:rsidRPr="00CD2EEF">
        <w:rPr>
          <w:lang w:val="en-GB"/>
        </w:rPr>
        <w:t xml:space="preserve">are published on </w:t>
      </w:r>
      <w:hyperlink r:id="rId33" w:history="1">
        <w:r w:rsidR="00E63423">
          <w:rPr>
            <w:rStyle w:val="Hiperpovezava"/>
            <w:lang w:val="en-GB"/>
          </w:rPr>
          <w:t>the SNSA</w:t>
        </w:r>
        <w:r w:rsidR="00CB3A79" w:rsidRPr="00CD2EEF">
          <w:rPr>
            <w:rStyle w:val="Hiperpovezava"/>
            <w:lang w:val="en-GB"/>
          </w:rPr>
          <w:t xml:space="preserve"> web</w:t>
        </w:r>
        <w:r w:rsidR="00C16800">
          <w:rPr>
            <w:rStyle w:val="Hiperpovezava"/>
            <w:lang w:val="en-GB"/>
          </w:rPr>
          <w:t>sit</w:t>
        </w:r>
        <w:r w:rsidR="00CB3A79" w:rsidRPr="00CD2EEF">
          <w:rPr>
            <w:rStyle w:val="Hiperpovezava"/>
            <w:lang w:val="en-GB"/>
          </w:rPr>
          <w:t>e</w:t>
        </w:r>
      </w:hyperlink>
      <w:r w:rsidR="00CB3A79" w:rsidRPr="00CD2EEF">
        <w:rPr>
          <w:lang w:val="en-GB"/>
        </w:rPr>
        <w:t>.</w:t>
      </w:r>
    </w:p>
    <w:p w14:paraId="13EB9F1F" w14:textId="5782C0A9" w:rsidR="00CB3A79" w:rsidRPr="00CD2EEF" w:rsidRDefault="00CB3A79" w:rsidP="00CB3A79">
      <w:pPr>
        <w:pStyle w:val="LPNaslov3"/>
        <w:rPr>
          <w:lang w:val="en-GB"/>
        </w:rPr>
      </w:pPr>
      <w:bookmarkStart w:id="103" w:name="ch222"/>
      <w:bookmarkStart w:id="104" w:name="_Toc126311995"/>
      <w:r w:rsidRPr="00CD2EEF">
        <w:rPr>
          <w:lang w:val="en-GB"/>
        </w:rPr>
        <w:t>Inspections of Sources in Industry, Research</w:t>
      </w:r>
      <w:r w:rsidR="00685AD5">
        <w:rPr>
          <w:lang w:val="en-GB"/>
        </w:rPr>
        <w:t>,</w:t>
      </w:r>
      <w:r w:rsidRPr="00CD2EEF">
        <w:rPr>
          <w:lang w:val="en-GB"/>
        </w:rPr>
        <w:t xml:space="preserve"> and Education</w:t>
      </w:r>
      <w:bookmarkEnd w:id="104"/>
    </w:p>
    <w:bookmarkEnd w:id="103"/>
    <w:p w14:paraId="51442C85" w14:textId="1C40423A" w:rsidR="00CB3A79" w:rsidRPr="00CD2EEF" w:rsidRDefault="00F30254" w:rsidP="007853E4">
      <w:pPr>
        <w:pStyle w:val="LPnavaden"/>
        <w:rPr>
          <w:lang w:val="en-GB"/>
        </w:rPr>
      </w:pPr>
      <w:r>
        <w:rPr>
          <w:lang w:val="en-GB"/>
        </w:rPr>
        <w:t xml:space="preserve">In 2021, </w:t>
      </w:r>
      <w:r w:rsidR="00A726E8">
        <w:rPr>
          <w:lang w:val="en-GB"/>
        </w:rPr>
        <w:t>the</w:t>
      </w:r>
      <w:r w:rsidR="00E63423">
        <w:rPr>
          <w:lang w:val="en-GB"/>
        </w:rPr>
        <w:t xml:space="preserve"> SNSA</w:t>
      </w:r>
      <w:r w:rsidR="00CB3A79" w:rsidRPr="00CD2EEF">
        <w:rPr>
          <w:lang w:val="en-GB"/>
        </w:rPr>
        <w:t xml:space="preserve"> Inspection conducted 80 inspections related to </w:t>
      </w:r>
      <w:r w:rsidR="00E63423">
        <w:rPr>
          <w:lang w:val="en-GB"/>
        </w:rPr>
        <w:t>the SNSA</w:t>
      </w:r>
      <w:r w:rsidR="00276952">
        <w:rPr>
          <w:lang w:val="en-GB"/>
        </w:rPr>
        <w:t>’s</w:t>
      </w:r>
      <w:r w:rsidR="00CB3A79" w:rsidRPr="00CD2EEF">
        <w:rPr>
          <w:lang w:val="en-GB"/>
        </w:rPr>
        <w:t xml:space="preserve"> competences in the field of radiation practices. This number is larger than the number of inspections conducted in the year before</w:t>
      </w:r>
      <w:r w:rsidR="00276952">
        <w:rPr>
          <w:lang w:val="en-GB"/>
        </w:rPr>
        <w:t>, when</w:t>
      </w:r>
      <w:r w:rsidR="00CB3A79" w:rsidRPr="00CD2EEF">
        <w:rPr>
          <w:lang w:val="en-GB"/>
        </w:rPr>
        <w:t xml:space="preserve"> 57 inspections were carried out. This increase can </w:t>
      </w:r>
      <w:r w:rsidR="00276952" w:rsidRPr="00CD2EEF">
        <w:rPr>
          <w:lang w:val="en-GB"/>
        </w:rPr>
        <w:t>only part</w:t>
      </w:r>
      <w:r w:rsidR="00276952">
        <w:rPr>
          <w:lang w:val="en-GB"/>
        </w:rPr>
        <w:t xml:space="preserve">ially </w:t>
      </w:r>
      <w:r w:rsidR="00CB3A79" w:rsidRPr="00CD2EEF">
        <w:rPr>
          <w:lang w:val="en-GB"/>
        </w:rPr>
        <w:t xml:space="preserve">be attributed to the relaxations of the </w:t>
      </w:r>
      <w:r w:rsidR="001829DD">
        <w:rPr>
          <w:lang w:val="en-GB"/>
        </w:rPr>
        <w:t>Covid</w:t>
      </w:r>
      <w:r w:rsidR="00CB3A79" w:rsidRPr="00CD2EEF">
        <w:rPr>
          <w:lang w:val="en-GB"/>
        </w:rPr>
        <w:t>-19 epidemic</w:t>
      </w:r>
      <w:r w:rsidR="00276952">
        <w:rPr>
          <w:lang w:val="en-GB"/>
        </w:rPr>
        <w:t>-</w:t>
      </w:r>
      <w:r w:rsidR="00CB3A79" w:rsidRPr="00CD2EEF">
        <w:rPr>
          <w:lang w:val="en-GB"/>
        </w:rPr>
        <w:t>related measures</w:t>
      </w:r>
      <w:r w:rsidR="00276952">
        <w:rPr>
          <w:lang w:val="en-GB"/>
        </w:rPr>
        <w:t>,</w:t>
      </w:r>
      <w:r w:rsidR="00CB3A79" w:rsidRPr="00CD2EEF">
        <w:rPr>
          <w:lang w:val="en-GB"/>
        </w:rPr>
        <w:t xml:space="preserve"> which enabled on-site inspections. Epidemiological conditions were better in 2021 than in 2020. Namely, inspection interventions contributed substantially as the number of interventions increased to 35 in 2021</w:t>
      </w:r>
      <w:r w:rsidR="00685AD5">
        <w:rPr>
          <w:lang w:val="en-GB"/>
        </w:rPr>
        <w:t>,</w:t>
      </w:r>
      <w:r w:rsidR="00CB3A79" w:rsidRPr="00CD2EEF">
        <w:rPr>
          <w:lang w:val="en-GB"/>
        </w:rPr>
        <w:t xml:space="preserve"> while in 2020 only 13 interventions were carried out.</w:t>
      </w:r>
    </w:p>
    <w:p w14:paraId="3F6CD65D" w14:textId="283DD9A2" w:rsidR="00CB3A79" w:rsidRPr="00CD2EEF" w:rsidRDefault="00A726E8" w:rsidP="007853E4">
      <w:pPr>
        <w:pStyle w:val="LPnavaden"/>
        <w:rPr>
          <w:lang w:val="en-GB"/>
        </w:rPr>
      </w:pPr>
      <w:r w:rsidRPr="00C45A5E">
        <w:rPr>
          <w:lang w:val="en-GB"/>
        </w:rPr>
        <w:t>The</w:t>
      </w:r>
      <w:r w:rsidR="00E63423" w:rsidRPr="00047CF2">
        <w:rPr>
          <w:lang w:val="en-GB"/>
        </w:rPr>
        <w:t xml:space="preserve"> </w:t>
      </w:r>
      <w:r w:rsidR="00E63423" w:rsidRPr="00276952">
        <w:rPr>
          <w:lang w:val="en-GB"/>
        </w:rPr>
        <w:t>SNSA</w:t>
      </w:r>
      <w:r w:rsidR="00CB3A79" w:rsidRPr="00276952">
        <w:rPr>
          <w:lang w:val="en-GB"/>
        </w:rPr>
        <w:t xml:space="preserve"> Inspection</w:t>
      </w:r>
      <w:r w:rsidR="00CB3A79" w:rsidRPr="00CD2EEF">
        <w:rPr>
          <w:lang w:val="en-GB"/>
        </w:rPr>
        <w:t xml:space="preserve"> was also heavily involved in inspections focused on measures set to limit the epidemic. Inspectors conducted 128 on-site inspections </w:t>
      </w:r>
      <w:r w:rsidR="005A0971">
        <w:rPr>
          <w:lang w:val="en-GB"/>
        </w:rPr>
        <w:t>in</w:t>
      </w:r>
      <w:r w:rsidR="00CB3A79" w:rsidRPr="00CD2EEF">
        <w:rPr>
          <w:lang w:val="en-GB"/>
        </w:rPr>
        <w:t xml:space="preserve"> high risk </w:t>
      </w:r>
      <w:r w:rsidR="008017DB" w:rsidRPr="00CD2EEF">
        <w:rPr>
          <w:lang w:val="en-GB"/>
        </w:rPr>
        <w:t>epidemio</w:t>
      </w:r>
      <w:r w:rsidR="008017DB">
        <w:rPr>
          <w:lang w:val="en-GB"/>
        </w:rPr>
        <w:t>logical</w:t>
      </w:r>
      <w:r w:rsidR="00CB3A79" w:rsidRPr="00CD2EEF">
        <w:rPr>
          <w:lang w:val="en-GB"/>
        </w:rPr>
        <w:t xml:space="preserve"> conditions. </w:t>
      </w:r>
      <w:r w:rsidR="005A0971">
        <w:rPr>
          <w:lang w:val="en-GB"/>
        </w:rPr>
        <w:t>For</w:t>
      </w:r>
      <w:r w:rsidR="005A0971" w:rsidRPr="00CD2EEF">
        <w:rPr>
          <w:lang w:val="en-GB"/>
        </w:rPr>
        <w:t xml:space="preserve"> </w:t>
      </w:r>
      <w:r w:rsidR="00CB3A79" w:rsidRPr="00CD2EEF">
        <w:rPr>
          <w:lang w:val="en-GB"/>
        </w:rPr>
        <w:t>all other inspections</w:t>
      </w:r>
      <w:r w:rsidR="005A0971">
        <w:rPr>
          <w:lang w:val="en-GB"/>
        </w:rPr>
        <w:t>, the</w:t>
      </w:r>
      <w:r w:rsidR="00CB3A79" w:rsidRPr="00CD2EEF">
        <w:rPr>
          <w:lang w:val="en-GB"/>
        </w:rPr>
        <w:t xml:space="preserve"> inspectors systematically inspected the influence of </w:t>
      </w:r>
      <w:r w:rsidR="00CB3A79" w:rsidRPr="00C45A5E">
        <w:rPr>
          <w:lang w:val="en-GB"/>
        </w:rPr>
        <w:t>the epidemic on operator safety measures as well as measures set to limit the epidemic. No major n</w:t>
      </w:r>
      <w:r w:rsidR="00CB3A79" w:rsidRPr="00CD2EEF">
        <w:rPr>
          <w:lang w:val="en-GB"/>
        </w:rPr>
        <w:t xml:space="preserve">on-compliances related to </w:t>
      </w:r>
      <w:r w:rsidR="005A0971">
        <w:rPr>
          <w:lang w:val="en-GB"/>
        </w:rPr>
        <w:t xml:space="preserve">the </w:t>
      </w:r>
      <w:r w:rsidR="00CB3A79" w:rsidRPr="00CD2EEF">
        <w:rPr>
          <w:lang w:val="en-GB"/>
        </w:rPr>
        <w:t xml:space="preserve">mentioned measures were identified but several good practices well beyond </w:t>
      </w:r>
      <w:r w:rsidR="005A0971">
        <w:rPr>
          <w:lang w:val="en-GB"/>
        </w:rPr>
        <w:t xml:space="preserve">the </w:t>
      </w:r>
      <w:r w:rsidR="00CB3A79" w:rsidRPr="00CD2EEF">
        <w:rPr>
          <w:lang w:val="en-GB"/>
        </w:rPr>
        <w:t>legal requirements were identified.</w:t>
      </w:r>
    </w:p>
    <w:p w14:paraId="4D6884C7" w14:textId="4A150DA4" w:rsidR="00CB3A79" w:rsidRPr="00CD2EEF" w:rsidRDefault="00A726E8" w:rsidP="007853E4">
      <w:pPr>
        <w:pStyle w:val="LPnavaden"/>
        <w:rPr>
          <w:lang w:val="en-GB"/>
        </w:rPr>
      </w:pPr>
      <w:r>
        <w:rPr>
          <w:lang w:val="en-GB"/>
        </w:rPr>
        <w:t>The</w:t>
      </w:r>
      <w:r w:rsidR="00E63423">
        <w:rPr>
          <w:lang w:val="en-GB"/>
        </w:rPr>
        <w:t xml:space="preserve"> SNSA</w:t>
      </w:r>
      <w:r w:rsidR="00CB3A79" w:rsidRPr="00CD2EEF">
        <w:rPr>
          <w:lang w:val="en-GB"/>
        </w:rPr>
        <w:t xml:space="preserve"> Inspection carried out inspection</w:t>
      </w:r>
      <w:r w:rsidR="00B77ADF">
        <w:rPr>
          <w:lang w:val="en-GB"/>
        </w:rPr>
        <w:t>s</w:t>
      </w:r>
      <w:r w:rsidR="00CB3A79" w:rsidRPr="00CD2EEF">
        <w:rPr>
          <w:lang w:val="en-GB"/>
        </w:rPr>
        <w:t xml:space="preserve"> </w:t>
      </w:r>
      <w:r w:rsidR="00B77ADF">
        <w:rPr>
          <w:lang w:val="en-GB"/>
        </w:rPr>
        <w:t>on the basis of</w:t>
      </w:r>
      <w:r w:rsidR="00B77ADF" w:rsidRPr="00CD2EEF">
        <w:rPr>
          <w:lang w:val="en-GB"/>
        </w:rPr>
        <w:t xml:space="preserve"> </w:t>
      </w:r>
      <w:r w:rsidR="00CB3A79" w:rsidRPr="00CD2EEF">
        <w:rPr>
          <w:lang w:val="en-GB"/>
        </w:rPr>
        <w:t xml:space="preserve">the Annual Plan of the Radiation and Nuclear Safety Service for 2021. This plan did not derogate substantially from </w:t>
      </w:r>
      <w:r w:rsidR="00B77ADF">
        <w:rPr>
          <w:lang w:val="en-GB"/>
        </w:rPr>
        <w:t xml:space="preserve">the </w:t>
      </w:r>
      <w:r w:rsidR="00CB3A79" w:rsidRPr="00CD2EEF">
        <w:rPr>
          <w:lang w:val="en-GB"/>
        </w:rPr>
        <w:t xml:space="preserve">plans prepared by </w:t>
      </w:r>
      <w:r>
        <w:rPr>
          <w:lang w:val="en-GB"/>
        </w:rPr>
        <w:t>the</w:t>
      </w:r>
      <w:r w:rsidR="00E63423">
        <w:rPr>
          <w:lang w:val="en-GB"/>
        </w:rPr>
        <w:t xml:space="preserve"> SNSA</w:t>
      </w:r>
      <w:r w:rsidR="00CB3A79" w:rsidRPr="00CD2EEF">
        <w:rPr>
          <w:lang w:val="en-GB"/>
        </w:rPr>
        <w:t xml:space="preserve"> Inspection before the epidemic. It took into account postponed inspections due to </w:t>
      </w:r>
      <w:r w:rsidR="00B77ADF">
        <w:rPr>
          <w:lang w:val="en-GB"/>
        </w:rPr>
        <w:t xml:space="preserve">the </w:t>
      </w:r>
      <w:r w:rsidR="008017DB" w:rsidRPr="00CD2EEF">
        <w:rPr>
          <w:lang w:val="en-GB"/>
        </w:rPr>
        <w:t>epidemio</w:t>
      </w:r>
      <w:r w:rsidR="008017DB">
        <w:rPr>
          <w:lang w:val="en-GB"/>
        </w:rPr>
        <w:t>logical</w:t>
      </w:r>
      <w:r w:rsidR="008017DB" w:rsidRPr="00CD2EEF">
        <w:rPr>
          <w:lang w:val="en-GB"/>
        </w:rPr>
        <w:t xml:space="preserve"> </w:t>
      </w:r>
      <w:r w:rsidR="00CB3A79" w:rsidRPr="00CD2EEF">
        <w:rPr>
          <w:lang w:val="en-GB"/>
        </w:rPr>
        <w:t xml:space="preserve">conditions in 2020. </w:t>
      </w:r>
      <w:r>
        <w:rPr>
          <w:lang w:val="en-GB"/>
        </w:rPr>
        <w:t>The</w:t>
      </w:r>
      <w:r w:rsidR="00E63423">
        <w:rPr>
          <w:lang w:val="en-GB"/>
        </w:rPr>
        <w:t xml:space="preserve"> SNSA</w:t>
      </w:r>
      <w:r w:rsidR="00CB3A79" w:rsidRPr="00CD2EEF">
        <w:rPr>
          <w:lang w:val="en-GB"/>
        </w:rPr>
        <w:t xml:space="preserve"> Inspection also </w:t>
      </w:r>
      <w:r w:rsidR="00B77ADF" w:rsidRPr="00CD2EEF">
        <w:rPr>
          <w:lang w:val="en-GB"/>
        </w:rPr>
        <w:t xml:space="preserve">conducted </w:t>
      </w:r>
      <w:r w:rsidR="00CB3A79" w:rsidRPr="00CD2EEF">
        <w:rPr>
          <w:lang w:val="en-GB"/>
        </w:rPr>
        <w:t>inspections using video systems</w:t>
      </w:r>
      <w:r w:rsidR="00B77ADF">
        <w:rPr>
          <w:lang w:val="en-GB"/>
        </w:rPr>
        <w:t>,</w:t>
      </w:r>
      <w:r w:rsidR="00CB3A79" w:rsidRPr="00CD2EEF">
        <w:rPr>
          <w:lang w:val="en-GB"/>
        </w:rPr>
        <w:t xml:space="preserve"> as in 2020. However, </w:t>
      </w:r>
      <w:r w:rsidR="00B77ADF">
        <w:rPr>
          <w:lang w:val="en-GB"/>
        </w:rPr>
        <w:t>the</w:t>
      </w:r>
      <w:r w:rsidR="00B77ADF" w:rsidRPr="00CD2EEF">
        <w:rPr>
          <w:lang w:val="en-GB"/>
        </w:rPr>
        <w:t xml:space="preserve"> </w:t>
      </w:r>
      <w:r w:rsidR="00CB3A79" w:rsidRPr="00CD2EEF">
        <w:rPr>
          <w:lang w:val="en-GB"/>
        </w:rPr>
        <w:t>use of video systems was limited.</w:t>
      </w:r>
    </w:p>
    <w:p w14:paraId="3DBA9BB6" w14:textId="70F0E629" w:rsidR="00CB3A79" w:rsidRPr="00CD2EEF" w:rsidRDefault="00CB3A79" w:rsidP="00872A44">
      <w:pPr>
        <w:pStyle w:val="LPnavaden"/>
        <w:rPr>
          <w:lang w:val="en-GB"/>
        </w:rPr>
      </w:pPr>
      <w:r w:rsidRPr="00CD2EEF">
        <w:rPr>
          <w:lang w:val="en-GB"/>
        </w:rPr>
        <w:t xml:space="preserve">In line with </w:t>
      </w:r>
      <w:r w:rsidR="00FE7EF3">
        <w:rPr>
          <w:lang w:val="en-GB"/>
        </w:rPr>
        <w:t xml:space="preserve">a </w:t>
      </w:r>
      <w:r w:rsidRPr="00CD2EEF">
        <w:rPr>
          <w:lang w:val="en-GB"/>
        </w:rPr>
        <w:t>graded approach</w:t>
      </w:r>
      <w:r w:rsidR="00FE7EF3">
        <w:rPr>
          <w:lang w:val="en-GB"/>
        </w:rPr>
        <w:t>,</w:t>
      </w:r>
      <w:r w:rsidRPr="00CD2EEF">
        <w:rPr>
          <w:lang w:val="en-GB"/>
        </w:rPr>
        <w:t xml:space="preserve"> </w:t>
      </w:r>
      <w:r w:rsidR="00E63423">
        <w:rPr>
          <w:lang w:val="en-GB"/>
        </w:rPr>
        <w:t>SNSA</w:t>
      </w:r>
      <w:r w:rsidRPr="00CD2EEF">
        <w:rPr>
          <w:lang w:val="en-GB"/>
        </w:rPr>
        <w:t xml:space="preserve"> </w:t>
      </w:r>
      <w:r w:rsidR="00FE7EF3">
        <w:rPr>
          <w:lang w:val="en-GB"/>
        </w:rPr>
        <w:t>i</w:t>
      </w:r>
      <w:r w:rsidRPr="00CD2EEF">
        <w:rPr>
          <w:lang w:val="en-GB"/>
        </w:rPr>
        <w:t xml:space="preserve">nspections focused on practices related to higher risks or those where </w:t>
      </w:r>
      <w:r w:rsidR="00F64993">
        <w:rPr>
          <w:lang w:val="en-GB"/>
        </w:rPr>
        <w:t>non-</w:t>
      </w:r>
      <w:r w:rsidRPr="00CD2EEF">
        <w:rPr>
          <w:lang w:val="en-GB"/>
        </w:rPr>
        <w:t xml:space="preserve">compliances </w:t>
      </w:r>
      <w:r w:rsidR="00F64993">
        <w:rPr>
          <w:lang w:val="en-GB"/>
        </w:rPr>
        <w:t>had</w:t>
      </w:r>
      <w:r w:rsidR="00F64993" w:rsidRPr="00CD2EEF">
        <w:rPr>
          <w:lang w:val="en-GB"/>
        </w:rPr>
        <w:t xml:space="preserve"> </w:t>
      </w:r>
      <w:r w:rsidRPr="00CD2EEF">
        <w:rPr>
          <w:lang w:val="en-GB"/>
        </w:rPr>
        <w:t xml:space="preserve">been already noted. It noted improvements related to security measures and emergency preparedness and </w:t>
      </w:r>
      <w:r w:rsidR="00F64993">
        <w:rPr>
          <w:lang w:val="en-GB"/>
        </w:rPr>
        <w:t xml:space="preserve">the </w:t>
      </w:r>
      <w:r w:rsidRPr="00CD2EEF">
        <w:rPr>
          <w:lang w:val="en-GB"/>
        </w:rPr>
        <w:t xml:space="preserve">response </w:t>
      </w:r>
      <w:r w:rsidR="00F64993">
        <w:rPr>
          <w:lang w:val="en-GB"/>
        </w:rPr>
        <w:t>of</w:t>
      </w:r>
      <w:r w:rsidRPr="00CD2EEF">
        <w:rPr>
          <w:lang w:val="en-GB"/>
        </w:rPr>
        <w:t xml:space="preserve"> operators using high</w:t>
      </w:r>
      <w:r w:rsidR="008057FE">
        <w:rPr>
          <w:lang w:val="en-GB"/>
        </w:rPr>
        <w:t>-</w:t>
      </w:r>
      <w:r w:rsidRPr="00CD2EEF">
        <w:rPr>
          <w:lang w:val="en-GB"/>
        </w:rPr>
        <w:t>activity sources.</w:t>
      </w:r>
      <w:r w:rsidR="00F64993">
        <w:rPr>
          <w:lang w:val="en-GB"/>
        </w:rPr>
        <w:t xml:space="preserve"> </w:t>
      </w:r>
    </w:p>
    <w:p w14:paraId="3AF471A7" w14:textId="713464AD" w:rsidR="00CB3A79" w:rsidRPr="00CD2EEF" w:rsidRDefault="008057FE" w:rsidP="007853E4">
      <w:pPr>
        <w:pStyle w:val="LPnavaden"/>
        <w:rPr>
          <w:lang w:val="en-GB"/>
        </w:rPr>
      </w:pPr>
      <w:r>
        <w:rPr>
          <w:lang w:val="en-GB"/>
        </w:rPr>
        <w:t>S</w:t>
      </w:r>
      <w:r w:rsidR="00CB3A79" w:rsidRPr="00CD2EEF">
        <w:rPr>
          <w:lang w:val="en-GB"/>
        </w:rPr>
        <w:t xml:space="preserve">pecial attention was </w:t>
      </w:r>
      <w:r>
        <w:rPr>
          <w:lang w:val="en-GB"/>
        </w:rPr>
        <w:t>devoted</w:t>
      </w:r>
      <w:r w:rsidRPr="00CD2EEF">
        <w:rPr>
          <w:lang w:val="en-GB"/>
        </w:rPr>
        <w:t xml:space="preserve"> </w:t>
      </w:r>
      <w:r w:rsidR="00CB3A79" w:rsidRPr="00CD2EEF">
        <w:rPr>
          <w:lang w:val="en-GB"/>
        </w:rPr>
        <w:t xml:space="preserve">to annual inspections of industrial radiography operators. The inspectors identified improvements in this area. However, some challenges are still present, e.g. safety systems and features to be installed in shielded enclosures dedicated to performing this practice. One regulatory decision </w:t>
      </w:r>
      <w:r w:rsidR="00886DDF">
        <w:rPr>
          <w:lang w:val="en-GB"/>
        </w:rPr>
        <w:t>was</w:t>
      </w:r>
      <w:r w:rsidR="00CB3A79" w:rsidRPr="00CD2EEF">
        <w:rPr>
          <w:lang w:val="en-GB"/>
        </w:rPr>
        <w:t xml:space="preserve"> issued. </w:t>
      </w:r>
      <w:hyperlink w:anchor="fig13" w:history="1">
        <w:r w:rsidR="00CB3A79" w:rsidRPr="00CD2EEF">
          <w:rPr>
            <w:rStyle w:val="Hiperpovezava"/>
            <w:lang w:val="en-GB"/>
          </w:rPr>
          <w:t>Figure 13</w:t>
        </w:r>
      </w:hyperlink>
      <w:r w:rsidR="00CB3A79" w:rsidRPr="00CD2EEF">
        <w:rPr>
          <w:lang w:val="en-GB"/>
        </w:rPr>
        <w:t xml:space="preserve"> shows the entrance to such</w:t>
      </w:r>
      <w:r w:rsidR="00886DDF">
        <w:rPr>
          <w:lang w:val="en-GB"/>
        </w:rPr>
        <w:t xml:space="preserve"> a</w:t>
      </w:r>
      <w:r w:rsidR="00CB3A79" w:rsidRPr="00CD2EEF">
        <w:rPr>
          <w:lang w:val="en-GB"/>
        </w:rPr>
        <w:t xml:space="preserve"> shielded enclosure </w:t>
      </w:r>
      <w:r w:rsidR="00886DDF">
        <w:rPr>
          <w:lang w:val="en-GB"/>
        </w:rPr>
        <w:t xml:space="preserve">with the </w:t>
      </w:r>
      <w:r w:rsidR="00CB3A79" w:rsidRPr="00CD2EEF">
        <w:rPr>
          <w:lang w:val="en-GB"/>
        </w:rPr>
        <w:t>appropriate safety systems and features</w:t>
      </w:r>
      <w:r w:rsidR="00886DDF">
        <w:rPr>
          <w:lang w:val="en-GB"/>
        </w:rPr>
        <w:t>,</w:t>
      </w:r>
      <w:r w:rsidR="00CB3A79" w:rsidRPr="00CD2EEF">
        <w:rPr>
          <w:lang w:val="en-GB"/>
        </w:rPr>
        <w:t xml:space="preserve"> and controlling instruments installed at the entrance to </w:t>
      </w:r>
      <w:r w:rsidR="00886DDF">
        <w:rPr>
          <w:lang w:val="en-GB"/>
        </w:rPr>
        <w:t>the</w:t>
      </w:r>
      <w:r w:rsidR="00886DDF" w:rsidRPr="00CD2EEF">
        <w:rPr>
          <w:lang w:val="en-GB"/>
        </w:rPr>
        <w:t xml:space="preserve"> </w:t>
      </w:r>
      <w:r w:rsidR="00CB3A79" w:rsidRPr="00CD2EEF">
        <w:rPr>
          <w:lang w:val="en-GB"/>
        </w:rPr>
        <w:t xml:space="preserve">enclosure. </w:t>
      </w:r>
      <w:r w:rsidR="00A726E8">
        <w:rPr>
          <w:lang w:val="en-GB"/>
        </w:rPr>
        <w:t>The</w:t>
      </w:r>
      <w:r w:rsidR="00E63423">
        <w:rPr>
          <w:lang w:val="en-GB"/>
        </w:rPr>
        <w:t xml:space="preserve"> SNSA</w:t>
      </w:r>
      <w:r w:rsidR="00CB3A79" w:rsidRPr="00CD2EEF">
        <w:rPr>
          <w:lang w:val="en-GB"/>
        </w:rPr>
        <w:t xml:space="preserve"> Inspection not</w:t>
      </w:r>
      <w:r w:rsidR="00886DDF">
        <w:rPr>
          <w:lang w:val="en-GB"/>
        </w:rPr>
        <w:t>es</w:t>
      </w:r>
      <w:r w:rsidR="00CB3A79" w:rsidRPr="00CD2EEF">
        <w:rPr>
          <w:lang w:val="en-GB"/>
        </w:rPr>
        <w:t xml:space="preserve"> that operators using old exposure devices with depleted uranium are storing them in the CSRW, while in the past they stored them to be sold mainly abroad. </w:t>
      </w:r>
      <w:r w:rsidR="00F30254">
        <w:rPr>
          <w:lang w:val="en-GB"/>
        </w:rPr>
        <w:t xml:space="preserve">In 2021, </w:t>
      </w:r>
      <w:r w:rsidR="00CB3A79" w:rsidRPr="00CD2EEF">
        <w:rPr>
          <w:lang w:val="en-GB"/>
        </w:rPr>
        <w:t xml:space="preserve">some </w:t>
      </w:r>
      <w:r w:rsidR="00886DDF">
        <w:rPr>
          <w:lang w:val="en-GB"/>
        </w:rPr>
        <w:t>of these</w:t>
      </w:r>
      <w:r w:rsidR="00CB3A79" w:rsidRPr="00CD2EEF">
        <w:rPr>
          <w:lang w:val="en-GB"/>
        </w:rPr>
        <w:t xml:space="preserve"> devices were stored in the CSRW. Such management of the devices prevents </w:t>
      </w:r>
      <w:r w:rsidR="00886DDF">
        <w:rPr>
          <w:lang w:val="en-GB"/>
        </w:rPr>
        <w:t xml:space="preserve">the </w:t>
      </w:r>
      <w:r w:rsidR="00CB3A79" w:rsidRPr="00CD2EEF">
        <w:rPr>
          <w:lang w:val="en-GB"/>
        </w:rPr>
        <w:t xml:space="preserve">unnecessary proliferation of disused radiation sources and in particular disused nuclear materials. </w:t>
      </w:r>
    </w:p>
    <w:p w14:paraId="4EB8FA05" w14:textId="77777777" w:rsidR="00CB3A79" w:rsidRPr="00CD2EEF" w:rsidRDefault="00CB3A79" w:rsidP="007853E4">
      <w:pPr>
        <w:pStyle w:val="LPnavaden"/>
        <w:rPr>
          <w:lang w:val="en-GB"/>
        </w:rPr>
      </w:pPr>
      <w:bookmarkStart w:id="105" w:name="fig13"/>
      <w:r w:rsidRPr="00CD2EEF">
        <w:rPr>
          <w:noProof/>
          <w:lang w:val="en-GB"/>
        </w:rPr>
        <w:lastRenderedPageBreak/>
        <w:drawing>
          <wp:inline distT="0" distB="0" distL="0" distR="0" wp14:anchorId="08B77581" wp14:editId="330BE5BC">
            <wp:extent cx="2397600" cy="1800000"/>
            <wp:effectExtent l="0" t="6032" r="0" b="0"/>
            <wp:docPr id="23553" name="Slika 23553" descr="entrance to the shielded enclosure dedicated to industrial radiography with a stop button and warning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Slika 23553" descr="entrance to the shielded enclosure dedicated to industrial radiography with a stop button and warning light "/>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97600" cy="1800000"/>
                    </a:xfrm>
                    <a:prstGeom prst="rect">
                      <a:avLst/>
                    </a:prstGeom>
                    <a:noFill/>
                    <a:ln>
                      <a:noFill/>
                    </a:ln>
                  </pic:spPr>
                </pic:pic>
              </a:graphicData>
            </a:graphic>
          </wp:inline>
        </w:drawing>
      </w:r>
      <w:r w:rsidRPr="00CD2EEF">
        <w:rPr>
          <w:lang w:val="en-GB"/>
        </w:rPr>
        <w:t xml:space="preserve"> </w:t>
      </w:r>
      <w:r w:rsidRPr="00CD2EEF">
        <w:rPr>
          <w:noProof/>
          <w:lang w:val="en-GB"/>
        </w:rPr>
        <w:drawing>
          <wp:inline distT="0" distB="0" distL="0" distR="0" wp14:anchorId="4DC86437" wp14:editId="756DEB56">
            <wp:extent cx="2883600" cy="2160000"/>
            <wp:effectExtent l="0" t="0" r="0" b="0"/>
            <wp:docPr id="23554" name="Slika 23554" descr="controlling instruments used for carrying out and control of industrial rad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Slika 23554" descr="controlling instruments used for carrying out and control of industrial radiography"/>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p w14:paraId="295C704D" w14:textId="02072661" w:rsidR="00CB3A79" w:rsidRPr="00CD2EEF" w:rsidRDefault="0005434D" w:rsidP="0005434D">
      <w:pPr>
        <w:pStyle w:val="LPnaslovslika"/>
        <w:rPr>
          <w:lang w:val="en-GB"/>
        </w:rPr>
      </w:pPr>
      <w:bookmarkStart w:id="106" w:name="_Toc126309892"/>
      <w:bookmarkEnd w:id="105"/>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13</w:t>
      </w:r>
      <w:r w:rsidR="00366B6D" w:rsidRPr="00CD2EEF">
        <w:rPr>
          <w:lang w:val="en-GB"/>
        </w:rPr>
        <w:fldChar w:fldCharType="end"/>
      </w:r>
      <w:r w:rsidR="00CB3A79" w:rsidRPr="00CD2EEF">
        <w:rPr>
          <w:lang w:val="en-GB"/>
        </w:rPr>
        <w:t>: The entrance to the shielded enclosure dedicated to industrial radiography with a stop button and warning light (left);</w:t>
      </w:r>
      <w:r w:rsidR="008A1E6B">
        <w:rPr>
          <w:lang w:val="en-GB"/>
        </w:rPr>
        <w:t xml:space="preserve"> </w:t>
      </w:r>
      <w:r w:rsidR="00886DDF">
        <w:rPr>
          <w:lang w:val="en-GB"/>
        </w:rPr>
        <w:t xml:space="preserve">and </w:t>
      </w:r>
      <w:r w:rsidR="00CB3A79" w:rsidRPr="00CD2EEF">
        <w:rPr>
          <w:lang w:val="en-GB"/>
        </w:rPr>
        <w:t>controlling instruments used for carrying out and</w:t>
      </w:r>
      <w:r w:rsidR="00886DDF">
        <w:rPr>
          <w:lang w:val="en-GB"/>
        </w:rPr>
        <w:t xml:space="preserve"> the</w:t>
      </w:r>
      <w:r w:rsidR="00CB3A79" w:rsidRPr="00CD2EEF">
        <w:rPr>
          <w:lang w:val="en-GB"/>
        </w:rPr>
        <w:t xml:space="preserve"> control of industrial radiography (right) (Photo: industrial radiography operator)</w:t>
      </w:r>
      <w:bookmarkEnd w:id="106"/>
    </w:p>
    <w:p w14:paraId="5A4D15AF" w14:textId="64973E33" w:rsidR="00CB3A79" w:rsidRPr="00CD2EEF" w:rsidRDefault="00F30254" w:rsidP="007853E4">
      <w:pPr>
        <w:pStyle w:val="LPnavaden"/>
        <w:rPr>
          <w:lang w:val="en-GB"/>
        </w:rPr>
      </w:pPr>
      <w:r>
        <w:rPr>
          <w:lang w:val="en-GB"/>
        </w:rPr>
        <w:t xml:space="preserve">In 2021, </w:t>
      </w:r>
      <w:r w:rsidR="00A726E8">
        <w:rPr>
          <w:lang w:val="en-GB"/>
        </w:rPr>
        <w:t>the</w:t>
      </w:r>
      <w:r w:rsidR="00E63423">
        <w:rPr>
          <w:lang w:val="en-GB"/>
        </w:rPr>
        <w:t xml:space="preserve"> SNSA</w:t>
      </w:r>
      <w:r w:rsidR="00CB3A79" w:rsidRPr="00CD2EEF">
        <w:rPr>
          <w:lang w:val="en-GB"/>
        </w:rPr>
        <w:t xml:space="preserve"> Inspection also inspected an operator </w:t>
      </w:r>
      <w:r w:rsidR="00886DDF">
        <w:rPr>
          <w:lang w:val="en-GB"/>
        </w:rPr>
        <w:t>carrying out the</w:t>
      </w:r>
      <w:r w:rsidR="00886DDF" w:rsidRPr="00CD2EEF">
        <w:rPr>
          <w:lang w:val="en-GB"/>
        </w:rPr>
        <w:t xml:space="preserve"> </w:t>
      </w:r>
      <w:r w:rsidR="00CB3A79" w:rsidRPr="00CD2EEF">
        <w:rPr>
          <w:lang w:val="en-GB"/>
        </w:rPr>
        <w:t xml:space="preserve">sterilisation of medical appliances using two accelerators. Special attention was </w:t>
      </w:r>
      <w:r w:rsidR="00886DDF">
        <w:rPr>
          <w:lang w:val="en-GB"/>
        </w:rPr>
        <w:t>devoted</w:t>
      </w:r>
      <w:r w:rsidR="00886DDF" w:rsidRPr="00CD2EEF">
        <w:rPr>
          <w:lang w:val="en-GB"/>
        </w:rPr>
        <w:t xml:space="preserve"> </w:t>
      </w:r>
      <w:r w:rsidR="00CB3A79" w:rsidRPr="00CD2EEF">
        <w:rPr>
          <w:lang w:val="en-GB"/>
        </w:rPr>
        <w:t xml:space="preserve">to </w:t>
      </w:r>
      <w:r w:rsidR="00351590" w:rsidRPr="00C45A5E">
        <w:rPr>
          <w:lang w:val="en-GB"/>
        </w:rPr>
        <w:t>ensuring</w:t>
      </w:r>
      <w:r w:rsidR="00CB3A79" w:rsidRPr="00C45A5E">
        <w:rPr>
          <w:lang w:val="en-GB"/>
        </w:rPr>
        <w:t xml:space="preserve"> a crew</w:t>
      </w:r>
      <w:r w:rsidR="00351590" w:rsidRPr="00C45A5E">
        <w:rPr>
          <w:lang w:val="en-GB"/>
        </w:rPr>
        <w:t xml:space="preserve">/during the </w:t>
      </w:r>
      <w:r w:rsidR="00CB3A79" w:rsidRPr="00C45A5E">
        <w:rPr>
          <w:lang w:val="en-GB"/>
        </w:rPr>
        <w:t xml:space="preserve">epidemic and to </w:t>
      </w:r>
      <w:r w:rsidR="00886DDF" w:rsidRPr="00C45A5E">
        <w:rPr>
          <w:lang w:val="en-GB"/>
        </w:rPr>
        <w:t xml:space="preserve">the </w:t>
      </w:r>
      <w:r w:rsidR="00CB3A79" w:rsidRPr="00C45A5E">
        <w:rPr>
          <w:lang w:val="en-GB"/>
        </w:rPr>
        <w:t xml:space="preserve">operability of </w:t>
      </w:r>
      <w:r w:rsidR="001C0223" w:rsidRPr="00C45A5E">
        <w:rPr>
          <w:lang w:val="en-GB"/>
        </w:rPr>
        <w:t xml:space="preserve">the </w:t>
      </w:r>
      <w:r w:rsidR="00CB3A79" w:rsidRPr="00C45A5E">
        <w:rPr>
          <w:lang w:val="en-GB"/>
        </w:rPr>
        <w:t xml:space="preserve">safety systems. </w:t>
      </w:r>
      <w:hyperlink w:anchor="fig14" w:history="1">
        <w:r w:rsidR="00CB3A79" w:rsidRPr="00C45A5E">
          <w:rPr>
            <w:rStyle w:val="Hiperpovezava"/>
            <w:lang w:val="en-GB"/>
          </w:rPr>
          <w:t>Figure 14</w:t>
        </w:r>
      </w:hyperlink>
      <w:r w:rsidR="00CB3A79" w:rsidRPr="00C45A5E">
        <w:rPr>
          <w:lang w:val="en-GB"/>
        </w:rPr>
        <w:t xml:space="preserve"> shows </w:t>
      </w:r>
      <w:r w:rsidR="001C0223" w:rsidRPr="00C45A5E">
        <w:rPr>
          <w:lang w:val="en-GB"/>
        </w:rPr>
        <w:t xml:space="preserve">an </w:t>
      </w:r>
      <w:r w:rsidR="00CB3A79" w:rsidRPr="00C45A5E">
        <w:rPr>
          <w:lang w:val="en-GB"/>
        </w:rPr>
        <w:t>operator controlling instruments with a master key used for entering</w:t>
      </w:r>
      <w:r w:rsidR="001C0223" w:rsidRPr="00C45A5E">
        <w:rPr>
          <w:lang w:val="en-GB"/>
        </w:rPr>
        <w:t xml:space="preserve"> </w:t>
      </w:r>
      <w:r w:rsidR="00CB3A79" w:rsidRPr="00C45A5E">
        <w:rPr>
          <w:lang w:val="en-GB"/>
        </w:rPr>
        <w:t xml:space="preserve">the exposure room, i.e. into a so-called bunker, </w:t>
      </w:r>
      <w:r w:rsidR="001C0223" w:rsidRPr="00C45A5E">
        <w:rPr>
          <w:lang w:val="en-GB"/>
        </w:rPr>
        <w:t xml:space="preserve">the </w:t>
      </w:r>
      <w:r w:rsidR="00CB3A79" w:rsidRPr="00C45A5E">
        <w:rPr>
          <w:lang w:val="en-GB"/>
        </w:rPr>
        <w:t>entrance to the bunker with safety systems</w:t>
      </w:r>
      <w:r w:rsidR="001C0223" w:rsidRPr="00C45A5E">
        <w:rPr>
          <w:lang w:val="en-GB"/>
        </w:rPr>
        <w:t>,</w:t>
      </w:r>
      <w:r w:rsidR="00CB3A79" w:rsidRPr="00C45A5E">
        <w:rPr>
          <w:lang w:val="en-GB"/>
        </w:rPr>
        <w:t xml:space="preserve"> and </w:t>
      </w:r>
      <w:r w:rsidR="001C0223" w:rsidRPr="00C45A5E">
        <w:rPr>
          <w:lang w:val="en-GB"/>
        </w:rPr>
        <w:t xml:space="preserve">the </w:t>
      </w:r>
      <w:r w:rsidR="00CB3A79" w:rsidRPr="00C45A5E">
        <w:rPr>
          <w:lang w:val="en-GB"/>
        </w:rPr>
        <w:t xml:space="preserve">control of the bunker interior </w:t>
      </w:r>
      <w:r w:rsidR="001C0223" w:rsidRPr="00C45A5E">
        <w:rPr>
          <w:lang w:val="en-GB"/>
        </w:rPr>
        <w:t xml:space="preserve">by means of </w:t>
      </w:r>
      <w:r w:rsidR="00CB3A79" w:rsidRPr="00C45A5E">
        <w:rPr>
          <w:lang w:val="en-GB"/>
        </w:rPr>
        <w:t xml:space="preserve">video surveillance. </w:t>
      </w:r>
      <w:r w:rsidR="00A726E8" w:rsidRPr="00C45A5E">
        <w:rPr>
          <w:lang w:val="en-GB"/>
        </w:rPr>
        <w:t>The</w:t>
      </w:r>
      <w:r w:rsidR="00E63423" w:rsidRPr="00C45A5E">
        <w:rPr>
          <w:lang w:val="en-GB"/>
        </w:rPr>
        <w:t xml:space="preserve"> SNSA</w:t>
      </w:r>
      <w:r w:rsidR="00CB3A79" w:rsidRPr="00C45A5E">
        <w:rPr>
          <w:lang w:val="en-GB"/>
        </w:rPr>
        <w:t xml:space="preserve"> Inspection also performed </w:t>
      </w:r>
      <w:r w:rsidR="001C0223" w:rsidRPr="00C45A5E">
        <w:rPr>
          <w:lang w:val="en-GB"/>
        </w:rPr>
        <w:t xml:space="preserve">an </w:t>
      </w:r>
      <w:r w:rsidR="00CB3A79" w:rsidRPr="00C45A5E">
        <w:rPr>
          <w:lang w:val="en-GB"/>
        </w:rPr>
        <w:t xml:space="preserve">inspection of the new accelerator used at the </w:t>
      </w:r>
      <w:r w:rsidR="001C0223" w:rsidRPr="00C45A5E">
        <w:rPr>
          <w:lang w:val="en-GB"/>
        </w:rPr>
        <w:t>port</w:t>
      </w:r>
      <w:r w:rsidR="00C45A5E" w:rsidRPr="00C45A5E">
        <w:rPr>
          <w:lang w:val="en-GB"/>
        </w:rPr>
        <w:t xml:space="preserve"> of Koper</w:t>
      </w:r>
      <w:r w:rsidR="001C0223" w:rsidRPr="00C45A5E">
        <w:rPr>
          <w:lang w:val="en-GB"/>
        </w:rPr>
        <w:t xml:space="preserve"> </w:t>
      </w:r>
      <w:r w:rsidR="00CB3A79" w:rsidRPr="00C45A5E">
        <w:rPr>
          <w:lang w:val="en-GB"/>
        </w:rPr>
        <w:t xml:space="preserve">for </w:t>
      </w:r>
      <w:r w:rsidR="001C0223" w:rsidRPr="00C45A5E">
        <w:rPr>
          <w:lang w:val="en-GB"/>
        </w:rPr>
        <w:t xml:space="preserve">the </w:t>
      </w:r>
      <w:r w:rsidR="00CB3A79" w:rsidRPr="00C45A5E">
        <w:rPr>
          <w:lang w:val="en-GB"/>
        </w:rPr>
        <w:t>control of transport containers to be shipped to the</w:t>
      </w:r>
      <w:r w:rsidR="00CB3A79" w:rsidRPr="00CD2EEF">
        <w:rPr>
          <w:lang w:val="en-GB"/>
        </w:rPr>
        <w:t xml:space="preserve"> USA. </w:t>
      </w:r>
    </w:p>
    <w:p w14:paraId="410A0274" w14:textId="3580C5B1" w:rsidR="00CB3A79" w:rsidRPr="00CD2EEF" w:rsidRDefault="00CB3A79" w:rsidP="007853E4">
      <w:pPr>
        <w:pStyle w:val="LPnavaden"/>
        <w:rPr>
          <w:lang w:val="en-GB"/>
        </w:rPr>
      </w:pPr>
      <w:bookmarkStart w:id="107" w:name="fig14"/>
      <w:r w:rsidRPr="00CD2EEF">
        <w:rPr>
          <w:noProof/>
          <w:lang w:val="en-GB"/>
        </w:rPr>
        <w:drawing>
          <wp:inline distT="0" distB="0" distL="0" distR="0" wp14:anchorId="318FE9C4" wp14:editId="20F2FCB2">
            <wp:extent cx="2558834" cy="1439344"/>
            <wp:effectExtent l="7303" t="0" r="1587" b="1588"/>
            <wp:docPr id="13" name="Slika 13" descr="controlling instruments with a master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controlling instruments with a master key "/>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558834" cy="1439344"/>
                    </a:xfrm>
                    <a:prstGeom prst="rect">
                      <a:avLst/>
                    </a:prstGeom>
                  </pic:spPr>
                </pic:pic>
              </a:graphicData>
            </a:graphic>
          </wp:inline>
        </w:drawing>
      </w:r>
      <w:r w:rsidRPr="00CD2EEF">
        <w:rPr>
          <w:lang w:val="en-GB"/>
        </w:rPr>
        <w:t xml:space="preserve"> </w:t>
      </w:r>
      <w:r w:rsidRPr="00CD2EEF">
        <w:rPr>
          <w:noProof/>
          <w:lang w:val="en-GB"/>
        </w:rPr>
        <w:drawing>
          <wp:inline distT="0" distB="0" distL="0" distR="0" wp14:anchorId="3B03FE84" wp14:editId="47FCC129">
            <wp:extent cx="2553229" cy="1436191"/>
            <wp:effectExtent l="6032" t="0" r="6033" b="6032"/>
            <wp:docPr id="15" name="Slika 15" descr="entrance door with safety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entrance door with safety system "/>
                    <pic:cNvPicPr/>
                  </pic:nvPicPr>
                  <pic:blipFill>
                    <a:blip r:embed="rId37">
                      <a:extLst>
                        <a:ext uri="{28A0092B-C50C-407E-A947-70E740481C1C}">
                          <a14:useLocalDpi xmlns:a14="http://schemas.microsoft.com/office/drawing/2010/main" val="0"/>
                        </a:ext>
                      </a:extLst>
                    </a:blip>
                    <a:stretch>
                      <a:fillRect/>
                    </a:stretch>
                  </pic:blipFill>
                  <pic:spPr>
                    <a:xfrm rot="5400000">
                      <a:off x="0" y="0"/>
                      <a:ext cx="2553229" cy="1436191"/>
                    </a:xfrm>
                    <a:prstGeom prst="rect">
                      <a:avLst/>
                    </a:prstGeom>
                  </pic:spPr>
                </pic:pic>
              </a:graphicData>
            </a:graphic>
          </wp:inline>
        </w:drawing>
      </w:r>
      <w:r w:rsidRPr="00CD2EEF">
        <w:rPr>
          <w:lang w:val="en-GB"/>
        </w:rPr>
        <w:t xml:space="preserve"> </w:t>
      </w:r>
      <w:r w:rsidRPr="00CD2EEF">
        <w:rPr>
          <w:noProof/>
          <w:lang w:val="en-GB"/>
        </w:rPr>
        <w:drawing>
          <wp:inline distT="0" distB="0" distL="0" distR="0" wp14:anchorId="1A269651" wp14:editId="10586D9D">
            <wp:extent cx="2647098" cy="1488993"/>
            <wp:effectExtent l="0" t="0" r="1270" b="0"/>
            <wp:docPr id="18" name="Slika 18" descr="video surveillance of the bunker int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video surveillance of the bunker interior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47098" cy="1488993"/>
                    </a:xfrm>
                    <a:prstGeom prst="rect">
                      <a:avLst/>
                    </a:prstGeom>
                  </pic:spPr>
                </pic:pic>
              </a:graphicData>
            </a:graphic>
          </wp:inline>
        </w:drawing>
      </w:r>
    </w:p>
    <w:p w14:paraId="380CF3BC" w14:textId="64670BF1" w:rsidR="00CB3A79" w:rsidRPr="00CD2EEF" w:rsidRDefault="0005434D" w:rsidP="0005434D">
      <w:pPr>
        <w:pStyle w:val="LPnaslovslika"/>
        <w:rPr>
          <w:lang w:val="en-GB"/>
        </w:rPr>
      </w:pPr>
      <w:bookmarkStart w:id="108" w:name="_Toc126309893"/>
      <w:bookmarkEnd w:id="107"/>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14</w:t>
      </w:r>
      <w:r w:rsidR="00366B6D" w:rsidRPr="00CD2EEF">
        <w:rPr>
          <w:lang w:val="en-GB"/>
        </w:rPr>
        <w:fldChar w:fldCharType="end"/>
      </w:r>
      <w:r w:rsidR="00CB3A79" w:rsidRPr="00CD2EEF">
        <w:rPr>
          <w:lang w:val="en-GB"/>
        </w:rPr>
        <w:t xml:space="preserve">: </w:t>
      </w:r>
      <w:r w:rsidR="001C0223">
        <w:rPr>
          <w:lang w:val="en-GB"/>
        </w:rPr>
        <w:t>An o</w:t>
      </w:r>
      <w:r w:rsidR="00CB3A79" w:rsidRPr="00CD2EEF">
        <w:rPr>
          <w:lang w:val="en-GB"/>
        </w:rPr>
        <w:t xml:space="preserve">perator controlling instruments with a master key used for entering into the bunker (left); </w:t>
      </w:r>
      <w:r w:rsidR="001C0223">
        <w:rPr>
          <w:lang w:val="en-GB"/>
        </w:rPr>
        <w:t xml:space="preserve">the </w:t>
      </w:r>
      <w:r w:rsidR="00CB3A79" w:rsidRPr="00CD2EEF">
        <w:rPr>
          <w:lang w:val="en-GB"/>
        </w:rPr>
        <w:t xml:space="preserve">entrance to the bunker with a safety system (middle); video surveillance of the bunker interior (right) (Photo: </w:t>
      </w:r>
      <w:r w:rsidR="00E63423">
        <w:rPr>
          <w:lang w:val="en-GB"/>
        </w:rPr>
        <w:t>the SNSA</w:t>
      </w:r>
      <w:r w:rsidR="00CB3A79" w:rsidRPr="00CD2EEF">
        <w:rPr>
          <w:lang w:val="en-GB"/>
        </w:rPr>
        <w:t xml:space="preserve"> Inspection)</w:t>
      </w:r>
      <w:bookmarkEnd w:id="108"/>
    </w:p>
    <w:p w14:paraId="63EF33BC" w14:textId="442D8765" w:rsidR="00CB3A79" w:rsidRPr="00CD2EEF" w:rsidRDefault="00075CE7" w:rsidP="007853E4">
      <w:pPr>
        <w:pStyle w:val="LPnavaden"/>
        <w:rPr>
          <w:lang w:val="en-GB"/>
        </w:rPr>
      </w:pPr>
      <w:r>
        <w:rPr>
          <w:lang w:val="en-GB"/>
        </w:rPr>
        <w:t>In</w:t>
      </w:r>
      <w:r w:rsidRPr="00CD2EEF">
        <w:rPr>
          <w:lang w:val="en-GB"/>
        </w:rPr>
        <w:t xml:space="preserve"> </w:t>
      </w:r>
      <w:r w:rsidR="00CB3A79" w:rsidRPr="00CD2EEF">
        <w:rPr>
          <w:lang w:val="en-GB"/>
        </w:rPr>
        <w:t xml:space="preserve">inspections of companies using portable X-ray spectrometers, </w:t>
      </w:r>
      <w:r w:rsidR="00A726E8">
        <w:rPr>
          <w:lang w:val="en-GB"/>
        </w:rPr>
        <w:t>the</w:t>
      </w:r>
      <w:r w:rsidR="00E63423">
        <w:rPr>
          <w:lang w:val="en-GB"/>
        </w:rPr>
        <w:t xml:space="preserve"> SNSA</w:t>
      </w:r>
      <w:r w:rsidR="00CB3A79" w:rsidRPr="00CD2EEF">
        <w:rPr>
          <w:lang w:val="en-GB"/>
        </w:rPr>
        <w:t xml:space="preserve"> Inspection mainly identified </w:t>
      </w:r>
      <w:r w:rsidR="005D6E7B">
        <w:rPr>
          <w:lang w:val="en-GB"/>
        </w:rPr>
        <w:t>non-</w:t>
      </w:r>
      <w:r w:rsidR="00CB3A79" w:rsidRPr="00CD2EEF">
        <w:rPr>
          <w:lang w:val="en-GB"/>
        </w:rPr>
        <w:t xml:space="preserve">compliances related to the </w:t>
      </w:r>
      <w:r w:rsidR="008017DB" w:rsidRPr="00CD2EEF">
        <w:rPr>
          <w:lang w:val="en-GB"/>
        </w:rPr>
        <w:t>epidemio</w:t>
      </w:r>
      <w:r w:rsidR="008017DB">
        <w:rPr>
          <w:lang w:val="en-GB"/>
        </w:rPr>
        <w:t>logical</w:t>
      </w:r>
      <w:r w:rsidR="008017DB" w:rsidRPr="00CD2EEF">
        <w:rPr>
          <w:lang w:val="en-GB"/>
        </w:rPr>
        <w:t xml:space="preserve"> </w:t>
      </w:r>
      <w:r w:rsidR="00CB3A79" w:rsidRPr="00CD2EEF">
        <w:rPr>
          <w:lang w:val="en-GB"/>
        </w:rPr>
        <w:t xml:space="preserve">conditions. </w:t>
      </w:r>
      <w:r w:rsidR="00C45A5E" w:rsidRPr="00C45A5E">
        <w:rPr>
          <w:lang w:val="en-GB"/>
        </w:rPr>
        <w:t>A</w:t>
      </w:r>
      <w:r w:rsidR="00CB3A79" w:rsidRPr="00C45A5E">
        <w:rPr>
          <w:lang w:val="en-GB"/>
        </w:rPr>
        <w:t xml:space="preserve"> </w:t>
      </w:r>
      <w:r w:rsidR="00C45A5E" w:rsidRPr="00C45A5E">
        <w:rPr>
          <w:lang w:val="en-GB"/>
        </w:rPr>
        <w:t>large</w:t>
      </w:r>
      <w:r w:rsidR="00CB3A79" w:rsidRPr="00C45A5E">
        <w:rPr>
          <w:lang w:val="en-GB"/>
        </w:rPr>
        <w:t xml:space="preserve"> challenge </w:t>
      </w:r>
      <w:r w:rsidR="00C45A5E" w:rsidRPr="00C45A5E">
        <w:rPr>
          <w:lang w:val="en-GB"/>
        </w:rPr>
        <w:t xml:space="preserve">are </w:t>
      </w:r>
      <w:r w:rsidR="00CB3A79" w:rsidRPr="00C45A5E">
        <w:rPr>
          <w:lang w:val="en-GB"/>
        </w:rPr>
        <w:t>bankrup</w:t>
      </w:r>
      <w:r w:rsidRPr="00C45A5E">
        <w:rPr>
          <w:lang w:val="en-GB"/>
        </w:rPr>
        <w:t>t</w:t>
      </w:r>
      <w:r w:rsidR="00CB3A79" w:rsidRPr="00C45A5E">
        <w:rPr>
          <w:lang w:val="en-GB"/>
        </w:rPr>
        <w:t xml:space="preserve"> companies. In 2021, three inspections were dedicated to s</w:t>
      </w:r>
      <w:r w:rsidR="00CB3A79" w:rsidRPr="00CD2EEF">
        <w:rPr>
          <w:lang w:val="en-GB"/>
        </w:rPr>
        <w:t>moke detectors using radioactive sources</w:t>
      </w:r>
      <w:r w:rsidR="004A28D5">
        <w:rPr>
          <w:lang w:val="en-GB"/>
        </w:rPr>
        <w:t>,</w:t>
      </w:r>
      <w:r w:rsidR="00CB3A79" w:rsidRPr="00CD2EEF">
        <w:rPr>
          <w:lang w:val="en-GB"/>
        </w:rPr>
        <w:t xml:space="preserve"> </w:t>
      </w:r>
      <w:r w:rsidR="004A28D5">
        <w:rPr>
          <w:lang w:val="en-GB"/>
        </w:rPr>
        <w:t>thus</w:t>
      </w:r>
      <w:r w:rsidR="004A28D5" w:rsidRPr="00CD2EEF">
        <w:rPr>
          <w:lang w:val="en-GB"/>
        </w:rPr>
        <w:t xml:space="preserve"> </w:t>
      </w:r>
      <w:r w:rsidR="00CB3A79" w:rsidRPr="00CD2EEF">
        <w:rPr>
          <w:lang w:val="en-GB"/>
        </w:rPr>
        <w:t xml:space="preserve">the total number of all inspections conducted </w:t>
      </w:r>
      <w:r w:rsidR="004A28D5">
        <w:rPr>
          <w:lang w:val="en-GB"/>
        </w:rPr>
        <w:t>since</w:t>
      </w:r>
      <w:r w:rsidR="004A28D5" w:rsidRPr="00CD2EEF">
        <w:rPr>
          <w:lang w:val="en-GB"/>
        </w:rPr>
        <w:t xml:space="preserve"> </w:t>
      </w:r>
      <w:r w:rsidR="00CB3A79" w:rsidRPr="00CD2EEF">
        <w:rPr>
          <w:lang w:val="en-GB"/>
        </w:rPr>
        <w:t xml:space="preserve">2010 related to smoke detectors reached 105. </w:t>
      </w:r>
      <w:r w:rsidR="00F30254">
        <w:rPr>
          <w:lang w:val="en-GB"/>
        </w:rPr>
        <w:t xml:space="preserve">In 2021, </w:t>
      </w:r>
      <w:r w:rsidR="00A726E8">
        <w:rPr>
          <w:lang w:val="en-GB"/>
        </w:rPr>
        <w:t>the</w:t>
      </w:r>
      <w:r w:rsidR="00E63423">
        <w:rPr>
          <w:lang w:val="en-GB"/>
        </w:rPr>
        <w:t xml:space="preserve"> SNSA</w:t>
      </w:r>
      <w:r w:rsidR="00CB3A79" w:rsidRPr="00CD2EEF">
        <w:rPr>
          <w:lang w:val="en-GB"/>
        </w:rPr>
        <w:t xml:space="preserve"> Inspection also followed up </w:t>
      </w:r>
      <w:r w:rsidR="004A28D5">
        <w:rPr>
          <w:lang w:val="en-GB"/>
        </w:rPr>
        <w:t xml:space="preserve">on the </w:t>
      </w:r>
      <w:r w:rsidR="00CB3A79" w:rsidRPr="00CD2EEF">
        <w:rPr>
          <w:lang w:val="en-GB"/>
        </w:rPr>
        <w:t>implementation of safety measures required at inspections in the past.</w:t>
      </w:r>
    </w:p>
    <w:p w14:paraId="6AA0953A" w14:textId="701D46D8" w:rsidR="00CB3A79" w:rsidRPr="00CD2EEF" w:rsidRDefault="00CB3A79" w:rsidP="007853E4">
      <w:pPr>
        <w:pStyle w:val="LPnavaden"/>
        <w:rPr>
          <w:lang w:val="en-GB"/>
        </w:rPr>
      </w:pPr>
      <w:r w:rsidRPr="00CD2EEF">
        <w:rPr>
          <w:lang w:val="en-GB"/>
        </w:rPr>
        <w:lastRenderedPageBreak/>
        <w:t xml:space="preserve">As already mentioned, in 2021, altogether 35 inspection interventions were conducted. </w:t>
      </w:r>
      <w:r w:rsidR="00F30254">
        <w:rPr>
          <w:lang w:val="en-GB"/>
        </w:rPr>
        <w:t xml:space="preserve">In 2021, </w:t>
      </w:r>
      <w:r w:rsidRPr="00CD2EEF">
        <w:rPr>
          <w:lang w:val="en-GB"/>
        </w:rPr>
        <w:t>despite the epidemic</w:t>
      </w:r>
      <w:r w:rsidR="0085388F">
        <w:rPr>
          <w:lang w:val="en-GB"/>
        </w:rPr>
        <w:t>,</w:t>
      </w:r>
      <w:r w:rsidRPr="00CD2EEF">
        <w:rPr>
          <w:lang w:val="en-GB"/>
        </w:rPr>
        <w:t xml:space="preserve"> the activities of </w:t>
      </w:r>
      <w:r w:rsidR="00A726E8">
        <w:rPr>
          <w:lang w:val="en-GB"/>
        </w:rPr>
        <w:t>the</w:t>
      </w:r>
      <w:r w:rsidR="00E63423">
        <w:rPr>
          <w:lang w:val="en-GB"/>
        </w:rPr>
        <w:t xml:space="preserve"> SNSA</w:t>
      </w:r>
      <w:r w:rsidRPr="00CD2EEF">
        <w:rPr>
          <w:lang w:val="en-GB"/>
        </w:rPr>
        <w:t xml:space="preserve"> based on 24/7 emergency preparedness were carried out as usual. </w:t>
      </w:r>
      <w:r w:rsidR="00A726E8">
        <w:rPr>
          <w:lang w:val="en-GB"/>
        </w:rPr>
        <w:t>The</w:t>
      </w:r>
      <w:r w:rsidR="00E63423">
        <w:rPr>
          <w:lang w:val="en-GB"/>
        </w:rPr>
        <w:t xml:space="preserve"> SNSA</w:t>
      </w:r>
      <w:r w:rsidRPr="00CD2EEF">
        <w:rPr>
          <w:lang w:val="en-GB"/>
        </w:rPr>
        <w:t xml:space="preserve"> collaboration with the ARAO, qualified experts for radiation protection and other institutions in or outside the country dedicated to the management of sources of i</w:t>
      </w:r>
      <w:r w:rsidR="00837F00">
        <w:rPr>
          <w:lang w:val="en-GB"/>
        </w:rPr>
        <w:t>onis</w:t>
      </w:r>
      <w:r w:rsidRPr="00CD2EEF">
        <w:rPr>
          <w:lang w:val="en-GB"/>
        </w:rPr>
        <w:t>ing radiation or radioactive waste was not disturbed. As usual</w:t>
      </w:r>
      <w:r w:rsidR="0085388F">
        <w:rPr>
          <w:lang w:val="en-GB"/>
        </w:rPr>
        <w:t>,</w:t>
      </w:r>
      <w:r w:rsidRPr="00CD2EEF">
        <w:rPr>
          <w:lang w:val="en-GB"/>
        </w:rPr>
        <w:t xml:space="preserve"> the majority of interventions were related to </w:t>
      </w:r>
      <w:bookmarkStart w:id="109" w:name="_Hlk116027340"/>
      <w:r w:rsidR="0085388F" w:rsidRPr="00CD2EEF">
        <w:rPr>
          <w:lang w:val="en-GB"/>
        </w:rPr>
        <w:t xml:space="preserve">either </w:t>
      </w:r>
      <w:r w:rsidRPr="00CD2EEF">
        <w:rPr>
          <w:lang w:val="en-GB"/>
        </w:rPr>
        <w:t>scrap metal or municipal waste</w:t>
      </w:r>
      <w:bookmarkEnd w:id="109"/>
      <w:r w:rsidRPr="00CD2EEF">
        <w:rPr>
          <w:lang w:val="en-GB"/>
        </w:rPr>
        <w:t xml:space="preserve">. Namely, altogether 28 interventions of </w:t>
      </w:r>
      <w:r w:rsidR="0085388F">
        <w:rPr>
          <w:lang w:val="en-GB"/>
        </w:rPr>
        <w:t>such</w:t>
      </w:r>
      <w:r w:rsidR="0085388F" w:rsidRPr="00CD2EEF">
        <w:rPr>
          <w:lang w:val="en-GB"/>
        </w:rPr>
        <w:t xml:space="preserve"> </w:t>
      </w:r>
      <w:r w:rsidRPr="00CD2EEF">
        <w:rPr>
          <w:lang w:val="en-GB"/>
        </w:rPr>
        <w:t xml:space="preserve">type were recorded. </w:t>
      </w:r>
      <w:r w:rsidR="0085388F">
        <w:rPr>
          <w:lang w:val="en-GB"/>
        </w:rPr>
        <w:t>In</w:t>
      </w:r>
      <w:r w:rsidR="0085388F" w:rsidRPr="00CD2EEF">
        <w:rPr>
          <w:lang w:val="en-GB"/>
        </w:rPr>
        <w:t xml:space="preserve"> </w:t>
      </w:r>
      <w:r w:rsidRPr="00CD2EEF">
        <w:rPr>
          <w:lang w:val="en-GB"/>
        </w:rPr>
        <w:t xml:space="preserve">the majority of such interventions, objects contaminated with radiopharmaceuticals in waste was found. </w:t>
      </w:r>
    </w:p>
    <w:p w14:paraId="2D89BB6C" w14:textId="2E33D12B" w:rsidR="00CB3A79" w:rsidRPr="00CD2EEF" w:rsidRDefault="00CB3A79" w:rsidP="007853E4">
      <w:pPr>
        <w:pStyle w:val="LPnavaden"/>
        <w:rPr>
          <w:lang w:val="en-GB"/>
        </w:rPr>
      </w:pPr>
      <w:r w:rsidRPr="00CD2EEF">
        <w:rPr>
          <w:lang w:val="en-GB"/>
        </w:rPr>
        <w:t xml:space="preserve">Three types of interventions conducted in 2021 </w:t>
      </w:r>
      <w:r w:rsidR="00D2064D">
        <w:rPr>
          <w:lang w:val="en-GB"/>
        </w:rPr>
        <w:t>were</w:t>
      </w:r>
      <w:r w:rsidR="0085388F" w:rsidRPr="00CD2EEF">
        <w:rPr>
          <w:lang w:val="en-GB"/>
        </w:rPr>
        <w:t xml:space="preserve"> </w:t>
      </w:r>
      <w:r w:rsidRPr="00CD2EEF">
        <w:rPr>
          <w:lang w:val="en-GB"/>
        </w:rPr>
        <w:t>identified:</w:t>
      </w:r>
    </w:p>
    <w:p w14:paraId="17E7E08C" w14:textId="77777777" w:rsidR="00CB3A79" w:rsidRPr="00CD2EEF" w:rsidRDefault="00CB3A79" w:rsidP="007853E4">
      <w:pPr>
        <w:pStyle w:val="LPnavaden"/>
        <w:rPr>
          <w:lang w:val="en-GB"/>
        </w:rPr>
      </w:pPr>
      <w:r w:rsidRPr="00CD2EEF">
        <w:rPr>
          <w:lang w:val="en-GB"/>
        </w:rPr>
        <w:t>-</w:t>
      </w:r>
      <w:r w:rsidRPr="00CD2EEF">
        <w:rPr>
          <w:lang w:val="en-GB"/>
        </w:rPr>
        <w:tab/>
        <w:t xml:space="preserve">interventions related to sources from past activities or present practices in Slovenia, </w:t>
      </w:r>
    </w:p>
    <w:p w14:paraId="359E2B2F" w14:textId="14EC2C79" w:rsidR="00CB3A79" w:rsidRPr="00CD2EEF" w:rsidRDefault="00CB3A79" w:rsidP="007853E4">
      <w:pPr>
        <w:pStyle w:val="LPnavaden"/>
        <w:rPr>
          <w:lang w:val="en-GB"/>
        </w:rPr>
      </w:pPr>
      <w:r w:rsidRPr="00CD2EEF">
        <w:rPr>
          <w:lang w:val="en-GB"/>
        </w:rPr>
        <w:t>-</w:t>
      </w:r>
      <w:r w:rsidRPr="00CD2EEF">
        <w:rPr>
          <w:lang w:val="en-GB"/>
        </w:rPr>
        <w:tab/>
        <w:t>interventions related to scrap metal and municipal waste</w:t>
      </w:r>
      <w:r w:rsidR="0085388F">
        <w:rPr>
          <w:lang w:val="en-GB"/>
        </w:rPr>
        <w:t>,</w:t>
      </w:r>
      <w:r w:rsidRPr="00CD2EEF">
        <w:rPr>
          <w:lang w:val="en-GB"/>
        </w:rPr>
        <w:t xml:space="preserve"> and </w:t>
      </w:r>
    </w:p>
    <w:p w14:paraId="0FEB7920" w14:textId="751F45FE" w:rsidR="00CB3A79" w:rsidRPr="00CD2EEF" w:rsidRDefault="00CB3A79" w:rsidP="007853E4">
      <w:pPr>
        <w:pStyle w:val="LPnavaden"/>
        <w:rPr>
          <w:lang w:val="en-GB"/>
        </w:rPr>
      </w:pPr>
      <w:r w:rsidRPr="00CD2EEF">
        <w:rPr>
          <w:lang w:val="en-GB"/>
        </w:rPr>
        <w:t>-</w:t>
      </w:r>
      <w:r w:rsidRPr="00CD2EEF">
        <w:rPr>
          <w:lang w:val="en-GB"/>
        </w:rPr>
        <w:tab/>
      </w:r>
      <w:bookmarkStart w:id="110" w:name="_Hlk116302150"/>
      <w:r w:rsidRPr="00CD2EEF">
        <w:rPr>
          <w:lang w:val="en-GB"/>
        </w:rPr>
        <w:t>other interventions</w:t>
      </w:r>
      <w:r w:rsidR="002F66FF">
        <w:rPr>
          <w:lang w:val="en-GB"/>
        </w:rPr>
        <w:t>;</w:t>
      </w:r>
      <w:r w:rsidRPr="00CD2EEF">
        <w:rPr>
          <w:lang w:val="en-GB"/>
        </w:rPr>
        <w:t xml:space="preserve"> </w:t>
      </w:r>
      <w:r w:rsidR="0085388F">
        <w:rPr>
          <w:lang w:val="en-GB"/>
        </w:rPr>
        <w:t>namely,</w:t>
      </w:r>
      <w:r w:rsidRPr="00CD2EEF">
        <w:rPr>
          <w:lang w:val="en-GB"/>
        </w:rPr>
        <w:t xml:space="preserve"> in 2021, four interventions were placed in </w:t>
      </w:r>
      <w:r w:rsidR="0085388F">
        <w:rPr>
          <w:lang w:val="en-GB"/>
        </w:rPr>
        <w:t>this</w:t>
      </w:r>
      <w:r w:rsidR="0085388F" w:rsidRPr="00CD2EEF">
        <w:rPr>
          <w:lang w:val="en-GB"/>
        </w:rPr>
        <w:t xml:space="preserve"> </w:t>
      </w:r>
      <w:r w:rsidRPr="00CD2EEF">
        <w:rPr>
          <w:lang w:val="en-GB"/>
        </w:rPr>
        <w:t>group.</w:t>
      </w:r>
      <w:bookmarkEnd w:id="110"/>
    </w:p>
    <w:p w14:paraId="57928C4D" w14:textId="30F9B1FA" w:rsidR="00CB3A79" w:rsidRPr="00CD2EEF" w:rsidRDefault="00CB3A79" w:rsidP="000514D3">
      <w:pPr>
        <w:pStyle w:val="LPnavaden"/>
        <w:rPr>
          <w:lang w:val="en-GB"/>
        </w:rPr>
      </w:pPr>
      <w:r w:rsidRPr="00CD2EEF">
        <w:rPr>
          <w:lang w:val="en-GB"/>
        </w:rPr>
        <w:t xml:space="preserve">Only three interventions related to radioactive sources or radioactive waste in Slovenia were not associated with transport. </w:t>
      </w:r>
      <w:r w:rsidR="00A726E8">
        <w:rPr>
          <w:lang w:val="en-GB"/>
        </w:rPr>
        <w:t>The</w:t>
      </w:r>
      <w:r w:rsidR="00E63423">
        <w:rPr>
          <w:lang w:val="en-GB"/>
        </w:rPr>
        <w:t xml:space="preserve"> SNSA</w:t>
      </w:r>
      <w:r w:rsidRPr="00CD2EEF">
        <w:rPr>
          <w:lang w:val="en-GB"/>
        </w:rPr>
        <w:t xml:space="preserve"> was informed that during </w:t>
      </w:r>
      <w:r w:rsidR="006A1E7A">
        <w:rPr>
          <w:lang w:val="en-GB"/>
        </w:rPr>
        <w:t>the</w:t>
      </w:r>
      <w:r w:rsidR="006A1E7A" w:rsidRPr="00CD2EEF">
        <w:rPr>
          <w:lang w:val="en-GB"/>
        </w:rPr>
        <w:t xml:space="preserve"> </w:t>
      </w:r>
      <w:r w:rsidRPr="00CD2EEF">
        <w:rPr>
          <w:lang w:val="en-GB"/>
        </w:rPr>
        <w:t xml:space="preserve">management of radioactive waste in a building in Ljubljana </w:t>
      </w:r>
      <w:r w:rsidR="00D029A5">
        <w:rPr>
          <w:lang w:val="en-GB"/>
        </w:rPr>
        <w:t>two</w:t>
      </w:r>
      <w:r w:rsidRPr="00CD2EEF">
        <w:rPr>
          <w:lang w:val="en-GB"/>
        </w:rPr>
        <w:t xml:space="preserve"> military detector</w:t>
      </w:r>
      <w:r w:rsidR="00D029A5">
        <w:rPr>
          <w:lang w:val="en-GB"/>
        </w:rPr>
        <w:t>s</w:t>
      </w:r>
      <w:r w:rsidRPr="00CD2EEF">
        <w:rPr>
          <w:lang w:val="en-GB"/>
        </w:rPr>
        <w:t xml:space="preserve"> of type DR-M3</w:t>
      </w:r>
      <w:r w:rsidR="006A1E7A">
        <w:rPr>
          <w:lang w:val="en-GB"/>
        </w:rPr>
        <w:t>,</w:t>
      </w:r>
      <w:r w:rsidRPr="00CD2EEF">
        <w:rPr>
          <w:lang w:val="en-GB"/>
        </w:rPr>
        <w:t xml:space="preserve"> </w:t>
      </w:r>
      <w:r w:rsidR="006A1E7A">
        <w:rPr>
          <w:lang w:val="en-GB"/>
        </w:rPr>
        <w:t xml:space="preserve">previously </w:t>
      </w:r>
      <w:r w:rsidRPr="00CD2EEF">
        <w:rPr>
          <w:lang w:val="en-GB"/>
        </w:rPr>
        <w:t>used in Yugoslavia</w:t>
      </w:r>
      <w:r w:rsidR="006A1E7A">
        <w:rPr>
          <w:lang w:val="en-GB"/>
        </w:rPr>
        <w:t>,</w:t>
      </w:r>
      <w:r w:rsidRPr="00CD2EEF">
        <w:rPr>
          <w:lang w:val="en-GB"/>
        </w:rPr>
        <w:t xml:space="preserve"> with equipment containing radioactive source </w:t>
      </w:r>
      <w:r w:rsidRPr="00CD2EEF">
        <w:rPr>
          <w:rStyle w:val="LPnadpisano"/>
          <w:lang w:val="en-GB"/>
        </w:rPr>
        <w:t>90</w:t>
      </w:r>
      <w:r w:rsidRPr="00CD2EEF">
        <w:rPr>
          <w:lang w:val="en-GB"/>
        </w:rPr>
        <w:t>Sr with initial activity of about 200 kBq</w:t>
      </w:r>
      <w:r w:rsidR="002616CD">
        <w:rPr>
          <w:lang w:val="en-GB"/>
        </w:rPr>
        <w:t>,</w:t>
      </w:r>
      <w:r w:rsidRPr="00CD2EEF">
        <w:rPr>
          <w:lang w:val="en-GB"/>
        </w:rPr>
        <w:t xml:space="preserve"> was identified. An inspection followed </w:t>
      </w:r>
      <w:r w:rsidRPr="00D029A5">
        <w:rPr>
          <w:lang w:val="en-GB"/>
        </w:rPr>
        <w:t xml:space="preserve">and both radioactive sources were </w:t>
      </w:r>
      <w:r w:rsidR="006A1E7A" w:rsidRPr="00D029A5">
        <w:rPr>
          <w:lang w:val="en-GB"/>
        </w:rPr>
        <w:t xml:space="preserve">taken over </w:t>
      </w:r>
      <w:r w:rsidRPr="00D029A5">
        <w:rPr>
          <w:lang w:val="en-GB"/>
        </w:rPr>
        <w:t>by</w:t>
      </w:r>
      <w:r w:rsidRPr="00CD2EEF">
        <w:rPr>
          <w:lang w:val="en-GB"/>
        </w:rPr>
        <w:t xml:space="preserve"> the ARAO. Details on </w:t>
      </w:r>
      <w:r w:rsidR="00DC7640">
        <w:rPr>
          <w:lang w:val="en-GB"/>
        </w:rPr>
        <w:t xml:space="preserve">the </w:t>
      </w:r>
      <w:r w:rsidRPr="00CD2EEF">
        <w:rPr>
          <w:lang w:val="en-GB"/>
        </w:rPr>
        <w:t>DR-M3</w:t>
      </w:r>
      <w:r w:rsidR="00DC7640" w:rsidRPr="00DC7640">
        <w:rPr>
          <w:lang w:val="en-GB"/>
        </w:rPr>
        <w:t xml:space="preserve"> </w:t>
      </w:r>
      <w:r w:rsidRPr="00CD2EEF">
        <w:rPr>
          <w:lang w:val="en-GB"/>
        </w:rPr>
        <w:t xml:space="preserve">are given in the </w:t>
      </w:r>
      <w:hyperlink r:id="rId39" w:history="1">
        <w:r w:rsidRPr="00CD2EEF">
          <w:rPr>
            <w:rStyle w:val="Hiperpovezava"/>
            <w:lang w:val="en-GB"/>
          </w:rPr>
          <w:t>web newsletter</w:t>
        </w:r>
      </w:hyperlink>
      <w:r w:rsidRPr="00CD2EEF">
        <w:rPr>
          <w:lang w:val="en-GB"/>
        </w:rPr>
        <w:t xml:space="preserve">. </w:t>
      </w:r>
      <w:r w:rsidR="00DC7640">
        <w:rPr>
          <w:lang w:val="en-GB"/>
        </w:rPr>
        <w:t>The o</w:t>
      </w:r>
      <w:r w:rsidRPr="00CD2EEF">
        <w:rPr>
          <w:lang w:val="en-GB"/>
        </w:rPr>
        <w:t xml:space="preserve">ther two interventions in this group took place in Murska Sobota. Both are related to smoke detectors with radioactive sources at Mercator d.d. Details on </w:t>
      </w:r>
      <w:r w:rsidR="00DC7640">
        <w:rPr>
          <w:lang w:val="en-GB"/>
        </w:rPr>
        <w:t xml:space="preserve">the </w:t>
      </w:r>
      <w:r w:rsidRPr="00CD2EEF">
        <w:rPr>
          <w:lang w:val="en-GB"/>
        </w:rPr>
        <w:t xml:space="preserve">management of such smoke detectors are given in the </w:t>
      </w:r>
      <w:hyperlink r:id="rId40" w:history="1">
        <w:r w:rsidRPr="00CD2EEF">
          <w:rPr>
            <w:rStyle w:val="Hiperpovezava"/>
            <w:lang w:val="en-GB"/>
          </w:rPr>
          <w:t>Radiation News publication</w:t>
        </w:r>
      </w:hyperlink>
      <w:r w:rsidRPr="00CD2EEF">
        <w:rPr>
          <w:lang w:val="en-GB"/>
        </w:rPr>
        <w:t xml:space="preserve">. </w:t>
      </w:r>
    </w:p>
    <w:p w14:paraId="2C1D5159" w14:textId="72EA7354" w:rsidR="00CB3A79" w:rsidRPr="00CD2EEF" w:rsidRDefault="00CB3A79" w:rsidP="007853E4">
      <w:pPr>
        <w:pStyle w:val="LPnavaden"/>
        <w:rPr>
          <w:lang w:val="en-GB"/>
        </w:rPr>
      </w:pPr>
      <w:r w:rsidRPr="00CD2EEF">
        <w:rPr>
          <w:lang w:val="en-GB"/>
        </w:rPr>
        <w:t xml:space="preserve">It should be mentioned that </w:t>
      </w:r>
      <w:r w:rsidR="005C7342">
        <w:rPr>
          <w:lang w:val="en-GB"/>
        </w:rPr>
        <w:t>of the</w:t>
      </w:r>
      <w:r w:rsidR="005C7342" w:rsidRPr="00CD2EEF">
        <w:rPr>
          <w:lang w:val="en-GB"/>
        </w:rPr>
        <w:t xml:space="preserve"> </w:t>
      </w:r>
      <w:r w:rsidRPr="00CD2EEF">
        <w:rPr>
          <w:lang w:val="en-GB"/>
        </w:rPr>
        <w:t xml:space="preserve">28 interventions related to transport or means of transport, 21 were related to </w:t>
      </w:r>
      <w:r w:rsidR="005C7342">
        <w:rPr>
          <w:lang w:val="en-GB"/>
        </w:rPr>
        <w:t xml:space="preserve">the </w:t>
      </w:r>
      <w:r w:rsidRPr="00CD2EEF">
        <w:rPr>
          <w:lang w:val="en-GB"/>
        </w:rPr>
        <w:t xml:space="preserve">contamination of municipal waste or hospital waste with radiopharmaceuticals in Slovenia. They triggered detector alarms in companies collecting such waste (regional centres for waste management). Namely, only in 2021 </w:t>
      </w:r>
      <w:r w:rsidR="005C7342">
        <w:rPr>
          <w:lang w:val="en-GB"/>
        </w:rPr>
        <w:t xml:space="preserve">did </w:t>
      </w:r>
      <w:r w:rsidRPr="00CD2EEF">
        <w:rPr>
          <w:lang w:val="en-GB"/>
        </w:rPr>
        <w:t xml:space="preserve">such companies start to control either medical or mixed municipal waste. Qualified experts identified </w:t>
      </w:r>
      <w:r w:rsidRPr="00CD2EEF">
        <w:rPr>
          <w:rStyle w:val="LPnadpisano"/>
          <w:lang w:val="en-GB"/>
        </w:rPr>
        <w:t>131</w:t>
      </w:r>
      <w:r w:rsidRPr="00CD2EEF">
        <w:rPr>
          <w:lang w:val="en-GB"/>
        </w:rPr>
        <w:t xml:space="preserve">I, </w:t>
      </w:r>
      <w:r w:rsidRPr="00CD2EEF">
        <w:rPr>
          <w:rStyle w:val="LPnadpisano"/>
          <w:lang w:val="en-GB"/>
        </w:rPr>
        <w:t>99m</w:t>
      </w:r>
      <w:r w:rsidRPr="00CD2EEF">
        <w:rPr>
          <w:lang w:val="en-GB"/>
        </w:rPr>
        <w:t>Tc</w:t>
      </w:r>
      <w:r w:rsidR="005C7342">
        <w:rPr>
          <w:lang w:val="en-GB"/>
        </w:rPr>
        <w:t>,</w:t>
      </w:r>
      <w:r w:rsidRPr="00CD2EEF">
        <w:rPr>
          <w:lang w:val="en-GB"/>
        </w:rPr>
        <w:t xml:space="preserve"> </w:t>
      </w:r>
      <w:r w:rsidR="005C7342">
        <w:rPr>
          <w:lang w:val="en-GB"/>
        </w:rPr>
        <w:t>and</w:t>
      </w:r>
      <w:r w:rsidR="005C7342" w:rsidRPr="00CD2EEF">
        <w:rPr>
          <w:lang w:val="en-GB"/>
        </w:rPr>
        <w:t xml:space="preserve"> </w:t>
      </w:r>
      <w:r w:rsidRPr="00CD2EEF">
        <w:rPr>
          <w:rStyle w:val="LPnadpisano"/>
          <w:lang w:val="en-GB"/>
        </w:rPr>
        <w:t>177</w:t>
      </w:r>
      <w:r w:rsidRPr="00CD2EEF">
        <w:rPr>
          <w:lang w:val="en-GB"/>
        </w:rPr>
        <w:t>Lu. Contamination has been found on handkerchiefs, diapers</w:t>
      </w:r>
      <w:r w:rsidR="004D268D">
        <w:rPr>
          <w:lang w:val="en-GB"/>
        </w:rPr>
        <w:t>,</w:t>
      </w:r>
      <w:r w:rsidRPr="00CD2EEF">
        <w:rPr>
          <w:lang w:val="en-GB"/>
        </w:rPr>
        <w:t xml:space="preserve"> and other similar objects. The supervision of medical facilities including </w:t>
      </w:r>
      <w:r w:rsidR="005C7342">
        <w:rPr>
          <w:lang w:val="en-GB"/>
        </w:rPr>
        <w:t xml:space="preserve">the </w:t>
      </w:r>
      <w:r w:rsidRPr="00CD2EEF">
        <w:rPr>
          <w:lang w:val="en-GB"/>
        </w:rPr>
        <w:t xml:space="preserve">release of patients is conducted by the SRPA. Therefore, </w:t>
      </w:r>
      <w:r w:rsidR="00A726E8">
        <w:rPr>
          <w:lang w:val="en-GB"/>
        </w:rPr>
        <w:t>the</w:t>
      </w:r>
      <w:r w:rsidR="00E63423">
        <w:rPr>
          <w:lang w:val="en-GB"/>
        </w:rPr>
        <w:t xml:space="preserve"> SNSA</w:t>
      </w:r>
      <w:r w:rsidRPr="00CD2EEF">
        <w:rPr>
          <w:lang w:val="en-GB"/>
        </w:rPr>
        <w:t xml:space="preserve"> informed the SRPA </w:t>
      </w:r>
      <w:r w:rsidR="005C7342">
        <w:rPr>
          <w:lang w:val="en-GB"/>
        </w:rPr>
        <w:t>of</w:t>
      </w:r>
      <w:r w:rsidR="005C7342" w:rsidRPr="00CD2EEF">
        <w:rPr>
          <w:lang w:val="en-GB"/>
        </w:rPr>
        <w:t xml:space="preserve"> </w:t>
      </w:r>
      <w:r w:rsidRPr="00CD2EEF">
        <w:rPr>
          <w:lang w:val="en-GB"/>
        </w:rPr>
        <w:t xml:space="preserve">all such interventions. </w:t>
      </w:r>
      <w:r w:rsidR="00A726E8">
        <w:rPr>
          <w:lang w:val="en-GB"/>
        </w:rPr>
        <w:t>The</w:t>
      </w:r>
      <w:r w:rsidR="00E63423">
        <w:rPr>
          <w:lang w:val="en-GB"/>
        </w:rPr>
        <w:t xml:space="preserve"> SNSA</w:t>
      </w:r>
      <w:r w:rsidRPr="00CD2EEF">
        <w:rPr>
          <w:lang w:val="en-GB"/>
        </w:rPr>
        <w:t xml:space="preserve"> implemented </w:t>
      </w:r>
      <w:r w:rsidR="005C7342">
        <w:rPr>
          <w:lang w:val="en-GB"/>
        </w:rPr>
        <w:t xml:space="preserve">a </w:t>
      </w:r>
      <w:r w:rsidRPr="00CD2EEF">
        <w:rPr>
          <w:lang w:val="en-GB"/>
        </w:rPr>
        <w:t xml:space="preserve">systematic response </w:t>
      </w:r>
      <w:r w:rsidR="005C7342">
        <w:rPr>
          <w:lang w:val="en-GB"/>
        </w:rPr>
        <w:t>to</w:t>
      </w:r>
      <w:r w:rsidR="005C7342" w:rsidRPr="00CD2EEF">
        <w:rPr>
          <w:lang w:val="en-GB"/>
        </w:rPr>
        <w:t xml:space="preserve"> </w:t>
      </w:r>
      <w:r w:rsidRPr="00CD2EEF">
        <w:rPr>
          <w:lang w:val="en-GB"/>
        </w:rPr>
        <w:t>such interventions</w:t>
      </w:r>
      <w:r w:rsidR="005C7342">
        <w:rPr>
          <w:lang w:val="en-GB"/>
        </w:rPr>
        <w:t>,</w:t>
      </w:r>
      <w:r w:rsidRPr="00CD2EEF">
        <w:rPr>
          <w:lang w:val="en-GB"/>
        </w:rPr>
        <w:t xml:space="preserve"> which includes</w:t>
      </w:r>
      <w:r w:rsidR="005C7342">
        <w:rPr>
          <w:lang w:val="en-GB"/>
        </w:rPr>
        <w:t xml:space="preserve">, </w:t>
      </w:r>
      <w:r w:rsidR="005C7342" w:rsidRPr="006D6975">
        <w:rPr>
          <w:i/>
          <w:iCs/>
          <w:lang w:val="en-GB"/>
        </w:rPr>
        <w:t>inter alia</w:t>
      </w:r>
      <w:r w:rsidR="005C7342">
        <w:rPr>
          <w:lang w:val="en-GB"/>
        </w:rPr>
        <w:t>,</w:t>
      </w:r>
      <w:r w:rsidRPr="00CD2EEF">
        <w:rPr>
          <w:lang w:val="en-GB"/>
        </w:rPr>
        <w:t xml:space="preserve"> </w:t>
      </w:r>
      <w:r w:rsidR="005C7342">
        <w:rPr>
          <w:lang w:val="en-GB"/>
        </w:rPr>
        <w:t xml:space="preserve">the </w:t>
      </w:r>
      <w:r w:rsidRPr="00CD2EEF">
        <w:rPr>
          <w:lang w:val="en-GB"/>
        </w:rPr>
        <w:t xml:space="preserve">protection of </w:t>
      </w:r>
      <w:r w:rsidR="005C7342" w:rsidRPr="006D6975">
        <w:rPr>
          <w:lang w:val="en-GB"/>
        </w:rPr>
        <w:t xml:space="preserve">the </w:t>
      </w:r>
      <w:r w:rsidR="001E5AD5" w:rsidRPr="006D6975">
        <w:rPr>
          <w:lang w:val="en-GB"/>
        </w:rPr>
        <w:t xml:space="preserve">waste </w:t>
      </w:r>
      <w:r w:rsidR="00F90620" w:rsidRPr="006D6975">
        <w:rPr>
          <w:lang w:val="en-GB"/>
        </w:rPr>
        <w:t>shipment</w:t>
      </w:r>
      <w:r w:rsidRPr="006D6975">
        <w:rPr>
          <w:lang w:val="en-GB"/>
        </w:rPr>
        <w:t xml:space="preserve">, repeated measurements using </w:t>
      </w:r>
      <w:r w:rsidR="005C7342" w:rsidRPr="006D6975">
        <w:rPr>
          <w:lang w:val="en-GB"/>
        </w:rPr>
        <w:t xml:space="preserve">the </w:t>
      </w:r>
      <w:r w:rsidRPr="006D6975">
        <w:rPr>
          <w:lang w:val="en-GB"/>
        </w:rPr>
        <w:t>prescribed protocol</w:t>
      </w:r>
      <w:r w:rsidR="005C7342" w:rsidRPr="006D6975">
        <w:rPr>
          <w:lang w:val="en-GB"/>
        </w:rPr>
        <w:t>,</w:t>
      </w:r>
      <w:r w:rsidRPr="006D6975">
        <w:rPr>
          <w:lang w:val="en-GB"/>
        </w:rPr>
        <w:t xml:space="preserve"> and when necessary, control conducted by a qualified expert and returning </w:t>
      </w:r>
      <w:r w:rsidR="005C7342" w:rsidRPr="006D6975">
        <w:rPr>
          <w:lang w:val="en-GB"/>
        </w:rPr>
        <w:t xml:space="preserve">the </w:t>
      </w:r>
      <w:r w:rsidR="005C0746" w:rsidRPr="006D6975">
        <w:rPr>
          <w:lang w:val="en-GB"/>
        </w:rPr>
        <w:t>shipment</w:t>
      </w:r>
      <w:r w:rsidR="005C0746" w:rsidRPr="006D6975" w:rsidDel="005C0746">
        <w:rPr>
          <w:lang w:val="en-GB"/>
        </w:rPr>
        <w:t xml:space="preserve"> </w:t>
      </w:r>
      <w:r w:rsidRPr="006D6975">
        <w:rPr>
          <w:lang w:val="en-GB"/>
        </w:rPr>
        <w:t xml:space="preserve">to the medical facility from which the </w:t>
      </w:r>
      <w:r w:rsidR="005C0746" w:rsidRPr="006D6975">
        <w:rPr>
          <w:lang w:val="en-GB"/>
        </w:rPr>
        <w:t>shipment</w:t>
      </w:r>
      <w:r w:rsidR="005C0746" w:rsidRPr="006D6975" w:rsidDel="005C0746">
        <w:rPr>
          <w:lang w:val="en-GB"/>
        </w:rPr>
        <w:t xml:space="preserve"> </w:t>
      </w:r>
      <w:r w:rsidRPr="006D6975">
        <w:rPr>
          <w:lang w:val="en-GB"/>
        </w:rPr>
        <w:t>originated</w:t>
      </w:r>
      <w:r w:rsidRPr="00CD2EEF">
        <w:rPr>
          <w:lang w:val="en-GB"/>
        </w:rPr>
        <w:t xml:space="preserve">. </w:t>
      </w:r>
      <w:hyperlink w:anchor="fig15" w:history="1">
        <w:r w:rsidRPr="00CD2EEF">
          <w:rPr>
            <w:rStyle w:val="Hiperpovezava"/>
            <w:lang w:val="en-GB"/>
          </w:rPr>
          <w:t>Figure 15</w:t>
        </w:r>
      </w:hyperlink>
      <w:r w:rsidRPr="00CD2EEF">
        <w:rPr>
          <w:lang w:val="en-GB"/>
        </w:rPr>
        <w:t xml:space="preserve"> shows a container with contaminated hospital waste and municipal waste </w:t>
      </w:r>
      <w:r w:rsidR="00B83638">
        <w:rPr>
          <w:lang w:val="en-GB"/>
        </w:rPr>
        <w:t>th</w:t>
      </w:r>
      <w:r w:rsidR="004B070A">
        <w:rPr>
          <w:lang w:val="en-GB"/>
        </w:rPr>
        <w:t>a</w:t>
      </w:r>
      <w:r w:rsidR="00B83638">
        <w:rPr>
          <w:lang w:val="en-GB"/>
        </w:rPr>
        <w:t xml:space="preserve">t </w:t>
      </w:r>
      <w:r w:rsidRPr="00CD2EEF">
        <w:rPr>
          <w:lang w:val="en-GB"/>
        </w:rPr>
        <w:t xml:space="preserve">originated from hospitals </w:t>
      </w:r>
      <w:r w:rsidR="00B83638" w:rsidRPr="00CD2EEF">
        <w:rPr>
          <w:lang w:val="en-GB"/>
        </w:rPr>
        <w:t xml:space="preserve">also </w:t>
      </w:r>
      <w:r w:rsidRPr="00CD2EEF">
        <w:rPr>
          <w:lang w:val="en-GB"/>
        </w:rPr>
        <w:t>containing contaminated waste.</w:t>
      </w:r>
    </w:p>
    <w:p w14:paraId="7BC681F8" w14:textId="77777777" w:rsidR="00CB3A79" w:rsidRPr="00CD2EEF" w:rsidRDefault="00CB3A79" w:rsidP="007853E4">
      <w:pPr>
        <w:pStyle w:val="LPnavaden"/>
        <w:rPr>
          <w:lang w:val="en-GB"/>
        </w:rPr>
      </w:pPr>
      <w:bookmarkStart w:id="111" w:name="fig15"/>
      <w:r w:rsidRPr="00CD2EEF">
        <w:rPr>
          <w:noProof/>
          <w:lang w:val="en-GB"/>
        </w:rPr>
        <w:drawing>
          <wp:inline distT="0" distB="0" distL="0" distR="0" wp14:anchorId="11B836F5" wp14:editId="6CC982E8">
            <wp:extent cx="2638800" cy="1980000"/>
            <wp:effectExtent l="0" t="0" r="0" b="0"/>
            <wp:docPr id="10" name="Slika 10" descr="container with contaminated hospital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container with contaminated hospital waste "/>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638800" cy="1980000"/>
                    </a:xfrm>
                    <a:prstGeom prst="rect">
                      <a:avLst/>
                    </a:prstGeom>
                    <a:noFill/>
                    <a:ln>
                      <a:noFill/>
                    </a:ln>
                  </pic:spPr>
                </pic:pic>
              </a:graphicData>
            </a:graphic>
          </wp:inline>
        </w:drawing>
      </w:r>
      <w:r w:rsidRPr="00CD2EEF">
        <w:rPr>
          <w:lang w:val="en-GB"/>
        </w:rPr>
        <w:t xml:space="preserve"> </w:t>
      </w:r>
      <w:r w:rsidRPr="00CD2EEF">
        <w:rPr>
          <w:noProof/>
          <w:lang w:val="en-GB"/>
        </w:rPr>
        <w:drawing>
          <wp:inline distT="0" distB="0" distL="0" distR="0" wp14:anchorId="040D36D8" wp14:editId="51CF92F6">
            <wp:extent cx="2638800" cy="1980000"/>
            <wp:effectExtent l="0" t="0" r="9525" b="1270"/>
            <wp:docPr id="11" name="Slika 11" descr="municipal waste originated from hospitals containing also contaminate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municipal waste originated from hospitals containing also contaminated wast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638800" cy="1980000"/>
                    </a:xfrm>
                    <a:prstGeom prst="rect">
                      <a:avLst/>
                    </a:prstGeom>
                    <a:noFill/>
                    <a:ln>
                      <a:noFill/>
                    </a:ln>
                  </pic:spPr>
                </pic:pic>
              </a:graphicData>
            </a:graphic>
          </wp:inline>
        </w:drawing>
      </w:r>
    </w:p>
    <w:p w14:paraId="0975019B" w14:textId="59915D2E" w:rsidR="00CB3A79" w:rsidRPr="00CD2EEF" w:rsidRDefault="0005434D" w:rsidP="0005434D">
      <w:pPr>
        <w:pStyle w:val="LPnaslovslika"/>
        <w:rPr>
          <w:lang w:val="en-GB"/>
        </w:rPr>
      </w:pPr>
      <w:bookmarkStart w:id="112" w:name="_Toc126309894"/>
      <w:bookmarkEnd w:id="111"/>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15</w:t>
      </w:r>
      <w:r w:rsidR="00366B6D" w:rsidRPr="00CD2EEF">
        <w:rPr>
          <w:lang w:val="en-GB"/>
        </w:rPr>
        <w:fldChar w:fldCharType="end"/>
      </w:r>
      <w:r w:rsidR="00CB3A79" w:rsidRPr="00CD2EEF">
        <w:rPr>
          <w:lang w:val="en-GB"/>
        </w:rPr>
        <w:t>: A container with contaminated hospital waste (left); municipal waste originat</w:t>
      </w:r>
      <w:r w:rsidR="0010337E">
        <w:rPr>
          <w:lang w:val="en-GB"/>
        </w:rPr>
        <w:t>ing</w:t>
      </w:r>
      <w:r w:rsidR="00CB3A79" w:rsidRPr="00CD2EEF">
        <w:rPr>
          <w:lang w:val="en-GB"/>
        </w:rPr>
        <w:t xml:space="preserve"> from hospitals </w:t>
      </w:r>
      <w:r w:rsidR="0010337E" w:rsidRPr="00CD2EEF">
        <w:rPr>
          <w:lang w:val="en-GB"/>
        </w:rPr>
        <w:t xml:space="preserve">also </w:t>
      </w:r>
      <w:r w:rsidR="00CB3A79" w:rsidRPr="00CD2EEF">
        <w:rPr>
          <w:lang w:val="en-GB"/>
        </w:rPr>
        <w:t>containing contaminated waste (right) (Photo: Institute of Occupational Safety)</w:t>
      </w:r>
      <w:bookmarkEnd w:id="112"/>
    </w:p>
    <w:p w14:paraId="68CB4A2F" w14:textId="464471B6" w:rsidR="00CB3A79" w:rsidRPr="00CD2EEF" w:rsidRDefault="00CB3A79" w:rsidP="007853E4">
      <w:pPr>
        <w:pStyle w:val="LPnavaden"/>
        <w:rPr>
          <w:lang w:val="en-GB"/>
        </w:rPr>
      </w:pPr>
      <w:r w:rsidRPr="00CD2EEF">
        <w:rPr>
          <w:lang w:val="en-GB"/>
        </w:rPr>
        <w:lastRenderedPageBreak/>
        <w:t xml:space="preserve">Among </w:t>
      </w:r>
      <w:r w:rsidR="0010337E">
        <w:rPr>
          <w:lang w:val="en-GB"/>
        </w:rPr>
        <w:t xml:space="preserve">the seven </w:t>
      </w:r>
      <w:r w:rsidRPr="006D6975">
        <w:rPr>
          <w:lang w:val="en-GB"/>
        </w:rPr>
        <w:t xml:space="preserve">other interventions related to </w:t>
      </w:r>
      <w:r w:rsidR="0010337E" w:rsidRPr="006D6975">
        <w:rPr>
          <w:lang w:val="en-GB"/>
        </w:rPr>
        <w:t xml:space="preserve">the </w:t>
      </w:r>
      <w:r w:rsidRPr="006D6975">
        <w:rPr>
          <w:lang w:val="en-GB"/>
        </w:rPr>
        <w:t>transport of secondary raw materials</w:t>
      </w:r>
      <w:r w:rsidR="0010337E" w:rsidRPr="006D6975">
        <w:rPr>
          <w:lang w:val="en-GB"/>
        </w:rPr>
        <w:t>,</w:t>
      </w:r>
      <w:r w:rsidRPr="006D6975">
        <w:rPr>
          <w:lang w:val="en-GB"/>
        </w:rPr>
        <w:t xml:space="preserve"> two</w:t>
      </w:r>
      <w:r w:rsidR="0010337E" w:rsidRPr="006D6975">
        <w:rPr>
          <w:lang w:val="en-GB"/>
        </w:rPr>
        <w:t xml:space="preserve"> concern</w:t>
      </w:r>
      <w:r w:rsidRPr="006D6975">
        <w:rPr>
          <w:lang w:val="en-GB"/>
        </w:rPr>
        <w:t xml:space="preserve"> interventions associated with </w:t>
      </w:r>
      <w:r w:rsidR="005C0746" w:rsidRPr="006D6975">
        <w:rPr>
          <w:lang w:val="en-GB"/>
        </w:rPr>
        <w:t>a shipment</w:t>
      </w:r>
      <w:r w:rsidR="005C0746" w:rsidRPr="006D6975" w:rsidDel="0010337E">
        <w:rPr>
          <w:lang w:val="en-GB"/>
        </w:rPr>
        <w:t xml:space="preserve"> </w:t>
      </w:r>
      <w:r w:rsidRPr="006D6975">
        <w:rPr>
          <w:lang w:val="en-GB"/>
        </w:rPr>
        <w:t xml:space="preserve">from Bosnia and Hercegovina with </w:t>
      </w:r>
      <w:r w:rsidR="0010337E" w:rsidRPr="006D6975">
        <w:rPr>
          <w:lang w:val="en-GB"/>
        </w:rPr>
        <w:t xml:space="preserve">an </w:t>
      </w:r>
      <w:r w:rsidRPr="006D6975">
        <w:rPr>
          <w:lang w:val="en-GB"/>
        </w:rPr>
        <w:t xml:space="preserve">elevated dose field. The </w:t>
      </w:r>
      <w:r w:rsidR="005C0746" w:rsidRPr="006D6975">
        <w:rPr>
          <w:lang w:val="en-GB"/>
        </w:rPr>
        <w:t>shipment</w:t>
      </w:r>
      <w:r w:rsidR="005C0746" w:rsidRPr="006D6975" w:rsidDel="005C0746">
        <w:rPr>
          <w:lang w:val="en-GB"/>
        </w:rPr>
        <w:t xml:space="preserve"> </w:t>
      </w:r>
      <w:r w:rsidRPr="006D6975">
        <w:rPr>
          <w:lang w:val="en-GB"/>
        </w:rPr>
        <w:t xml:space="preserve">has been returned to that country. One intervention was related to a wagon from Slovenia returned from Italy. A qualified expert identified natural radionuclides in isolation material </w:t>
      </w:r>
      <w:r w:rsidR="0010337E" w:rsidRPr="006D6975">
        <w:rPr>
          <w:lang w:val="en-GB"/>
        </w:rPr>
        <w:t xml:space="preserve">that </w:t>
      </w:r>
      <w:r w:rsidRPr="006D6975">
        <w:rPr>
          <w:lang w:val="en-GB"/>
        </w:rPr>
        <w:t xml:space="preserve">did not require any measures. </w:t>
      </w:r>
      <w:r w:rsidR="0010337E" w:rsidRPr="006D6975">
        <w:rPr>
          <w:lang w:val="en-GB"/>
        </w:rPr>
        <w:t>On the premises</w:t>
      </w:r>
      <w:r w:rsidRPr="006D6975">
        <w:rPr>
          <w:lang w:val="en-GB"/>
        </w:rPr>
        <w:t xml:space="preserve"> of Salamon d.o.o. in Logatec, </w:t>
      </w:r>
      <w:r w:rsidR="00DC6832" w:rsidRPr="006D6975">
        <w:rPr>
          <w:lang w:val="en-GB"/>
        </w:rPr>
        <w:t xml:space="preserve">an </w:t>
      </w:r>
      <w:r w:rsidRPr="006D6975">
        <w:rPr>
          <w:lang w:val="en-GB"/>
        </w:rPr>
        <w:t xml:space="preserve">enhanced dose field was also caused by natural radionuclides. No specific measures were needed. Three times detectors of SIJ Acroni d.o.o. measured </w:t>
      </w:r>
      <w:r w:rsidR="00DC6832" w:rsidRPr="006D6975">
        <w:rPr>
          <w:lang w:val="en-GB"/>
        </w:rPr>
        <w:t xml:space="preserve">an </w:t>
      </w:r>
      <w:r w:rsidRPr="006D6975">
        <w:rPr>
          <w:lang w:val="en-GB"/>
        </w:rPr>
        <w:t xml:space="preserve">enhanced radiation field on </w:t>
      </w:r>
      <w:r w:rsidR="005C0746" w:rsidRPr="006D6975">
        <w:rPr>
          <w:lang w:val="en-GB"/>
        </w:rPr>
        <w:t>a shipment</w:t>
      </w:r>
      <w:r w:rsidRPr="006D6975">
        <w:rPr>
          <w:lang w:val="en-GB"/>
        </w:rPr>
        <w:t xml:space="preserve"> from Germany. Once the </w:t>
      </w:r>
      <w:r w:rsidR="005C0746" w:rsidRPr="006D6975">
        <w:rPr>
          <w:lang w:val="en-GB"/>
        </w:rPr>
        <w:t>shipment</w:t>
      </w:r>
      <w:r w:rsidR="005C0746" w:rsidRPr="006D6975" w:rsidDel="005C0746">
        <w:rPr>
          <w:lang w:val="en-GB"/>
        </w:rPr>
        <w:t xml:space="preserve"> </w:t>
      </w:r>
      <w:r w:rsidRPr="006D6975">
        <w:rPr>
          <w:lang w:val="en-GB"/>
        </w:rPr>
        <w:t xml:space="preserve">was not allowed to be reloaded. </w:t>
      </w:r>
      <w:r w:rsidR="00DC6832" w:rsidRPr="006D6975">
        <w:rPr>
          <w:lang w:val="en-GB"/>
        </w:rPr>
        <w:t xml:space="preserve">For the </w:t>
      </w:r>
      <w:r w:rsidRPr="006D6975">
        <w:rPr>
          <w:lang w:val="en-GB"/>
        </w:rPr>
        <w:t xml:space="preserve">other </w:t>
      </w:r>
      <w:r w:rsidR="00DC6832" w:rsidRPr="006D6975">
        <w:rPr>
          <w:lang w:val="en-GB"/>
        </w:rPr>
        <w:t xml:space="preserve">two </w:t>
      </w:r>
      <w:r w:rsidRPr="006D6975">
        <w:rPr>
          <w:lang w:val="en-GB"/>
        </w:rPr>
        <w:t>interventions</w:t>
      </w:r>
      <w:r w:rsidR="0025366D" w:rsidRPr="006D6975">
        <w:rPr>
          <w:lang w:val="en-GB"/>
        </w:rPr>
        <w:t>,</w:t>
      </w:r>
      <w:r w:rsidRPr="006D6975">
        <w:rPr>
          <w:lang w:val="en-GB"/>
        </w:rPr>
        <w:t xml:space="preserve"> natural radionuclides were identified in </w:t>
      </w:r>
      <w:r w:rsidR="0025366D" w:rsidRPr="006D6975">
        <w:rPr>
          <w:lang w:val="en-GB"/>
        </w:rPr>
        <w:t xml:space="preserve">the </w:t>
      </w:r>
      <w:r w:rsidRPr="006D6975">
        <w:rPr>
          <w:lang w:val="en-GB"/>
        </w:rPr>
        <w:t xml:space="preserve">reloaded </w:t>
      </w:r>
      <w:r w:rsidR="005C0746" w:rsidRPr="006D6975">
        <w:rPr>
          <w:lang w:val="en-GB"/>
        </w:rPr>
        <w:t>shipment</w:t>
      </w:r>
      <w:r w:rsidR="005C0746" w:rsidRPr="006D6975" w:rsidDel="005C0746">
        <w:rPr>
          <w:lang w:val="en-GB"/>
        </w:rPr>
        <w:t xml:space="preserve"> </w:t>
      </w:r>
      <w:r w:rsidR="0025366D" w:rsidRPr="006D6975">
        <w:rPr>
          <w:lang w:val="en-GB"/>
        </w:rPr>
        <w:t>that</w:t>
      </w:r>
      <w:r w:rsidRPr="006D6975">
        <w:rPr>
          <w:lang w:val="en-GB"/>
        </w:rPr>
        <w:t xml:space="preserve"> </w:t>
      </w:r>
      <w:r w:rsidR="0025366D" w:rsidRPr="006D6975">
        <w:rPr>
          <w:lang w:val="en-GB"/>
        </w:rPr>
        <w:t xml:space="preserve">caused </w:t>
      </w:r>
      <w:r w:rsidRPr="006D6975">
        <w:rPr>
          <w:lang w:val="en-GB"/>
        </w:rPr>
        <w:t xml:space="preserve">enhanced dose fields. </w:t>
      </w:r>
      <w:hyperlink w:anchor="fig16" w:history="1">
        <w:r w:rsidRPr="006D6975">
          <w:rPr>
            <w:rStyle w:val="Hiperpovezava"/>
            <w:lang w:val="en-GB"/>
          </w:rPr>
          <w:t>Figure 16</w:t>
        </w:r>
      </w:hyperlink>
      <w:r w:rsidRPr="006D6975">
        <w:rPr>
          <w:lang w:val="en-GB"/>
        </w:rPr>
        <w:t xml:space="preserve"> shows two objects found in </w:t>
      </w:r>
      <w:r w:rsidR="00987FAA" w:rsidRPr="006D6975">
        <w:rPr>
          <w:lang w:val="en-GB"/>
        </w:rPr>
        <w:t xml:space="preserve">a </w:t>
      </w:r>
      <w:r w:rsidR="005C0746" w:rsidRPr="006D6975">
        <w:rPr>
          <w:lang w:val="en-GB"/>
        </w:rPr>
        <w:t>shipment</w:t>
      </w:r>
      <w:r w:rsidR="005C0746" w:rsidRPr="006D6975" w:rsidDel="005C0746">
        <w:rPr>
          <w:lang w:val="en-GB"/>
        </w:rPr>
        <w:t xml:space="preserve"> </w:t>
      </w:r>
      <w:r w:rsidRPr="006D6975">
        <w:rPr>
          <w:lang w:val="en-GB"/>
        </w:rPr>
        <w:t>from</w:t>
      </w:r>
      <w:r w:rsidR="0025366D" w:rsidRPr="006D6975">
        <w:rPr>
          <w:lang w:val="en-GB"/>
        </w:rPr>
        <w:t xml:space="preserve"> the</w:t>
      </w:r>
      <w:r w:rsidRPr="006D6975">
        <w:rPr>
          <w:lang w:val="en-GB"/>
        </w:rPr>
        <w:t xml:space="preserve"> mentioned wagons at the SIJ Acroni d.o.o. site.</w:t>
      </w:r>
    </w:p>
    <w:p w14:paraId="59E9D3BA" w14:textId="77777777" w:rsidR="00CB3A79" w:rsidRPr="00CD2EEF" w:rsidRDefault="00CB3A79" w:rsidP="007853E4">
      <w:pPr>
        <w:pStyle w:val="LPnavaden"/>
        <w:rPr>
          <w:lang w:val="en-GB"/>
        </w:rPr>
      </w:pPr>
      <w:bookmarkStart w:id="113" w:name="fig16"/>
      <w:r w:rsidRPr="00CD2EEF">
        <w:rPr>
          <w:noProof/>
          <w:lang w:val="en-GB"/>
        </w:rPr>
        <w:drawing>
          <wp:inline distT="0" distB="0" distL="0" distR="0" wp14:anchorId="6470674A" wp14:editId="587DDB38">
            <wp:extent cx="1778400" cy="2160000"/>
            <wp:effectExtent l="0" t="0" r="0" b="0"/>
            <wp:docPr id="23560" name="Slika 23560" descr="object contaminated with 226Ra in a cargo from Germany identified at the SIJ Acroni d.o.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Slika 23560" descr="object contaminated with 226Ra in a cargo from Germany identified at the SIJ Acroni d.o.o. si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8400" cy="2160000"/>
                    </a:xfrm>
                    <a:prstGeom prst="rect">
                      <a:avLst/>
                    </a:prstGeom>
                    <a:noFill/>
                    <a:ln>
                      <a:noFill/>
                    </a:ln>
                  </pic:spPr>
                </pic:pic>
              </a:graphicData>
            </a:graphic>
          </wp:inline>
        </w:drawing>
      </w:r>
      <w:r w:rsidRPr="00CD2EEF">
        <w:rPr>
          <w:lang w:val="en-GB"/>
        </w:rPr>
        <w:t xml:space="preserve"> </w:t>
      </w:r>
      <w:r w:rsidRPr="00CD2EEF">
        <w:rPr>
          <w:noProof/>
          <w:lang w:val="en-GB"/>
        </w:rPr>
        <w:drawing>
          <wp:inline distT="0" distB="0" distL="0" distR="0" wp14:anchorId="3707DD5B" wp14:editId="1CE89C6A">
            <wp:extent cx="2106000" cy="2160000"/>
            <wp:effectExtent l="0" t="0" r="8890" b="0"/>
            <wp:docPr id="23561" name="Slika 23561" descr="object contaminated with 226Ra in a cargo from Germany identified at the SIJ Acroni d.o.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 name="Slika 23561" descr="object contaminated with 226Ra in a cargo from Germany identified at the SIJ Acroni d.o.o. si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6000" cy="2160000"/>
                    </a:xfrm>
                    <a:prstGeom prst="rect">
                      <a:avLst/>
                    </a:prstGeom>
                    <a:noFill/>
                    <a:ln>
                      <a:noFill/>
                    </a:ln>
                  </pic:spPr>
                </pic:pic>
              </a:graphicData>
            </a:graphic>
          </wp:inline>
        </w:drawing>
      </w:r>
    </w:p>
    <w:p w14:paraId="7A6C5A90" w14:textId="5D82F0F0" w:rsidR="00CB3A79" w:rsidRPr="00CD2EEF" w:rsidRDefault="0005434D" w:rsidP="0005434D">
      <w:pPr>
        <w:pStyle w:val="LPnaslovslika"/>
        <w:rPr>
          <w:lang w:val="en-GB"/>
        </w:rPr>
      </w:pPr>
      <w:bookmarkStart w:id="114" w:name="_Toc126309895"/>
      <w:bookmarkEnd w:id="113"/>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16</w:t>
      </w:r>
      <w:r w:rsidR="00366B6D" w:rsidRPr="00CD2EEF">
        <w:rPr>
          <w:lang w:val="en-GB"/>
        </w:rPr>
        <w:fldChar w:fldCharType="end"/>
      </w:r>
      <w:r w:rsidR="00CB3A79" w:rsidRPr="00CD2EEF">
        <w:rPr>
          <w:lang w:val="en-GB"/>
        </w:rPr>
        <w:t xml:space="preserve">: Two objects contaminated with </w:t>
      </w:r>
      <w:r w:rsidR="00CB3A79" w:rsidRPr="00CD2EEF">
        <w:rPr>
          <w:rStyle w:val="LPnadpisano"/>
          <w:lang w:val="en-GB"/>
        </w:rPr>
        <w:t>226</w:t>
      </w:r>
      <w:r w:rsidR="00CB3A79" w:rsidRPr="00CD2EEF">
        <w:rPr>
          <w:lang w:val="en-GB"/>
        </w:rPr>
        <w:t xml:space="preserve">Ra </w:t>
      </w:r>
      <w:r w:rsidR="00CB3A79" w:rsidRPr="006D6975">
        <w:rPr>
          <w:lang w:val="en-GB"/>
        </w:rPr>
        <w:t xml:space="preserve">in </w:t>
      </w:r>
      <w:r w:rsidR="00C173A3" w:rsidRPr="006D6975">
        <w:rPr>
          <w:lang w:val="en-GB"/>
        </w:rPr>
        <w:t>a shipment</w:t>
      </w:r>
      <w:r w:rsidR="00CB3A79" w:rsidRPr="006D6975">
        <w:rPr>
          <w:lang w:val="en-GB"/>
        </w:rPr>
        <w:t xml:space="preserve"> from Germany identified at the SIJ Acroni d.o.o. site (Photo: </w:t>
      </w:r>
      <w:r w:rsidR="00E63423" w:rsidRPr="006D6975">
        <w:rPr>
          <w:lang w:val="en-GB"/>
        </w:rPr>
        <w:t>the SNSA</w:t>
      </w:r>
      <w:r w:rsidR="00CB3A79" w:rsidRPr="006D6975">
        <w:rPr>
          <w:lang w:val="en-GB"/>
        </w:rPr>
        <w:t xml:space="preserve"> Inspection)</w:t>
      </w:r>
      <w:bookmarkEnd w:id="114"/>
    </w:p>
    <w:p w14:paraId="29DB37E8" w14:textId="2B87E4FE" w:rsidR="00CB3A79" w:rsidRPr="00CD2EEF" w:rsidRDefault="00AD617B" w:rsidP="007853E4">
      <w:pPr>
        <w:pStyle w:val="LPnavaden"/>
        <w:rPr>
          <w:lang w:val="en-GB"/>
        </w:rPr>
      </w:pPr>
      <w:r>
        <w:rPr>
          <w:lang w:val="en-GB"/>
        </w:rPr>
        <w:t xml:space="preserve">Of the </w:t>
      </w:r>
      <w:r w:rsidR="00CB3A79" w:rsidRPr="00CD2EEF">
        <w:rPr>
          <w:lang w:val="en-GB"/>
        </w:rPr>
        <w:t xml:space="preserve">other four interventions, one is related to </w:t>
      </w:r>
      <w:r w:rsidR="004D268D">
        <w:rPr>
          <w:lang w:val="en-GB"/>
        </w:rPr>
        <w:t xml:space="preserve">a </w:t>
      </w:r>
      <w:r>
        <w:rPr>
          <w:lang w:val="en-GB"/>
        </w:rPr>
        <w:t>careless</w:t>
      </w:r>
      <w:r w:rsidR="00CB3A79" w:rsidRPr="00CD2EEF">
        <w:rPr>
          <w:lang w:val="en-GB"/>
        </w:rPr>
        <w:t xml:space="preserve"> driver who entered the protected zone of the JSI Reactor Infrastructure Centre. </w:t>
      </w:r>
      <w:r w:rsidR="00A726E8">
        <w:rPr>
          <w:lang w:val="en-GB"/>
        </w:rPr>
        <w:t>The</w:t>
      </w:r>
      <w:r w:rsidR="00E63423">
        <w:rPr>
          <w:lang w:val="en-GB"/>
        </w:rPr>
        <w:t xml:space="preserve"> SNSA</w:t>
      </w:r>
      <w:r w:rsidR="00CB3A79" w:rsidRPr="00CD2EEF">
        <w:rPr>
          <w:lang w:val="en-GB"/>
        </w:rPr>
        <w:t xml:space="preserve"> Inspection also analysed:</w:t>
      </w:r>
    </w:p>
    <w:p w14:paraId="59FC80D8" w14:textId="1768B8CC" w:rsidR="00CB3A79" w:rsidRPr="00CD2EEF" w:rsidRDefault="00142DC1" w:rsidP="00814F5F">
      <w:pPr>
        <w:pStyle w:val="LPalineje"/>
        <w:rPr>
          <w:lang w:val="en-GB"/>
        </w:rPr>
      </w:pPr>
      <w:r>
        <w:rPr>
          <w:lang w:val="en-GB"/>
        </w:rPr>
        <w:t xml:space="preserve">a </w:t>
      </w:r>
      <w:r w:rsidR="00CB3A79" w:rsidRPr="00CD2EEF">
        <w:rPr>
          <w:lang w:val="en-GB"/>
        </w:rPr>
        <w:t>web</w:t>
      </w:r>
      <w:r>
        <w:rPr>
          <w:lang w:val="en-GB"/>
        </w:rPr>
        <w:t>-</w:t>
      </w:r>
      <w:r w:rsidR="00CB3A79" w:rsidRPr="00CD2EEF">
        <w:rPr>
          <w:lang w:val="en-GB"/>
        </w:rPr>
        <w:t>based sale of smoke detectors with radioactive sources,</w:t>
      </w:r>
    </w:p>
    <w:p w14:paraId="46E7B5D6" w14:textId="55EBA2C8" w:rsidR="00CB3A79" w:rsidRPr="00CD2EEF" w:rsidRDefault="00142DC1" w:rsidP="00814F5F">
      <w:pPr>
        <w:pStyle w:val="LPalineje"/>
        <w:rPr>
          <w:lang w:val="en-GB"/>
        </w:rPr>
      </w:pPr>
      <w:r>
        <w:rPr>
          <w:lang w:val="en-GB"/>
        </w:rPr>
        <w:t xml:space="preserve">a </w:t>
      </w:r>
      <w:r w:rsidR="00CB3A79" w:rsidRPr="00CD2EEF">
        <w:rPr>
          <w:lang w:val="en-GB"/>
        </w:rPr>
        <w:t xml:space="preserve">camera lens with </w:t>
      </w:r>
      <w:r>
        <w:rPr>
          <w:lang w:val="en-GB"/>
        </w:rPr>
        <w:t xml:space="preserve">an </w:t>
      </w:r>
      <w:r w:rsidR="00CB3A79" w:rsidRPr="00CD2EEF">
        <w:rPr>
          <w:lang w:val="en-GB"/>
        </w:rPr>
        <w:t>elevated level of thorium</w:t>
      </w:r>
      <w:r>
        <w:rPr>
          <w:lang w:val="en-GB"/>
        </w:rPr>
        <w:t>, thus</w:t>
      </w:r>
      <w:r w:rsidR="00CB3A79" w:rsidRPr="00CD2EEF">
        <w:rPr>
          <w:lang w:val="en-GB"/>
        </w:rPr>
        <w:t xml:space="preserve"> triggering </w:t>
      </w:r>
      <w:r>
        <w:rPr>
          <w:lang w:val="en-GB"/>
        </w:rPr>
        <w:t xml:space="preserve">the </w:t>
      </w:r>
      <w:r w:rsidR="00CB3A79" w:rsidRPr="00CD2EEF">
        <w:rPr>
          <w:lang w:val="en-GB"/>
        </w:rPr>
        <w:t>detection system at the Post of Slovenia</w:t>
      </w:r>
      <w:r>
        <w:rPr>
          <w:lang w:val="en-GB"/>
        </w:rPr>
        <w:t>,</w:t>
      </w:r>
      <w:r w:rsidR="00CB3A79" w:rsidRPr="00CD2EEF">
        <w:rPr>
          <w:lang w:val="en-GB"/>
        </w:rPr>
        <w:t xml:space="preserve"> and</w:t>
      </w:r>
    </w:p>
    <w:p w14:paraId="4237A4A4" w14:textId="26A77C72" w:rsidR="00CB3A79" w:rsidRPr="00CD2EEF" w:rsidRDefault="00142DC1" w:rsidP="00AD2C6C">
      <w:pPr>
        <w:pStyle w:val="LPalineje"/>
        <w:rPr>
          <w:lang w:val="en-GB"/>
        </w:rPr>
      </w:pPr>
      <w:r>
        <w:rPr>
          <w:lang w:val="en-GB"/>
        </w:rPr>
        <w:t xml:space="preserve">the </w:t>
      </w:r>
      <w:r w:rsidR="00CB3A79" w:rsidRPr="00CD2EEF">
        <w:rPr>
          <w:lang w:val="en-GB"/>
        </w:rPr>
        <w:t xml:space="preserve">RAPEX report of the Dutch regulatory authority </w:t>
      </w:r>
      <w:r>
        <w:rPr>
          <w:lang w:val="en-GB"/>
        </w:rPr>
        <w:t>regarding</w:t>
      </w:r>
      <w:r w:rsidRPr="00CD2EEF">
        <w:rPr>
          <w:lang w:val="en-GB"/>
        </w:rPr>
        <w:t xml:space="preserve"> </w:t>
      </w:r>
      <w:r w:rsidR="00CB3A79" w:rsidRPr="00CD2EEF">
        <w:rPr>
          <w:lang w:val="en-GB"/>
        </w:rPr>
        <w:t xml:space="preserve">various objects, such as pendants and sleeping masks with radionuclides </w:t>
      </w:r>
      <w:r>
        <w:rPr>
          <w:lang w:val="en-GB"/>
        </w:rPr>
        <w:t>that</w:t>
      </w:r>
      <w:r w:rsidRPr="00CD2EEF">
        <w:rPr>
          <w:lang w:val="en-GB"/>
        </w:rPr>
        <w:t xml:space="preserve"> </w:t>
      </w:r>
      <w:r w:rsidR="00CB3A79" w:rsidRPr="00CD2EEF">
        <w:rPr>
          <w:lang w:val="en-GB"/>
        </w:rPr>
        <w:t>might</w:t>
      </w:r>
      <w:r w:rsidR="006C77F9">
        <w:rPr>
          <w:lang w:val="en-GB"/>
        </w:rPr>
        <w:t>,</w:t>
      </w:r>
      <w:r w:rsidR="00CB3A79" w:rsidRPr="00CD2EEF">
        <w:rPr>
          <w:lang w:val="en-GB"/>
        </w:rPr>
        <w:t xml:space="preserve"> when used for </w:t>
      </w:r>
      <w:r>
        <w:rPr>
          <w:lang w:val="en-GB"/>
        </w:rPr>
        <w:t xml:space="preserve">a </w:t>
      </w:r>
      <w:r w:rsidR="00CB3A79" w:rsidRPr="00CD2EEF">
        <w:rPr>
          <w:lang w:val="en-GB"/>
        </w:rPr>
        <w:t xml:space="preserve">protracted period of time, </w:t>
      </w:r>
      <w:r>
        <w:rPr>
          <w:lang w:val="en-GB"/>
        </w:rPr>
        <w:t>damag</w:t>
      </w:r>
      <w:r w:rsidR="006C77F9">
        <w:rPr>
          <w:lang w:val="en-GB"/>
        </w:rPr>
        <w:t>e</w:t>
      </w:r>
      <w:r w:rsidRPr="00CD2EEF">
        <w:rPr>
          <w:lang w:val="en-GB"/>
        </w:rPr>
        <w:t xml:space="preserve"> </w:t>
      </w:r>
      <w:r w:rsidR="00CB3A79" w:rsidRPr="00CD2EEF">
        <w:rPr>
          <w:lang w:val="en-GB"/>
        </w:rPr>
        <w:t>health</w:t>
      </w:r>
      <w:r>
        <w:rPr>
          <w:lang w:val="en-GB"/>
        </w:rPr>
        <w:t>;</w:t>
      </w:r>
      <w:r w:rsidR="00CB3A79" w:rsidRPr="00CD2EEF">
        <w:rPr>
          <w:lang w:val="en-GB"/>
        </w:rPr>
        <w:t xml:space="preserve"> however</w:t>
      </w:r>
      <w:r>
        <w:rPr>
          <w:lang w:val="en-GB"/>
        </w:rPr>
        <w:t>,</w:t>
      </w:r>
      <w:r w:rsidR="00CB3A79" w:rsidRPr="00CD2EEF">
        <w:rPr>
          <w:lang w:val="en-GB"/>
        </w:rPr>
        <w:t xml:space="preserve"> no such objects were </w:t>
      </w:r>
      <w:r w:rsidR="00573221">
        <w:rPr>
          <w:lang w:val="en-GB"/>
        </w:rPr>
        <w:t>found</w:t>
      </w:r>
      <w:r w:rsidR="00573221" w:rsidRPr="00CD2EEF">
        <w:rPr>
          <w:lang w:val="en-GB"/>
        </w:rPr>
        <w:t xml:space="preserve"> </w:t>
      </w:r>
      <w:r>
        <w:rPr>
          <w:lang w:val="en-GB"/>
        </w:rPr>
        <w:t>on</w:t>
      </w:r>
      <w:r w:rsidRPr="00CD2EEF">
        <w:rPr>
          <w:lang w:val="en-GB"/>
        </w:rPr>
        <w:t xml:space="preserve"> </w:t>
      </w:r>
      <w:r w:rsidR="00CB3A79" w:rsidRPr="00CD2EEF">
        <w:rPr>
          <w:lang w:val="en-GB"/>
        </w:rPr>
        <w:t xml:space="preserve">the market by </w:t>
      </w:r>
      <w:r w:rsidR="00A726E8">
        <w:rPr>
          <w:lang w:val="en-GB"/>
        </w:rPr>
        <w:t>the</w:t>
      </w:r>
      <w:r w:rsidR="00E63423">
        <w:rPr>
          <w:lang w:val="en-GB"/>
        </w:rPr>
        <w:t xml:space="preserve"> SNSA</w:t>
      </w:r>
      <w:r w:rsidR="00CB3A79" w:rsidRPr="00CD2EEF">
        <w:rPr>
          <w:lang w:val="en-GB"/>
        </w:rPr>
        <w:t xml:space="preserve"> Inspection.</w:t>
      </w:r>
    </w:p>
    <w:p w14:paraId="6BB3EF82" w14:textId="171A09DB" w:rsidR="00CB3A79" w:rsidRPr="00CD2EEF" w:rsidRDefault="000A2341" w:rsidP="00CB3A79">
      <w:pPr>
        <w:pStyle w:val="LPNaslov3"/>
        <w:rPr>
          <w:lang w:val="en-GB"/>
        </w:rPr>
      </w:pPr>
      <w:bookmarkStart w:id="115" w:name="_Toc84321614"/>
      <w:bookmarkStart w:id="116" w:name="_Toc126311996"/>
      <w:r>
        <w:rPr>
          <w:lang w:val="en-GB"/>
        </w:rPr>
        <w:t xml:space="preserve">The </w:t>
      </w:r>
      <w:r w:rsidR="00CB3A79" w:rsidRPr="00CD2EEF">
        <w:rPr>
          <w:lang w:val="en-GB"/>
        </w:rPr>
        <w:t>Use of Radiation Sources in Medicine and Veterinary Medicine</w:t>
      </w:r>
      <w:bookmarkEnd w:id="115"/>
      <w:bookmarkEnd w:id="116"/>
    </w:p>
    <w:p w14:paraId="70F83673" w14:textId="77777777" w:rsidR="00CB3A79" w:rsidRPr="00CD2EEF" w:rsidRDefault="00CB3A79" w:rsidP="005D031D">
      <w:pPr>
        <w:pStyle w:val="LPnavaden"/>
        <w:rPr>
          <w:lang w:val="en-GB"/>
        </w:rPr>
      </w:pPr>
      <w:r w:rsidRPr="00CD2EEF">
        <w:rPr>
          <w:lang w:val="en-GB"/>
        </w:rPr>
        <w:t xml:space="preserve">The SRPA is competent for the administration and inspection of practices involving radiation in medicine and veterinary medicine. </w:t>
      </w:r>
    </w:p>
    <w:p w14:paraId="7D4DCD17" w14:textId="77777777" w:rsidR="00CB3A79" w:rsidRPr="00CD2EEF" w:rsidRDefault="00CB3A79" w:rsidP="00CB3A79">
      <w:pPr>
        <w:pStyle w:val="LPpodpoglavje"/>
        <w:rPr>
          <w:lang w:val="en-GB"/>
        </w:rPr>
      </w:pPr>
      <w:bookmarkStart w:id="117" w:name="_Toc452641954"/>
      <w:bookmarkStart w:id="118" w:name="_Toc480790377"/>
      <w:bookmarkStart w:id="119" w:name="_Toc483815877"/>
      <w:bookmarkStart w:id="120" w:name="_Toc516129640"/>
      <w:r w:rsidRPr="00CD2EEF">
        <w:rPr>
          <w:lang w:val="en-GB"/>
        </w:rPr>
        <w:t>X-ray Devices in Medicine and Veterinary Medicine</w:t>
      </w:r>
    </w:p>
    <w:p w14:paraId="78221C32" w14:textId="658B3287" w:rsidR="0005434D" w:rsidRDefault="00CB3A79" w:rsidP="005D031D">
      <w:pPr>
        <w:pStyle w:val="LPnavaden"/>
        <w:rPr>
          <w:lang w:val="en-GB"/>
        </w:rPr>
      </w:pPr>
      <w:r w:rsidRPr="00CD2EEF">
        <w:rPr>
          <w:lang w:val="en-GB"/>
        </w:rPr>
        <w:t xml:space="preserve">According to the records of the SRPA, 1,287 X-ray devices for medicine and veterinary medicine were installed as of the end of 2021; 175 of them were not in use (3 required servicing, 143 were in reserve, and 29 were proposed for decommissioning). The categorisation of X-ray devices based on their purpose is given in </w:t>
      </w:r>
      <w:hyperlink w:anchor="t03" w:history="1">
        <w:r w:rsidRPr="00CD2EEF">
          <w:rPr>
            <w:rStyle w:val="Hiperpovezava"/>
            <w:lang w:val="en-GB"/>
          </w:rPr>
          <w:t>Table 3</w:t>
        </w:r>
      </w:hyperlink>
      <w:r w:rsidRPr="00CD2EEF">
        <w:rPr>
          <w:lang w:val="en-GB"/>
        </w:rPr>
        <w:t>.</w:t>
      </w:r>
    </w:p>
    <w:p w14:paraId="281E4AA6" w14:textId="77777777" w:rsidR="006D6975" w:rsidRPr="00CD2EEF" w:rsidRDefault="006D6975" w:rsidP="005D031D">
      <w:pPr>
        <w:pStyle w:val="LPnavaden"/>
        <w:rPr>
          <w:lang w:val="en-GB"/>
        </w:rPr>
      </w:pPr>
    </w:p>
    <w:p w14:paraId="23DBBCB4" w14:textId="13B695A6" w:rsidR="00CB3A79" w:rsidRPr="00CD2EEF" w:rsidRDefault="0005434D" w:rsidP="0005434D">
      <w:pPr>
        <w:pStyle w:val="LPnaslovpreglednica"/>
        <w:rPr>
          <w:lang w:val="en-GB"/>
        </w:rPr>
      </w:pPr>
      <w:bookmarkStart w:id="121" w:name="_Toc126309910"/>
      <w:bookmarkEnd w:id="117"/>
      <w:bookmarkEnd w:id="118"/>
      <w:bookmarkEnd w:id="119"/>
      <w:bookmarkEnd w:id="120"/>
      <w:r w:rsidRPr="00CD2EEF">
        <w:rPr>
          <w:lang w:val="en-GB"/>
        </w:rPr>
        <w:lastRenderedPageBreak/>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00BE0188" w:rsidRPr="00CD2EEF">
        <w:rPr>
          <w:lang w:val="en-GB"/>
        </w:rPr>
        <w:t>3</w:t>
      </w:r>
      <w:r w:rsidR="00366B6D" w:rsidRPr="00CD2EEF">
        <w:rPr>
          <w:lang w:val="en-GB"/>
        </w:rPr>
        <w:fldChar w:fldCharType="end"/>
      </w:r>
      <w:r w:rsidR="00CB3A79" w:rsidRPr="00CD2EEF">
        <w:rPr>
          <w:lang w:val="en-GB"/>
        </w:rPr>
        <w:t>: The number of X-ray devices in medicine and veterinary medicine by purpose</w:t>
      </w:r>
      <w:bookmarkEnd w:id="121"/>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2672"/>
        <w:gridCol w:w="1393"/>
        <w:gridCol w:w="1322"/>
        <w:gridCol w:w="1417"/>
        <w:gridCol w:w="1393"/>
      </w:tblGrid>
      <w:tr w:rsidR="00CB3A79" w:rsidRPr="00CD2EEF" w14:paraId="045C236F" w14:textId="77777777" w:rsidTr="00F60450">
        <w:trPr>
          <w:trHeight w:val="345"/>
          <w:tblHeader/>
        </w:trPr>
        <w:tc>
          <w:tcPr>
            <w:tcW w:w="2672" w:type="dxa"/>
            <w:shd w:val="clear" w:color="auto" w:fill="5B9BD5" w:themeFill="accent1"/>
          </w:tcPr>
          <w:p w14:paraId="3FE2FC63"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bookmarkStart w:id="122" w:name="t03"/>
            <w:bookmarkStart w:id="123" w:name="_Hlk37145264"/>
            <w:r w:rsidRPr="00CD2EEF">
              <w:rPr>
                <w:rFonts w:ascii="Garamond" w:eastAsia="Calibri" w:hAnsi="Garamond"/>
                <w:bCs/>
                <w:sz w:val="20"/>
                <w:szCs w:val="16"/>
                <w:lang w:val="en-GB"/>
              </w:rPr>
              <w:t>Purpose</w:t>
            </w:r>
          </w:p>
        </w:tc>
        <w:tc>
          <w:tcPr>
            <w:tcW w:w="1393" w:type="dxa"/>
            <w:shd w:val="clear" w:color="auto" w:fill="5B9BD5" w:themeFill="accent1"/>
          </w:tcPr>
          <w:p w14:paraId="01F9483F"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r w:rsidRPr="00CD2EEF">
              <w:rPr>
                <w:rFonts w:ascii="Garamond" w:eastAsia="Calibri" w:hAnsi="Garamond"/>
                <w:bCs/>
                <w:sz w:val="20"/>
                <w:szCs w:val="16"/>
                <w:lang w:val="en-GB"/>
              </w:rPr>
              <w:t>Status 2020</w:t>
            </w:r>
          </w:p>
        </w:tc>
        <w:tc>
          <w:tcPr>
            <w:tcW w:w="1322" w:type="dxa"/>
            <w:shd w:val="clear" w:color="auto" w:fill="5B9BD5" w:themeFill="accent1"/>
          </w:tcPr>
          <w:p w14:paraId="53554A0A"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r w:rsidRPr="00CD2EEF">
              <w:rPr>
                <w:rFonts w:ascii="Garamond" w:eastAsia="Calibri" w:hAnsi="Garamond"/>
                <w:bCs/>
                <w:sz w:val="20"/>
                <w:szCs w:val="16"/>
                <w:lang w:val="en-GB"/>
              </w:rPr>
              <w:t>New</w:t>
            </w:r>
          </w:p>
        </w:tc>
        <w:tc>
          <w:tcPr>
            <w:tcW w:w="1417" w:type="dxa"/>
            <w:shd w:val="clear" w:color="auto" w:fill="5B9BD5" w:themeFill="accent1"/>
          </w:tcPr>
          <w:p w14:paraId="0A064179"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r w:rsidRPr="00CD2EEF">
              <w:rPr>
                <w:rFonts w:ascii="Garamond" w:eastAsia="Calibri" w:hAnsi="Garamond"/>
                <w:bCs/>
                <w:sz w:val="20"/>
                <w:szCs w:val="16"/>
                <w:lang w:val="en-GB"/>
              </w:rPr>
              <w:t>Written-off</w:t>
            </w:r>
          </w:p>
        </w:tc>
        <w:tc>
          <w:tcPr>
            <w:tcW w:w="1393" w:type="dxa"/>
            <w:shd w:val="clear" w:color="auto" w:fill="5B9BD5" w:themeFill="accent1"/>
          </w:tcPr>
          <w:p w14:paraId="2D0A6F4A"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r w:rsidRPr="00CD2EEF">
              <w:rPr>
                <w:rFonts w:ascii="Garamond" w:eastAsia="Calibri" w:hAnsi="Garamond"/>
                <w:bCs/>
                <w:sz w:val="20"/>
                <w:szCs w:val="16"/>
                <w:lang w:val="en-GB"/>
              </w:rPr>
              <w:t>Status 2021</w:t>
            </w:r>
          </w:p>
        </w:tc>
      </w:tr>
      <w:tr w:rsidR="00CB3A79" w:rsidRPr="00CD2EEF" w14:paraId="730972BD" w14:textId="77777777" w:rsidTr="00F60450">
        <w:trPr>
          <w:trHeight w:val="345"/>
        </w:trPr>
        <w:tc>
          <w:tcPr>
            <w:tcW w:w="2672" w:type="dxa"/>
          </w:tcPr>
          <w:p w14:paraId="5DC7F99E" w14:textId="77777777" w:rsidR="00CB3A79" w:rsidRPr="00CD2EEF" w:rsidRDefault="00CB3A79" w:rsidP="00F60450">
            <w:pPr>
              <w:rPr>
                <w:rFonts w:ascii="Garamond" w:eastAsia="Calibri" w:hAnsi="Garamond"/>
                <w:bCs/>
                <w:sz w:val="20"/>
                <w:szCs w:val="20"/>
                <w:lang w:val="en-GB"/>
              </w:rPr>
            </w:pPr>
            <w:r w:rsidRPr="00CD2EEF">
              <w:rPr>
                <w:rFonts w:ascii="Garamond" w:eastAsia="Calibri" w:hAnsi="Garamond"/>
                <w:bCs/>
                <w:sz w:val="20"/>
                <w:szCs w:val="20"/>
                <w:lang w:val="en-GB"/>
              </w:rPr>
              <w:t>Dental</w:t>
            </w:r>
          </w:p>
        </w:tc>
        <w:tc>
          <w:tcPr>
            <w:tcW w:w="1393" w:type="dxa"/>
            <w:vAlign w:val="center"/>
          </w:tcPr>
          <w:p w14:paraId="5BC00740" w14:textId="77777777" w:rsidR="00CB3A79" w:rsidRPr="00CD2EEF" w:rsidRDefault="00CB3A79" w:rsidP="00F60450">
            <w:pPr>
              <w:jc w:val="center"/>
              <w:rPr>
                <w:rFonts w:ascii="Garamond" w:eastAsia="Calibri" w:hAnsi="Garamond"/>
                <w:bCs/>
                <w:sz w:val="20"/>
                <w:szCs w:val="20"/>
                <w:lang w:val="en-GB"/>
              </w:rPr>
            </w:pPr>
            <w:r w:rsidRPr="00CD2EEF">
              <w:rPr>
                <w:rFonts w:ascii="Garamond" w:hAnsi="Garamond"/>
                <w:bCs/>
                <w:sz w:val="20"/>
                <w:szCs w:val="20"/>
                <w:lang w:val="en-GB"/>
              </w:rPr>
              <w:t>634</w:t>
            </w:r>
          </w:p>
        </w:tc>
        <w:tc>
          <w:tcPr>
            <w:tcW w:w="1322" w:type="dxa"/>
            <w:vAlign w:val="center"/>
          </w:tcPr>
          <w:p w14:paraId="70E30ED2"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62</w:t>
            </w:r>
          </w:p>
        </w:tc>
        <w:tc>
          <w:tcPr>
            <w:tcW w:w="1417" w:type="dxa"/>
            <w:vAlign w:val="center"/>
          </w:tcPr>
          <w:p w14:paraId="51BC6FB2"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25</w:t>
            </w:r>
          </w:p>
        </w:tc>
        <w:tc>
          <w:tcPr>
            <w:tcW w:w="1393" w:type="dxa"/>
            <w:vAlign w:val="center"/>
          </w:tcPr>
          <w:p w14:paraId="4515DE99"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671</w:t>
            </w:r>
          </w:p>
        </w:tc>
      </w:tr>
      <w:tr w:rsidR="00CB3A79" w:rsidRPr="00CD2EEF" w14:paraId="23249A21" w14:textId="77777777" w:rsidTr="00F60450">
        <w:trPr>
          <w:trHeight w:val="345"/>
        </w:trPr>
        <w:tc>
          <w:tcPr>
            <w:tcW w:w="2672" w:type="dxa"/>
          </w:tcPr>
          <w:p w14:paraId="4C83B0B9" w14:textId="77777777" w:rsidR="00CB3A79" w:rsidRPr="00CD2EEF" w:rsidRDefault="00CB3A79" w:rsidP="00F60450">
            <w:pPr>
              <w:rPr>
                <w:rFonts w:ascii="Garamond" w:eastAsia="Calibri" w:hAnsi="Garamond"/>
                <w:bCs/>
                <w:sz w:val="20"/>
                <w:szCs w:val="20"/>
                <w:lang w:val="en-GB"/>
              </w:rPr>
            </w:pPr>
            <w:r w:rsidRPr="00CD2EEF">
              <w:rPr>
                <w:rFonts w:ascii="Garamond" w:eastAsia="Calibri" w:hAnsi="Garamond"/>
                <w:bCs/>
                <w:sz w:val="20"/>
                <w:szCs w:val="20"/>
                <w:lang w:val="en-GB"/>
              </w:rPr>
              <w:t>Diagnostic</w:t>
            </w:r>
          </w:p>
        </w:tc>
        <w:tc>
          <w:tcPr>
            <w:tcW w:w="1393" w:type="dxa"/>
            <w:vAlign w:val="center"/>
          </w:tcPr>
          <w:p w14:paraId="731F90FB" w14:textId="77777777" w:rsidR="00CB3A79" w:rsidRPr="00CD2EEF" w:rsidRDefault="00CB3A79" w:rsidP="00F60450">
            <w:pPr>
              <w:jc w:val="center"/>
              <w:rPr>
                <w:rFonts w:ascii="Garamond" w:eastAsia="Calibri" w:hAnsi="Garamond"/>
                <w:bCs/>
                <w:sz w:val="20"/>
                <w:szCs w:val="20"/>
                <w:lang w:val="en-GB"/>
              </w:rPr>
            </w:pPr>
            <w:r w:rsidRPr="00CD2EEF">
              <w:rPr>
                <w:rFonts w:ascii="Garamond" w:hAnsi="Garamond"/>
                <w:bCs/>
                <w:sz w:val="20"/>
                <w:szCs w:val="20"/>
                <w:lang w:val="en-GB"/>
              </w:rPr>
              <w:t>319</w:t>
            </w:r>
          </w:p>
        </w:tc>
        <w:tc>
          <w:tcPr>
            <w:tcW w:w="1322" w:type="dxa"/>
            <w:vAlign w:val="center"/>
          </w:tcPr>
          <w:p w14:paraId="1D09DCFB"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33</w:t>
            </w:r>
          </w:p>
        </w:tc>
        <w:tc>
          <w:tcPr>
            <w:tcW w:w="1417" w:type="dxa"/>
            <w:vAlign w:val="center"/>
          </w:tcPr>
          <w:p w14:paraId="1E6F3CF6"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15</w:t>
            </w:r>
          </w:p>
        </w:tc>
        <w:tc>
          <w:tcPr>
            <w:tcW w:w="1393" w:type="dxa"/>
            <w:vAlign w:val="center"/>
          </w:tcPr>
          <w:p w14:paraId="2C82708D"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337</w:t>
            </w:r>
          </w:p>
        </w:tc>
      </w:tr>
      <w:tr w:rsidR="00CB3A79" w:rsidRPr="00CD2EEF" w14:paraId="5C632849" w14:textId="77777777" w:rsidTr="00F60450">
        <w:trPr>
          <w:trHeight w:val="345"/>
        </w:trPr>
        <w:tc>
          <w:tcPr>
            <w:tcW w:w="2672" w:type="dxa"/>
          </w:tcPr>
          <w:p w14:paraId="4E39B3B6" w14:textId="77777777" w:rsidR="00CB3A79" w:rsidRPr="00CD2EEF" w:rsidRDefault="00CB3A79" w:rsidP="00F60450">
            <w:pPr>
              <w:rPr>
                <w:rFonts w:ascii="Garamond" w:eastAsia="Calibri" w:hAnsi="Garamond"/>
                <w:bCs/>
                <w:sz w:val="20"/>
                <w:szCs w:val="20"/>
                <w:lang w:val="en-GB"/>
              </w:rPr>
            </w:pPr>
            <w:r w:rsidRPr="00CD2EEF">
              <w:rPr>
                <w:rFonts w:ascii="Garamond" w:eastAsia="Calibri" w:hAnsi="Garamond"/>
                <w:bCs/>
                <w:sz w:val="20"/>
                <w:szCs w:val="20"/>
                <w:lang w:val="en-GB"/>
              </w:rPr>
              <w:t>Therapeutic</w:t>
            </w:r>
          </w:p>
        </w:tc>
        <w:tc>
          <w:tcPr>
            <w:tcW w:w="1393" w:type="dxa"/>
            <w:vAlign w:val="center"/>
          </w:tcPr>
          <w:p w14:paraId="16B03126" w14:textId="77777777" w:rsidR="00CB3A79" w:rsidRPr="00CD2EEF" w:rsidRDefault="00CB3A79" w:rsidP="00F60450">
            <w:pPr>
              <w:jc w:val="center"/>
              <w:rPr>
                <w:rFonts w:ascii="Garamond" w:eastAsia="Calibri" w:hAnsi="Garamond"/>
                <w:bCs/>
                <w:sz w:val="20"/>
                <w:szCs w:val="20"/>
                <w:lang w:val="en-GB"/>
              </w:rPr>
            </w:pPr>
            <w:r w:rsidRPr="00CD2EEF">
              <w:rPr>
                <w:rFonts w:ascii="Garamond" w:hAnsi="Garamond"/>
                <w:bCs/>
                <w:sz w:val="20"/>
                <w:szCs w:val="20"/>
                <w:lang w:val="en-GB"/>
              </w:rPr>
              <w:t>13</w:t>
            </w:r>
          </w:p>
        </w:tc>
        <w:tc>
          <w:tcPr>
            <w:tcW w:w="1322" w:type="dxa"/>
            <w:vAlign w:val="center"/>
          </w:tcPr>
          <w:p w14:paraId="005A4517"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0</w:t>
            </w:r>
          </w:p>
        </w:tc>
        <w:tc>
          <w:tcPr>
            <w:tcW w:w="1417" w:type="dxa"/>
            <w:vAlign w:val="center"/>
          </w:tcPr>
          <w:p w14:paraId="2219455F"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0</w:t>
            </w:r>
          </w:p>
        </w:tc>
        <w:tc>
          <w:tcPr>
            <w:tcW w:w="1393" w:type="dxa"/>
            <w:vAlign w:val="center"/>
          </w:tcPr>
          <w:p w14:paraId="3E8701F7"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13</w:t>
            </w:r>
          </w:p>
        </w:tc>
      </w:tr>
      <w:tr w:rsidR="00CB3A79" w:rsidRPr="00CD2EEF" w14:paraId="472D3AF7" w14:textId="77777777" w:rsidTr="00F60450">
        <w:trPr>
          <w:trHeight w:val="345"/>
        </w:trPr>
        <w:tc>
          <w:tcPr>
            <w:tcW w:w="2672" w:type="dxa"/>
          </w:tcPr>
          <w:p w14:paraId="630D6444" w14:textId="77777777" w:rsidR="00CB3A79" w:rsidRPr="00CD2EEF" w:rsidRDefault="00CB3A79" w:rsidP="00F60450">
            <w:pPr>
              <w:rPr>
                <w:rFonts w:ascii="Garamond" w:eastAsia="Calibri" w:hAnsi="Garamond"/>
                <w:bCs/>
                <w:sz w:val="20"/>
                <w:szCs w:val="20"/>
                <w:lang w:val="en-GB"/>
              </w:rPr>
            </w:pPr>
            <w:r w:rsidRPr="00CD2EEF">
              <w:rPr>
                <w:rFonts w:ascii="Garamond" w:eastAsia="Calibri" w:hAnsi="Garamond"/>
                <w:bCs/>
                <w:sz w:val="20"/>
                <w:szCs w:val="20"/>
                <w:lang w:val="en-GB"/>
              </w:rPr>
              <w:t>Simulator</w:t>
            </w:r>
          </w:p>
        </w:tc>
        <w:tc>
          <w:tcPr>
            <w:tcW w:w="1393" w:type="dxa"/>
            <w:vAlign w:val="center"/>
          </w:tcPr>
          <w:p w14:paraId="13CC6630" w14:textId="77777777" w:rsidR="00CB3A79" w:rsidRPr="00CD2EEF" w:rsidRDefault="00CB3A79" w:rsidP="00F60450">
            <w:pPr>
              <w:jc w:val="center"/>
              <w:rPr>
                <w:rFonts w:ascii="Garamond" w:eastAsia="Calibri" w:hAnsi="Garamond"/>
                <w:bCs/>
                <w:sz w:val="20"/>
                <w:szCs w:val="20"/>
                <w:lang w:val="en-GB"/>
              </w:rPr>
            </w:pPr>
            <w:r w:rsidRPr="00CD2EEF">
              <w:rPr>
                <w:rFonts w:ascii="Garamond" w:hAnsi="Garamond"/>
                <w:bCs/>
                <w:sz w:val="20"/>
                <w:szCs w:val="20"/>
                <w:lang w:val="en-GB"/>
              </w:rPr>
              <w:t>3</w:t>
            </w:r>
          </w:p>
        </w:tc>
        <w:tc>
          <w:tcPr>
            <w:tcW w:w="1322" w:type="dxa"/>
            <w:vAlign w:val="center"/>
          </w:tcPr>
          <w:p w14:paraId="2378FEFB"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0</w:t>
            </w:r>
          </w:p>
        </w:tc>
        <w:tc>
          <w:tcPr>
            <w:tcW w:w="1417" w:type="dxa"/>
            <w:vAlign w:val="center"/>
          </w:tcPr>
          <w:p w14:paraId="73DA97DB"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0</w:t>
            </w:r>
          </w:p>
        </w:tc>
        <w:tc>
          <w:tcPr>
            <w:tcW w:w="1393" w:type="dxa"/>
            <w:vAlign w:val="center"/>
          </w:tcPr>
          <w:p w14:paraId="2400A100"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3</w:t>
            </w:r>
          </w:p>
        </w:tc>
      </w:tr>
      <w:tr w:rsidR="00CB3A79" w:rsidRPr="00CD2EEF" w14:paraId="0D5B10CA" w14:textId="77777777" w:rsidTr="00F60450">
        <w:trPr>
          <w:trHeight w:val="345"/>
        </w:trPr>
        <w:tc>
          <w:tcPr>
            <w:tcW w:w="2672" w:type="dxa"/>
          </w:tcPr>
          <w:p w14:paraId="2D3BF7E3" w14:textId="77777777" w:rsidR="00CB3A79" w:rsidRPr="00CD2EEF" w:rsidRDefault="00CB3A79" w:rsidP="00F60450">
            <w:pPr>
              <w:rPr>
                <w:rFonts w:ascii="Garamond" w:eastAsia="Calibri" w:hAnsi="Garamond"/>
                <w:bCs/>
                <w:sz w:val="20"/>
                <w:szCs w:val="20"/>
                <w:lang w:val="en-GB"/>
              </w:rPr>
            </w:pPr>
            <w:r w:rsidRPr="00CD2EEF">
              <w:rPr>
                <w:rFonts w:ascii="Garamond" w:eastAsia="Calibri" w:hAnsi="Garamond"/>
                <w:bCs/>
                <w:sz w:val="20"/>
                <w:szCs w:val="20"/>
                <w:lang w:val="en-GB"/>
              </w:rPr>
              <w:t>Mammography</w:t>
            </w:r>
          </w:p>
        </w:tc>
        <w:tc>
          <w:tcPr>
            <w:tcW w:w="1393" w:type="dxa"/>
            <w:vAlign w:val="center"/>
          </w:tcPr>
          <w:p w14:paraId="70A1975A" w14:textId="77777777" w:rsidR="00CB3A79" w:rsidRPr="00CD2EEF" w:rsidRDefault="00CB3A79" w:rsidP="00F60450">
            <w:pPr>
              <w:jc w:val="center"/>
              <w:rPr>
                <w:rFonts w:ascii="Garamond" w:eastAsia="Calibri" w:hAnsi="Garamond"/>
                <w:bCs/>
                <w:sz w:val="20"/>
                <w:szCs w:val="20"/>
                <w:lang w:val="en-GB"/>
              </w:rPr>
            </w:pPr>
            <w:r w:rsidRPr="00CD2EEF">
              <w:rPr>
                <w:rFonts w:ascii="Garamond" w:hAnsi="Garamond"/>
                <w:bCs/>
                <w:sz w:val="20"/>
                <w:szCs w:val="20"/>
                <w:lang w:val="en-GB"/>
              </w:rPr>
              <w:t>36</w:t>
            </w:r>
          </w:p>
        </w:tc>
        <w:tc>
          <w:tcPr>
            <w:tcW w:w="1322" w:type="dxa"/>
            <w:vAlign w:val="center"/>
          </w:tcPr>
          <w:p w14:paraId="02385A60"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2</w:t>
            </w:r>
          </w:p>
        </w:tc>
        <w:tc>
          <w:tcPr>
            <w:tcW w:w="1417" w:type="dxa"/>
            <w:vAlign w:val="center"/>
          </w:tcPr>
          <w:p w14:paraId="46EFBFF5"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2</w:t>
            </w:r>
          </w:p>
        </w:tc>
        <w:tc>
          <w:tcPr>
            <w:tcW w:w="1393" w:type="dxa"/>
            <w:vAlign w:val="center"/>
          </w:tcPr>
          <w:p w14:paraId="76A404DA"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36</w:t>
            </w:r>
          </w:p>
        </w:tc>
      </w:tr>
      <w:tr w:rsidR="00CB3A79" w:rsidRPr="00CD2EEF" w14:paraId="6109FB3C" w14:textId="77777777" w:rsidTr="00F60450">
        <w:trPr>
          <w:trHeight w:val="345"/>
        </w:trPr>
        <w:tc>
          <w:tcPr>
            <w:tcW w:w="2672" w:type="dxa"/>
          </w:tcPr>
          <w:p w14:paraId="799FD6F1" w14:textId="77777777" w:rsidR="00CB3A79" w:rsidRPr="00CD2EEF" w:rsidRDefault="00CB3A79" w:rsidP="00F60450">
            <w:pPr>
              <w:rPr>
                <w:rFonts w:ascii="Garamond" w:eastAsia="Calibri" w:hAnsi="Garamond"/>
                <w:bCs/>
                <w:sz w:val="20"/>
                <w:szCs w:val="20"/>
                <w:lang w:val="en-GB"/>
              </w:rPr>
            </w:pPr>
            <w:r w:rsidRPr="00CD2EEF">
              <w:rPr>
                <w:rFonts w:ascii="Garamond" w:eastAsia="Calibri" w:hAnsi="Garamond"/>
                <w:bCs/>
                <w:sz w:val="20"/>
                <w:szCs w:val="20"/>
                <w:lang w:val="en-GB"/>
              </w:rPr>
              <w:t>Computed Tomography CT</w:t>
            </w:r>
          </w:p>
        </w:tc>
        <w:tc>
          <w:tcPr>
            <w:tcW w:w="1393" w:type="dxa"/>
            <w:vAlign w:val="center"/>
          </w:tcPr>
          <w:p w14:paraId="0405D949" w14:textId="77777777" w:rsidR="00CB3A79" w:rsidRPr="00CD2EEF" w:rsidRDefault="00CB3A79" w:rsidP="00F60450">
            <w:pPr>
              <w:jc w:val="center"/>
              <w:rPr>
                <w:rFonts w:ascii="Garamond" w:eastAsia="Calibri" w:hAnsi="Garamond"/>
                <w:bCs/>
                <w:sz w:val="20"/>
                <w:szCs w:val="20"/>
                <w:lang w:val="en-GB"/>
              </w:rPr>
            </w:pPr>
            <w:r w:rsidRPr="00CD2EEF">
              <w:rPr>
                <w:rFonts w:ascii="Garamond" w:hAnsi="Garamond"/>
                <w:bCs/>
                <w:sz w:val="20"/>
                <w:szCs w:val="20"/>
                <w:lang w:val="en-GB"/>
              </w:rPr>
              <w:t>45</w:t>
            </w:r>
          </w:p>
        </w:tc>
        <w:tc>
          <w:tcPr>
            <w:tcW w:w="1322" w:type="dxa"/>
            <w:vAlign w:val="center"/>
          </w:tcPr>
          <w:p w14:paraId="6F6D7133"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1</w:t>
            </w:r>
          </w:p>
        </w:tc>
        <w:tc>
          <w:tcPr>
            <w:tcW w:w="1417" w:type="dxa"/>
            <w:vAlign w:val="center"/>
          </w:tcPr>
          <w:p w14:paraId="549CADC2"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1</w:t>
            </w:r>
          </w:p>
        </w:tc>
        <w:tc>
          <w:tcPr>
            <w:tcW w:w="1393" w:type="dxa"/>
            <w:vAlign w:val="center"/>
          </w:tcPr>
          <w:p w14:paraId="19C2CB9D"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45</w:t>
            </w:r>
          </w:p>
        </w:tc>
      </w:tr>
      <w:tr w:rsidR="00CB3A79" w:rsidRPr="00CD2EEF" w14:paraId="54731997" w14:textId="77777777" w:rsidTr="00F60450">
        <w:trPr>
          <w:trHeight w:val="345"/>
        </w:trPr>
        <w:tc>
          <w:tcPr>
            <w:tcW w:w="2672" w:type="dxa"/>
          </w:tcPr>
          <w:p w14:paraId="56F80549" w14:textId="77777777" w:rsidR="00CB3A79" w:rsidRPr="00CD2EEF" w:rsidRDefault="00CB3A79" w:rsidP="00F60450">
            <w:pPr>
              <w:rPr>
                <w:rFonts w:ascii="Garamond" w:eastAsia="Calibri" w:hAnsi="Garamond"/>
                <w:bCs/>
                <w:sz w:val="20"/>
                <w:szCs w:val="20"/>
                <w:lang w:val="en-GB"/>
              </w:rPr>
            </w:pPr>
            <w:r w:rsidRPr="00CD2EEF">
              <w:rPr>
                <w:rFonts w:ascii="Garamond" w:eastAsia="Calibri" w:hAnsi="Garamond"/>
                <w:bCs/>
                <w:sz w:val="20"/>
                <w:szCs w:val="20"/>
                <w:lang w:val="en-GB"/>
              </w:rPr>
              <w:t>Densitometers</w:t>
            </w:r>
          </w:p>
        </w:tc>
        <w:tc>
          <w:tcPr>
            <w:tcW w:w="1393" w:type="dxa"/>
            <w:vAlign w:val="center"/>
          </w:tcPr>
          <w:p w14:paraId="03EFAF38" w14:textId="77777777" w:rsidR="00CB3A79" w:rsidRPr="00CD2EEF" w:rsidRDefault="00CB3A79" w:rsidP="00F60450">
            <w:pPr>
              <w:jc w:val="center"/>
              <w:rPr>
                <w:rFonts w:ascii="Garamond" w:eastAsia="Calibri" w:hAnsi="Garamond"/>
                <w:bCs/>
                <w:sz w:val="20"/>
                <w:szCs w:val="20"/>
                <w:lang w:val="en-GB"/>
              </w:rPr>
            </w:pPr>
            <w:r w:rsidRPr="00CD2EEF">
              <w:rPr>
                <w:rFonts w:ascii="Garamond" w:hAnsi="Garamond"/>
                <w:bCs/>
                <w:sz w:val="20"/>
                <w:szCs w:val="20"/>
                <w:lang w:val="en-GB"/>
              </w:rPr>
              <w:t>46</w:t>
            </w:r>
          </w:p>
        </w:tc>
        <w:tc>
          <w:tcPr>
            <w:tcW w:w="1322" w:type="dxa"/>
            <w:vAlign w:val="center"/>
          </w:tcPr>
          <w:p w14:paraId="1D21A7D3"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3</w:t>
            </w:r>
          </w:p>
        </w:tc>
        <w:tc>
          <w:tcPr>
            <w:tcW w:w="1417" w:type="dxa"/>
            <w:vAlign w:val="center"/>
          </w:tcPr>
          <w:p w14:paraId="2F301123"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3</w:t>
            </w:r>
          </w:p>
        </w:tc>
        <w:tc>
          <w:tcPr>
            <w:tcW w:w="1393" w:type="dxa"/>
            <w:vAlign w:val="center"/>
          </w:tcPr>
          <w:p w14:paraId="620E2A21"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46</w:t>
            </w:r>
          </w:p>
        </w:tc>
      </w:tr>
      <w:tr w:rsidR="00CB3A79" w:rsidRPr="00CD2EEF" w14:paraId="01297A47" w14:textId="77777777" w:rsidTr="00F60450">
        <w:trPr>
          <w:trHeight w:val="345"/>
        </w:trPr>
        <w:tc>
          <w:tcPr>
            <w:tcW w:w="2672" w:type="dxa"/>
          </w:tcPr>
          <w:p w14:paraId="5EA99B62" w14:textId="77777777" w:rsidR="00CB3A79" w:rsidRPr="00CD2EEF" w:rsidRDefault="00CB3A79" w:rsidP="00F60450">
            <w:pPr>
              <w:rPr>
                <w:rFonts w:ascii="Garamond" w:eastAsia="Calibri" w:hAnsi="Garamond"/>
                <w:bCs/>
                <w:sz w:val="20"/>
                <w:szCs w:val="20"/>
                <w:lang w:val="en-GB"/>
              </w:rPr>
            </w:pPr>
            <w:r w:rsidRPr="00CD2EEF">
              <w:rPr>
                <w:rFonts w:ascii="Garamond" w:eastAsia="Calibri" w:hAnsi="Garamond"/>
                <w:bCs/>
                <w:sz w:val="20"/>
                <w:szCs w:val="20"/>
                <w:lang w:val="en-GB"/>
              </w:rPr>
              <w:t>Veterinary</w:t>
            </w:r>
          </w:p>
        </w:tc>
        <w:tc>
          <w:tcPr>
            <w:tcW w:w="1393" w:type="dxa"/>
            <w:vAlign w:val="center"/>
          </w:tcPr>
          <w:p w14:paraId="2BBADD2A" w14:textId="77777777" w:rsidR="00CB3A79" w:rsidRPr="00CD2EEF" w:rsidRDefault="00CB3A79" w:rsidP="00F60450">
            <w:pPr>
              <w:jc w:val="center"/>
              <w:rPr>
                <w:rFonts w:ascii="Garamond" w:eastAsia="Calibri" w:hAnsi="Garamond"/>
                <w:bCs/>
                <w:sz w:val="20"/>
                <w:szCs w:val="20"/>
                <w:lang w:val="en-GB"/>
              </w:rPr>
            </w:pPr>
            <w:r w:rsidRPr="00CD2EEF">
              <w:rPr>
                <w:rFonts w:ascii="Garamond" w:hAnsi="Garamond"/>
                <w:bCs/>
                <w:sz w:val="20"/>
                <w:szCs w:val="20"/>
                <w:lang w:val="en-GB"/>
              </w:rPr>
              <w:t>122</w:t>
            </w:r>
          </w:p>
        </w:tc>
        <w:tc>
          <w:tcPr>
            <w:tcW w:w="1322" w:type="dxa"/>
            <w:vAlign w:val="center"/>
          </w:tcPr>
          <w:p w14:paraId="3AC35093"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12</w:t>
            </w:r>
          </w:p>
        </w:tc>
        <w:tc>
          <w:tcPr>
            <w:tcW w:w="1417" w:type="dxa"/>
            <w:vAlign w:val="center"/>
          </w:tcPr>
          <w:p w14:paraId="71F6F9B5"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1</w:t>
            </w:r>
          </w:p>
        </w:tc>
        <w:tc>
          <w:tcPr>
            <w:tcW w:w="1393" w:type="dxa"/>
            <w:vAlign w:val="center"/>
          </w:tcPr>
          <w:p w14:paraId="2AD67A95" w14:textId="77777777" w:rsidR="00CB3A79" w:rsidRPr="00CD2EEF" w:rsidRDefault="00CB3A79" w:rsidP="00F60450">
            <w:pPr>
              <w:jc w:val="center"/>
              <w:rPr>
                <w:rFonts w:ascii="Garamond" w:eastAsia="Calibri" w:hAnsi="Garamond"/>
                <w:bCs/>
                <w:sz w:val="20"/>
                <w:szCs w:val="20"/>
                <w:lang w:val="en-GB"/>
              </w:rPr>
            </w:pPr>
            <w:r w:rsidRPr="00CD2EEF">
              <w:rPr>
                <w:bCs/>
                <w:sz w:val="20"/>
                <w:szCs w:val="20"/>
                <w:lang w:val="en-GB"/>
              </w:rPr>
              <w:t>133</w:t>
            </w:r>
          </w:p>
        </w:tc>
      </w:tr>
      <w:tr w:rsidR="00CB3A79" w:rsidRPr="00CD2EEF" w14:paraId="03EE47CD" w14:textId="77777777" w:rsidTr="00F60450">
        <w:trPr>
          <w:trHeight w:val="345"/>
        </w:trPr>
        <w:tc>
          <w:tcPr>
            <w:tcW w:w="2672" w:type="dxa"/>
            <w:shd w:val="clear" w:color="auto" w:fill="5B9BD5" w:themeFill="accent1"/>
            <w:vAlign w:val="center"/>
          </w:tcPr>
          <w:p w14:paraId="2F44A898" w14:textId="77777777" w:rsidR="00CB3A79" w:rsidRPr="00CD2EEF" w:rsidRDefault="00CB3A79" w:rsidP="00F60450">
            <w:pPr>
              <w:shd w:val="clear" w:color="auto" w:fill="5B9BD5" w:themeFill="accent1"/>
              <w:spacing w:line="360" w:lineRule="auto"/>
              <w:rPr>
                <w:rFonts w:ascii="Garamond" w:eastAsia="Calibri" w:hAnsi="Garamond"/>
                <w:bCs/>
                <w:sz w:val="20"/>
                <w:szCs w:val="16"/>
                <w:lang w:val="en-GB"/>
              </w:rPr>
            </w:pPr>
            <w:r w:rsidRPr="00CD2EEF">
              <w:rPr>
                <w:rFonts w:ascii="Garamond" w:eastAsia="Calibri" w:hAnsi="Garamond"/>
                <w:bCs/>
                <w:sz w:val="20"/>
                <w:szCs w:val="16"/>
                <w:lang w:val="en-GB"/>
              </w:rPr>
              <w:t>TOTAL</w:t>
            </w:r>
          </w:p>
        </w:tc>
        <w:tc>
          <w:tcPr>
            <w:tcW w:w="1393" w:type="dxa"/>
            <w:shd w:val="clear" w:color="auto" w:fill="5B9BD5" w:themeFill="accent1"/>
          </w:tcPr>
          <w:p w14:paraId="7804AEE6"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r w:rsidRPr="00CD2EEF">
              <w:rPr>
                <w:rFonts w:ascii="Garamond" w:hAnsi="Garamond"/>
                <w:bCs/>
                <w:sz w:val="20"/>
                <w:szCs w:val="16"/>
                <w:lang w:val="en-GB"/>
              </w:rPr>
              <w:t>1,218</w:t>
            </w:r>
          </w:p>
        </w:tc>
        <w:tc>
          <w:tcPr>
            <w:tcW w:w="1322" w:type="dxa"/>
            <w:shd w:val="clear" w:color="auto" w:fill="5B9BD5" w:themeFill="accent1"/>
          </w:tcPr>
          <w:p w14:paraId="66B6B788"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r w:rsidRPr="00CD2EEF">
              <w:rPr>
                <w:rFonts w:ascii="Garamond" w:hAnsi="Garamond"/>
                <w:bCs/>
                <w:sz w:val="20"/>
                <w:szCs w:val="16"/>
                <w:lang w:val="en-GB"/>
              </w:rPr>
              <w:t>113</w:t>
            </w:r>
          </w:p>
        </w:tc>
        <w:tc>
          <w:tcPr>
            <w:tcW w:w="1417" w:type="dxa"/>
            <w:shd w:val="clear" w:color="auto" w:fill="5B9BD5" w:themeFill="accent1"/>
          </w:tcPr>
          <w:p w14:paraId="0AABDC50"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r w:rsidRPr="00CD2EEF">
              <w:rPr>
                <w:rFonts w:ascii="Garamond" w:hAnsi="Garamond"/>
                <w:bCs/>
                <w:sz w:val="20"/>
                <w:szCs w:val="16"/>
                <w:lang w:val="en-GB"/>
              </w:rPr>
              <w:t>47</w:t>
            </w:r>
          </w:p>
        </w:tc>
        <w:tc>
          <w:tcPr>
            <w:tcW w:w="1393" w:type="dxa"/>
            <w:shd w:val="clear" w:color="auto" w:fill="5B9BD5" w:themeFill="accent1"/>
          </w:tcPr>
          <w:p w14:paraId="7E2F9EDC" w14:textId="77777777" w:rsidR="00CB3A79" w:rsidRPr="00CD2EEF" w:rsidRDefault="00CB3A79" w:rsidP="00F60450">
            <w:pPr>
              <w:shd w:val="clear" w:color="auto" w:fill="5B9BD5" w:themeFill="accent1"/>
              <w:spacing w:line="360" w:lineRule="auto"/>
              <w:jc w:val="center"/>
              <w:rPr>
                <w:rFonts w:ascii="Garamond" w:eastAsia="Calibri" w:hAnsi="Garamond"/>
                <w:bCs/>
                <w:sz w:val="20"/>
                <w:szCs w:val="16"/>
                <w:lang w:val="en-GB"/>
              </w:rPr>
            </w:pPr>
            <w:r w:rsidRPr="00CD2EEF">
              <w:rPr>
                <w:rFonts w:ascii="Garamond" w:hAnsi="Garamond"/>
                <w:bCs/>
                <w:sz w:val="20"/>
                <w:szCs w:val="16"/>
                <w:lang w:val="en-GB"/>
              </w:rPr>
              <w:t>1,284</w:t>
            </w:r>
          </w:p>
        </w:tc>
      </w:tr>
      <w:bookmarkEnd w:id="122"/>
    </w:tbl>
    <w:p w14:paraId="674529E9" w14:textId="77777777" w:rsidR="00CB3A79" w:rsidRPr="00CD2EEF" w:rsidRDefault="00CB3A79" w:rsidP="005D031D">
      <w:pPr>
        <w:pStyle w:val="LPnavaden"/>
        <w:rPr>
          <w:color w:val="7030A0"/>
          <w:lang w:val="en-GB"/>
        </w:rPr>
      </w:pPr>
    </w:p>
    <w:p w14:paraId="6365B073" w14:textId="1A36A824" w:rsidR="00CB3A79" w:rsidRPr="00CD2EEF" w:rsidRDefault="00CB3A79" w:rsidP="005D031D">
      <w:pPr>
        <w:pStyle w:val="LPnavaden"/>
        <w:rPr>
          <w:lang w:val="en-GB"/>
        </w:rPr>
      </w:pPr>
      <w:r w:rsidRPr="00CD2EEF">
        <w:rPr>
          <w:lang w:val="en-GB"/>
        </w:rPr>
        <w:t xml:space="preserve">In the field of using X-ray devices in medicine and veterinary medicine in 2021, the SRPA granted 82 licenses to carry out a radiation practice and 298 licenses to use X-ray devices. One certificate of compliance for a licence granted by a foreign regulatory authority was issued for </w:t>
      </w:r>
      <w:r w:rsidR="000A2341">
        <w:rPr>
          <w:lang w:val="en-GB"/>
        </w:rPr>
        <w:t xml:space="preserve">a </w:t>
      </w:r>
      <w:r w:rsidRPr="00CD2EEF">
        <w:rPr>
          <w:lang w:val="en-GB"/>
        </w:rPr>
        <w:t xml:space="preserve">licence to carry out </w:t>
      </w:r>
      <w:r w:rsidR="000A2341">
        <w:rPr>
          <w:lang w:val="en-GB"/>
        </w:rPr>
        <w:t xml:space="preserve">a </w:t>
      </w:r>
      <w:r w:rsidRPr="00CD2EEF">
        <w:rPr>
          <w:lang w:val="en-GB"/>
        </w:rPr>
        <w:t>radiation practice</w:t>
      </w:r>
      <w:r w:rsidR="008342C3">
        <w:rPr>
          <w:lang w:val="en-GB"/>
        </w:rPr>
        <w:t xml:space="preserve"> –</w:t>
      </w:r>
      <w:r w:rsidR="000A2341">
        <w:rPr>
          <w:lang w:val="en-GB"/>
        </w:rPr>
        <w:t xml:space="preserve"> the</w:t>
      </w:r>
      <w:r w:rsidR="008342C3">
        <w:rPr>
          <w:lang w:val="en-GB"/>
        </w:rPr>
        <w:t xml:space="preserve"> </w:t>
      </w:r>
      <w:r w:rsidRPr="00CD2EEF">
        <w:rPr>
          <w:lang w:val="en-GB"/>
        </w:rPr>
        <w:t xml:space="preserve">maintenance of medical X-ray equipment. </w:t>
      </w:r>
    </w:p>
    <w:bookmarkEnd w:id="123"/>
    <w:p w14:paraId="4F2F1FB1" w14:textId="77777777" w:rsidR="00CB3A79" w:rsidRPr="00CD2EEF" w:rsidRDefault="00CB3A79" w:rsidP="005D031D">
      <w:pPr>
        <w:pStyle w:val="LPnavaden"/>
        <w:rPr>
          <w:lang w:val="en-GB"/>
        </w:rPr>
      </w:pPr>
      <w:r w:rsidRPr="00CD2EEF">
        <w:rPr>
          <w:lang w:val="en-GB"/>
        </w:rPr>
        <w:t>In medicine (not including veterinary medicine), 516 X-ray devices were used in public hospitals and institutions and 635 in private institutions. The average age of the X-ray devices in the public sector was 10.1 years (9.9 years in 2020; 9.8 years in 2019, 10.1 years in 2018, 9.8 years in 2017, 9.6 years in 2016, 9.4 years in 2015, 9.6 years in 2014, 9.5 years in 2013, and 9.1 years in 2012), and in the private sector 11.1 years (10.6 years in 2020; 10.3 years in 2019, 10.2 years in 2018, 10.0 years in 2017, 10.2 years in 2016, 10.1 years in 2015, 9.9 years in 2014, 9.8 years in 2013, and 9.2 years in 2012).</w:t>
      </w:r>
    </w:p>
    <w:p w14:paraId="5DDFA310" w14:textId="77777777" w:rsidR="00CB3A79" w:rsidRPr="00CD2EEF" w:rsidRDefault="00CB3A79" w:rsidP="005D031D">
      <w:pPr>
        <w:pStyle w:val="LPnavaden"/>
        <w:rPr>
          <w:lang w:val="en-GB"/>
        </w:rPr>
      </w:pPr>
      <w:bookmarkStart w:id="124" w:name="_Toc11845165"/>
      <w:bookmarkStart w:id="125" w:name="_Toc44571014"/>
      <w:bookmarkStart w:id="126" w:name="_Toc74219411"/>
      <w:bookmarkStart w:id="127" w:name="_Hlk70498555"/>
      <w:r w:rsidRPr="00CD2EEF">
        <w:rPr>
          <w:lang w:val="en-GB"/>
        </w:rPr>
        <w:t>In veterinary medicine, 18 X-ray devices were in use in public institutions and 115 in the private sector. The average age of the X-ray devices was 17.00 years (16.1 years in 2020, 15.0 years in 2019, 14.9 years in 2018, 15.4 years in 2017, 15.5 years in 2016, 15.5 years in 2015, 14.5 years in 2014, 13.5 years in 2013, and 13.8 years in 2012) in the public sector, and 7.9 years (7.4 years in 2020, 7.3 years in 2019, 8.8 years in 2018, 8.8 years in 2017, 8.7 years in 2016, 10.1 years in 2015, 9.4 years in 2014, 9.6 years in 2013, and 8.0 years in 2012) in the private sector.</w:t>
      </w:r>
    </w:p>
    <w:p w14:paraId="677F8DE1" w14:textId="3DDD2C8B" w:rsidR="00CB3A79" w:rsidRPr="00CD2EEF" w:rsidRDefault="00CB3A79" w:rsidP="005D031D">
      <w:pPr>
        <w:pStyle w:val="LPnavaden"/>
        <w:rPr>
          <w:lang w:val="en-GB"/>
        </w:rPr>
      </w:pPr>
      <w:r w:rsidRPr="00CD2EEF">
        <w:rPr>
          <w:lang w:val="en-GB"/>
        </w:rPr>
        <w:t xml:space="preserve">A detailed classification of X-ray devices in medicine and veterinary medicine according to their ownership is </w:t>
      </w:r>
      <w:r w:rsidR="00175A3C">
        <w:rPr>
          <w:lang w:val="en-GB"/>
        </w:rPr>
        <w:t>provided</w:t>
      </w:r>
      <w:r w:rsidR="00175A3C" w:rsidRPr="00CD2EEF">
        <w:rPr>
          <w:lang w:val="en-GB"/>
        </w:rPr>
        <w:t xml:space="preserve"> </w:t>
      </w:r>
      <w:r w:rsidRPr="00CD2EEF">
        <w:rPr>
          <w:lang w:val="en-GB"/>
        </w:rPr>
        <w:t xml:space="preserve">in </w:t>
      </w:r>
      <w:hyperlink w:anchor="t04" w:history="1">
        <w:r w:rsidRPr="00CD2EEF">
          <w:rPr>
            <w:rStyle w:val="Hiperpovezava"/>
            <w:lang w:val="en-GB"/>
          </w:rPr>
          <w:t>Table 4</w:t>
        </w:r>
      </w:hyperlink>
      <w:r w:rsidRPr="00CD2EEF">
        <w:rPr>
          <w:lang w:val="en-GB"/>
        </w:rPr>
        <w:t xml:space="preserve">. </w:t>
      </w:r>
    </w:p>
    <w:p w14:paraId="2372CE40" w14:textId="7569317E" w:rsidR="00CB3A79" w:rsidRPr="00CD2EEF" w:rsidRDefault="004B4448" w:rsidP="004B4448">
      <w:pPr>
        <w:pStyle w:val="LPnaslovslika"/>
        <w:rPr>
          <w:lang w:val="en-GB"/>
        </w:rPr>
      </w:pPr>
      <w:bookmarkStart w:id="128" w:name="_Toc46257298"/>
      <w:bookmarkStart w:id="129" w:name="_Toc47694741"/>
      <w:bookmarkStart w:id="130" w:name="_Toc84321461"/>
      <w:bookmarkStart w:id="131" w:name="_Toc126309911"/>
      <w:bookmarkEnd w:id="124"/>
      <w:bookmarkEnd w:id="125"/>
      <w:bookmarkEnd w:id="126"/>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00BE0188" w:rsidRPr="00CD2EEF">
        <w:rPr>
          <w:lang w:val="en-GB"/>
        </w:rPr>
        <w:t>4</w:t>
      </w:r>
      <w:r w:rsidR="00366B6D" w:rsidRPr="00CD2EEF">
        <w:rPr>
          <w:lang w:val="en-GB"/>
        </w:rPr>
        <w:fldChar w:fldCharType="end"/>
      </w:r>
      <w:r w:rsidR="00CB3A79" w:rsidRPr="00CD2EEF">
        <w:rPr>
          <w:lang w:val="en-GB"/>
        </w:rPr>
        <w:t xml:space="preserve">: </w:t>
      </w:r>
      <w:r w:rsidR="00175A3C">
        <w:rPr>
          <w:lang w:val="en-GB"/>
        </w:rPr>
        <w:t>The n</w:t>
      </w:r>
      <w:r w:rsidR="00CB3A79" w:rsidRPr="00CD2EEF">
        <w:rPr>
          <w:lang w:val="en-GB"/>
        </w:rPr>
        <w:t>umber of X-ray devices in medicine and veterinary medicine by ownership</w:t>
      </w:r>
      <w:bookmarkEnd w:id="128"/>
      <w:bookmarkEnd w:id="129"/>
      <w:bookmarkEnd w:id="130"/>
      <w:bookmarkEnd w:id="131"/>
    </w:p>
    <w:tbl>
      <w:tblPr>
        <w:tblW w:w="9171" w:type="dxa"/>
        <w:tblLook w:val="0020" w:firstRow="1" w:lastRow="0" w:firstColumn="0" w:lastColumn="0" w:noHBand="0" w:noVBand="0"/>
      </w:tblPr>
      <w:tblGrid>
        <w:gridCol w:w="1151"/>
        <w:gridCol w:w="736"/>
        <w:gridCol w:w="803"/>
        <w:gridCol w:w="814"/>
        <w:gridCol w:w="802"/>
        <w:gridCol w:w="831"/>
        <w:gridCol w:w="802"/>
        <w:gridCol w:w="814"/>
        <w:gridCol w:w="802"/>
        <w:gridCol w:w="814"/>
        <w:gridCol w:w="802"/>
      </w:tblGrid>
      <w:tr w:rsidR="00CB3A79" w:rsidRPr="00CD2EEF" w14:paraId="1AD77FE5" w14:textId="77777777" w:rsidTr="00F60450">
        <w:trPr>
          <w:trHeight w:val="202"/>
        </w:trPr>
        <w:tc>
          <w:tcPr>
            <w:tcW w:w="1151"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65F3B1B" w14:textId="77777777" w:rsidR="00CB3A79" w:rsidRPr="00CD2EEF" w:rsidRDefault="00CB3A79" w:rsidP="00F60450">
            <w:pPr>
              <w:pStyle w:val="LPpreglednicaglavasredina"/>
              <w:rPr>
                <w:color w:val="auto"/>
                <w:lang w:val="en-GB"/>
              </w:rPr>
            </w:pPr>
            <w:bookmarkStart w:id="132" w:name="t04"/>
            <w:r w:rsidRPr="00CD2EEF">
              <w:rPr>
                <w:lang w:val="en-GB"/>
              </w:rPr>
              <w:t>Ownership</w:t>
            </w:r>
          </w:p>
          <w:p w14:paraId="0E6B23B9" w14:textId="77777777" w:rsidR="00CB3A79" w:rsidRPr="00CD2EEF" w:rsidRDefault="00CB3A79" w:rsidP="00F60450">
            <w:pPr>
              <w:pStyle w:val="LPpreglednicaglavasredina"/>
              <w:rPr>
                <w:color w:val="auto"/>
                <w:lang w:val="en-GB"/>
              </w:rPr>
            </w:pPr>
          </w:p>
        </w:tc>
        <w:tc>
          <w:tcPr>
            <w:tcW w:w="1539"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F462A6D" w14:textId="77777777" w:rsidR="00CB3A79" w:rsidRPr="00CD2EEF" w:rsidRDefault="00CB3A79" w:rsidP="00F60450">
            <w:pPr>
              <w:pStyle w:val="LPpreglednicaglavasredina"/>
              <w:rPr>
                <w:color w:val="auto"/>
                <w:lang w:val="en-GB"/>
              </w:rPr>
            </w:pPr>
            <w:r w:rsidRPr="00CD2EEF">
              <w:rPr>
                <w:color w:val="auto"/>
                <w:lang w:val="en-GB"/>
              </w:rPr>
              <w:t>Diagnostic</w:t>
            </w:r>
          </w:p>
        </w:tc>
        <w:tc>
          <w:tcPr>
            <w:tcW w:w="1616"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1D6769C" w14:textId="77777777" w:rsidR="00CB3A79" w:rsidRPr="00CD2EEF" w:rsidRDefault="00CB3A79" w:rsidP="00F60450">
            <w:pPr>
              <w:pStyle w:val="LPpreglednicaglavasredina"/>
              <w:rPr>
                <w:color w:val="auto"/>
                <w:lang w:val="en-GB"/>
              </w:rPr>
            </w:pPr>
            <w:r w:rsidRPr="00CD2EEF">
              <w:rPr>
                <w:color w:val="auto"/>
                <w:lang w:val="en-GB"/>
              </w:rPr>
              <w:t>Dental</w:t>
            </w:r>
          </w:p>
        </w:tc>
        <w:tc>
          <w:tcPr>
            <w:tcW w:w="1633"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1B90FE70" w14:textId="77777777" w:rsidR="00CB3A79" w:rsidRPr="00CD2EEF" w:rsidRDefault="00CB3A79" w:rsidP="00F60450">
            <w:pPr>
              <w:pStyle w:val="LPpreglednicaglavasredina"/>
              <w:rPr>
                <w:color w:val="auto"/>
                <w:lang w:val="en-GB"/>
              </w:rPr>
            </w:pPr>
            <w:r w:rsidRPr="00CD2EEF">
              <w:rPr>
                <w:color w:val="auto"/>
                <w:lang w:val="en-GB"/>
              </w:rPr>
              <w:t>Therapeutic</w:t>
            </w:r>
          </w:p>
        </w:tc>
        <w:tc>
          <w:tcPr>
            <w:tcW w:w="1616"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47DD845" w14:textId="77777777" w:rsidR="00CB3A79" w:rsidRPr="00CD2EEF" w:rsidRDefault="00CB3A79" w:rsidP="00F60450">
            <w:pPr>
              <w:pStyle w:val="LPpreglednicaglavasredina"/>
              <w:rPr>
                <w:color w:val="auto"/>
                <w:lang w:val="en-GB"/>
              </w:rPr>
            </w:pPr>
            <w:r w:rsidRPr="00CD2EEF">
              <w:rPr>
                <w:color w:val="auto"/>
                <w:lang w:val="en-GB"/>
              </w:rPr>
              <w:t>Veterinary</w:t>
            </w:r>
          </w:p>
        </w:tc>
        <w:tc>
          <w:tcPr>
            <w:tcW w:w="1616"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ADEA7C9" w14:textId="77777777" w:rsidR="00CB3A79" w:rsidRPr="00CD2EEF" w:rsidRDefault="00CB3A79" w:rsidP="00F60450">
            <w:pPr>
              <w:pStyle w:val="LPpreglednicaglavasredina"/>
              <w:rPr>
                <w:color w:val="auto"/>
                <w:lang w:val="en-GB"/>
              </w:rPr>
            </w:pPr>
            <w:r w:rsidRPr="00CD2EEF">
              <w:rPr>
                <w:color w:val="auto"/>
                <w:lang w:val="en-GB"/>
              </w:rPr>
              <w:t>Total</w:t>
            </w:r>
          </w:p>
        </w:tc>
      </w:tr>
      <w:tr w:rsidR="00CB3A79" w:rsidRPr="00CD2EEF" w14:paraId="4E6CEB78" w14:textId="77777777" w:rsidTr="00F60450">
        <w:trPr>
          <w:trHeight w:val="731"/>
        </w:trPr>
        <w:tc>
          <w:tcPr>
            <w:tcW w:w="1151"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8523EAB" w14:textId="77777777" w:rsidR="00CB3A79" w:rsidRPr="00CD2EEF" w:rsidRDefault="00CB3A79" w:rsidP="00F60450">
            <w:pPr>
              <w:pStyle w:val="LPpreglednicaglavasredina"/>
              <w:rPr>
                <w:color w:val="auto"/>
                <w:lang w:val="en-GB"/>
              </w:rPr>
            </w:pPr>
          </w:p>
        </w:tc>
        <w:tc>
          <w:tcPr>
            <w:tcW w:w="7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63B1516" w14:textId="77777777" w:rsidR="00CB3A79" w:rsidRPr="00CD2EEF" w:rsidRDefault="00CB3A79" w:rsidP="00F60450">
            <w:pPr>
              <w:pStyle w:val="LPpreglednicaglavasredina"/>
              <w:rPr>
                <w:color w:val="auto"/>
                <w:sz w:val="16"/>
                <w:lang w:val="en-GB"/>
              </w:rPr>
            </w:pPr>
            <w:r w:rsidRPr="00CD2EEF">
              <w:rPr>
                <w:color w:val="auto"/>
                <w:lang w:val="en-GB"/>
              </w:rPr>
              <w:t>No. (%)</w:t>
            </w:r>
          </w:p>
        </w:tc>
        <w:tc>
          <w:tcPr>
            <w:tcW w:w="8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3A4ED93" w14:textId="77777777" w:rsidR="00CB3A79" w:rsidRPr="00CD2EEF" w:rsidRDefault="00CB3A79" w:rsidP="00F60450">
            <w:pPr>
              <w:pStyle w:val="LPpreglednicaglavasredina"/>
              <w:rPr>
                <w:color w:val="auto"/>
                <w:sz w:val="16"/>
                <w:lang w:val="en-GB"/>
              </w:rPr>
            </w:pPr>
            <w:r w:rsidRPr="00CD2EEF">
              <w:rPr>
                <w:color w:val="auto"/>
                <w:lang w:val="en-GB"/>
              </w:rPr>
              <w:t>Age (years)</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93AC830" w14:textId="77777777" w:rsidR="00CB3A79" w:rsidRPr="00CD2EEF" w:rsidRDefault="00CB3A79" w:rsidP="00F60450">
            <w:pPr>
              <w:pStyle w:val="LPpreglednicaglavasredina"/>
              <w:rPr>
                <w:color w:val="auto"/>
                <w:sz w:val="16"/>
                <w:lang w:val="en-GB"/>
              </w:rPr>
            </w:pPr>
            <w:r w:rsidRPr="00CD2EEF">
              <w:rPr>
                <w:color w:val="auto"/>
                <w:lang w:val="en-GB"/>
              </w:rPr>
              <w:t>No. (%)</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F1EC497" w14:textId="77777777" w:rsidR="00CB3A79" w:rsidRPr="00CD2EEF" w:rsidRDefault="00CB3A79" w:rsidP="00F60450">
            <w:pPr>
              <w:pStyle w:val="LPpreglednicaglavasredina"/>
              <w:rPr>
                <w:color w:val="auto"/>
                <w:sz w:val="16"/>
                <w:lang w:val="en-GB"/>
              </w:rPr>
            </w:pPr>
            <w:r w:rsidRPr="00CD2EEF">
              <w:rPr>
                <w:color w:val="auto"/>
                <w:lang w:val="en-GB"/>
              </w:rPr>
              <w:t>Age (years)</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A687E98" w14:textId="77777777" w:rsidR="00CB3A79" w:rsidRPr="00CD2EEF" w:rsidRDefault="00CB3A79" w:rsidP="00F60450">
            <w:pPr>
              <w:pStyle w:val="LPpreglednicaglavasredina"/>
              <w:rPr>
                <w:color w:val="auto"/>
                <w:sz w:val="16"/>
                <w:lang w:val="en-GB"/>
              </w:rPr>
            </w:pPr>
            <w:r w:rsidRPr="00CD2EEF">
              <w:rPr>
                <w:color w:val="auto"/>
                <w:lang w:val="en-GB"/>
              </w:rPr>
              <w:t>No. (%)</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5CD475E" w14:textId="77777777" w:rsidR="00CB3A79" w:rsidRPr="00CD2EEF" w:rsidRDefault="00CB3A79" w:rsidP="00F60450">
            <w:pPr>
              <w:pStyle w:val="LPpreglednicaglavasredina"/>
              <w:rPr>
                <w:color w:val="auto"/>
                <w:sz w:val="16"/>
                <w:lang w:val="en-GB"/>
              </w:rPr>
            </w:pPr>
            <w:r w:rsidRPr="00CD2EEF">
              <w:rPr>
                <w:color w:val="auto"/>
                <w:lang w:val="en-GB"/>
              </w:rPr>
              <w:t>Age (years)</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F3792D4" w14:textId="77777777" w:rsidR="00CB3A79" w:rsidRPr="00CD2EEF" w:rsidRDefault="00CB3A79" w:rsidP="00F60450">
            <w:pPr>
              <w:pStyle w:val="LPpreglednicaglavasredina"/>
              <w:rPr>
                <w:color w:val="auto"/>
                <w:sz w:val="16"/>
                <w:lang w:val="en-GB"/>
              </w:rPr>
            </w:pPr>
            <w:r w:rsidRPr="00CD2EEF">
              <w:rPr>
                <w:color w:val="auto"/>
                <w:lang w:val="en-GB"/>
              </w:rPr>
              <w:t>No. (%)</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20892E8" w14:textId="77777777" w:rsidR="00CB3A79" w:rsidRPr="00CD2EEF" w:rsidRDefault="00CB3A79" w:rsidP="00F60450">
            <w:pPr>
              <w:pStyle w:val="LPpreglednicaglavasredina"/>
              <w:rPr>
                <w:color w:val="auto"/>
                <w:sz w:val="16"/>
                <w:lang w:val="en-GB"/>
              </w:rPr>
            </w:pPr>
            <w:r w:rsidRPr="00CD2EEF">
              <w:rPr>
                <w:color w:val="auto"/>
                <w:lang w:val="en-GB"/>
              </w:rPr>
              <w:t>Age (years)</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1DF87120" w14:textId="77777777" w:rsidR="00CB3A79" w:rsidRPr="00CD2EEF" w:rsidRDefault="00CB3A79" w:rsidP="00F60450">
            <w:pPr>
              <w:pStyle w:val="LPpreglednicaglavasredina"/>
              <w:rPr>
                <w:color w:val="auto"/>
                <w:sz w:val="16"/>
                <w:lang w:val="en-GB"/>
              </w:rPr>
            </w:pPr>
            <w:r w:rsidRPr="00CD2EEF">
              <w:rPr>
                <w:color w:val="auto"/>
                <w:lang w:val="en-GB"/>
              </w:rPr>
              <w:t>No. (%)</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F189DDC" w14:textId="77777777" w:rsidR="00CB3A79" w:rsidRPr="00CD2EEF" w:rsidRDefault="00CB3A79" w:rsidP="00F60450">
            <w:pPr>
              <w:pStyle w:val="LPpreglednicaglavasredina"/>
              <w:rPr>
                <w:color w:val="auto"/>
                <w:sz w:val="16"/>
                <w:lang w:val="en-GB"/>
              </w:rPr>
            </w:pPr>
            <w:r w:rsidRPr="00CD2EEF">
              <w:rPr>
                <w:color w:val="auto"/>
                <w:lang w:val="en-GB"/>
              </w:rPr>
              <w:t>Age (years)</w:t>
            </w:r>
          </w:p>
        </w:tc>
      </w:tr>
      <w:tr w:rsidR="00CB3A79" w:rsidRPr="00CD2EEF" w14:paraId="72E433B5" w14:textId="77777777" w:rsidTr="00F60450">
        <w:trPr>
          <w:trHeight w:val="449"/>
        </w:trPr>
        <w:tc>
          <w:tcPr>
            <w:tcW w:w="11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3923FAC" w14:textId="77777777" w:rsidR="00CB3A79" w:rsidRPr="00CD2EEF" w:rsidRDefault="00CB3A79" w:rsidP="00F60450">
            <w:pPr>
              <w:pStyle w:val="LP-preglednicatelosredina"/>
              <w:rPr>
                <w:lang w:val="en-GB"/>
              </w:rPr>
            </w:pPr>
            <w:r w:rsidRPr="00CD2EEF">
              <w:rPr>
                <w:lang w:val="en-GB"/>
              </w:rPr>
              <w:t>Public</w:t>
            </w:r>
          </w:p>
        </w:tc>
        <w:tc>
          <w:tcPr>
            <w:tcW w:w="7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CA18499" w14:textId="77777777" w:rsidR="00CB3A79" w:rsidRPr="00CD2EEF" w:rsidRDefault="00CB3A79" w:rsidP="00F60450">
            <w:pPr>
              <w:pStyle w:val="LP-preglednicatelosredina"/>
              <w:rPr>
                <w:lang w:val="en-GB"/>
              </w:rPr>
            </w:pPr>
            <w:r w:rsidRPr="00CD2EEF">
              <w:rPr>
                <w:lang w:val="en-GB"/>
              </w:rPr>
              <w:t>382</w:t>
            </w:r>
          </w:p>
          <w:p w14:paraId="3B68B6A0" w14:textId="5F9CAED3" w:rsidR="00CB3A79" w:rsidRPr="00CD2EEF" w:rsidRDefault="00CB3A79" w:rsidP="00F60450">
            <w:pPr>
              <w:pStyle w:val="LP-preglednicatelosredina"/>
              <w:rPr>
                <w:lang w:val="en-GB"/>
              </w:rPr>
            </w:pPr>
            <w:r w:rsidRPr="00CD2EEF">
              <w:rPr>
                <w:lang w:val="en-GB"/>
              </w:rPr>
              <w:t>(82</w:t>
            </w:r>
            <w:r w:rsidR="00E30262">
              <w:rPr>
                <w:lang w:val="en-GB"/>
              </w:rPr>
              <w:t>%</w:t>
            </w:r>
            <w:r w:rsidRPr="00CD2EEF">
              <w:rPr>
                <w:lang w:val="en-GB"/>
              </w:rPr>
              <w:t>)</w:t>
            </w:r>
          </w:p>
        </w:tc>
        <w:tc>
          <w:tcPr>
            <w:tcW w:w="8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B32F82F" w14:textId="77777777" w:rsidR="00CB3A79" w:rsidRPr="00CD2EEF" w:rsidRDefault="00CB3A79" w:rsidP="00F60450">
            <w:pPr>
              <w:pStyle w:val="LP-preglednicatelosredina"/>
              <w:rPr>
                <w:lang w:val="en-GB"/>
              </w:rPr>
            </w:pPr>
            <w:r w:rsidRPr="00CD2EEF">
              <w:rPr>
                <w:lang w:val="en-GB"/>
              </w:rPr>
              <w:t>9.8</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D67F7AB" w14:textId="77777777" w:rsidR="00CB3A79" w:rsidRPr="00CD2EEF" w:rsidRDefault="00CB3A79" w:rsidP="00F60450">
            <w:pPr>
              <w:pStyle w:val="LP-preglednicatelosredina"/>
              <w:rPr>
                <w:lang w:val="en-GB"/>
              </w:rPr>
            </w:pPr>
            <w:r w:rsidRPr="00CD2EEF">
              <w:rPr>
                <w:lang w:val="en-GB"/>
              </w:rPr>
              <w:t>121</w:t>
            </w:r>
          </w:p>
          <w:p w14:paraId="089537BC" w14:textId="18EBBED4" w:rsidR="00CB3A79" w:rsidRPr="00CD2EEF" w:rsidRDefault="00CB3A79" w:rsidP="00F60450">
            <w:pPr>
              <w:pStyle w:val="LP-preglednicatelosredina"/>
              <w:rPr>
                <w:lang w:val="en-GB"/>
              </w:rPr>
            </w:pPr>
            <w:r w:rsidRPr="00CD2EEF">
              <w:rPr>
                <w:lang w:val="en-GB"/>
              </w:rPr>
              <w:t>(18</w:t>
            </w:r>
            <w:r w:rsidR="00E30262">
              <w:rPr>
                <w:lang w:val="en-GB"/>
              </w:rPr>
              <w:t>%</w:t>
            </w:r>
            <w:r w:rsidRPr="00CD2EEF">
              <w:rPr>
                <w:lang w:val="en-GB"/>
              </w:rPr>
              <w:t>)</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F87EE41" w14:textId="77777777" w:rsidR="00CB3A79" w:rsidRPr="00CD2EEF" w:rsidRDefault="00CB3A79" w:rsidP="00F60450">
            <w:pPr>
              <w:pStyle w:val="LP-preglednicatelosredina"/>
              <w:rPr>
                <w:lang w:val="en-GB"/>
              </w:rPr>
            </w:pPr>
            <w:r w:rsidRPr="00CD2EEF">
              <w:rPr>
                <w:lang w:val="en-GB"/>
              </w:rPr>
              <w:t>11.4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CCC0DF9" w14:textId="77777777" w:rsidR="00CB3A79" w:rsidRPr="00CD2EEF" w:rsidRDefault="00CB3A79" w:rsidP="00F60450">
            <w:pPr>
              <w:pStyle w:val="LP-preglednicatelosredina"/>
              <w:rPr>
                <w:lang w:val="en-GB"/>
              </w:rPr>
            </w:pPr>
            <w:r w:rsidRPr="00CD2EEF">
              <w:rPr>
                <w:lang w:val="en-GB"/>
              </w:rPr>
              <w:t>13</w:t>
            </w:r>
          </w:p>
          <w:p w14:paraId="3B410BE8" w14:textId="27048D41" w:rsidR="00CB3A79" w:rsidRPr="00CD2EEF" w:rsidRDefault="00CB3A79" w:rsidP="00F60450">
            <w:pPr>
              <w:pStyle w:val="LP-preglednicatelosredina"/>
              <w:rPr>
                <w:lang w:val="en-GB"/>
              </w:rPr>
            </w:pPr>
            <w:r w:rsidRPr="00CD2EEF">
              <w:rPr>
                <w:lang w:val="en-GB"/>
              </w:rPr>
              <w:t>(100</w:t>
            </w:r>
            <w:r w:rsidR="00E30262">
              <w:rPr>
                <w:lang w:val="en-GB"/>
              </w:rPr>
              <w:t>%</w:t>
            </w:r>
            <w:r w:rsidRPr="00CD2EEF">
              <w:rPr>
                <w:lang w:val="en-GB"/>
              </w:rPr>
              <w:t>)</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972A643" w14:textId="77777777" w:rsidR="00CB3A79" w:rsidRPr="00CD2EEF" w:rsidRDefault="00CB3A79" w:rsidP="00F60450">
            <w:pPr>
              <w:pStyle w:val="LP-preglednicatelosredina"/>
              <w:rPr>
                <w:lang w:val="en-GB"/>
              </w:rPr>
            </w:pPr>
            <w:r w:rsidRPr="00CD2EEF">
              <w:rPr>
                <w:lang w:val="en-GB"/>
              </w:rPr>
              <w:t>7.5</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E613028" w14:textId="77777777" w:rsidR="00CB3A79" w:rsidRPr="00CD2EEF" w:rsidRDefault="00CB3A79" w:rsidP="00F60450">
            <w:pPr>
              <w:pStyle w:val="LP-preglednicatelosredina"/>
              <w:rPr>
                <w:lang w:val="en-GB"/>
              </w:rPr>
            </w:pPr>
            <w:r w:rsidRPr="00CD2EEF">
              <w:rPr>
                <w:lang w:val="en-GB"/>
              </w:rPr>
              <w:t>18</w:t>
            </w:r>
          </w:p>
          <w:p w14:paraId="018143E1" w14:textId="74ABBFF7" w:rsidR="00CB3A79" w:rsidRPr="00CD2EEF" w:rsidRDefault="00CB3A79" w:rsidP="00F60450">
            <w:pPr>
              <w:pStyle w:val="LP-preglednicatelosredina"/>
              <w:rPr>
                <w:lang w:val="en-GB"/>
              </w:rPr>
            </w:pPr>
            <w:r w:rsidRPr="00CD2EEF">
              <w:rPr>
                <w:lang w:val="en-GB"/>
              </w:rPr>
              <w:t>(14</w:t>
            </w:r>
            <w:r w:rsidR="00E30262">
              <w:rPr>
                <w:lang w:val="en-GB"/>
              </w:rPr>
              <w:t>%</w:t>
            </w:r>
            <w:r w:rsidRPr="00CD2EEF">
              <w:rPr>
                <w:lang w:val="en-GB"/>
              </w:rPr>
              <w:t>)</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715BDF1" w14:textId="77777777" w:rsidR="00CB3A79" w:rsidRPr="00CD2EEF" w:rsidRDefault="00CB3A79" w:rsidP="00F60450">
            <w:pPr>
              <w:pStyle w:val="LP-preglednicatelosredina"/>
              <w:rPr>
                <w:lang w:val="en-GB"/>
              </w:rPr>
            </w:pPr>
            <w:r w:rsidRPr="00CD2EEF">
              <w:rPr>
                <w:lang w:val="en-GB"/>
              </w:rPr>
              <w:t>17.0</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824B106" w14:textId="77777777" w:rsidR="00CB3A79" w:rsidRPr="00CD2EEF" w:rsidRDefault="00CB3A79" w:rsidP="00F60450">
            <w:pPr>
              <w:pStyle w:val="LP-preglednicatelosredina"/>
              <w:rPr>
                <w:lang w:val="en-GB"/>
              </w:rPr>
            </w:pPr>
            <w:r w:rsidRPr="00CD2EEF">
              <w:rPr>
                <w:lang w:val="en-GB"/>
              </w:rPr>
              <w:t>534</w:t>
            </w:r>
          </w:p>
          <w:p w14:paraId="32A81CC1" w14:textId="7BF06043" w:rsidR="00CB3A79" w:rsidRPr="00CD2EEF" w:rsidRDefault="00CB3A79" w:rsidP="00F60450">
            <w:pPr>
              <w:pStyle w:val="LP-preglednicatelosredina"/>
              <w:rPr>
                <w:lang w:val="en-GB"/>
              </w:rPr>
            </w:pPr>
            <w:r w:rsidRPr="00CD2EEF">
              <w:rPr>
                <w:lang w:val="en-GB"/>
              </w:rPr>
              <w:t>(42</w:t>
            </w:r>
            <w:r w:rsidR="00E30262">
              <w:rPr>
                <w:lang w:val="en-GB"/>
              </w:rPr>
              <w:t>%</w:t>
            </w:r>
            <w:r w:rsidRPr="00CD2EEF">
              <w:rPr>
                <w:lang w:val="en-GB"/>
              </w:rPr>
              <w:t>)</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663EF67" w14:textId="77777777" w:rsidR="00CB3A79" w:rsidRPr="00CD2EEF" w:rsidRDefault="00CB3A79" w:rsidP="00F60450">
            <w:pPr>
              <w:pStyle w:val="LP-preglednicatelosredina"/>
              <w:rPr>
                <w:rStyle w:val="LPpobarvan2"/>
                <w:shd w:val="clear" w:color="auto" w:fill="auto"/>
                <w:lang w:val="en-GB"/>
              </w:rPr>
            </w:pPr>
            <w:r w:rsidRPr="00CD2EEF">
              <w:rPr>
                <w:rStyle w:val="LPpobarvan2"/>
                <w:shd w:val="clear" w:color="auto" w:fill="auto"/>
                <w:lang w:val="en-GB"/>
              </w:rPr>
              <w:t>10.3</w:t>
            </w:r>
          </w:p>
        </w:tc>
      </w:tr>
      <w:tr w:rsidR="00CB3A79" w:rsidRPr="00CD2EEF" w14:paraId="708F155B" w14:textId="77777777" w:rsidTr="00F60450">
        <w:trPr>
          <w:trHeight w:val="439"/>
        </w:trPr>
        <w:tc>
          <w:tcPr>
            <w:tcW w:w="11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7A0992C" w14:textId="77777777" w:rsidR="00CB3A79" w:rsidRPr="00CD2EEF" w:rsidRDefault="00CB3A79" w:rsidP="00F60450">
            <w:pPr>
              <w:pStyle w:val="LP-preglednicatelosredina"/>
              <w:rPr>
                <w:lang w:val="en-GB"/>
              </w:rPr>
            </w:pPr>
            <w:r w:rsidRPr="00CD2EEF">
              <w:rPr>
                <w:lang w:val="en-GB"/>
              </w:rPr>
              <w:t>Private</w:t>
            </w:r>
          </w:p>
        </w:tc>
        <w:tc>
          <w:tcPr>
            <w:tcW w:w="7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720EE8C" w14:textId="77777777" w:rsidR="00CB3A79" w:rsidRPr="00CD2EEF" w:rsidRDefault="00CB3A79" w:rsidP="00F60450">
            <w:pPr>
              <w:pStyle w:val="LP-preglednicatelosredina"/>
              <w:rPr>
                <w:lang w:val="en-GB"/>
              </w:rPr>
            </w:pPr>
            <w:r w:rsidRPr="00CD2EEF">
              <w:rPr>
                <w:lang w:val="en-GB"/>
              </w:rPr>
              <w:t>85</w:t>
            </w:r>
          </w:p>
          <w:p w14:paraId="356C483A" w14:textId="4FA9DC28" w:rsidR="00CB3A79" w:rsidRPr="00CD2EEF" w:rsidRDefault="00CB3A79" w:rsidP="00F60450">
            <w:pPr>
              <w:pStyle w:val="LP-preglednicatelosredina"/>
              <w:rPr>
                <w:lang w:val="en-GB"/>
              </w:rPr>
            </w:pPr>
            <w:r w:rsidRPr="00CD2EEF">
              <w:rPr>
                <w:lang w:val="en-GB"/>
              </w:rPr>
              <w:t>(18</w:t>
            </w:r>
            <w:r w:rsidR="00E30262">
              <w:rPr>
                <w:lang w:val="en-GB"/>
              </w:rPr>
              <w:t>%</w:t>
            </w:r>
            <w:r w:rsidRPr="00CD2EEF">
              <w:rPr>
                <w:lang w:val="en-GB"/>
              </w:rPr>
              <w:t>)</w:t>
            </w:r>
          </w:p>
        </w:tc>
        <w:tc>
          <w:tcPr>
            <w:tcW w:w="8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61BAAF8" w14:textId="77777777" w:rsidR="00CB3A79" w:rsidRPr="00CD2EEF" w:rsidRDefault="00CB3A79" w:rsidP="00F60450">
            <w:pPr>
              <w:pStyle w:val="LP-preglednicatelosredina"/>
              <w:rPr>
                <w:lang w:val="en-GB"/>
              </w:rPr>
            </w:pPr>
            <w:r w:rsidRPr="00CD2EEF">
              <w:rPr>
                <w:lang w:val="en-GB"/>
              </w:rPr>
              <w:t>12.2</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E7AB406" w14:textId="77777777" w:rsidR="00CB3A79" w:rsidRPr="00CD2EEF" w:rsidRDefault="00CB3A79" w:rsidP="00F60450">
            <w:pPr>
              <w:pStyle w:val="LP-preglednicatelosredina"/>
              <w:rPr>
                <w:lang w:val="en-GB"/>
              </w:rPr>
            </w:pPr>
            <w:r w:rsidRPr="00CD2EEF">
              <w:rPr>
                <w:lang w:val="en-GB"/>
              </w:rPr>
              <w:t>550</w:t>
            </w:r>
          </w:p>
          <w:p w14:paraId="04593269" w14:textId="426FC113" w:rsidR="00CB3A79" w:rsidRPr="00CD2EEF" w:rsidRDefault="00CB3A79" w:rsidP="00F60450">
            <w:pPr>
              <w:pStyle w:val="LP-preglednicatelosredina"/>
              <w:rPr>
                <w:lang w:val="en-GB"/>
              </w:rPr>
            </w:pPr>
            <w:r w:rsidRPr="00CD2EEF">
              <w:rPr>
                <w:lang w:val="en-GB"/>
              </w:rPr>
              <w:t>(82</w:t>
            </w:r>
            <w:r w:rsidR="00E30262">
              <w:rPr>
                <w:lang w:val="en-GB"/>
              </w:rPr>
              <w:t>%</w:t>
            </w:r>
            <w:r w:rsidRPr="00CD2EEF">
              <w:rPr>
                <w:lang w:val="en-GB"/>
              </w:rPr>
              <w:t>)</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CEF8CA8" w14:textId="77777777" w:rsidR="00CB3A79" w:rsidRPr="00CD2EEF" w:rsidRDefault="00CB3A79" w:rsidP="00F60450">
            <w:pPr>
              <w:pStyle w:val="LP-preglednicatelosredina"/>
              <w:rPr>
                <w:lang w:val="en-GB"/>
              </w:rPr>
            </w:pPr>
            <w:r w:rsidRPr="00CD2EEF">
              <w:rPr>
                <w:lang w:val="en-GB"/>
              </w:rPr>
              <w:t>10.9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CF3F0CF" w14:textId="77777777" w:rsidR="00CB3A79" w:rsidRPr="00CD2EEF" w:rsidRDefault="00CB3A79" w:rsidP="00F60450">
            <w:pPr>
              <w:pStyle w:val="LP-preglednicatelosredina"/>
              <w:rPr>
                <w:lang w:val="en-GB"/>
              </w:rPr>
            </w:pPr>
            <w:r w:rsidRPr="00CD2EEF">
              <w:rPr>
                <w:lang w:val="en-GB"/>
              </w:rPr>
              <w:t>0</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569FEB3" w14:textId="77777777" w:rsidR="00CB3A79" w:rsidRPr="00CD2EEF" w:rsidRDefault="00CB3A79" w:rsidP="00F60450">
            <w:pPr>
              <w:pStyle w:val="LP-preglednicatelosredina"/>
              <w:rPr>
                <w:lang w:val="en-GB"/>
              </w:rPr>
            </w:pPr>
            <w:r w:rsidRPr="00CD2EEF">
              <w:rPr>
                <w:lang w:val="en-GB"/>
              </w:rPr>
              <w:t>0</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E5D207F" w14:textId="77777777" w:rsidR="00CB3A79" w:rsidRPr="00CD2EEF" w:rsidRDefault="00CB3A79" w:rsidP="00F60450">
            <w:pPr>
              <w:pStyle w:val="LP-preglednicatelosredina"/>
              <w:rPr>
                <w:lang w:val="en-GB"/>
              </w:rPr>
            </w:pPr>
            <w:r w:rsidRPr="00CD2EEF">
              <w:rPr>
                <w:lang w:val="en-GB"/>
              </w:rPr>
              <w:t>115</w:t>
            </w:r>
          </w:p>
          <w:p w14:paraId="55B4918F" w14:textId="544EC7DF" w:rsidR="00CB3A79" w:rsidRPr="00CD2EEF" w:rsidRDefault="00CB3A79" w:rsidP="00F60450">
            <w:pPr>
              <w:pStyle w:val="LP-preglednicatelosredina"/>
              <w:rPr>
                <w:lang w:val="en-GB"/>
              </w:rPr>
            </w:pPr>
            <w:r w:rsidRPr="00CD2EEF">
              <w:rPr>
                <w:lang w:val="en-GB"/>
              </w:rPr>
              <w:t>(86</w:t>
            </w:r>
            <w:r w:rsidR="00E30262">
              <w:rPr>
                <w:lang w:val="en-GB"/>
              </w:rPr>
              <w:t>%</w:t>
            </w:r>
            <w:r w:rsidRPr="00CD2EEF">
              <w:rPr>
                <w:lang w:val="en-GB"/>
              </w:rPr>
              <w:t>)</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B410AAC" w14:textId="77777777" w:rsidR="00CB3A79" w:rsidRPr="00CD2EEF" w:rsidRDefault="00CB3A79" w:rsidP="00F60450">
            <w:pPr>
              <w:pStyle w:val="LP-preglednicatelosredina"/>
              <w:rPr>
                <w:lang w:val="en-GB"/>
              </w:rPr>
            </w:pPr>
            <w:r w:rsidRPr="00CD2EEF">
              <w:rPr>
                <w:lang w:val="en-GB"/>
              </w:rPr>
              <w:t>7.9</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943154A" w14:textId="77777777" w:rsidR="00CB3A79" w:rsidRPr="00CD2EEF" w:rsidRDefault="00CB3A79" w:rsidP="00F60450">
            <w:pPr>
              <w:pStyle w:val="LP-preglednicatelosredina"/>
              <w:rPr>
                <w:lang w:val="en-GB"/>
              </w:rPr>
            </w:pPr>
            <w:r w:rsidRPr="00CD2EEF">
              <w:rPr>
                <w:lang w:val="en-GB"/>
              </w:rPr>
              <w:t>750</w:t>
            </w:r>
          </w:p>
          <w:p w14:paraId="7D94A98C" w14:textId="6D56AB46" w:rsidR="00CB3A79" w:rsidRPr="00CD2EEF" w:rsidRDefault="00CB3A79" w:rsidP="00F60450">
            <w:pPr>
              <w:pStyle w:val="LP-preglednicatelosredina"/>
              <w:rPr>
                <w:lang w:val="en-GB"/>
              </w:rPr>
            </w:pPr>
            <w:r w:rsidRPr="00CD2EEF">
              <w:rPr>
                <w:lang w:val="en-GB"/>
              </w:rPr>
              <w:t>(58</w:t>
            </w:r>
            <w:r w:rsidR="00E30262">
              <w:rPr>
                <w:lang w:val="en-GB"/>
              </w:rPr>
              <w:t>%</w:t>
            </w:r>
            <w:r w:rsidRPr="00CD2EEF">
              <w:rPr>
                <w:lang w:val="en-GB"/>
              </w:rPr>
              <w:t>)</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B394EC1" w14:textId="77777777" w:rsidR="00CB3A79" w:rsidRPr="00CD2EEF" w:rsidRDefault="00CB3A79" w:rsidP="00F60450">
            <w:pPr>
              <w:pStyle w:val="LP-preglednicatelosredina"/>
              <w:rPr>
                <w:lang w:val="en-GB"/>
              </w:rPr>
            </w:pPr>
            <w:r w:rsidRPr="00CD2EEF">
              <w:rPr>
                <w:lang w:val="en-GB"/>
              </w:rPr>
              <w:t>10.6</w:t>
            </w:r>
          </w:p>
        </w:tc>
      </w:tr>
      <w:tr w:rsidR="00CB3A79" w:rsidRPr="00CD2EEF" w14:paraId="2042D701" w14:textId="77777777" w:rsidTr="00F60450">
        <w:trPr>
          <w:trHeight w:val="202"/>
        </w:trPr>
        <w:tc>
          <w:tcPr>
            <w:tcW w:w="115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C333CB2" w14:textId="77777777" w:rsidR="00CB3A79" w:rsidRPr="00CD2EEF" w:rsidRDefault="00CB3A79" w:rsidP="00F60450">
            <w:pPr>
              <w:pStyle w:val="LPpreglednicaglavasredina"/>
              <w:rPr>
                <w:color w:val="auto"/>
                <w:lang w:val="en-GB"/>
              </w:rPr>
            </w:pPr>
            <w:r w:rsidRPr="00CD2EEF">
              <w:rPr>
                <w:lang w:val="en-GB"/>
              </w:rPr>
              <w:t>TOTAL</w:t>
            </w:r>
          </w:p>
        </w:tc>
        <w:tc>
          <w:tcPr>
            <w:tcW w:w="7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14AC3D3A" w14:textId="77777777" w:rsidR="00CB3A79" w:rsidRPr="00CD2EEF" w:rsidRDefault="00CB3A79" w:rsidP="00F60450">
            <w:pPr>
              <w:pStyle w:val="LPpreglednicaglavasredina"/>
              <w:rPr>
                <w:color w:val="auto"/>
                <w:lang w:val="en-GB"/>
              </w:rPr>
            </w:pPr>
            <w:r w:rsidRPr="00CD2EEF">
              <w:rPr>
                <w:color w:val="auto"/>
                <w:lang w:val="en-GB"/>
              </w:rPr>
              <w:t>467</w:t>
            </w:r>
          </w:p>
        </w:tc>
        <w:tc>
          <w:tcPr>
            <w:tcW w:w="8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EB59544" w14:textId="77777777" w:rsidR="00CB3A79" w:rsidRPr="00CD2EEF" w:rsidRDefault="00CB3A79" w:rsidP="00F60450">
            <w:pPr>
              <w:pStyle w:val="LPpreglednicaglavasredina"/>
              <w:rPr>
                <w:color w:val="auto"/>
                <w:lang w:val="en-GB"/>
              </w:rPr>
            </w:pPr>
            <w:r w:rsidRPr="00CD2EEF">
              <w:rPr>
                <w:color w:val="auto"/>
                <w:lang w:val="en-GB"/>
              </w:rPr>
              <w:t>10.2</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72C1837" w14:textId="77777777" w:rsidR="00CB3A79" w:rsidRPr="00CD2EEF" w:rsidRDefault="00CB3A79" w:rsidP="00F60450">
            <w:pPr>
              <w:pStyle w:val="LPpreglednicaglavasredina"/>
              <w:rPr>
                <w:color w:val="auto"/>
                <w:lang w:val="en-GB"/>
              </w:rPr>
            </w:pPr>
            <w:r w:rsidRPr="00CD2EEF">
              <w:rPr>
                <w:color w:val="auto"/>
                <w:lang w:val="en-GB"/>
              </w:rPr>
              <w:t>671</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1A9A689" w14:textId="77777777" w:rsidR="00CB3A79" w:rsidRPr="00CD2EEF" w:rsidRDefault="00CB3A79" w:rsidP="00F60450">
            <w:pPr>
              <w:pStyle w:val="LPpreglednicaglavasredina"/>
              <w:rPr>
                <w:color w:val="auto"/>
                <w:lang w:val="en-GB"/>
              </w:rPr>
            </w:pPr>
            <w:r w:rsidRPr="00CD2EEF">
              <w:rPr>
                <w:color w:val="auto"/>
                <w:lang w:val="en-GB"/>
              </w:rPr>
              <w:t>11.0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466A439" w14:textId="77777777" w:rsidR="00CB3A79" w:rsidRPr="00CD2EEF" w:rsidRDefault="00CB3A79" w:rsidP="00F60450">
            <w:pPr>
              <w:pStyle w:val="LPpreglednicaglavasredina"/>
              <w:rPr>
                <w:color w:val="auto"/>
                <w:lang w:val="en-GB"/>
              </w:rPr>
            </w:pPr>
            <w:r w:rsidRPr="00CD2EEF">
              <w:rPr>
                <w:color w:val="auto"/>
                <w:lang w:val="en-GB"/>
              </w:rPr>
              <w:t>13</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10B6D901" w14:textId="77777777" w:rsidR="00CB3A79" w:rsidRPr="00CD2EEF" w:rsidRDefault="00CB3A79" w:rsidP="00F60450">
            <w:pPr>
              <w:pStyle w:val="LPpreglednicaglavasredina"/>
              <w:rPr>
                <w:color w:val="auto"/>
                <w:lang w:val="en-GB"/>
              </w:rPr>
            </w:pPr>
            <w:r w:rsidRPr="00CD2EEF">
              <w:rPr>
                <w:color w:val="auto"/>
                <w:lang w:val="en-GB"/>
              </w:rPr>
              <w:t>7.5</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1AFBAFA" w14:textId="77777777" w:rsidR="00CB3A79" w:rsidRPr="00CD2EEF" w:rsidRDefault="00CB3A79" w:rsidP="00F60450">
            <w:pPr>
              <w:pStyle w:val="LPpreglednicaglavasredina"/>
              <w:rPr>
                <w:color w:val="auto"/>
                <w:lang w:val="en-GB"/>
              </w:rPr>
            </w:pPr>
            <w:r w:rsidRPr="00CD2EEF">
              <w:rPr>
                <w:color w:val="auto"/>
                <w:lang w:val="en-GB"/>
              </w:rPr>
              <w:t>133</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DA4EAD3" w14:textId="77777777" w:rsidR="00CB3A79" w:rsidRPr="00CD2EEF" w:rsidRDefault="00CB3A79" w:rsidP="00F60450">
            <w:pPr>
              <w:pStyle w:val="LPpreglednicaglavasredina"/>
              <w:rPr>
                <w:color w:val="auto"/>
                <w:lang w:val="en-GB"/>
              </w:rPr>
            </w:pPr>
            <w:r w:rsidRPr="00CD2EEF">
              <w:rPr>
                <w:color w:val="auto"/>
                <w:lang w:val="en-GB"/>
              </w:rPr>
              <w:t>9.1</w:t>
            </w:r>
          </w:p>
        </w:tc>
        <w:tc>
          <w:tcPr>
            <w:tcW w:w="8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1AD190F9" w14:textId="77777777" w:rsidR="00CB3A79" w:rsidRPr="00CD2EEF" w:rsidRDefault="00CB3A79" w:rsidP="00F60450">
            <w:pPr>
              <w:pStyle w:val="LPpreglednicaglavasredina"/>
              <w:rPr>
                <w:color w:val="auto"/>
                <w:lang w:val="en-GB"/>
              </w:rPr>
            </w:pPr>
            <w:r w:rsidRPr="00CD2EEF">
              <w:rPr>
                <w:color w:val="auto"/>
                <w:lang w:val="en-GB"/>
              </w:rPr>
              <w:t>1,284</w:t>
            </w:r>
          </w:p>
        </w:tc>
        <w:tc>
          <w:tcPr>
            <w:tcW w:w="8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4B35EA5" w14:textId="77777777" w:rsidR="00CB3A79" w:rsidRPr="00CD2EEF" w:rsidRDefault="00CB3A79" w:rsidP="00F60450">
            <w:pPr>
              <w:pStyle w:val="LPpreglednicaglavasredina"/>
              <w:rPr>
                <w:color w:val="auto"/>
                <w:lang w:val="en-GB"/>
              </w:rPr>
            </w:pPr>
            <w:r w:rsidRPr="00CD2EEF">
              <w:rPr>
                <w:color w:val="auto"/>
                <w:lang w:val="en-GB"/>
              </w:rPr>
              <w:t>10.5</w:t>
            </w:r>
          </w:p>
        </w:tc>
      </w:tr>
      <w:bookmarkEnd w:id="127"/>
      <w:bookmarkEnd w:id="132"/>
    </w:tbl>
    <w:p w14:paraId="3F3F0CF7" w14:textId="77777777" w:rsidR="00CB3A79" w:rsidRPr="00CD2EEF" w:rsidRDefault="00CB3A79" w:rsidP="005D031D">
      <w:pPr>
        <w:pStyle w:val="LPnavaden"/>
        <w:rPr>
          <w:lang w:val="en-GB"/>
        </w:rPr>
      </w:pPr>
    </w:p>
    <w:p w14:paraId="70E14422" w14:textId="4A82E195" w:rsidR="00CB3A79" w:rsidRPr="00CD2EEF" w:rsidRDefault="00CB3A79" w:rsidP="005D031D">
      <w:pPr>
        <w:pStyle w:val="LPnavaden"/>
        <w:rPr>
          <w:lang w:val="en-GB"/>
        </w:rPr>
      </w:pPr>
      <w:r w:rsidRPr="00CD2EEF">
        <w:rPr>
          <w:lang w:val="en-GB"/>
        </w:rPr>
        <w:t xml:space="preserve">All X-ray devices are examined by approved radiation protection experts at least once a year. The devices are classified with regard to their quality into the following groups: fully functional, </w:t>
      </w:r>
      <w:r w:rsidRPr="00CD2EEF">
        <w:rPr>
          <w:lang w:val="en-GB"/>
        </w:rPr>
        <w:lastRenderedPageBreak/>
        <w:t xml:space="preserve">servicing required, decommissioning proposed, and not functional. The analysis of the data for X-ray devices is presented in </w:t>
      </w:r>
      <w:hyperlink w:anchor="fig17" w:history="1">
        <w:r w:rsidRPr="00CD2EEF">
          <w:rPr>
            <w:rStyle w:val="Hiperpovezava"/>
            <w:lang w:val="en-GB"/>
          </w:rPr>
          <w:t>Figure 17</w:t>
        </w:r>
      </w:hyperlink>
      <w:r w:rsidRPr="00CD2EEF">
        <w:rPr>
          <w:lang w:val="en-GB"/>
        </w:rPr>
        <w:t xml:space="preserve">, which shows that more than 95% of </w:t>
      </w:r>
      <w:r w:rsidR="0096754C">
        <w:rPr>
          <w:lang w:val="en-GB"/>
        </w:rPr>
        <w:t xml:space="preserve">such </w:t>
      </w:r>
      <w:r w:rsidRPr="00CD2EEF">
        <w:rPr>
          <w:lang w:val="en-GB"/>
        </w:rPr>
        <w:t xml:space="preserve">devices were classified as </w:t>
      </w:r>
      <w:r w:rsidR="00263D93">
        <w:rPr>
          <w:lang w:val="en-GB"/>
        </w:rPr>
        <w:t>“</w:t>
      </w:r>
      <w:r w:rsidRPr="00CD2EEF">
        <w:rPr>
          <w:lang w:val="en-GB"/>
        </w:rPr>
        <w:t>fully functional</w:t>
      </w:r>
      <w:r w:rsidR="00263D93">
        <w:rPr>
          <w:lang w:val="en-GB"/>
        </w:rPr>
        <w:t>”</w:t>
      </w:r>
      <w:r w:rsidRPr="00CD2EEF">
        <w:rPr>
          <w:lang w:val="en-GB"/>
        </w:rPr>
        <w:t>.</w:t>
      </w:r>
    </w:p>
    <w:p w14:paraId="0CFFB57B" w14:textId="77777777" w:rsidR="00CB3A79" w:rsidRPr="00CD2EEF" w:rsidRDefault="00CB3A79" w:rsidP="005D031D">
      <w:pPr>
        <w:pStyle w:val="LPnavaden"/>
        <w:rPr>
          <w:color w:val="00B050"/>
          <w:lang w:val="en-GB"/>
        </w:rPr>
      </w:pPr>
      <w:bookmarkStart w:id="133" w:name="fig17"/>
      <w:r w:rsidRPr="00CD2EEF">
        <w:rPr>
          <w:noProof/>
          <w:color w:val="00B050"/>
          <w:lang w:val="en-GB" w:eastAsia="sl-SI"/>
        </w:rPr>
        <w:drawing>
          <wp:inline distT="0" distB="0" distL="0" distR="0" wp14:anchorId="46E82D1C" wp14:editId="2D24C16D">
            <wp:extent cx="5867400" cy="3276600"/>
            <wp:effectExtent l="0" t="0" r="0" b="0"/>
            <wp:docPr id="23572" name="Grafikon 23572" descr="grafični prikaz deleža diagnostičnih rentgenskih naprav po njihovi kakovosti v obdobju 1997–2021">
              <a:extLst xmlns:a="http://schemas.openxmlformats.org/drawingml/2006/main">
                <a:ext uri="{FF2B5EF4-FFF2-40B4-BE49-F238E27FC236}">
                  <a16:creationId xmlns:a16="http://schemas.microsoft.com/office/drawing/2014/main" id="{1EF83885-8A68-4978-929F-4C23D50A63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EE77EA" w14:textId="14C5BE01" w:rsidR="00CB3A79" w:rsidRPr="00CD2EEF" w:rsidRDefault="004B4448" w:rsidP="004B4448">
      <w:pPr>
        <w:pStyle w:val="LPnaslovslika"/>
        <w:rPr>
          <w:lang w:val="en-GB"/>
        </w:rPr>
      </w:pPr>
      <w:bookmarkStart w:id="134" w:name="_Toc11845184"/>
      <w:bookmarkStart w:id="135" w:name="_Toc44571038"/>
      <w:bookmarkStart w:id="136" w:name="_Toc76973088"/>
      <w:bookmarkStart w:id="137" w:name="_Toc106628919"/>
      <w:bookmarkStart w:id="138" w:name="_Toc115069737"/>
      <w:bookmarkStart w:id="139" w:name="_Toc126309896"/>
      <w:bookmarkEnd w:id="133"/>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17</w:t>
      </w:r>
      <w:r w:rsidR="00366B6D" w:rsidRPr="00CD2EEF">
        <w:rPr>
          <w:lang w:val="en-GB"/>
        </w:rPr>
        <w:fldChar w:fldCharType="end"/>
      </w:r>
      <w:r w:rsidR="00CB3A79" w:rsidRPr="00CD2EEF">
        <w:rPr>
          <w:lang w:val="en-GB"/>
        </w:rPr>
        <w:t xml:space="preserve">: </w:t>
      </w:r>
      <w:bookmarkEnd w:id="134"/>
      <w:bookmarkEnd w:id="135"/>
      <w:bookmarkEnd w:id="136"/>
      <w:bookmarkEnd w:id="137"/>
      <w:bookmarkEnd w:id="138"/>
      <w:r w:rsidR="00CB3A79" w:rsidRPr="00CD2EEF">
        <w:rPr>
          <w:lang w:val="en-GB"/>
        </w:rPr>
        <w:t>Percentage of diagnostic X-ray devices according to quality in the period 1997–2021</w:t>
      </w:r>
      <w:bookmarkEnd w:id="139"/>
    </w:p>
    <w:p w14:paraId="267B15D0" w14:textId="1BF66FDE" w:rsidR="00CB3A79" w:rsidRPr="00CD2EEF" w:rsidRDefault="00CB3A79" w:rsidP="005D031D">
      <w:pPr>
        <w:pStyle w:val="LPnavaden"/>
        <w:rPr>
          <w:lang w:val="en-GB"/>
        </w:rPr>
      </w:pPr>
      <w:r w:rsidRPr="00CD2EEF">
        <w:rPr>
          <w:lang w:val="en-GB"/>
        </w:rPr>
        <w:t xml:space="preserve">In 2021, the </w:t>
      </w:r>
      <w:r w:rsidR="001D01C3" w:rsidRPr="00A83FD2">
        <w:rPr>
          <w:lang w:val="en-GB"/>
        </w:rPr>
        <w:t xml:space="preserve">Covid-19 infectious disease </w:t>
      </w:r>
      <w:r w:rsidRPr="00A83FD2">
        <w:rPr>
          <w:lang w:val="en-GB"/>
        </w:rPr>
        <w:t xml:space="preserve">epidemic had a significant impact on the organisation of inspections. </w:t>
      </w:r>
      <w:r w:rsidR="002963B6" w:rsidRPr="00A83FD2">
        <w:rPr>
          <w:lang w:val="en-GB"/>
        </w:rPr>
        <w:t xml:space="preserve">The </w:t>
      </w:r>
      <w:r w:rsidRPr="00A83FD2">
        <w:rPr>
          <w:lang w:val="en-GB"/>
        </w:rPr>
        <w:t xml:space="preserve">SRPA adapted its inspection activities to the intensive inspection guidelines on the implementation of measures to reduce the risk and spread of SARS-CoV-2 infections. As a result, 49 inspections were carried out in 2021 in the field of the use of X-ray machines and linear accelerators for radiotherapy in the health and veterinary sectors, alongside </w:t>
      </w:r>
      <w:r w:rsidR="002963B6" w:rsidRPr="00A83FD2">
        <w:rPr>
          <w:lang w:val="en-GB"/>
        </w:rPr>
        <w:t xml:space="preserve">the </w:t>
      </w:r>
      <w:r w:rsidRPr="00A83FD2">
        <w:rPr>
          <w:lang w:val="en-GB"/>
        </w:rPr>
        <w:t xml:space="preserve">inspection of the implementation of measures to reduce the risk and spread of </w:t>
      </w:r>
      <w:r w:rsidR="002963B6" w:rsidRPr="00A83FD2">
        <w:rPr>
          <w:lang w:val="en-GB"/>
        </w:rPr>
        <w:t xml:space="preserve">the </w:t>
      </w:r>
      <w:r w:rsidRPr="00A83FD2">
        <w:rPr>
          <w:lang w:val="en-GB"/>
        </w:rPr>
        <w:t>SARS-CoV-2 infection.</w:t>
      </w:r>
      <w:r w:rsidRPr="00CD2EEF">
        <w:rPr>
          <w:lang w:val="en-GB"/>
        </w:rPr>
        <w:t xml:space="preserve"> </w:t>
      </w:r>
      <w:r w:rsidR="006E0DEB">
        <w:rPr>
          <w:lang w:val="en-GB"/>
        </w:rPr>
        <w:t>O</w:t>
      </w:r>
      <w:r w:rsidRPr="00CD2EEF">
        <w:rPr>
          <w:lang w:val="en-GB"/>
        </w:rPr>
        <w:t xml:space="preserve">f these, one inspection was carried out in the field of veterinary teleradiotherapy, 42 in the field of X-ray diagnostics in </w:t>
      </w:r>
      <w:r w:rsidRPr="001E5AD5">
        <w:rPr>
          <w:lang w:val="en-GB"/>
        </w:rPr>
        <w:t>healthcare</w:t>
      </w:r>
      <w:r w:rsidRPr="00CD2EEF">
        <w:rPr>
          <w:lang w:val="en-GB"/>
        </w:rPr>
        <w:t xml:space="preserve"> facilities, 33 of which were carried out in the field of dental X-ray diagnostics and 6 in the field of X-ray diagnostics in veterinary medicine. In 15 cases, based on the findings, the SRPA inspection issued a decision requiring compliance with the valid regulations and in two cases the SRPA inspection issued a decision prohibiting the use of X-ray devices. During the inspections, 23 X-ray devices in storage were sealed.</w:t>
      </w:r>
    </w:p>
    <w:p w14:paraId="5B00A32E" w14:textId="582E52EA" w:rsidR="00CB3A79" w:rsidRPr="00CD2EEF" w:rsidRDefault="00CB3A79" w:rsidP="005D031D">
      <w:pPr>
        <w:pStyle w:val="LPnavaden"/>
        <w:rPr>
          <w:lang w:val="en-GB"/>
        </w:rPr>
      </w:pPr>
      <w:bookmarkStart w:id="140" w:name="_Hlk116642099"/>
      <w:r w:rsidRPr="00CD2EEF">
        <w:rPr>
          <w:lang w:val="en-GB"/>
        </w:rPr>
        <w:t xml:space="preserve">Based on a review of the inspection reports of X-ray devices for medical use sent to the SRPA by approved technical support organisations, three inspections were conducted, during which the SRPA requested that the user provide evidence that the noted shortcomings had been eliminated. There were 28 cases in which the user was asked to present evidence relating to </w:t>
      </w:r>
      <w:r w:rsidR="006C37BD">
        <w:rPr>
          <w:lang w:val="en-GB"/>
        </w:rPr>
        <w:t xml:space="preserve">the </w:t>
      </w:r>
      <w:r w:rsidRPr="00CD2EEF">
        <w:rPr>
          <w:lang w:val="en-GB"/>
        </w:rPr>
        <w:t>cessation of the use of an X-ray device and 99 cases involving the requirement to comply with the applicable legislation.</w:t>
      </w:r>
      <w:bookmarkEnd w:id="140"/>
    </w:p>
    <w:p w14:paraId="4280F4A7" w14:textId="77777777" w:rsidR="00CB3A79" w:rsidRPr="00CD2EEF" w:rsidRDefault="00CB3A79" w:rsidP="00CB3A79">
      <w:pPr>
        <w:pStyle w:val="LPpodpoglavje"/>
        <w:rPr>
          <w:lang w:val="en-GB"/>
        </w:rPr>
      </w:pPr>
      <w:r w:rsidRPr="00CD2EEF">
        <w:rPr>
          <w:lang w:val="en-GB"/>
        </w:rPr>
        <w:t>Unsealed and Sealed Radiation Sources in Medicine and Veterinary Medicine</w:t>
      </w:r>
    </w:p>
    <w:p w14:paraId="68367572" w14:textId="11460CBD" w:rsidR="00CB3A79" w:rsidRPr="00CD2EEF" w:rsidRDefault="00CB3A79" w:rsidP="005D031D">
      <w:pPr>
        <w:pStyle w:val="LPnavaden"/>
        <w:rPr>
          <w:lang w:val="en-GB"/>
        </w:rPr>
      </w:pPr>
      <w:r w:rsidRPr="00CD2EEF">
        <w:rPr>
          <w:lang w:val="en-GB"/>
        </w:rPr>
        <w:t xml:space="preserve">Seven hospitals or clinics in Slovenia, namely the Clinic for Nuclear Medicine of the University Medical Centre in Ljubljana, the Institute of Oncology (IO), the University Medical Centre in Maribor, and </w:t>
      </w:r>
      <w:r w:rsidR="004D479F">
        <w:rPr>
          <w:lang w:val="en-GB"/>
        </w:rPr>
        <w:t xml:space="preserve">the </w:t>
      </w:r>
      <w:r w:rsidRPr="00CD2EEF">
        <w:rPr>
          <w:lang w:val="en-GB"/>
        </w:rPr>
        <w:t>general hospitals in Celje, Izola, Slovenj Gradec, and Šempeter pri Novi Gorici, use unsealed sources (radiopharmaceuticals) for diagnostics and therapy in their nuclear medicine departments.</w:t>
      </w:r>
    </w:p>
    <w:p w14:paraId="0C447AE5" w14:textId="391F2DA1" w:rsidR="00CB3A79" w:rsidRPr="00CD2EEF" w:rsidRDefault="00CB3A79" w:rsidP="005D031D">
      <w:pPr>
        <w:pStyle w:val="LPnavaden"/>
        <w:rPr>
          <w:lang w:val="en-GB"/>
        </w:rPr>
      </w:pPr>
      <w:r w:rsidRPr="00CD2EEF">
        <w:rPr>
          <w:lang w:val="en-GB"/>
        </w:rPr>
        <w:lastRenderedPageBreak/>
        <w:t xml:space="preserve">In these nuclear medicine departments, altogether 5,549.5 GBq of isotope </w:t>
      </w:r>
      <w:r w:rsidRPr="00CD2EEF">
        <w:rPr>
          <w:rStyle w:val="LPnadpisano"/>
          <w:lang w:val="en-GB"/>
        </w:rPr>
        <w:t>99</w:t>
      </w:r>
      <w:r w:rsidRPr="00CD2EEF">
        <w:rPr>
          <w:lang w:val="en-GB"/>
        </w:rPr>
        <w:t xml:space="preserve">Mo, 5,133.8 GBq of isotope </w:t>
      </w:r>
      <w:r w:rsidRPr="00CD2EEF">
        <w:rPr>
          <w:rStyle w:val="LPnadpisano"/>
          <w:lang w:val="en-GB"/>
        </w:rPr>
        <w:t>18</w:t>
      </w:r>
      <w:r w:rsidRPr="00CD2EEF">
        <w:rPr>
          <w:lang w:val="en-GB"/>
        </w:rPr>
        <w:t xml:space="preserve">F, 1,018.3 GBq of isotope </w:t>
      </w:r>
      <w:r w:rsidRPr="00CD2EEF">
        <w:rPr>
          <w:rStyle w:val="LPnadpisano"/>
          <w:lang w:val="en-GB"/>
        </w:rPr>
        <w:t>131</w:t>
      </w:r>
      <w:r w:rsidRPr="00CD2EEF">
        <w:rPr>
          <w:lang w:val="en-GB"/>
        </w:rPr>
        <w:t xml:space="preserve">I, and minor activities involving the isotopes </w:t>
      </w:r>
      <w:r w:rsidRPr="00CD2EEF">
        <w:rPr>
          <w:rStyle w:val="LPnadpisano"/>
          <w:lang w:val="en-GB"/>
        </w:rPr>
        <w:t>177</w:t>
      </w:r>
      <w:r w:rsidRPr="00CD2EEF">
        <w:rPr>
          <w:lang w:val="en-GB"/>
        </w:rPr>
        <w:t xml:space="preserve">Lu , </w:t>
      </w:r>
      <w:r w:rsidRPr="00CD2EEF">
        <w:rPr>
          <w:rStyle w:val="LPnadpisano"/>
          <w:lang w:val="en-GB"/>
        </w:rPr>
        <w:t>123</w:t>
      </w:r>
      <w:r w:rsidRPr="00CD2EEF">
        <w:rPr>
          <w:lang w:val="en-GB"/>
        </w:rPr>
        <w:t xml:space="preserve">I, </w:t>
      </w:r>
      <w:r w:rsidRPr="00CD2EEF">
        <w:rPr>
          <w:rStyle w:val="LPnadpisano"/>
          <w:lang w:val="en-GB"/>
        </w:rPr>
        <w:t>90</w:t>
      </w:r>
      <w:r w:rsidRPr="00CD2EEF">
        <w:rPr>
          <w:lang w:val="en-GB"/>
        </w:rPr>
        <w:t xml:space="preserve">Y, </w:t>
      </w:r>
      <w:r w:rsidRPr="00CD2EEF">
        <w:rPr>
          <w:rStyle w:val="LPnadpisano"/>
          <w:lang w:val="en-GB"/>
        </w:rPr>
        <w:t>68</w:t>
      </w:r>
      <w:r w:rsidRPr="00CD2EEF">
        <w:rPr>
          <w:lang w:val="en-GB"/>
        </w:rPr>
        <w:t>Ge,</w:t>
      </w:r>
      <w:r w:rsidR="004D479F">
        <w:rPr>
          <w:lang w:val="en-GB"/>
        </w:rPr>
        <w:t xml:space="preserve"> and</w:t>
      </w:r>
      <w:r w:rsidRPr="00CD2EEF">
        <w:rPr>
          <w:lang w:val="en-GB"/>
        </w:rPr>
        <w:t xml:space="preserve"> </w:t>
      </w:r>
      <w:r w:rsidRPr="00CD2EEF">
        <w:rPr>
          <w:rStyle w:val="LPnadpisano"/>
          <w:lang w:val="en-GB"/>
        </w:rPr>
        <w:t>111</w:t>
      </w:r>
      <w:r w:rsidRPr="00CD2EEF">
        <w:rPr>
          <w:lang w:val="en-GB"/>
        </w:rPr>
        <w:t>In</w:t>
      </w:r>
      <w:r w:rsidR="004D479F">
        <w:rPr>
          <w:lang w:val="en-GB"/>
        </w:rPr>
        <w:t>,</w:t>
      </w:r>
      <w:r w:rsidRPr="00CD2EEF">
        <w:rPr>
          <w:lang w:val="en-GB"/>
        </w:rPr>
        <w:t xml:space="preserve"> and some other isotopes are used for diagnostics and therapy. Isotope </w:t>
      </w:r>
      <w:r w:rsidRPr="00CD2EEF">
        <w:rPr>
          <w:rStyle w:val="LPnadpisano"/>
          <w:lang w:val="en-GB"/>
        </w:rPr>
        <w:t>99</w:t>
      </w:r>
      <w:r w:rsidRPr="00CD2EEF">
        <w:rPr>
          <w:lang w:val="en-GB"/>
        </w:rPr>
        <w:t xml:space="preserve">Mo is used as a generator of the isotope technetium </w:t>
      </w:r>
      <w:r w:rsidRPr="00CD2EEF">
        <w:rPr>
          <w:rStyle w:val="LPnadpisano"/>
          <w:lang w:val="en-GB"/>
        </w:rPr>
        <w:t>99m</w:t>
      </w:r>
      <w:r w:rsidRPr="00CD2EEF">
        <w:rPr>
          <w:lang w:val="en-GB"/>
        </w:rPr>
        <w:t xml:space="preserve">Tc, which is used for diagnostics by nuclear medicine departments. From the initial activity of </w:t>
      </w:r>
      <w:r w:rsidRPr="00CD2EEF">
        <w:rPr>
          <w:rStyle w:val="LPnadpisano"/>
          <w:lang w:val="en-GB"/>
        </w:rPr>
        <w:t>99</w:t>
      </w:r>
      <w:r w:rsidRPr="00CD2EEF">
        <w:rPr>
          <w:lang w:val="en-GB"/>
        </w:rPr>
        <w:t xml:space="preserve">Mo, a few-times higher activity of </w:t>
      </w:r>
      <w:r w:rsidRPr="00CD2EEF">
        <w:rPr>
          <w:rStyle w:val="LPnadpisano"/>
          <w:lang w:val="en-GB"/>
        </w:rPr>
        <w:t>99m</w:t>
      </w:r>
      <w:r w:rsidRPr="00CD2EEF">
        <w:rPr>
          <w:lang w:val="en-GB"/>
        </w:rPr>
        <w:t xml:space="preserve">Tc can be eluted in one week. At the end of 2014, the Institute of Oncology started to use </w:t>
      </w:r>
      <w:r w:rsidRPr="00CD2EEF">
        <w:rPr>
          <w:rStyle w:val="LPnadpisano"/>
          <w:lang w:val="en-GB"/>
        </w:rPr>
        <w:t>223</w:t>
      </w:r>
      <w:r w:rsidRPr="00CD2EEF">
        <w:rPr>
          <w:lang w:val="en-GB"/>
        </w:rPr>
        <w:t xml:space="preserve">Ra, which emits alpha particles. Cumulatively, 0.61 GBq of that isotope were imported in 2021 (more than in 2020, when 0.49 GBq of that isotope was imported). In October 2017, the Nuclear Medicine </w:t>
      </w:r>
      <w:r w:rsidR="004D479F" w:rsidRPr="00CD2EEF">
        <w:rPr>
          <w:lang w:val="en-GB"/>
        </w:rPr>
        <w:t>Clinic</w:t>
      </w:r>
      <w:r w:rsidRPr="00CD2EEF">
        <w:rPr>
          <w:lang w:val="en-GB"/>
        </w:rPr>
        <w:t xml:space="preserve"> introduced new tests using Gallium </w:t>
      </w:r>
      <w:r w:rsidRPr="00CD2EEF">
        <w:rPr>
          <w:rStyle w:val="LPnadpisano"/>
          <w:lang w:val="en-GB"/>
        </w:rPr>
        <w:t>68</w:t>
      </w:r>
      <w:r w:rsidRPr="00CD2EEF">
        <w:rPr>
          <w:lang w:val="en-GB"/>
        </w:rPr>
        <w:t xml:space="preserve">Ga in patients. This isotope emits positrons, its generator is germanium </w:t>
      </w:r>
      <w:r w:rsidRPr="00CD2EEF">
        <w:rPr>
          <w:rStyle w:val="LPnadpisano"/>
          <w:lang w:val="en-GB"/>
        </w:rPr>
        <w:t>68</w:t>
      </w:r>
      <w:r w:rsidRPr="00CD2EEF">
        <w:rPr>
          <w:lang w:val="en-GB"/>
        </w:rPr>
        <w:t xml:space="preserve">Ge with a half-life of 271 days. The half-life of </w:t>
      </w:r>
      <w:r w:rsidRPr="00CD2EEF">
        <w:rPr>
          <w:rStyle w:val="LPnadpisano"/>
          <w:lang w:val="en-GB"/>
        </w:rPr>
        <w:t>68</w:t>
      </w:r>
      <w:r w:rsidRPr="00CD2EEF">
        <w:rPr>
          <w:lang w:val="en-GB"/>
        </w:rPr>
        <w:t xml:space="preserve">Ga is 67 minutes. Two generators were purchased in 2021. Nuclear medicine units also use sealed calibration sources of low-activity radiation for testing the performance of devices and instruments, </w:t>
      </w:r>
      <w:r w:rsidRPr="00ED0105">
        <w:rPr>
          <w:lang w:val="en-GB"/>
        </w:rPr>
        <w:t xml:space="preserve">and </w:t>
      </w:r>
      <w:r w:rsidRPr="006D6975">
        <w:rPr>
          <w:lang w:val="en-GB"/>
        </w:rPr>
        <w:t xml:space="preserve">for </w:t>
      </w:r>
      <w:r w:rsidR="00ED0105" w:rsidRPr="006D6975">
        <w:rPr>
          <w:lang w:val="en-GB"/>
        </w:rPr>
        <w:t>radioactive tracing</w:t>
      </w:r>
      <w:r w:rsidRPr="006D6975">
        <w:rPr>
          <w:lang w:val="en-GB"/>
        </w:rPr>
        <w:t>.</w:t>
      </w:r>
    </w:p>
    <w:p w14:paraId="3A2B6CEC" w14:textId="77777777" w:rsidR="00CB3A79" w:rsidRPr="00CD2EEF" w:rsidRDefault="00CB3A79" w:rsidP="005D031D">
      <w:pPr>
        <w:pStyle w:val="LPnavaden"/>
        <w:rPr>
          <w:lang w:val="en-GB"/>
        </w:rPr>
      </w:pPr>
      <w:r w:rsidRPr="00CD2EEF">
        <w:rPr>
          <w:lang w:val="en-GB"/>
        </w:rPr>
        <w:t xml:space="preserve">Sealed sources for therapy are used at the IO and the Ophthalmology Clinic at the University Medical Centre Ljubljana. At the IO, two </w:t>
      </w:r>
      <w:r w:rsidRPr="00CD2EEF">
        <w:rPr>
          <w:rStyle w:val="LPnadpisano"/>
          <w:lang w:val="en-GB"/>
        </w:rPr>
        <w:t>192</w:t>
      </w:r>
      <w:r w:rsidRPr="00CD2EEF">
        <w:rPr>
          <w:lang w:val="en-GB"/>
        </w:rPr>
        <w:t xml:space="preserve">Ir sources, with initial activity of 440 GBq and 44 GBq, and three </w:t>
      </w:r>
      <w:r w:rsidRPr="00CD2EEF">
        <w:rPr>
          <w:rStyle w:val="LPnadpisano"/>
          <w:lang w:val="en-GB"/>
        </w:rPr>
        <w:t>90</w:t>
      </w:r>
      <w:r w:rsidRPr="00CD2EEF">
        <w:rPr>
          <w:lang w:val="en-GB"/>
        </w:rPr>
        <w:t xml:space="preserve">Sr sources, with initial activities of up to 740 MBq, are in use. The Ophthalmology Clinic uses three sources of </w:t>
      </w:r>
      <w:r w:rsidRPr="00CD2EEF">
        <w:rPr>
          <w:rStyle w:val="LPnadpisano"/>
          <w:lang w:val="en-GB"/>
        </w:rPr>
        <w:t>106</w:t>
      </w:r>
      <w:r w:rsidRPr="00CD2EEF">
        <w:rPr>
          <w:lang w:val="en-GB"/>
        </w:rPr>
        <w:t xml:space="preserve">Ru, with initial activities of up to 37 MBq, to treat eye tumours. In 2020, the Institute of Transfusion Medicine of the Republic of Slovenia began using an X-ray machine to irradiate blood components instead of a closed source. The </w:t>
      </w:r>
      <w:r w:rsidRPr="00CD2EEF">
        <w:rPr>
          <w:rStyle w:val="LPnadpisano"/>
          <w:lang w:val="en-GB"/>
        </w:rPr>
        <w:t>137</w:t>
      </w:r>
      <w:r w:rsidRPr="00CD2EEF">
        <w:rPr>
          <w:lang w:val="en-GB"/>
        </w:rPr>
        <w:t xml:space="preserve">Cs sealed source with an initial activity of 49.2 TBq will be submitted to a foreign acquirer in cooperation with the International Atomic Energy Agency (IAEA). </w:t>
      </w:r>
    </w:p>
    <w:p w14:paraId="2EFE6962" w14:textId="7C26484F" w:rsidR="00CB3A79" w:rsidRPr="00CD2EEF" w:rsidRDefault="00CB3A79" w:rsidP="005D031D">
      <w:pPr>
        <w:pStyle w:val="LPnavaden"/>
        <w:rPr>
          <w:lang w:val="en-GB"/>
        </w:rPr>
      </w:pPr>
      <w:r w:rsidRPr="00CD2EEF">
        <w:rPr>
          <w:lang w:val="en-GB"/>
        </w:rPr>
        <w:t>With reference to the use of unsealed and sealed sources in medicine, 5 licences to carry out a radiation practice, 6 licences to use a radiation source, 2 licences for</w:t>
      </w:r>
      <w:r w:rsidR="007F3D91">
        <w:rPr>
          <w:lang w:val="en-GB"/>
        </w:rPr>
        <w:t xml:space="preserve"> the</w:t>
      </w:r>
      <w:r w:rsidRPr="00CD2EEF">
        <w:rPr>
          <w:lang w:val="en-GB"/>
        </w:rPr>
        <w:t xml:space="preserve"> import of radioactive material from the USA, and 36 statements on the shipment of radioactive materials from European Union Member States were issued in 2021.</w:t>
      </w:r>
    </w:p>
    <w:p w14:paraId="711DB1A9" w14:textId="03A2CC10" w:rsidR="00CB3A79" w:rsidRPr="00CD2EEF" w:rsidRDefault="00CB3A79" w:rsidP="005D031D">
      <w:pPr>
        <w:pStyle w:val="LPnavaden"/>
        <w:rPr>
          <w:lang w:val="en-GB"/>
        </w:rPr>
      </w:pPr>
      <w:r w:rsidRPr="00CD2EEF">
        <w:rPr>
          <w:lang w:val="en-GB"/>
        </w:rPr>
        <w:t xml:space="preserve">Three in-depth inspections </w:t>
      </w:r>
      <w:r w:rsidR="007E16CC">
        <w:rPr>
          <w:lang w:val="en-GB"/>
        </w:rPr>
        <w:t>of</w:t>
      </w:r>
      <w:r w:rsidR="007E16CC" w:rsidRPr="00CD2EEF">
        <w:rPr>
          <w:lang w:val="en-GB"/>
        </w:rPr>
        <w:t xml:space="preserve"> </w:t>
      </w:r>
      <w:r w:rsidRPr="00CD2EEF">
        <w:rPr>
          <w:lang w:val="en-GB"/>
        </w:rPr>
        <w:t xml:space="preserve">the use of radioactive substances in healthcare were carried out in 2021. The management of radioactive waste in the Nuclear Medicine Clinic was checked, as </w:t>
      </w:r>
      <w:r w:rsidR="00A726E8">
        <w:rPr>
          <w:lang w:val="en-GB"/>
        </w:rPr>
        <w:t>the</w:t>
      </w:r>
      <w:r w:rsidR="00E63423">
        <w:rPr>
          <w:lang w:val="en-GB"/>
        </w:rPr>
        <w:t xml:space="preserve"> SNSA</w:t>
      </w:r>
      <w:r w:rsidRPr="00CD2EEF">
        <w:rPr>
          <w:lang w:val="en-GB"/>
        </w:rPr>
        <w:t xml:space="preserve"> Inspection has repeatedly informed the SRPA Inspection of interventions at non-hazardous waste disposal sites in Ljubljana and Celje due to elevated radiation levels in hospital or municipal waste due to radiation sources used in healthcare. In both cases, the SRPA inspector issued a warning because the control of radioactive material had been abandoned without permission from the competent authority. The possible causes of these incidents were analysed and remedial measures were introduced, such as additional markings on the radioactive waste bins, </w:t>
      </w:r>
      <w:r w:rsidR="001C7E19" w:rsidRPr="00CD2EEF">
        <w:rPr>
          <w:lang w:val="en-GB"/>
        </w:rPr>
        <w:t xml:space="preserve">cards </w:t>
      </w:r>
      <w:r w:rsidRPr="00CD2EEF">
        <w:rPr>
          <w:lang w:val="en-GB"/>
        </w:rPr>
        <w:t>warning of the presence of radioactive substances on the housing of the activity distributor, mandatory measurements of all waste at the Nuclear Medicine Clinic, updated waste management instructions</w:t>
      </w:r>
      <w:r w:rsidR="001C7E19">
        <w:rPr>
          <w:lang w:val="en-GB"/>
        </w:rPr>
        <w:t>,</w:t>
      </w:r>
      <w:r w:rsidRPr="00CD2EEF">
        <w:rPr>
          <w:lang w:val="en-GB"/>
        </w:rPr>
        <w:t xml:space="preserve"> and additional storage space for radioactive waste. Inspections were also carried out at the Institute of Transfusion Medicine and the IO. There were no irregularities.</w:t>
      </w:r>
    </w:p>
    <w:p w14:paraId="1B35912A" w14:textId="77777777" w:rsidR="00CB3A79" w:rsidRPr="00CD2EEF" w:rsidRDefault="00CB3A79" w:rsidP="005D031D">
      <w:pPr>
        <w:pStyle w:val="LPnavaden"/>
        <w:rPr>
          <w:lang w:val="en-GB"/>
        </w:rPr>
      </w:pPr>
      <w:r w:rsidRPr="00CD2EEF">
        <w:rPr>
          <w:lang w:val="en-GB"/>
        </w:rPr>
        <w:t>Medical departments with unsealed and sealed radiation sources were reviewed (once or twice annually, depending on the source type) by approved experts in radiation protection and medical physics at the Institute of Occupational Safety (IOS). No major deficiencies were found in 2021. Neither unsealed nor sealed radioactive sources were used in veterinary medicine in 2021.</w:t>
      </w:r>
    </w:p>
    <w:p w14:paraId="710EB9F8" w14:textId="488046A5" w:rsidR="00CB3A79" w:rsidRPr="00CD2EEF" w:rsidRDefault="00CB3A79" w:rsidP="000B1BA2">
      <w:pPr>
        <w:pStyle w:val="LPviri"/>
        <w:rPr>
          <w:lang w:val="en-GB"/>
        </w:rPr>
      </w:pPr>
      <w:r w:rsidRPr="00CD2EEF">
        <w:rPr>
          <w:lang w:val="en-GB"/>
        </w:rPr>
        <w:t>Reference: [</w:t>
      </w:r>
      <w:hyperlink w:anchor="r15" w:history="1">
        <w:r w:rsidRPr="00CD2EEF">
          <w:rPr>
            <w:rStyle w:val="Hiperpovezava"/>
            <w:lang w:val="en-GB"/>
          </w:rPr>
          <w:t>15</w:t>
        </w:r>
      </w:hyperlink>
      <w:r w:rsidRPr="00CD2EEF">
        <w:rPr>
          <w:lang w:val="en-GB"/>
        </w:rPr>
        <w:t xml:space="preserve">] </w:t>
      </w:r>
    </w:p>
    <w:p w14:paraId="5D014465" w14:textId="177B3045" w:rsidR="00CB3A79" w:rsidRPr="00CD2EEF" w:rsidRDefault="00CB3A79" w:rsidP="00CB3A79">
      <w:pPr>
        <w:pStyle w:val="LPNaslov3"/>
        <w:rPr>
          <w:lang w:val="en-GB"/>
        </w:rPr>
      </w:pPr>
      <w:bookmarkStart w:id="141" w:name="_Toc126311997"/>
      <w:r w:rsidRPr="00CD2EEF">
        <w:rPr>
          <w:lang w:val="en-GB"/>
        </w:rPr>
        <w:t>The Transport of Radioactive and Nuclear Materials</w:t>
      </w:r>
      <w:bookmarkEnd w:id="141"/>
    </w:p>
    <w:p w14:paraId="14A9C6B6" w14:textId="77777777" w:rsidR="00CB3A79" w:rsidRPr="00CD2EEF" w:rsidRDefault="00CB3A79" w:rsidP="000B1BA2">
      <w:pPr>
        <w:pStyle w:val="LPnavaden"/>
        <w:rPr>
          <w:lang w:val="en-GB"/>
        </w:rPr>
      </w:pPr>
      <w:r w:rsidRPr="00CD2EEF">
        <w:rPr>
          <w:lang w:val="en-GB"/>
        </w:rPr>
        <w:t xml:space="preserve">The transport of radioactive and nuclear materials is regulated by the </w:t>
      </w:r>
      <w:r w:rsidRPr="00CD2EEF">
        <w:rPr>
          <w:rStyle w:val="LPnavadenposevnoZnak"/>
          <w:lang w:val="en-GB"/>
        </w:rPr>
        <w:t>Act on the Transport of Dangerous Goods</w:t>
      </w:r>
      <w:r w:rsidRPr="00CD2EEF">
        <w:rPr>
          <w:lang w:val="en-GB"/>
        </w:rPr>
        <w:t xml:space="preserve"> (Official Gazette of the Republic of Slovenia, Nos. 33/06-UPB1, 41/09, 97/10, and 56/15). All road transport of such materials must be carried out in accordance with the provisions of the </w:t>
      </w:r>
      <w:r w:rsidRPr="00CD2EEF">
        <w:rPr>
          <w:rStyle w:val="LPnavadenposevnoZnak"/>
          <w:lang w:val="en-GB"/>
        </w:rPr>
        <w:t>European Agreement Concerning the International Carriage of Dangerous Goods by Road</w:t>
      </w:r>
      <w:r w:rsidRPr="00CD2EEF">
        <w:rPr>
          <w:lang w:val="en-GB"/>
        </w:rPr>
        <w:t xml:space="preserve"> (ADR).</w:t>
      </w:r>
    </w:p>
    <w:p w14:paraId="5038FCCC" w14:textId="6E98F0E0" w:rsidR="00CB3A79" w:rsidRPr="006D6975" w:rsidRDefault="00CB3A79" w:rsidP="000B1BA2">
      <w:pPr>
        <w:pStyle w:val="LPnavaden"/>
        <w:rPr>
          <w:lang w:val="en-GB"/>
        </w:rPr>
      </w:pPr>
      <w:r w:rsidRPr="00CD2EEF">
        <w:rPr>
          <w:lang w:val="en-GB"/>
        </w:rPr>
        <w:lastRenderedPageBreak/>
        <w:t xml:space="preserve">In 2021, </w:t>
      </w:r>
      <w:r w:rsidR="00A726E8">
        <w:rPr>
          <w:lang w:val="en-GB"/>
        </w:rPr>
        <w:t>the</w:t>
      </w:r>
      <w:r w:rsidR="00E63423">
        <w:rPr>
          <w:lang w:val="en-GB"/>
        </w:rPr>
        <w:t xml:space="preserve"> SNSA</w:t>
      </w:r>
      <w:r w:rsidRPr="00CD2EEF">
        <w:rPr>
          <w:lang w:val="en-GB"/>
        </w:rPr>
        <w:t xml:space="preserve"> and the SRPA did not issue any licenses for the transport of radioactive materials according to the Act on the Transport of Dangerous Goods. In 2021, </w:t>
      </w:r>
      <w:r w:rsidR="00A726E8">
        <w:rPr>
          <w:lang w:val="en-GB"/>
        </w:rPr>
        <w:t>the</w:t>
      </w:r>
      <w:r w:rsidR="00E63423">
        <w:rPr>
          <w:lang w:val="en-GB"/>
        </w:rPr>
        <w:t xml:space="preserve"> SNSA</w:t>
      </w:r>
      <w:r w:rsidRPr="00CD2EEF">
        <w:rPr>
          <w:lang w:val="en-GB"/>
        </w:rPr>
        <w:t xml:space="preserve"> issued one decision to </w:t>
      </w:r>
      <w:r w:rsidR="001C6A65">
        <w:rPr>
          <w:lang w:val="en-GB"/>
        </w:rPr>
        <w:t>a</w:t>
      </w:r>
      <w:r w:rsidR="001C6A65" w:rsidRPr="00CD2EEF">
        <w:rPr>
          <w:lang w:val="en-GB"/>
        </w:rPr>
        <w:t xml:space="preserve"> </w:t>
      </w:r>
      <w:r w:rsidRPr="00CD2EEF">
        <w:rPr>
          <w:lang w:val="en-GB"/>
        </w:rPr>
        <w:t xml:space="preserve">foreign legal </w:t>
      </w:r>
      <w:r w:rsidRPr="006D6975">
        <w:rPr>
          <w:lang w:val="en-GB"/>
        </w:rPr>
        <w:t>person</w:t>
      </w:r>
      <w:r w:rsidR="00AD3004" w:rsidRPr="006D6975">
        <w:rPr>
          <w:lang w:val="en-GB"/>
        </w:rPr>
        <w:t xml:space="preserve"> approving a license for </w:t>
      </w:r>
      <w:r w:rsidR="001C6A65" w:rsidRPr="006D6975">
        <w:rPr>
          <w:lang w:val="en-GB"/>
        </w:rPr>
        <w:t>the</w:t>
      </w:r>
      <w:r w:rsidRPr="006D6975">
        <w:rPr>
          <w:lang w:val="en-GB"/>
        </w:rPr>
        <w:t xml:space="preserve"> </w:t>
      </w:r>
      <w:r w:rsidR="001C6A65" w:rsidRPr="006D6975">
        <w:rPr>
          <w:lang w:val="en-GB"/>
        </w:rPr>
        <w:t xml:space="preserve">performance of the </w:t>
      </w:r>
      <w:r w:rsidRPr="006D6975">
        <w:rPr>
          <w:lang w:val="en-GB"/>
        </w:rPr>
        <w:t xml:space="preserve">radiation practice </w:t>
      </w:r>
      <w:r w:rsidR="001C6A65" w:rsidRPr="006D6975">
        <w:rPr>
          <w:lang w:val="en-GB"/>
        </w:rPr>
        <w:t xml:space="preserve">of </w:t>
      </w:r>
      <w:r w:rsidRPr="006D6975">
        <w:rPr>
          <w:lang w:val="en-GB"/>
        </w:rPr>
        <w:t>the transport of radioactive material and one for the transport of radioactive and nuclear material in industry and research. In 2021, the SRPA issued one decision approving that a license for the transport of radioactive material in medicine and veterinary</w:t>
      </w:r>
      <w:r w:rsidR="00AC705D" w:rsidRPr="006D6975">
        <w:rPr>
          <w:lang w:val="en-GB"/>
        </w:rPr>
        <w:t xml:space="preserve"> medicine</w:t>
      </w:r>
      <w:r w:rsidRPr="006D6975">
        <w:rPr>
          <w:lang w:val="en-GB"/>
        </w:rPr>
        <w:t xml:space="preserve"> issued by a competent authority of an EU Member State is equivalent to a license issued </w:t>
      </w:r>
      <w:r w:rsidR="00E100D6" w:rsidRPr="006D6975">
        <w:rPr>
          <w:lang w:val="en-GB"/>
        </w:rPr>
        <w:t xml:space="preserve">in accordance with </w:t>
      </w:r>
      <w:r w:rsidRPr="006D6975">
        <w:rPr>
          <w:lang w:val="en-GB"/>
        </w:rPr>
        <w:t xml:space="preserve">Slovenian legislation. </w:t>
      </w:r>
    </w:p>
    <w:p w14:paraId="3546FF4B" w14:textId="1A2AC33C" w:rsidR="00CB3A79" w:rsidRPr="00CD2EEF" w:rsidRDefault="00CB3A79" w:rsidP="000B1BA2">
      <w:pPr>
        <w:pStyle w:val="LPnavaden"/>
        <w:rPr>
          <w:lang w:val="en-GB"/>
        </w:rPr>
      </w:pPr>
      <w:r w:rsidRPr="006D6975">
        <w:rPr>
          <w:lang w:val="en-GB"/>
        </w:rPr>
        <w:t xml:space="preserve">In 2021, </w:t>
      </w:r>
      <w:r w:rsidR="00A726E8" w:rsidRPr="006D6975">
        <w:rPr>
          <w:lang w:val="en-GB"/>
        </w:rPr>
        <w:t>the</w:t>
      </w:r>
      <w:r w:rsidR="00E63423" w:rsidRPr="006D6975">
        <w:rPr>
          <w:lang w:val="en-GB"/>
        </w:rPr>
        <w:t xml:space="preserve"> SNSA</w:t>
      </w:r>
      <w:r w:rsidRPr="006D6975">
        <w:rPr>
          <w:lang w:val="en-GB"/>
        </w:rPr>
        <w:t xml:space="preserve"> issued two approvals of package</w:t>
      </w:r>
      <w:r w:rsidR="00134A7D" w:rsidRPr="006D6975">
        <w:rPr>
          <w:lang w:val="en-GB"/>
        </w:rPr>
        <w:t>s</w:t>
      </w:r>
      <w:r w:rsidRPr="006D6975">
        <w:rPr>
          <w:lang w:val="en-GB"/>
        </w:rPr>
        <w:t xml:space="preserve"> for th</w:t>
      </w:r>
      <w:r w:rsidRPr="00CD2EEF">
        <w:rPr>
          <w:lang w:val="en-GB"/>
        </w:rPr>
        <w:t xml:space="preserve">e transport of radioactive and nuclear material (based </w:t>
      </w:r>
      <w:r w:rsidRPr="00AD41C1">
        <w:rPr>
          <w:lang w:val="en-GB"/>
        </w:rPr>
        <w:t>on Art</w:t>
      </w:r>
      <w:r w:rsidR="00E012A7" w:rsidRPr="006D6975">
        <w:rPr>
          <w:lang w:val="en-GB"/>
        </w:rPr>
        <w:t>icle</w:t>
      </w:r>
      <w:r w:rsidRPr="00AD41C1">
        <w:rPr>
          <w:lang w:val="en-GB"/>
        </w:rPr>
        <w:t xml:space="preserve"> 7</w:t>
      </w:r>
      <w:r w:rsidRPr="00CD2EEF">
        <w:rPr>
          <w:lang w:val="en-GB"/>
        </w:rPr>
        <w:t xml:space="preserve"> of the Act on the Transport of Dangerous Goods), both on the request of </w:t>
      </w:r>
      <w:r w:rsidR="00C5169D">
        <w:rPr>
          <w:lang w:val="en-GB"/>
        </w:rPr>
        <w:t>the Krško NPP</w:t>
      </w:r>
      <w:r w:rsidRPr="00CD2EEF">
        <w:rPr>
          <w:lang w:val="en-GB"/>
        </w:rPr>
        <w:t xml:space="preserve"> (taking into account the approval of the competent authorities of the country of origin, </w:t>
      </w:r>
      <w:r w:rsidR="00134A7D">
        <w:rPr>
          <w:lang w:val="en-GB"/>
        </w:rPr>
        <w:t xml:space="preserve">the </w:t>
      </w:r>
      <w:r w:rsidRPr="00CD2EEF">
        <w:rPr>
          <w:lang w:val="en-GB"/>
        </w:rPr>
        <w:t xml:space="preserve">USA), namely, the approval of packaging for the transport of nuclear material (non-irradiated </w:t>
      </w:r>
      <w:r w:rsidR="00134A7D">
        <w:rPr>
          <w:lang w:val="en-GB"/>
        </w:rPr>
        <w:t>–</w:t>
      </w:r>
      <w:r w:rsidRPr="00CD2EEF">
        <w:rPr>
          <w:lang w:val="en-GB"/>
        </w:rPr>
        <w:t xml:space="preserve"> fresh nuclear fuel packed in type A packages, fissile (AF), Traveller STD packaging model, USA/9297/AF-96)</w:t>
      </w:r>
      <w:r w:rsidR="00134A7D">
        <w:rPr>
          <w:lang w:val="en-GB"/>
        </w:rPr>
        <w:t>,</w:t>
      </w:r>
      <w:r w:rsidRPr="00CD2EEF">
        <w:rPr>
          <w:lang w:val="en-GB"/>
        </w:rPr>
        <w:t xml:space="preserve"> and approval of packaging for the transport of nuclear material (HI-STAR 190, type B(U)F, package model USA/9373/B(U)F-96). </w:t>
      </w:r>
    </w:p>
    <w:p w14:paraId="7FBCAA46" w14:textId="26F7FE6E" w:rsidR="00CB3A79" w:rsidRPr="00CD2EEF" w:rsidRDefault="00CB3A79" w:rsidP="000B1BA2">
      <w:pPr>
        <w:pStyle w:val="LPNaslov3"/>
        <w:numPr>
          <w:ilvl w:val="0"/>
          <w:numId w:val="0"/>
        </w:numPr>
        <w:ind w:left="709" w:hanging="709"/>
        <w:rPr>
          <w:lang w:val="en-GB"/>
        </w:rPr>
      </w:pPr>
      <w:bookmarkStart w:id="142" w:name="_Toc14414236"/>
      <w:bookmarkStart w:id="143" w:name="_Toc46257190"/>
      <w:bookmarkStart w:id="144" w:name="_Toc47694633"/>
      <w:bookmarkStart w:id="145" w:name="_Toc126311998"/>
      <w:r w:rsidRPr="00CD2EEF">
        <w:rPr>
          <w:lang w:val="en-GB"/>
        </w:rPr>
        <w:t xml:space="preserve">2.2.5 The </w:t>
      </w:r>
      <w:r w:rsidR="002D5FFC">
        <w:rPr>
          <w:lang w:val="en-GB"/>
        </w:rPr>
        <w:t>I</w:t>
      </w:r>
      <w:r w:rsidRPr="00CD2EEF">
        <w:rPr>
          <w:lang w:val="en-GB"/>
        </w:rPr>
        <w:t>mport/</w:t>
      </w:r>
      <w:r w:rsidR="002D5FFC">
        <w:rPr>
          <w:lang w:val="en-GB"/>
        </w:rPr>
        <w:t>S</w:t>
      </w:r>
      <w:r w:rsidRPr="00CD2EEF">
        <w:rPr>
          <w:lang w:val="en-GB"/>
        </w:rPr>
        <w:t xml:space="preserve">hipment </w:t>
      </w:r>
      <w:r w:rsidR="002D5FFC">
        <w:rPr>
          <w:lang w:val="en-GB"/>
        </w:rPr>
        <w:t>I</w:t>
      </w:r>
      <w:r w:rsidRPr="00CD2EEF">
        <w:rPr>
          <w:lang w:val="en-GB"/>
        </w:rPr>
        <w:t xml:space="preserve">nto Slovenia, </w:t>
      </w:r>
      <w:r w:rsidR="002D5FFC">
        <w:rPr>
          <w:lang w:val="en-GB"/>
        </w:rPr>
        <w:t>T</w:t>
      </w:r>
      <w:r w:rsidRPr="00CD2EEF">
        <w:rPr>
          <w:lang w:val="en-GB"/>
        </w:rPr>
        <w:t xml:space="preserve">ransit, and </w:t>
      </w:r>
      <w:r w:rsidR="002D5FFC">
        <w:rPr>
          <w:lang w:val="en-GB"/>
        </w:rPr>
        <w:t>E</w:t>
      </w:r>
      <w:r w:rsidRPr="00CD2EEF">
        <w:rPr>
          <w:lang w:val="en-GB"/>
        </w:rPr>
        <w:t>xport/</w:t>
      </w:r>
      <w:r w:rsidR="002D5FFC">
        <w:rPr>
          <w:lang w:val="en-GB"/>
        </w:rPr>
        <w:t>S</w:t>
      </w:r>
      <w:r w:rsidRPr="00CD2EEF">
        <w:rPr>
          <w:lang w:val="en-GB"/>
        </w:rPr>
        <w:t xml:space="preserve">hipment </w:t>
      </w:r>
      <w:r w:rsidR="002D5FFC">
        <w:rPr>
          <w:lang w:val="en-GB"/>
        </w:rPr>
        <w:t>O</w:t>
      </w:r>
      <w:r w:rsidRPr="00CD2EEF">
        <w:rPr>
          <w:lang w:val="en-GB"/>
        </w:rPr>
        <w:t xml:space="preserve">ut of Slovenia of </w:t>
      </w:r>
      <w:r w:rsidR="002D5FFC">
        <w:rPr>
          <w:lang w:val="en-GB"/>
        </w:rPr>
        <w:t>R</w:t>
      </w:r>
      <w:r w:rsidRPr="00CD2EEF">
        <w:rPr>
          <w:lang w:val="en-GB"/>
        </w:rPr>
        <w:t xml:space="preserve">adioactive and </w:t>
      </w:r>
      <w:r w:rsidR="002D5FFC">
        <w:rPr>
          <w:lang w:val="en-GB"/>
        </w:rPr>
        <w:t>N</w:t>
      </w:r>
      <w:r w:rsidRPr="00CD2EEF">
        <w:rPr>
          <w:lang w:val="en-GB"/>
        </w:rPr>
        <w:t xml:space="preserve">uclear </w:t>
      </w:r>
      <w:r w:rsidR="002D5FFC">
        <w:rPr>
          <w:lang w:val="en-GB"/>
        </w:rPr>
        <w:t>M</w:t>
      </w:r>
      <w:r w:rsidRPr="00CD2EEF">
        <w:rPr>
          <w:lang w:val="en-GB"/>
        </w:rPr>
        <w:t>aterial</w:t>
      </w:r>
      <w:bookmarkEnd w:id="142"/>
      <w:bookmarkEnd w:id="143"/>
      <w:bookmarkEnd w:id="144"/>
      <w:bookmarkEnd w:id="145"/>
      <w:r w:rsidRPr="00CD2EEF">
        <w:rPr>
          <w:lang w:val="en-GB"/>
        </w:rPr>
        <w:t xml:space="preserve"> </w:t>
      </w:r>
    </w:p>
    <w:p w14:paraId="03DD2AF5" w14:textId="490D05F5" w:rsidR="00CB3A79" w:rsidRPr="00CD2EEF" w:rsidRDefault="00A726E8" w:rsidP="000B1BA2">
      <w:pPr>
        <w:pStyle w:val="LPnavaden"/>
        <w:rPr>
          <w:lang w:val="en-GB"/>
        </w:rPr>
      </w:pPr>
      <w:r>
        <w:rPr>
          <w:lang w:val="en-GB"/>
        </w:rPr>
        <w:t>The</w:t>
      </w:r>
      <w:r w:rsidR="00E63423">
        <w:rPr>
          <w:lang w:val="en-GB"/>
        </w:rPr>
        <w:t xml:space="preserve"> SNSA</w:t>
      </w:r>
      <w:r w:rsidR="00CB3A79" w:rsidRPr="00CD2EEF">
        <w:rPr>
          <w:lang w:val="en-GB"/>
        </w:rPr>
        <w:t xml:space="preserve"> and the SRPA issue permits for the import into and export of radioactive and nuclear materials outside the EU and approve</w:t>
      </w:r>
      <w:r w:rsidR="00AD41C1">
        <w:rPr>
          <w:lang w:val="en-GB"/>
        </w:rPr>
        <w:t xml:space="preserve"> the</w:t>
      </w:r>
      <w:r w:rsidR="00CB3A79" w:rsidRPr="00CD2EEF">
        <w:rPr>
          <w:lang w:val="en-GB"/>
        </w:rPr>
        <w:t xml:space="preserve"> prescribed forms (declarations of shipment) for the shipment of radioactive material between EU Member States.</w:t>
      </w:r>
    </w:p>
    <w:p w14:paraId="56C59F4B" w14:textId="77777777" w:rsidR="00CB3A79" w:rsidRPr="00CD2EEF" w:rsidRDefault="00CB3A79" w:rsidP="000B1BA2">
      <w:pPr>
        <w:pStyle w:val="LPnavaden"/>
        <w:rPr>
          <w:lang w:val="en-GB"/>
        </w:rPr>
      </w:pPr>
      <w:r w:rsidRPr="00CD2EEF">
        <w:rPr>
          <w:lang w:val="en-GB"/>
        </w:rPr>
        <w:t>In 2021, the SRPA did not issue any permits for the shipment of radioactive sources from non-EU countries. Two permits were issued for the import of radioactive material from the USA and approved 36 applications of consignees regarding radioactive material involving 79 isotopes. Each isotope from an individual producer intended for the same end user is counted separately.</w:t>
      </w:r>
    </w:p>
    <w:p w14:paraId="767CD31D" w14:textId="015B6DD1" w:rsidR="00CB3A79" w:rsidRPr="00CD2EEF" w:rsidRDefault="00CB3A79" w:rsidP="000B1BA2">
      <w:pPr>
        <w:pStyle w:val="LPnavaden"/>
        <w:rPr>
          <w:lang w:val="en-GB"/>
        </w:rPr>
      </w:pPr>
      <w:r w:rsidRPr="00CD2EEF">
        <w:rPr>
          <w:lang w:val="en-GB"/>
        </w:rPr>
        <w:t xml:space="preserve">In 2021, </w:t>
      </w:r>
      <w:r w:rsidR="00A726E8">
        <w:rPr>
          <w:lang w:val="en-GB"/>
        </w:rPr>
        <w:t>the</w:t>
      </w:r>
      <w:r w:rsidR="00E63423">
        <w:rPr>
          <w:lang w:val="en-GB"/>
        </w:rPr>
        <w:t xml:space="preserve"> SNSA</w:t>
      </w:r>
      <w:r w:rsidRPr="00CD2EEF">
        <w:rPr>
          <w:lang w:val="en-GB"/>
        </w:rPr>
        <w:t xml:space="preserve"> approved 22 </w:t>
      </w:r>
      <w:r w:rsidR="006D6975">
        <w:rPr>
          <w:lang w:val="en-GB"/>
        </w:rPr>
        <w:t>statements</w:t>
      </w:r>
      <w:r w:rsidRPr="00CD2EEF">
        <w:rPr>
          <w:lang w:val="en-GB"/>
        </w:rPr>
        <w:t xml:space="preserve">of consignees of radioactive material from other EU Member States. </w:t>
      </w:r>
      <w:r w:rsidR="00A726E8">
        <w:rPr>
          <w:lang w:val="en-GB"/>
        </w:rPr>
        <w:t>The</w:t>
      </w:r>
      <w:r w:rsidR="00E63423">
        <w:rPr>
          <w:lang w:val="en-GB"/>
        </w:rPr>
        <w:t xml:space="preserve"> SNSA</w:t>
      </w:r>
      <w:r w:rsidRPr="00CD2EEF">
        <w:rPr>
          <w:lang w:val="en-GB"/>
        </w:rPr>
        <w:t xml:space="preserve"> also issued three permits for the import of radioactive material, from which for one permit also two amendments were issued. In 2021, </w:t>
      </w:r>
      <w:r w:rsidR="00A726E8">
        <w:rPr>
          <w:lang w:val="en-GB"/>
        </w:rPr>
        <w:t>the</w:t>
      </w:r>
      <w:r w:rsidR="00E63423">
        <w:rPr>
          <w:lang w:val="en-GB"/>
        </w:rPr>
        <w:t xml:space="preserve"> SNSA</w:t>
      </w:r>
      <w:r w:rsidRPr="00CD2EEF">
        <w:rPr>
          <w:lang w:val="en-GB"/>
        </w:rPr>
        <w:t xml:space="preserve"> did not issue any permit</w:t>
      </w:r>
      <w:r w:rsidR="00F4133B">
        <w:rPr>
          <w:lang w:val="en-GB"/>
        </w:rPr>
        <w:t>s</w:t>
      </w:r>
      <w:r w:rsidRPr="00CD2EEF">
        <w:rPr>
          <w:lang w:val="en-GB"/>
        </w:rPr>
        <w:t xml:space="preserve"> for the transit of radioactive material with </w:t>
      </w:r>
      <w:r w:rsidR="00F4133B" w:rsidRPr="006D6975">
        <w:rPr>
          <w:lang w:val="en-GB"/>
        </w:rPr>
        <w:t>significant</w:t>
      </w:r>
      <w:r w:rsidR="00F4133B" w:rsidRPr="00CD2EEF">
        <w:rPr>
          <w:lang w:val="en-GB"/>
        </w:rPr>
        <w:t xml:space="preserve"> </w:t>
      </w:r>
      <w:r w:rsidRPr="00CD2EEF">
        <w:rPr>
          <w:lang w:val="en-GB"/>
        </w:rPr>
        <w:t>activity.</w:t>
      </w:r>
    </w:p>
    <w:p w14:paraId="788A06B3" w14:textId="77777777" w:rsidR="00753620" w:rsidRPr="00CD2EEF" w:rsidRDefault="00753620" w:rsidP="00753620">
      <w:pPr>
        <w:pStyle w:val="LPviri"/>
        <w:rPr>
          <w:lang w:val="en-GB"/>
        </w:rPr>
      </w:pPr>
      <w:r w:rsidRPr="00CD2EEF">
        <w:rPr>
          <w:lang w:val="en-GB"/>
        </w:rPr>
        <w:t>Reference: [</w:t>
      </w:r>
      <w:hyperlink w:anchor="r15" w:history="1">
        <w:r w:rsidRPr="00CD2EEF">
          <w:rPr>
            <w:rStyle w:val="Hiperpovezava"/>
            <w:lang w:val="en-GB"/>
          </w:rPr>
          <w:t>15</w:t>
        </w:r>
      </w:hyperlink>
      <w:r w:rsidRPr="00CD2EEF">
        <w:rPr>
          <w:lang w:val="en-GB"/>
        </w:rPr>
        <w:t xml:space="preserve">] </w:t>
      </w:r>
    </w:p>
    <w:p w14:paraId="7AB1229E" w14:textId="77777777" w:rsidR="00753620" w:rsidRPr="00CD2EEF" w:rsidRDefault="00753620" w:rsidP="000B1BA2">
      <w:pPr>
        <w:pStyle w:val="LPnavaden"/>
        <w:rPr>
          <w:lang w:val="en-GB"/>
        </w:rPr>
      </w:pPr>
    </w:p>
    <w:p w14:paraId="56F65AB3" w14:textId="77777777" w:rsidR="005248D4" w:rsidRPr="00CD2EEF" w:rsidRDefault="005248D4" w:rsidP="0057789F">
      <w:pPr>
        <w:pStyle w:val="LPNaslov1"/>
        <w:rPr>
          <w:lang w:val="en-GB"/>
        </w:rPr>
      </w:pPr>
      <w:bookmarkStart w:id="146" w:name="_Toc74219332"/>
      <w:bookmarkStart w:id="147" w:name="_Toc126311999"/>
      <w:r w:rsidRPr="00CD2EEF">
        <w:rPr>
          <w:lang w:val="en-GB"/>
        </w:rPr>
        <w:lastRenderedPageBreak/>
        <w:t>RADIOACTIVITY IN THE ENVIRONMENT</w:t>
      </w:r>
      <w:bookmarkEnd w:id="146"/>
      <w:bookmarkEnd w:id="147"/>
    </w:p>
    <w:p w14:paraId="44025F8A" w14:textId="77777777" w:rsidR="005248D4" w:rsidRPr="00CD2EEF" w:rsidRDefault="005248D4" w:rsidP="0057789F">
      <w:pPr>
        <w:pStyle w:val="LPNaslov2"/>
        <w:rPr>
          <w:lang w:val="en-GB"/>
        </w:rPr>
      </w:pPr>
      <w:bookmarkStart w:id="148" w:name="_Toc74219333"/>
      <w:bookmarkStart w:id="149" w:name="_Toc126312000"/>
      <w:r w:rsidRPr="00CD2EEF">
        <w:rPr>
          <w:caps w:val="0"/>
          <w:lang w:val="en-GB"/>
        </w:rPr>
        <w:t>THE EARLY WARNING SYSTEM FOR RADIATION IN THE ENVIRONMENT</w:t>
      </w:r>
      <w:bookmarkEnd w:id="148"/>
      <w:bookmarkEnd w:id="149"/>
    </w:p>
    <w:p w14:paraId="2A181B28" w14:textId="77777777" w:rsidR="005248D4" w:rsidRPr="00CD2EEF" w:rsidRDefault="005248D4" w:rsidP="00FF0400">
      <w:pPr>
        <w:pStyle w:val="LPnavaden"/>
        <w:rPr>
          <w:lang w:val="en-GB"/>
        </w:rPr>
      </w:pPr>
      <w:r w:rsidRPr="00CD2EEF">
        <w:rPr>
          <w:lang w:val="en-GB"/>
        </w:rPr>
        <w:t>A nuclear or radiological accident occurring in Slovenia or abroad would also have consequences throughout the country. One of the key tasks in such an event is to provide immediate data on radioactivity in the environment. The successful implementation of protective measures for the population depends on this data. During such an emergency, the population would be exposed to external radiation and inhale radioactive particles from the air and consume contaminated water and food. The Slovenian early warning system is an automatic measuring system that instantly detects increased radiation in the environment in the event of an emergency.</w:t>
      </w:r>
    </w:p>
    <w:p w14:paraId="79D6A831" w14:textId="5CD9EA73" w:rsidR="005248D4" w:rsidRPr="00CD2EEF" w:rsidRDefault="005248D4" w:rsidP="00FF0400">
      <w:pPr>
        <w:pStyle w:val="LPnavaden"/>
        <w:rPr>
          <w:lang w:val="en-GB"/>
        </w:rPr>
      </w:pPr>
      <w:r w:rsidRPr="00CD2EEF">
        <w:rPr>
          <w:lang w:val="en-GB"/>
        </w:rPr>
        <w:t xml:space="preserve">All radioactivity data </w:t>
      </w:r>
      <w:r w:rsidR="006E08BC">
        <w:rPr>
          <w:lang w:val="en-GB"/>
        </w:rPr>
        <w:t>are</w:t>
      </w:r>
      <w:r w:rsidR="006E08BC" w:rsidRPr="00CD2EEF">
        <w:rPr>
          <w:lang w:val="en-GB"/>
        </w:rPr>
        <w:t xml:space="preserve"> </w:t>
      </w:r>
      <w:r w:rsidRPr="00CD2EEF">
        <w:rPr>
          <w:lang w:val="en-GB"/>
        </w:rPr>
        <w:t xml:space="preserve">collected and automatically imported in a dedicated application called Radioactivity in the Environment (RVO, </w:t>
      </w:r>
      <w:r w:rsidR="00263D93">
        <w:rPr>
          <w:lang w:val="en-GB"/>
        </w:rPr>
        <w:t>“</w:t>
      </w:r>
      <w:r w:rsidRPr="00CD2EEF">
        <w:rPr>
          <w:b/>
          <w:bCs/>
          <w:lang w:val="en-GB"/>
        </w:rPr>
        <w:t>R</w:t>
      </w:r>
      <w:r w:rsidRPr="00CD2EEF">
        <w:rPr>
          <w:lang w:val="en-GB"/>
        </w:rPr>
        <w:t xml:space="preserve">adioaktivnost </w:t>
      </w:r>
      <w:r w:rsidRPr="00CD2EEF">
        <w:rPr>
          <w:b/>
          <w:bCs/>
          <w:lang w:val="en-GB"/>
        </w:rPr>
        <w:t>V</w:t>
      </w:r>
      <w:r w:rsidRPr="00CD2EEF">
        <w:rPr>
          <w:lang w:val="en-GB"/>
        </w:rPr>
        <w:t xml:space="preserve"> </w:t>
      </w:r>
      <w:r w:rsidRPr="00CD2EEF">
        <w:rPr>
          <w:b/>
          <w:bCs/>
          <w:lang w:val="en-GB"/>
        </w:rPr>
        <w:t>O</w:t>
      </w:r>
      <w:r w:rsidRPr="00CD2EEF">
        <w:rPr>
          <w:lang w:val="en-GB"/>
        </w:rPr>
        <w:t>kolju</w:t>
      </w:r>
      <w:r w:rsidR="00263D93">
        <w:rPr>
          <w:lang w:val="en-GB"/>
        </w:rPr>
        <w:t>”</w:t>
      </w:r>
      <w:r w:rsidRPr="00CD2EEF">
        <w:rPr>
          <w:lang w:val="en-GB"/>
        </w:rPr>
        <w:t xml:space="preserve"> in Slovenian) and are accessible on the RVO public portal on </w:t>
      </w:r>
      <w:r w:rsidR="00A726E8">
        <w:rPr>
          <w:lang w:val="en-GB"/>
        </w:rPr>
        <w:t>the</w:t>
      </w:r>
      <w:r w:rsidR="00E63423">
        <w:rPr>
          <w:lang w:val="en-GB"/>
        </w:rPr>
        <w:t xml:space="preserve"> SNSA</w:t>
      </w:r>
      <w:r w:rsidRPr="00CD2EEF">
        <w:rPr>
          <w:lang w:val="en-GB"/>
        </w:rPr>
        <w:t xml:space="preserve"> public </w:t>
      </w:r>
      <w:hyperlink r:id="rId46" w:history="1">
        <w:r w:rsidRPr="00CD2EEF">
          <w:rPr>
            <w:rStyle w:val="Hiperpovezava"/>
            <w:lang w:val="en-GB"/>
          </w:rPr>
          <w:t>website</w:t>
        </w:r>
      </w:hyperlink>
      <w:r w:rsidRPr="00CD2EEF">
        <w:rPr>
          <w:lang w:val="en-GB"/>
        </w:rPr>
        <w:t xml:space="preserve"> (</w:t>
      </w:r>
      <w:hyperlink w:anchor="fig18" w:history="1">
        <w:r w:rsidRPr="00CD2EEF">
          <w:rPr>
            <w:rStyle w:val="Hiperpovezava"/>
            <w:lang w:val="en-GB"/>
          </w:rPr>
          <w:t>Figure 18</w:t>
        </w:r>
      </w:hyperlink>
      <w:r w:rsidRPr="00CD2EEF">
        <w:rPr>
          <w:lang w:val="en-GB"/>
        </w:rPr>
        <w:t xml:space="preserve">). The public portal provides </w:t>
      </w:r>
      <w:r w:rsidR="004A6BC4">
        <w:rPr>
          <w:lang w:val="en-GB"/>
        </w:rPr>
        <w:t xml:space="preserve">a </w:t>
      </w:r>
      <w:r w:rsidR="00B02B26" w:rsidRPr="002E343A">
        <w:rPr>
          <w:lang w:val="en-GB"/>
        </w:rPr>
        <w:t>user-friendly</w:t>
      </w:r>
      <w:r w:rsidRPr="002E343A">
        <w:rPr>
          <w:lang w:val="en-GB"/>
        </w:rPr>
        <w:t xml:space="preserve"> experience</w:t>
      </w:r>
      <w:r w:rsidRPr="00CD2EEF">
        <w:rPr>
          <w:lang w:val="en-GB"/>
        </w:rPr>
        <w:t xml:space="preserve"> and displays real-time data on radiation measurements in the environment, basic information on radioactivity, historical data on the radiation exposure of the population in Slovenia, and studies on radiation problems in Slovenia</w:t>
      </w:r>
      <w:r w:rsidR="00E63423">
        <w:rPr>
          <w:lang w:val="en-GB"/>
        </w:rPr>
        <w:t>. The SNSA</w:t>
      </w:r>
      <w:r w:rsidR="00F21D56">
        <w:rPr>
          <w:lang w:val="en-GB"/>
        </w:rPr>
        <w:t>’</w:t>
      </w:r>
      <w:r w:rsidRPr="00CD2EEF">
        <w:rPr>
          <w:lang w:val="en-GB"/>
        </w:rPr>
        <w:t xml:space="preserve">s experts have access to additional modules, such as alarm messages in the event of elevated radiation values, real-time displays of data from field measurements obtained by mobile units or </w:t>
      </w:r>
      <w:r w:rsidR="00E63423">
        <w:rPr>
          <w:lang w:val="en-GB"/>
        </w:rPr>
        <w:t>SNSA</w:t>
      </w:r>
      <w:r w:rsidRPr="00CD2EEF">
        <w:rPr>
          <w:lang w:val="en-GB"/>
        </w:rPr>
        <w:t xml:space="preserve"> employees</w:t>
      </w:r>
      <w:r w:rsidR="00B02B26">
        <w:rPr>
          <w:lang w:val="en-GB"/>
        </w:rPr>
        <w:t>,</w:t>
      </w:r>
      <w:r w:rsidRPr="00CD2EEF">
        <w:rPr>
          <w:lang w:val="en-GB"/>
        </w:rPr>
        <w:t xml:space="preserve"> and in-depth analysis. </w:t>
      </w:r>
      <w:r w:rsidR="00B02B26">
        <w:rPr>
          <w:lang w:val="en-GB"/>
        </w:rPr>
        <w:t>The m</w:t>
      </w:r>
      <w:r w:rsidRPr="00CD2EEF">
        <w:rPr>
          <w:lang w:val="en-GB"/>
        </w:rPr>
        <w:t xml:space="preserve">odule </w:t>
      </w:r>
      <w:r w:rsidR="00263D93">
        <w:rPr>
          <w:lang w:val="en-GB"/>
        </w:rPr>
        <w:t>“</w:t>
      </w:r>
      <w:r w:rsidRPr="00CD2EEF">
        <w:rPr>
          <w:lang w:val="en-GB"/>
        </w:rPr>
        <w:t>Exercises and Emergencies</w:t>
      </w:r>
      <w:r w:rsidR="00263D93">
        <w:rPr>
          <w:lang w:val="en-GB"/>
        </w:rPr>
        <w:t>”</w:t>
      </w:r>
      <w:r w:rsidRPr="00CD2EEF">
        <w:rPr>
          <w:lang w:val="en-GB"/>
        </w:rPr>
        <w:t xml:space="preserve"> has an important functionality as it enables the use of the results of models to predict the spread of radioactive contamination for educational purposes, as well as to compare the calculated and real measured values. The collected data are automatically entered into the system and are simultaneously available to the public on the RVO web portal. All collected radioactivity data are exchanged abroad on the basis of international agreements (data is transferred to </w:t>
      </w:r>
      <w:r w:rsidRPr="002E343A">
        <w:rPr>
          <w:lang w:val="en-GB"/>
        </w:rPr>
        <w:t>the European Joint Research Center</w:t>
      </w:r>
      <w:r w:rsidRPr="00CD2EEF">
        <w:rPr>
          <w:lang w:val="en-GB"/>
        </w:rPr>
        <w:t xml:space="preserve"> in Ispra, Italy) and bilateral agreements with Austria, Croatia, and Hungary. The RVO system enables the preparation of real-time reports on the radiological situation, which are sent every 30 minutes.</w:t>
      </w:r>
    </w:p>
    <w:p w14:paraId="3AFF57C3" w14:textId="77777777" w:rsidR="005248D4" w:rsidRPr="00CD2EEF" w:rsidRDefault="005248D4" w:rsidP="001D6BBC">
      <w:pPr>
        <w:pStyle w:val="LPnavaden"/>
        <w:jc w:val="left"/>
        <w:rPr>
          <w:lang w:val="en-GB"/>
        </w:rPr>
      </w:pPr>
      <w:bookmarkStart w:id="150" w:name="fig18"/>
      <w:r w:rsidRPr="00CD2EEF">
        <w:rPr>
          <w:noProof/>
          <w:lang w:val="en-GB"/>
        </w:rPr>
        <w:drawing>
          <wp:inline distT="0" distB="0" distL="0" distR="0" wp14:anchorId="6A946FD8" wp14:editId="0DD00062">
            <wp:extent cx="5693134" cy="3415127"/>
            <wp:effectExtent l="0" t="0" r="3175" b="0"/>
            <wp:docPr id="45" name="Slika 45" descr="screenshot of early warning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screenshot of early warning network map"/>
                    <pic:cNvPicPr/>
                  </pic:nvPicPr>
                  <pic:blipFill>
                    <a:blip r:embed="rId47"/>
                    <a:stretch>
                      <a:fillRect/>
                    </a:stretch>
                  </pic:blipFill>
                  <pic:spPr>
                    <a:xfrm>
                      <a:off x="0" y="0"/>
                      <a:ext cx="5694921" cy="3416199"/>
                    </a:xfrm>
                    <a:prstGeom prst="rect">
                      <a:avLst/>
                    </a:prstGeom>
                  </pic:spPr>
                </pic:pic>
              </a:graphicData>
            </a:graphic>
          </wp:inline>
        </w:drawing>
      </w:r>
    </w:p>
    <w:p w14:paraId="70D6A655" w14:textId="4A44BAC5" w:rsidR="005248D4" w:rsidRPr="00CD2EEF" w:rsidRDefault="004B4448" w:rsidP="004B4448">
      <w:pPr>
        <w:pStyle w:val="LPnaslovslika"/>
        <w:rPr>
          <w:lang w:val="en-GB"/>
        </w:rPr>
      </w:pPr>
      <w:bookmarkStart w:id="151" w:name="_Toc76973089"/>
      <w:bookmarkStart w:id="152" w:name="_Toc126309897"/>
      <w:bookmarkEnd w:id="150"/>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18</w:t>
      </w:r>
      <w:r w:rsidR="00366B6D" w:rsidRPr="00CD2EEF">
        <w:rPr>
          <w:lang w:val="en-GB"/>
        </w:rPr>
        <w:fldChar w:fldCharType="end"/>
      </w:r>
      <w:r w:rsidR="005248D4" w:rsidRPr="00CD2EEF">
        <w:rPr>
          <w:lang w:val="en-GB"/>
        </w:rPr>
        <w:t>: Basic overview of the status of the</w:t>
      </w:r>
      <w:r w:rsidR="005248D4" w:rsidRPr="00CD2EEF" w:rsidDel="00866CF8">
        <w:rPr>
          <w:lang w:val="en-GB"/>
        </w:rPr>
        <w:t xml:space="preserve"> </w:t>
      </w:r>
      <w:r w:rsidR="005248D4" w:rsidRPr="00CD2EEF">
        <w:rPr>
          <w:lang w:val="en-GB"/>
        </w:rPr>
        <w:t>early warning network</w:t>
      </w:r>
      <w:r w:rsidR="005248D4" w:rsidRPr="00CD2EEF" w:rsidDel="00866CF8">
        <w:rPr>
          <w:lang w:val="en-GB"/>
        </w:rPr>
        <w:t xml:space="preserve"> </w:t>
      </w:r>
      <w:r w:rsidR="005248D4" w:rsidRPr="00CD2EEF">
        <w:rPr>
          <w:lang w:val="en-GB"/>
        </w:rPr>
        <w:t>in Slovenia</w:t>
      </w:r>
      <w:bookmarkEnd w:id="151"/>
      <w:bookmarkEnd w:id="152"/>
    </w:p>
    <w:p w14:paraId="75B80A8E" w14:textId="07326939" w:rsidR="005248D4" w:rsidRPr="00CD2EEF" w:rsidRDefault="005248D4" w:rsidP="001D6BBC">
      <w:pPr>
        <w:pStyle w:val="LPnavaden"/>
        <w:rPr>
          <w:rStyle w:val="LPpobarvan1"/>
          <w:shd w:val="clear" w:color="auto" w:fill="auto"/>
          <w:lang w:val="en-GB"/>
        </w:rPr>
      </w:pPr>
      <w:r w:rsidRPr="00CD2EEF">
        <w:rPr>
          <w:rStyle w:val="LPpobarvan1"/>
          <w:shd w:val="clear" w:color="auto" w:fill="auto"/>
          <w:lang w:val="en-GB"/>
        </w:rPr>
        <w:lastRenderedPageBreak/>
        <w:t xml:space="preserve">In 2020, </w:t>
      </w:r>
      <w:r w:rsidR="00E63423">
        <w:rPr>
          <w:rStyle w:val="LPpobarvan1"/>
          <w:shd w:val="clear" w:color="auto" w:fill="auto"/>
          <w:lang w:val="en-GB"/>
        </w:rPr>
        <w:t>the SNSA</w:t>
      </w:r>
      <w:r w:rsidRPr="00CD2EEF">
        <w:rPr>
          <w:rStyle w:val="LPpobarvan1"/>
          <w:shd w:val="clear" w:color="auto" w:fill="auto"/>
          <w:lang w:val="en-GB"/>
        </w:rPr>
        <w:t xml:space="preserve"> acquired a new dose rate meter, type Envinet Mira, which was a donation from the </w:t>
      </w:r>
      <w:r w:rsidR="00716461">
        <w:rPr>
          <w:rStyle w:val="LPpobarvan1"/>
          <w:shd w:val="clear" w:color="auto" w:fill="auto"/>
          <w:lang w:val="en-GB"/>
        </w:rPr>
        <w:t xml:space="preserve">the </w:t>
      </w:r>
      <w:r w:rsidRPr="00CD2EEF">
        <w:rPr>
          <w:rStyle w:val="LPpobarvan1"/>
          <w:shd w:val="clear" w:color="auto" w:fill="auto"/>
          <w:lang w:val="en-GB"/>
        </w:rPr>
        <w:t xml:space="preserve">IAEA. </w:t>
      </w:r>
      <w:r w:rsidR="002B02DF">
        <w:rPr>
          <w:rStyle w:val="LPpobarvan1"/>
          <w:shd w:val="clear" w:color="auto" w:fill="auto"/>
          <w:lang w:val="en-GB"/>
        </w:rPr>
        <w:t xml:space="preserve">The </w:t>
      </w:r>
      <w:r w:rsidRPr="00CD2EEF">
        <w:rPr>
          <w:rStyle w:val="LPpobarvan1"/>
          <w:shd w:val="clear" w:color="auto" w:fill="auto"/>
          <w:lang w:val="en-GB"/>
        </w:rPr>
        <w:t xml:space="preserve">RVO </w:t>
      </w:r>
      <w:r w:rsidR="00155B8E">
        <w:rPr>
          <w:rStyle w:val="LPpobarvan1"/>
          <w:shd w:val="clear" w:color="auto" w:fill="auto"/>
          <w:lang w:val="en-GB"/>
        </w:rPr>
        <w:t>p</w:t>
      </w:r>
      <w:r w:rsidRPr="00CD2EEF">
        <w:rPr>
          <w:rStyle w:val="LPpobarvan1"/>
          <w:shd w:val="clear" w:color="auto" w:fill="auto"/>
          <w:lang w:val="en-GB"/>
        </w:rPr>
        <w:t>ortal</w:t>
      </w:r>
      <w:r w:rsidR="00F21D56">
        <w:rPr>
          <w:rStyle w:val="LPpobarvan1"/>
          <w:shd w:val="clear" w:color="auto" w:fill="auto"/>
          <w:lang w:val="en-GB"/>
        </w:rPr>
        <w:t>’</w:t>
      </w:r>
      <w:r w:rsidRPr="00CD2EEF">
        <w:rPr>
          <w:rStyle w:val="LPpobarvan1"/>
          <w:shd w:val="clear" w:color="auto" w:fill="auto"/>
          <w:lang w:val="en-GB"/>
        </w:rPr>
        <w:t xml:space="preserve">s software had to be upgraded due to </w:t>
      </w:r>
      <w:r w:rsidR="002B02DF">
        <w:rPr>
          <w:rStyle w:val="LPpobarvan1"/>
          <w:shd w:val="clear" w:color="auto" w:fill="auto"/>
          <w:lang w:val="en-GB"/>
        </w:rPr>
        <w:t xml:space="preserve">the </w:t>
      </w:r>
      <w:r w:rsidRPr="00CD2EEF">
        <w:rPr>
          <w:rStyle w:val="LPpobarvan1"/>
          <w:shd w:val="clear" w:color="auto" w:fill="auto"/>
          <w:lang w:val="en-GB"/>
        </w:rPr>
        <w:t xml:space="preserve">technical requirements </w:t>
      </w:r>
      <w:r w:rsidRPr="00AD24C3">
        <w:rPr>
          <w:rStyle w:val="LPpobarvan1"/>
          <w:shd w:val="clear" w:color="auto" w:fill="auto"/>
          <w:lang w:val="en-GB"/>
        </w:rPr>
        <w:t xml:space="preserve">of the data </w:t>
      </w:r>
      <w:r w:rsidR="002B02DF" w:rsidRPr="00AD24C3">
        <w:rPr>
          <w:rStyle w:val="LPpobarvan1"/>
          <w:shd w:val="clear" w:color="auto" w:fill="auto"/>
          <w:lang w:val="en-GB"/>
        </w:rPr>
        <w:t xml:space="preserve">imported </w:t>
      </w:r>
      <w:r w:rsidRPr="00AD24C3">
        <w:rPr>
          <w:rStyle w:val="LPpobarvan1"/>
          <w:shd w:val="clear" w:color="auto" w:fill="auto"/>
          <w:lang w:val="en-GB"/>
        </w:rPr>
        <w:t>from the new instrument. The Envinet Mira dose rate meter successfully</w:t>
      </w:r>
      <w:r w:rsidRPr="00CD2EEF">
        <w:rPr>
          <w:rStyle w:val="LPpobarvan1"/>
          <w:shd w:val="clear" w:color="auto" w:fill="auto"/>
          <w:lang w:val="en-GB"/>
        </w:rPr>
        <w:t xml:space="preserve"> passed </w:t>
      </w:r>
      <w:r w:rsidR="00AD0433">
        <w:rPr>
          <w:rStyle w:val="LPpobarvan1"/>
          <w:shd w:val="clear" w:color="auto" w:fill="auto"/>
          <w:lang w:val="en-GB"/>
        </w:rPr>
        <w:t xml:space="preserve">the </w:t>
      </w:r>
      <w:r w:rsidRPr="00CD2EEF">
        <w:rPr>
          <w:rStyle w:val="LPpobarvan1"/>
          <w:shd w:val="clear" w:color="auto" w:fill="auto"/>
          <w:lang w:val="en-GB"/>
        </w:rPr>
        <w:t>one</w:t>
      </w:r>
      <w:r w:rsidR="00AD0433">
        <w:rPr>
          <w:rStyle w:val="LPpobarvan1"/>
          <w:shd w:val="clear" w:color="auto" w:fill="auto"/>
          <w:lang w:val="en-GB"/>
        </w:rPr>
        <w:t>-</w:t>
      </w:r>
      <w:r w:rsidRPr="00CD2EEF">
        <w:rPr>
          <w:rStyle w:val="LPpobarvan1"/>
          <w:shd w:val="clear" w:color="auto" w:fill="auto"/>
          <w:lang w:val="en-GB"/>
        </w:rPr>
        <w:t xml:space="preserve">year testing period </w:t>
      </w:r>
      <w:r w:rsidR="00AD0433">
        <w:rPr>
          <w:rStyle w:val="LPpobarvan1"/>
          <w:shd w:val="clear" w:color="auto" w:fill="auto"/>
          <w:lang w:val="en-GB"/>
        </w:rPr>
        <w:t>at</w:t>
      </w:r>
      <w:r w:rsidR="00AD0433" w:rsidRPr="00CD2EEF">
        <w:rPr>
          <w:rStyle w:val="LPpobarvan1"/>
          <w:shd w:val="clear" w:color="auto" w:fill="auto"/>
          <w:lang w:val="en-GB"/>
        </w:rPr>
        <w:t xml:space="preserve"> </w:t>
      </w:r>
      <w:r w:rsidRPr="00CD2EEF">
        <w:rPr>
          <w:rStyle w:val="LPpobarvan1"/>
          <w:shd w:val="clear" w:color="auto" w:fill="auto"/>
          <w:lang w:val="en-GB"/>
        </w:rPr>
        <w:t>the location Ljubljana Brinje (</w:t>
      </w:r>
      <w:hyperlink w:anchor="fig19" w:history="1">
        <w:r w:rsidRPr="00CD2EEF">
          <w:rPr>
            <w:rStyle w:val="Hiperpovezava"/>
            <w:lang w:val="en-GB"/>
          </w:rPr>
          <w:t>Figure 19</w:t>
        </w:r>
      </w:hyperlink>
      <w:r w:rsidRPr="00CD2EEF">
        <w:rPr>
          <w:rStyle w:val="LPpobarvan1"/>
          <w:shd w:val="clear" w:color="auto" w:fill="auto"/>
          <w:lang w:val="en-GB"/>
        </w:rPr>
        <w:t xml:space="preserve">) and was successfully implemented in the RVO </w:t>
      </w:r>
      <w:r w:rsidR="00155B8E">
        <w:rPr>
          <w:rStyle w:val="LPpobarvan1"/>
          <w:shd w:val="clear" w:color="auto" w:fill="auto"/>
          <w:lang w:val="en-GB"/>
        </w:rPr>
        <w:t>p</w:t>
      </w:r>
      <w:r w:rsidRPr="00CD2EEF">
        <w:rPr>
          <w:rStyle w:val="LPpobarvan1"/>
          <w:shd w:val="clear" w:color="auto" w:fill="auto"/>
          <w:lang w:val="en-GB"/>
        </w:rPr>
        <w:t>ortal.</w:t>
      </w:r>
    </w:p>
    <w:p w14:paraId="3079D735" w14:textId="77777777" w:rsidR="005248D4" w:rsidRPr="00CD2EEF" w:rsidRDefault="005248D4" w:rsidP="000613B9">
      <w:pPr>
        <w:pStyle w:val="LPnavaden"/>
        <w:rPr>
          <w:rStyle w:val="LPpobarvan1"/>
          <w:lang w:val="en-GB"/>
        </w:rPr>
      </w:pPr>
    </w:p>
    <w:p w14:paraId="4D41DC34" w14:textId="77777777" w:rsidR="005248D4" w:rsidRPr="00CD2EEF" w:rsidRDefault="005248D4" w:rsidP="001D6BBC">
      <w:pPr>
        <w:pStyle w:val="LPnavaden"/>
        <w:jc w:val="left"/>
        <w:rPr>
          <w:rStyle w:val="LPpobarvan1"/>
          <w:lang w:val="en-GB"/>
        </w:rPr>
      </w:pPr>
      <w:bookmarkStart w:id="153" w:name="fig19"/>
      <w:r w:rsidRPr="00CD2EEF">
        <w:rPr>
          <w:noProof/>
          <w:lang w:val="en-GB"/>
        </w:rPr>
        <w:drawing>
          <wp:inline distT="0" distB="0" distL="0" distR="0" wp14:anchorId="4B420E99" wp14:editId="7FA7D610">
            <wp:extent cx="4380865" cy="2441051"/>
            <wp:effectExtent l="0" t="0" r="635" b="0"/>
            <wp:docPr id="46" name="Slika 46" descr="photo of Mira dose rate met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photo of Mira dose rate meter location"/>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4358"/>
                    <a:stretch/>
                  </pic:blipFill>
                  <pic:spPr bwMode="auto">
                    <a:xfrm rot="10800000">
                      <a:off x="0" y="0"/>
                      <a:ext cx="4456357" cy="2483116"/>
                    </a:xfrm>
                    <a:prstGeom prst="rect">
                      <a:avLst/>
                    </a:prstGeom>
                    <a:noFill/>
                    <a:ln>
                      <a:noFill/>
                    </a:ln>
                    <a:extLst>
                      <a:ext uri="{53640926-AAD7-44D8-BBD7-CCE9431645EC}">
                        <a14:shadowObscured xmlns:a14="http://schemas.microsoft.com/office/drawing/2010/main"/>
                      </a:ext>
                    </a:extLst>
                  </pic:spPr>
                </pic:pic>
              </a:graphicData>
            </a:graphic>
          </wp:inline>
        </w:drawing>
      </w:r>
    </w:p>
    <w:p w14:paraId="72A98975" w14:textId="599ABD6A" w:rsidR="005248D4" w:rsidRPr="00CD2EEF" w:rsidRDefault="00EB44B3" w:rsidP="00EB44B3">
      <w:pPr>
        <w:pStyle w:val="LPnaslovslika"/>
        <w:rPr>
          <w:lang w:val="en-GB"/>
        </w:rPr>
      </w:pPr>
      <w:bookmarkStart w:id="154" w:name="_Toc126309898"/>
      <w:bookmarkEnd w:id="153"/>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19</w:t>
      </w:r>
      <w:r w:rsidR="00366B6D" w:rsidRPr="00CD2EEF">
        <w:rPr>
          <w:lang w:val="en-GB"/>
        </w:rPr>
        <w:fldChar w:fldCharType="end"/>
      </w:r>
      <w:r w:rsidR="005248D4" w:rsidRPr="00CD2EEF">
        <w:rPr>
          <w:lang w:val="en-GB"/>
        </w:rPr>
        <w:t xml:space="preserve">: </w:t>
      </w:r>
      <w:r w:rsidR="00382CE6">
        <w:rPr>
          <w:lang w:val="en-GB"/>
        </w:rPr>
        <w:t xml:space="preserve">The </w:t>
      </w:r>
      <w:r w:rsidR="005248D4" w:rsidRPr="00CD2EEF">
        <w:rPr>
          <w:lang w:val="en-GB"/>
        </w:rPr>
        <w:t xml:space="preserve">Envinet Mira dose rate meter </w:t>
      </w:r>
      <w:r w:rsidR="00382CE6">
        <w:rPr>
          <w:lang w:val="en-GB"/>
        </w:rPr>
        <w:t>at the</w:t>
      </w:r>
      <w:r w:rsidR="00382CE6" w:rsidRPr="00CD2EEF">
        <w:rPr>
          <w:lang w:val="en-GB"/>
        </w:rPr>
        <w:t xml:space="preserve"> Ljubljana Brinje </w:t>
      </w:r>
      <w:r w:rsidR="005248D4" w:rsidRPr="00CD2EEF">
        <w:rPr>
          <w:lang w:val="en-GB"/>
        </w:rPr>
        <w:t>location</w:t>
      </w:r>
      <w:bookmarkEnd w:id="154"/>
      <w:r w:rsidR="005248D4" w:rsidRPr="00CD2EEF">
        <w:rPr>
          <w:lang w:val="en-GB"/>
        </w:rPr>
        <w:t xml:space="preserve"> </w:t>
      </w:r>
    </w:p>
    <w:p w14:paraId="6D0B5426" w14:textId="7AE95D34" w:rsidR="005248D4" w:rsidRPr="00CD2EEF" w:rsidRDefault="005248D4" w:rsidP="006F52A1">
      <w:pPr>
        <w:pStyle w:val="LPnavaden"/>
        <w:rPr>
          <w:lang w:val="en-GB"/>
        </w:rPr>
      </w:pPr>
      <w:r w:rsidRPr="00CD2EEF">
        <w:rPr>
          <w:rStyle w:val="LPpobarvan1"/>
          <w:shd w:val="clear" w:color="auto" w:fill="auto"/>
          <w:lang w:val="en-GB"/>
        </w:rPr>
        <w:t xml:space="preserve">In 2021, </w:t>
      </w:r>
      <w:r w:rsidR="00E63423">
        <w:rPr>
          <w:rStyle w:val="LPpobarvan1"/>
          <w:shd w:val="clear" w:color="auto" w:fill="auto"/>
          <w:lang w:val="en-GB"/>
        </w:rPr>
        <w:t>the SNSA</w:t>
      </w:r>
      <w:r w:rsidRPr="00CD2EEF">
        <w:rPr>
          <w:rStyle w:val="LPpobarvan1"/>
          <w:shd w:val="clear" w:color="auto" w:fill="auto"/>
          <w:lang w:val="en-GB"/>
        </w:rPr>
        <w:t xml:space="preserve"> started a large-scale project </w:t>
      </w:r>
      <w:r w:rsidR="00623401">
        <w:rPr>
          <w:rStyle w:val="LPpobarvan1"/>
          <w:shd w:val="clear" w:color="auto" w:fill="auto"/>
          <w:lang w:val="en-GB"/>
        </w:rPr>
        <w:t>involving the</w:t>
      </w:r>
      <w:r w:rsidR="00623401" w:rsidRPr="00CD2EEF">
        <w:rPr>
          <w:rStyle w:val="LPpobarvan1"/>
          <w:shd w:val="clear" w:color="auto" w:fill="auto"/>
          <w:lang w:val="en-GB"/>
        </w:rPr>
        <w:t xml:space="preserve"> </w:t>
      </w:r>
      <w:r w:rsidRPr="00CD2EEF">
        <w:rPr>
          <w:rStyle w:val="LPpobarvan1"/>
          <w:shd w:val="clear" w:color="auto" w:fill="auto"/>
          <w:lang w:val="en-GB"/>
        </w:rPr>
        <w:t xml:space="preserve">complete renewal </w:t>
      </w:r>
      <w:r w:rsidR="00623401">
        <w:rPr>
          <w:rStyle w:val="LPpobarvan1"/>
          <w:shd w:val="clear" w:color="auto" w:fill="auto"/>
          <w:lang w:val="en-GB"/>
        </w:rPr>
        <w:t xml:space="preserve">of </w:t>
      </w:r>
      <w:r w:rsidRPr="00CD2EEF">
        <w:rPr>
          <w:rStyle w:val="LPpobarvan1"/>
          <w:shd w:val="clear" w:color="auto" w:fill="auto"/>
          <w:lang w:val="en-GB"/>
        </w:rPr>
        <w:t xml:space="preserve">the Early Warning Network. During this </w:t>
      </w:r>
      <w:r w:rsidR="00623401">
        <w:rPr>
          <w:rStyle w:val="LPpobarvan1"/>
          <w:shd w:val="clear" w:color="auto" w:fill="auto"/>
          <w:lang w:val="en-GB"/>
        </w:rPr>
        <w:t>three</w:t>
      </w:r>
      <w:r w:rsidRPr="00CD2EEF">
        <w:rPr>
          <w:rStyle w:val="LPpobarvan1"/>
          <w:shd w:val="clear" w:color="auto" w:fill="auto"/>
          <w:lang w:val="en-GB"/>
        </w:rPr>
        <w:t>-year project (</w:t>
      </w:r>
      <w:r w:rsidR="00623401">
        <w:rPr>
          <w:rStyle w:val="LPpobarvan1"/>
          <w:shd w:val="clear" w:color="auto" w:fill="auto"/>
          <w:lang w:val="en-GB"/>
        </w:rPr>
        <w:t xml:space="preserve">with a </w:t>
      </w:r>
      <w:r w:rsidRPr="00CD2EEF">
        <w:rPr>
          <w:rStyle w:val="LPpobarvan1"/>
          <w:shd w:val="clear" w:color="auto" w:fill="auto"/>
          <w:lang w:val="en-GB"/>
        </w:rPr>
        <w:t xml:space="preserve">timescale from 2021 to 2023), all existing MFM dose rate meters in the Early Warning Network will be replaced </w:t>
      </w:r>
      <w:r w:rsidR="00623401">
        <w:rPr>
          <w:rStyle w:val="LPpobarvan1"/>
          <w:shd w:val="clear" w:color="auto" w:fill="auto"/>
          <w:lang w:val="en-GB"/>
        </w:rPr>
        <w:t>by</w:t>
      </w:r>
      <w:r w:rsidR="00623401" w:rsidRPr="00CD2EEF">
        <w:rPr>
          <w:rStyle w:val="LPpobarvan1"/>
          <w:shd w:val="clear" w:color="auto" w:fill="auto"/>
          <w:lang w:val="en-GB"/>
        </w:rPr>
        <w:t xml:space="preserve"> </w:t>
      </w:r>
      <w:r w:rsidRPr="00CD2EEF">
        <w:rPr>
          <w:rStyle w:val="LPpobarvan1"/>
          <w:shd w:val="clear" w:color="auto" w:fill="auto"/>
          <w:lang w:val="en-GB"/>
        </w:rPr>
        <w:t xml:space="preserve">Envinet Mira dose rate meters. The project is based on </w:t>
      </w:r>
      <w:r w:rsidR="00623401">
        <w:rPr>
          <w:rStyle w:val="LPpobarvan1"/>
          <w:shd w:val="clear" w:color="auto" w:fill="auto"/>
          <w:lang w:val="en-GB"/>
        </w:rPr>
        <w:t xml:space="preserve">the </w:t>
      </w:r>
      <w:r w:rsidRPr="00CD2EEF">
        <w:rPr>
          <w:rStyle w:val="LPpobarvan1"/>
          <w:shd w:val="clear" w:color="auto" w:fill="auto"/>
          <w:lang w:val="en-GB"/>
        </w:rPr>
        <w:t>successfu</w:t>
      </w:r>
      <w:r w:rsidR="00623401">
        <w:rPr>
          <w:rStyle w:val="LPpobarvan1"/>
          <w:shd w:val="clear" w:color="auto" w:fill="auto"/>
          <w:lang w:val="en-GB"/>
        </w:rPr>
        <w:t>l obtainment of</w:t>
      </w:r>
      <w:r w:rsidRPr="00CD2EEF">
        <w:rPr>
          <w:rStyle w:val="LPpobarvan1"/>
          <w:shd w:val="clear" w:color="auto" w:fill="auto"/>
          <w:lang w:val="en-GB"/>
        </w:rPr>
        <w:t xml:space="preserve"> funds from the Republic of Slovenia and donations from the IAEA</w:t>
      </w:r>
      <w:r w:rsidR="00E63423">
        <w:rPr>
          <w:rStyle w:val="LPpobarvan1"/>
          <w:shd w:val="clear" w:color="auto" w:fill="auto"/>
          <w:lang w:val="en-GB"/>
        </w:rPr>
        <w:t>. The SNSA</w:t>
      </w:r>
      <w:r w:rsidRPr="00CD2EEF">
        <w:rPr>
          <w:rStyle w:val="LPpobarvan1"/>
          <w:shd w:val="clear" w:color="auto" w:fill="auto"/>
          <w:lang w:val="en-GB"/>
        </w:rPr>
        <w:t xml:space="preserve"> will acquire a total of 64 Envinet Mira dose rate meters (41 dose rate meters in 2021, 18 dose rate meters in 2022 (of which</w:t>
      </w:r>
      <w:r w:rsidR="00623401">
        <w:rPr>
          <w:rStyle w:val="LPpobarvan1"/>
          <w:shd w:val="clear" w:color="auto" w:fill="auto"/>
          <w:lang w:val="en-GB"/>
        </w:rPr>
        <w:t>,</w:t>
      </w:r>
      <w:r w:rsidRPr="00CD2EEF">
        <w:rPr>
          <w:rStyle w:val="LPpobarvan1"/>
          <w:shd w:val="clear" w:color="auto" w:fill="auto"/>
          <w:lang w:val="en-GB"/>
        </w:rPr>
        <w:t xml:space="preserve"> 10 dose rate meters as </w:t>
      </w:r>
      <w:r w:rsidR="00623401">
        <w:rPr>
          <w:rStyle w:val="LPpobarvan1"/>
          <w:shd w:val="clear" w:color="auto" w:fill="auto"/>
          <w:lang w:val="en-GB"/>
        </w:rPr>
        <w:t xml:space="preserve">donations from the </w:t>
      </w:r>
      <w:r w:rsidRPr="00CD2EEF">
        <w:rPr>
          <w:rStyle w:val="LPpobarvan1"/>
          <w:shd w:val="clear" w:color="auto" w:fill="auto"/>
          <w:lang w:val="en-GB"/>
        </w:rPr>
        <w:t xml:space="preserve">IAEA donation) and 5 dose rate meters in 2023). </w:t>
      </w:r>
      <w:r w:rsidR="00C33865">
        <w:rPr>
          <w:rStyle w:val="LPpobarvan1"/>
          <w:shd w:val="clear" w:color="auto" w:fill="auto"/>
          <w:lang w:val="en-GB"/>
        </w:rPr>
        <w:t>The p</w:t>
      </w:r>
      <w:r w:rsidRPr="00CD2EEF">
        <w:rPr>
          <w:rStyle w:val="LPpobarvan1"/>
          <w:shd w:val="clear" w:color="auto" w:fill="auto"/>
          <w:lang w:val="en-GB"/>
        </w:rPr>
        <w:t xml:space="preserve">roject started at the end of 2021 and is expected to be completed parallel to the acquisition of the </w:t>
      </w:r>
      <w:r w:rsidR="00C33865">
        <w:rPr>
          <w:rStyle w:val="LPpobarvan1"/>
          <w:shd w:val="clear" w:color="auto" w:fill="auto"/>
          <w:lang w:val="en-GB"/>
        </w:rPr>
        <w:t>final</w:t>
      </w:r>
      <w:r w:rsidR="00C33865" w:rsidRPr="00CD2EEF">
        <w:rPr>
          <w:rStyle w:val="LPpobarvan1"/>
          <w:shd w:val="clear" w:color="auto" w:fill="auto"/>
          <w:lang w:val="en-GB"/>
        </w:rPr>
        <w:t xml:space="preserve"> </w:t>
      </w:r>
      <w:r w:rsidRPr="00CD2EEF">
        <w:rPr>
          <w:rStyle w:val="LPpobarvan1"/>
          <w:shd w:val="clear" w:color="auto" w:fill="auto"/>
          <w:lang w:val="en-GB"/>
        </w:rPr>
        <w:t>Envinet Mira dose rate meters.</w:t>
      </w:r>
    </w:p>
    <w:p w14:paraId="66A81F60" w14:textId="77777777" w:rsidR="005248D4" w:rsidRPr="00CD2EEF" w:rsidRDefault="005248D4" w:rsidP="0057789F">
      <w:pPr>
        <w:pStyle w:val="LPNaslov2"/>
        <w:rPr>
          <w:lang w:val="en-GB"/>
        </w:rPr>
      </w:pPr>
      <w:bookmarkStart w:id="155" w:name="_Toc74219334"/>
      <w:bookmarkStart w:id="156" w:name="_Toc126312001"/>
      <w:r w:rsidRPr="00CD2EEF">
        <w:rPr>
          <w:lang w:val="en-GB"/>
        </w:rPr>
        <w:t>ENVIRONMENTAL RADIOACTIVITY</w:t>
      </w:r>
      <w:bookmarkEnd w:id="155"/>
      <w:r w:rsidRPr="00CD2EEF">
        <w:rPr>
          <w:lang w:val="en-GB"/>
        </w:rPr>
        <w:t xml:space="preserve"> MONITORING</w:t>
      </w:r>
      <w:bookmarkEnd w:id="156"/>
    </w:p>
    <w:p w14:paraId="5AC8A387" w14:textId="65A98DF2" w:rsidR="005248D4" w:rsidRPr="00CD2EEF" w:rsidRDefault="0083678D" w:rsidP="00FF0400">
      <w:pPr>
        <w:pStyle w:val="LPnavaden"/>
        <w:rPr>
          <w:lang w:val="en-GB"/>
        </w:rPr>
      </w:pPr>
      <w:r>
        <w:rPr>
          <w:lang w:val="en-GB"/>
        </w:rPr>
        <w:t>The m</w:t>
      </w:r>
      <w:r w:rsidR="005248D4" w:rsidRPr="00CD2EEF">
        <w:rPr>
          <w:lang w:val="en-GB"/>
        </w:rPr>
        <w:t>onitoring of global radioactive contamination due to atmospheric nuclear bomb tests (1951–1980) and the Chernobyl accident (1986) has been carried out in Slovenia for almost five decades. Primarily, two long-lived radionuclides, caesium (</w:t>
      </w:r>
      <w:r w:rsidR="005248D4" w:rsidRPr="00CD2EEF">
        <w:rPr>
          <w:vertAlign w:val="superscript"/>
          <w:lang w:val="en-GB"/>
        </w:rPr>
        <w:t>137</w:t>
      </w:r>
      <w:r w:rsidR="005248D4" w:rsidRPr="00CD2EEF">
        <w:rPr>
          <w:lang w:val="en-GB"/>
        </w:rPr>
        <w:t>Cs) and strontium (</w:t>
      </w:r>
      <w:r w:rsidR="005248D4" w:rsidRPr="00CD2EEF">
        <w:rPr>
          <w:vertAlign w:val="superscript"/>
          <w:lang w:val="en-GB"/>
        </w:rPr>
        <w:t>90</w:t>
      </w:r>
      <w:r w:rsidR="005248D4" w:rsidRPr="00CD2EEF">
        <w:rPr>
          <w:lang w:val="en-GB"/>
        </w:rPr>
        <w:t>Sr), have been monitored in the atmosphere, water, soil, drinking water, foodstuffs, and feedstuffs. Other natural gamma emitters are also measured in all samples, while in drinking water and precipitation the levels of tritium (</w:t>
      </w:r>
      <w:r w:rsidR="005248D4" w:rsidRPr="00CD2EEF">
        <w:rPr>
          <w:vertAlign w:val="superscript"/>
          <w:lang w:val="en-GB"/>
        </w:rPr>
        <w:t>3</w:t>
      </w:r>
      <w:r w:rsidR="005248D4" w:rsidRPr="00CD2EEF">
        <w:rPr>
          <w:lang w:val="en-GB"/>
        </w:rPr>
        <w:t>H) are additionally measured.</w:t>
      </w:r>
    </w:p>
    <w:p w14:paraId="5E366355" w14:textId="77777777" w:rsidR="005248D4" w:rsidRPr="00CD2EEF" w:rsidRDefault="005248D4" w:rsidP="00FF0400">
      <w:pPr>
        <w:pStyle w:val="LPnavaden"/>
        <w:rPr>
          <w:lang w:val="en-GB" w:eastAsia="sl-SI"/>
        </w:rPr>
      </w:pPr>
      <w:r w:rsidRPr="00CD2EEF">
        <w:rPr>
          <w:lang w:val="en-GB" w:eastAsia="sl-SI"/>
        </w:rPr>
        <w:t>The results of the measurements for 2021 showed that the concentrations of both long-lived radionuclide products in samples of air, precipitation, soil, milk, foodstuffs of vegetable and animal origin, and feedstuffs continued to slowly decrease.</w:t>
      </w:r>
    </w:p>
    <w:p w14:paraId="678DA64B" w14:textId="0D233251" w:rsidR="005248D4" w:rsidRPr="00CD2EEF" w:rsidRDefault="005248D4" w:rsidP="008F5FA1">
      <w:pPr>
        <w:pStyle w:val="LPnavaden"/>
        <w:rPr>
          <w:color w:val="2F5496"/>
          <w:lang w:val="en-GB"/>
        </w:rPr>
      </w:pPr>
      <w:r w:rsidRPr="00CD2EEF">
        <w:rPr>
          <w:vertAlign w:val="superscript"/>
          <w:lang w:val="en-GB"/>
        </w:rPr>
        <w:t>137</w:t>
      </w:r>
      <w:r w:rsidRPr="00CD2EEF">
        <w:rPr>
          <w:lang w:val="en-GB"/>
        </w:rPr>
        <w:t xml:space="preserve">Cs has been present in air samples for years as a result of global contamination due to nuclear tests and the Chernobyl accident. The sensitivity of air pump measurements makes it possible to monitor very small changes in radionuclide concentrations, which cannot be detected in other environmental media. The long-term trend of the specific activity of </w:t>
      </w:r>
      <w:r w:rsidRPr="00CD2EEF">
        <w:rPr>
          <w:vertAlign w:val="superscript"/>
          <w:lang w:val="en-GB"/>
        </w:rPr>
        <w:t>137</w:t>
      </w:r>
      <w:r w:rsidRPr="00CD2EEF">
        <w:rPr>
          <w:lang w:val="en-GB"/>
        </w:rPr>
        <w:t xml:space="preserve">Cs measured in Ljubljana is shown in </w:t>
      </w:r>
      <w:hyperlink w:anchor="fig20" w:history="1">
        <w:r w:rsidRPr="00CD2EEF">
          <w:rPr>
            <w:rStyle w:val="Hiperpovezava"/>
            <w:lang w:val="en-GB"/>
          </w:rPr>
          <w:t>Figure 20</w:t>
        </w:r>
      </w:hyperlink>
      <w:r w:rsidRPr="00CD2EEF">
        <w:rPr>
          <w:lang w:val="en-GB"/>
        </w:rPr>
        <w:t>. A declining trend can be observed</w:t>
      </w:r>
      <w:r w:rsidR="00B50D1C">
        <w:rPr>
          <w:lang w:val="en-GB"/>
        </w:rPr>
        <w:t>,</w:t>
      </w:r>
      <w:r w:rsidRPr="00CD2EEF">
        <w:rPr>
          <w:lang w:val="en-GB"/>
        </w:rPr>
        <w:t xml:space="preserve"> after the highest concentrations in 1986. Minor increases after the Chernobyl accident were seen in 1998, at the time of the accident at the </w:t>
      </w:r>
      <w:r w:rsidRPr="00CD2EEF">
        <w:rPr>
          <w:lang w:val="en-GB"/>
        </w:rPr>
        <w:lastRenderedPageBreak/>
        <w:t xml:space="preserve">Acerinox steelworks in Spain, where a </w:t>
      </w:r>
      <w:r w:rsidRPr="00CD2EEF">
        <w:rPr>
          <w:vertAlign w:val="superscript"/>
          <w:lang w:val="en-GB"/>
        </w:rPr>
        <w:t>137</w:t>
      </w:r>
      <w:r w:rsidRPr="00CD2EEF">
        <w:rPr>
          <w:lang w:val="en-GB"/>
        </w:rPr>
        <w:t>Cs radioactive source was melted, resulting in 10 times higher values. Minor increases were also noted in the first few months after the Fukushima nuclear accident in Japan in March 2011</w:t>
      </w:r>
      <w:r w:rsidR="00B50D1C">
        <w:rPr>
          <w:lang w:val="en-GB"/>
        </w:rPr>
        <w:t>,</w:t>
      </w:r>
      <w:r w:rsidRPr="00CD2EEF">
        <w:rPr>
          <w:lang w:val="en-GB"/>
        </w:rPr>
        <w:t xml:space="preserve"> and in July 2016, when there was a forest fire in the Chernobyl exclusion zone, but there were no significant impacts on Europe and Slovenia. In 2020, another fire broke out in the Chernobyl exclusion zone</w:t>
      </w:r>
      <w:r w:rsidR="00B50D1C">
        <w:rPr>
          <w:lang w:val="en-GB"/>
        </w:rPr>
        <w:t>,</w:t>
      </w:r>
      <w:r w:rsidRPr="00CD2EEF">
        <w:rPr>
          <w:lang w:val="en-GB"/>
        </w:rPr>
        <w:t xml:space="preserve"> however, on a much larger scale than in 2016, </w:t>
      </w:r>
      <w:r w:rsidR="00B50D1C">
        <w:rPr>
          <w:lang w:val="en-GB"/>
        </w:rPr>
        <w:t>and</w:t>
      </w:r>
      <w:r w:rsidR="00B50D1C" w:rsidRPr="00CD2EEF">
        <w:rPr>
          <w:lang w:val="en-GB"/>
        </w:rPr>
        <w:t xml:space="preserve"> </w:t>
      </w:r>
      <w:r w:rsidRPr="00CD2EEF">
        <w:rPr>
          <w:lang w:val="en-GB"/>
        </w:rPr>
        <w:t xml:space="preserve">also lasted longer and was largely contained only in the next two weeks. </w:t>
      </w:r>
      <w:r w:rsidR="00B50D1C">
        <w:rPr>
          <w:lang w:val="en-GB"/>
        </w:rPr>
        <w:t>The m</w:t>
      </w:r>
      <w:r w:rsidRPr="00CD2EEF">
        <w:rPr>
          <w:lang w:val="en-GB"/>
        </w:rPr>
        <w:t xml:space="preserve">easurements could lead to the conclusion that although the impact of the fire was detected in Slovenia, it still did not significantly influence the effective doses received, as the additional contribution at the annual level is practically negligible. </w:t>
      </w:r>
    </w:p>
    <w:bookmarkStart w:id="157" w:name="fig20"/>
    <w:p w14:paraId="40317319" w14:textId="08017291" w:rsidR="005248D4" w:rsidRPr="00CD2EEF" w:rsidRDefault="00AD24C3" w:rsidP="00A82B16">
      <w:pPr>
        <w:pStyle w:val="LPnavaden"/>
        <w:jc w:val="left"/>
        <w:rPr>
          <w:lang w:val="en-GB"/>
        </w:rPr>
      </w:pPr>
      <w:r w:rsidRPr="00CD2EEF">
        <w:rPr>
          <w:noProof/>
          <w:lang w:val="en-GB"/>
        </w:rPr>
        <mc:AlternateContent>
          <mc:Choice Requires="wps">
            <w:drawing>
              <wp:anchor distT="0" distB="0" distL="114300" distR="114300" simplePos="0" relativeHeight="251676672" behindDoc="0" locked="0" layoutInCell="1" allowOverlap="1" wp14:anchorId="6B698520" wp14:editId="4480A419">
                <wp:simplePos x="0" y="0"/>
                <wp:positionH relativeFrom="column">
                  <wp:posOffset>1339850</wp:posOffset>
                </wp:positionH>
                <wp:positionV relativeFrom="paragraph">
                  <wp:posOffset>374650</wp:posOffset>
                </wp:positionV>
                <wp:extent cx="111760" cy="1512670"/>
                <wp:effectExtent l="0" t="0" r="2540" b="0"/>
                <wp:wrapNone/>
                <wp:docPr id="20" name="Polje z besedilom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1760" cy="1512670"/>
                        </a:xfrm>
                        <a:prstGeom prst="rect">
                          <a:avLst/>
                        </a:prstGeom>
                        <a:solidFill>
                          <a:schemeClr val="lt1"/>
                        </a:solidFill>
                        <a:ln w="6350">
                          <a:noFill/>
                        </a:ln>
                      </wps:spPr>
                      <wps:txbx>
                        <w:txbxContent>
                          <w:p w14:paraId="73BBE731" w14:textId="77777777" w:rsidR="005248D4" w:rsidRPr="00B65444" w:rsidRDefault="005248D4">
                            <w:pPr>
                              <w:rPr>
                                <w:rFonts w:ascii="Garamond" w:hAnsi="Garamond"/>
                                <w:color w:val="92D050"/>
                                <w:sz w:val="16"/>
                                <w:szCs w:val="16"/>
                                <w:lang w:val="en-US"/>
                              </w:rPr>
                            </w:pPr>
                            <w:r w:rsidRPr="00B65444">
                              <w:rPr>
                                <w:rFonts w:ascii="Garamond" w:hAnsi="Garamond"/>
                                <w:color w:val="92D050"/>
                                <w:sz w:val="16"/>
                                <w:szCs w:val="16"/>
                                <w:lang w:val="en-US"/>
                              </w:rPr>
                              <w:t>Nuclear accident</w:t>
                            </w:r>
                            <w:r>
                              <w:rPr>
                                <w:rFonts w:ascii="Garamond" w:hAnsi="Garamond"/>
                                <w:color w:val="92D050"/>
                                <w:sz w:val="16"/>
                                <w:szCs w:val="16"/>
                                <w:lang w:val="en-US"/>
                              </w:rPr>
                              <w:t>,</w:t>
                            </w:r>
                            <w:r w:rsidRPr="00B65444">
                              <w:rPr>
                                <w:rFonts w:ascii="Garamond" w:hAnsi="Garamond"/>
                                <w:color w:val="92D050"/>
                                <w:sz w:val="16"/>
                                <w:szCs w:val="16"/>
                                <w:lang w:val="en-US"/>
                              </w:rPr>
                              <w:t xml:space="preserve"> Chernoby</w:t>
                            </w:r>
                            <w:r>
                              <w:rPr>
                                <w:rFonts w:ascii="Garamond" w:hAnsi="Garamond"/>
                                <w:color w:val="92D050"/>
                                <w:sz w:val="16"/>
                                <w:szCs w:val="16"/>
                                <w:lang w:val="en-US"/>
                              </w:rPr>
                              <w:t>l,</w:t>
                            </w:r>
                            <w:r w:rsidRPr="00B65444">
                              <w:rPr>
                                <w:rFonts w:ascii="Garamond" w:hAnsi="Garamond"/>
                                <w:color w:val="92D050"/>
                                <w:sz w:val="16"/>
                                <w:szCs w:val="16"/>
                                <w:lang w:val="en-US"/>
                              </w:rPr>
                              <w:t xml:space="preserve"> Ukraine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98520" id="_x0000_t202" coordsize="21600,21600" o:spt="202" path="m,l,21600r21600,l21600,xe">
                <v:stroke joinstyle="miter"/>
                <v:path gradientshapeok="t" o:connecttype="rect"/>
              </v:shapetype>
              <v:shape id="Polje z besedilom 20" o:spid="_x0000_s1026" type="#_x0000_t202" alt="&quot;&quot;" style="position:absolute;margin-left:105.5pt;margin-top:29.5pt;width:8.8pt;height:11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" fillcolor="white [3201]" stroked="f" strokeweight=".5pt">
                <v:textbox style="layout-flow:vertical;mso-layout-flow-alt:bottom-to-top" inset="0,0,0,0">
                  <w:txbxContent>
                    <w:p w14:paraId="73BBE731" w14:textId="77777777" w:rsidR="005248D4" w:rsidRPr="00B65444" w:rsidRDefault="005248D4">
                      <w:pPr>
                        <w:rPr>
                          <w:rFonts w:ascii="Garamond" w:hAnsi="Garamond"/>
                          <w:color w:val="92D050"/>
                          <w:sz w:val="16"/>
                          <w:szCs w:val="16"/>
                          <w:lang w:val="en-US"/>
                        </w:rPr>
                      </w:pPr>
                      <w:r w:rsidRPr="00B65444">
                        <w:rPr>
                          <w:rFonts w:ascii="Garamond" w:hAnsi="Garamond"/>
                          <w:color w:val="92D050"/>
                          <w:sz w:val="16"/>
                          <w:szCs w:val="16"/>
                          <w:lang w:val="en-US"/>
                        </w:rPr>
                        <w:t>Nuclear accident</w:t>
                      </w:r>
                      <w:r>
                        <w:rPr>
                          <w:rFonts w:ascii="Garamond" w:hAnsi="Garamond"/>
                          <w:color w:val="92D050"/>
                          <w:sz w:val="16"/>
                          <w:szCs w:val="16"/>
                          <w:lang w:val="en-US"/>
                        </w:rPr>
                        <w:t>,</w:t>
                      </w:r>
                      <w:r w:rsidRPr="00B65444">
                        <w:rPr>
                          <w:rFonts w:ascii="Garamond" w:hAnsi="Garamond"/>
                          <w:color w:val="92D050"/>
                          <w:sz w:val="16"/>
                          <w:szCs w:val="16"/>
                          <w:lang w:val="en-US"/>
                        </w:rPr>
                        <w:t xml:space="preserve"> Chernoby</w:t>
                      </w:r>
                      <w:r>
                        <w:rPr>
                          <w:rFonts w:ascii="Garamond" w:hAnsi="Garamond"/>
                          <w:color w:val="92D050"/>
                          <w:sz w:val="16"/>
                          <w:szCs w:val="16"/>
                          <w:lang w:val="en-US"/>
                        </w:rPr>
                        <w:t>l,</w:t>
                      </w:r>
                      <w:r w:rsidRPr="00B65444">
                        <w:rPr>
                          <w:rFonts w:ascii="Garamond" w:hAnsi="Garamond"/>
                          <w:color w:val="92D050"/>
                          <w:sz w:val="16"/>
                          <w:szCs w:val="16"/>
                          <w:lang w:val="en-US"/>
                        </w:rPr>
                        <w:t xml:space="preserve"> Ukraine</w:t>
                      </w:r>
                    </w:p>
                  </w:txbxContent>
                </v:textbox>
              </v:shape>
            </w:pict>
          </mc:Fallback>
        </mc:AlternateContent>
      </w:r>
      <w:r w:rsidR="005248D4" w:rsidRPr="00CD2EEF">
        <w:rPr>
          <w:noProof/>
          <w:lang w:val="en-GB"/>
        </w:rPr>
        <mc:AlternateContent>
          <mc:Choice Requires="wps">
            <w:drawing>
              <wp:anchor distT="45720" distB="45720" distL="114300" distR="114300" simplePos="0" relativeHeight="251665408" behindDoc="0" locked="0" layoutInCell="1" allowOverlap="1" wp14:anchorId="12DF3529" wp14:editId="5668D82A">
                <wp:simplePos x="0" y="0"/>
                <wp:positionH relativeFrom="margin">
                  <wp:posOffset>2260371</wp:posOffset>
                </wp:positionH>
                <wp:positionV relativeFrom="paragraph">
                  <wp:posOffset>2824251</wp:posOffset>
                </wp:positionV>
                <wp:extent cx="1403350" cy="256032"/>
                <wp:effectExtent l="0" t="0" r="6350" b="0"/>
                <wp:wrapNone/>
                <wp:docPr id="19"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56032"/>
                        </a:xfrm>
                        <a:prstGeom prst="rect">
                          <a:avLst/>
                        </a:prstGeom>
                        <a:solidFill>
                          <a:schemeClr val="bg1"/>
                        </a:solidFill>
                        <a:ln w="9525">
                          <a:noFill/>
                          <a:miter lim="800000"/>
                          <a:headEnd/>
                          <a:tailEnd/>
                        </a:ln>
                      </wps:spPr>
                      <wps:txbx>
                        <w:txbxContent>
                          <w:p w14:paraId="4C948CE1" w14:textId="77777777" w:rsidR="005248D4" w:rsidRDefault="005248D4" w:rsidP="00926C66">
                            <w:pPr>
                              <w:pStyle w:val="LPnavaden"/>
                            </w:pPr>
                            <w:r>
                              <w:t>Year of sampling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F3529" id="Polje z besedilom 2" o:spid="_x0000_s1027" type="#_x0000_t202" alt="&quot;&quot;" style="position:absolute;margin-left:178pt;margin-top:222.4pt;width:110.5pt;height:20.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" fillcolor="white [3212]" stroked="f">
                <v:textbox>
                  <w:txbxContent>
                    <w:p w14:paraId="4C948CE1" w14:textId="77777777" w:rsidR="005248D4" w:rsidRDefault="005248D4" w:rsidP="00926C66">
                      <w:pPr>
                        <w:pStyle w:val="LPnavaden"/>
                      </w:pPr>
                      <w:proofErr w:type="spellStart"/>
                      <w:r>
                        <w:t>Year</w:t>
                      </w:r>
                      <w:proofErr w:type="spellEnd"/>
                      <w:r>
                        <w:t xml:space="preserve"> </w:t>
                      </w:r>
                      <w:proofErr w:type="spellStart"/>
                      <w:r>
                        <w:t>of</w:t>
                      </w:r>
                      <w:proofErr w:type="spellEnd"/>
                      <w:r>
                        <w:t xml:space="preserve"> </w:t>
                      </w:r>
                      <w:proofErr w:type="spellStart"/>
                      <w:r>
                        <w:t>sampling</w:t>
                      </w:r>
                      <w:proofErr w:type="spellEnd"/>
                    </w:p>
                  </w:txbxContent>
                </v:textbox>
                <w10:wrap anchorx="margin"/>
              </v:shape>
            </w:pict>
          </mc:Fallback>
        </mc:AlternateContent>
      </w:r>
      <w:r w:rsidR="005248D4" w:rsidRPr="00CD2EEF">
        <w:rPr>
          <w:noProof/>
          <w:lang w:val="en-GB"/>
        </w:rPr>
        <mc:AlternateContent>
          <mc:Choice Requires="wps">
            <w:drawing>
              <wp:anchor distT="45720" distB="45720" distL="114300" distR="114300" simplePos="0" relativeHeight="251664384" behindDoc="0" locked="0" layoutInCell="1" allowOverlap="1" wp14:anchorId="6550AD11" wp14:editId="429F5D0C">
                <wp:simplePos x="0" y="0"/>
                <wp:positionH relativeFrom="margin">
                  <wp:align>left</wp:align>
                </wp:positionH>
                <wp:positionV relativeFrom="paragraph">
                  <wp:posOffset>1451725</wp:posOffset>
                </wp:positionV>
                <wp:extent cx="2586355" cy="326707"/>
                <wp:effectExtent l="6033" t="0" r="0" b="0"/>
                <wp:wrapNone/>
                <wp:docPr id="25"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86355" cy="326707"/>
                        </a:xfrm>
                        <a:prstGeom prst="rect">
                          <a:avLst/>
                        </a:prstGeom>
                        <a:solidFill>
                          <a:schemeClr val="bg1"/>
                        </a:solidFill>
                        <a:ln w="9525">
                          <a:noFill/>
                          <a:miter lim="800000"/>
                          <a:headEnd/>
                          <a:tailEnd/>
                        </a:ln>
                      </wps:spPr>
                      <wps:txbx>
                        <w:txbxContent>
                          <w:p w14:paraId="24FED386" w14:textId="11D7497A" w:rsidR="005248D4" w:rsidRDefault="005248D4" w:rsidP="00926C66">
                            <w:pPr>
                              <w:pStyle w:val="LPnavaden"/>
                            </w:pPr>
                            <w:r>
                              <w:t xml:space="preserve">   Specific activity </w:t>
                            </w:r>
                            <w:r>
                              <w:rPr>
                                <w:rStyle w:val="LPnadpisano"/>
                                <w:rFonts w:eastAsiaTheme="majorEastAsia"/>
                              </w:rPr>
                              <w:t>137</w:t>
                            </w:r>
                            <w:r>
                              <w:t>Cs (mBq/m</w:t>
                            </w:r>
                            <w:r w:rsidRPr="005621B0">
                              <w:rPr>
                                <w:rStyle w:val="LPnadpisano"/>
                                <w:rFonts w:eastAsiaTheme="majorEastAsia"/>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0AD11" id="_x0000_s1028" type="#_x0000_t202" alt="&quot;&quot;" style="position:absolute;margin-left:0;margin-top:114.3pt;width:203.65pt;height:25.7pt;rotation:-90;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" fillcolor="white [3212]" stroked="f">
                <v:textbox>
                  <w:txbxContent>
                    <w:p w14:paraId="24FED386" w14:textId="11D7497A" w:rsidR="005248D4" w:rsidRDefault="005248D4" w:rsidP="00926C66">
                      <w:pPr>
                        <w:pStyle w:val="LPnavaden"/>
                      </w:pPr>
                      <w:r>
                        <w:t xml:space="preserve">   </w:t>
                      </w:r>
                      <w:proofErr w:type="spellStart"/>
                      <w:r>
                        <w:t>Specific</w:t>
                      </w:r>
                      <w:proofErr w:type="spellEnd"/>
                      <w:r>
                        <w:t xml:space="preserve"> </w:t>
                      </w:r>
                      <w:proofErr w:type="spellStart"/>
                      <w:r>
                        <w:t>activity</w:t>
                      </w:r>
                      <w:proofErr w:type="spellEnd"/>
                      <w:r>
                        <w:t xml:space="preserve"> </w:t>
                      </w:r>
                      <w:r>
                        <w:rPr>
                          <w:rStyle w:val="LPnadpisano"/>
                          <w:rFonts w:eastAsiaTheme="majorEastAsia"/>
                        </w:rPr>
                        <w:t>137</w:t>
                      </w:r>
                      <w:r>
                        <w:t>Cs (</w:t>
                      </w:r>
                      <w:proofErr w:type="spellStart"/>
                      <w:r>
                        <w:t>mBq</w:t>
                      </w:r>
                      <w:proofErr w:type="spellEnd"/>
                      <w:r>
                        <w:t>/m</w:t>
                      </w:r>
                      <w:r w:rsidRPr="005621B0">
                        <w:rPr>
                          <w:rStyle w:val="LPnadpisano"/>
                          <w:rFonts w:eastAsiaTheme="majorEastAsia"/>
                        </w:rPr>
                        <w:t>3</w:t>
                      </w:r>
                      <w:r>
                        <w:t>)</w:t>
                      </w:r>
                    </w:p>
                  </w:txbxContent>
                </v:textbox>
                <w10:wrap anchorx="margin"/>
              </v:shape>
            </w:pict>
          </mc:Fallback>
        </mc:AlternateContent>
      </w:r>
      <w:r w:rsidR="005248D4" w:rsidRPr="00CD2EEF">
        <w:rPr>
          <w:noProof/>
          <w:lang w:val="en-GB"/>
        </w:rPr>
        <mc:AlternateContent>
          <mc:Choice Requires="wps">
            <w:drawing>
              <wp:anchor distT="0" distB="0" distL="114300" distR="114300" simplePos="0" relativeHeight="251678720" behindDoc="0" locked="0" layoutInCell="1" allowOverlap="1" wp14:anchorId="0C70E71C" wp14:editId="5086982D">
                <wp:simplePos x="0" y="0"/>
                <wp:positionH relativeFrom="column">
                  <wp:posOffset>2457488</wp:posOffset>
                </wp:positionH>
                <wp:positionV relativeFrom="paragraph">
                  <wp:posOffset>727675</wp:posOffset>
                </wp:positionV>
                <wp:extent cx="112175" cy="1492274"/>
                <wp:effectExtent l="0" t="0" r="2540" b="0"/>
                <wp:wrapNone/>
                <wp:docPr id="21" name="Polje z besedilom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175" cy="1492274"/>
                        </a:xfrm>
                        <a:prstGeom prst="rect">
                          <a:avLst/>
                        </a:prstGeom>
                        <a:solidFill>
                          <a:schemeClr val="lt1"/>
                        </a:solidFill>
                        <a:ln w="6350">
                          <a:noFill/>
                        </a:ln>
                      </wps:spPr>
                      <wps:txbx>
                        <w:txbxContent>
                          <w:p w14:paraId="6869058A" w14:textId="77777777" w:rsidR="005248D4" w:rsidRPr="00B65444" w:rsidRDefault="005248D4" w:rsidP="00B65444">
                            <w:pPr>
                              <w:rPr>
                                <w:rFonts w:ascii="Garamond" w:hAnsi="Garamond"/>
                                <w:color w:val="92D050"/>
                                <w:sz w:val="16"/>
                                <w:szCs w:val="16"/>
                              </w:rPr>
                            </w:pPr>
                            <w:r>
                              <w:rPr>
                                <w:rFonts w:ascii="Garamond" w:hAnsi="Garamond"/>
                                <w:color w:val="92D050"/>
                                <w:sz w:val="16"/>
                                <w:szCs w:val="16"/>
                              </w:rPr>
                              <w:t>Source melt, Acerinox, Spain</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E71C" id="Polje z besedilom 21" o:spid="_x0000_s1029" type="#_x0000_t202" alt="&quot;&quot;" style="position:absolute;margin-left:193.5pt;margin-top:57.3pt;width:8.85pt;height: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" fillcolor="white [3201]" stroked="f" strokeweight=".5pt">
                <v:textbox style="layout-flow:vertical;mso-layout-flow-alt:bottom-to-top" inset="0,0,0,0">
                  <w:txbxContent>
                    <w:p w14:paraId="6869058A" w14:textId="77777777" w:rsidR="005248D4" w:rsidRPr="00B65444" w:rsidRDefault="005248D4" w:rsidP="00B65444">
                      <w:pPr>
                        <w:rPr>
                          <w:rFonts w:ascii="Garamond" w:hAnsi="Garamond"/>
                          <w:color w:val="92D050"/>
                          <w:sz w:val="16"/>
                          <w:szCs w:val="16"/>
                        </w:rPr>
                      </w:pPr>
                      <w:proofErr w:type="spellStart"/>
                      <w:r>
                        <w:rPr>
                          <w:rFonts w:ascii="Garamond" w:hAnsi="Garamond"/>
                          <w:color w:val="92D050"/>
                          <w:sz w:val="16"/>
                          <w:szCs w:val="16"/>
                        </w:rPr>
                        <w:t>Source</w:t>
                      </w:r>
                      <w:proofErr w:type="spellEnd"/>
                      <w:r>
                        <w:rPr>
                          <w:rFonts w:ascii="Garamond" w:hAnsi="Garamond"/>
                          <w:color w:val="92D050"/>
                          <w:sz w:val="16"/>
                          <w:szCs w:val="16"/>
                        </w:rPr>
                        <w:t xml:space="preserve"> </w:t>
                      </w:r>
                      <w:proofErr w:type="spellStart"/>
                      <w:r>
                        <w:rPr>
                          <w:rFonts w:ascii="Garamond" w:hAnsi="Garamond"/>
                          <w:color w:val="92D050"/>
                          <w:sz w:val="16"/>
                          <w:szCs w:val="16"/>
                        </w:rPr>
                        <w:t>melt</w:t>
                      </w:r>
                      <w:proofErr w:type="spellEnd"/>
                      <w:r>
                        <w:rPr>
                          <w:rFonts w:ascii="Garamond" w:hAnsi="Garamond"/>
                          <w:color w:val="92D050"/>
                          <w:sz w:val="16"/>
                          <w:szCs w:val="16"/>
                        </w:rPr>
                        <w:t xml:space="preserve">, </w:t>
                      </w:r>
                      <w:proofErr w:type="spellStart"/>
                      <w:r>
                        <w:rPr>
                          <w:rFonts w:ascii="Garamond" w:hAnsi="Garamond"/>
                          <w:color w:val="92D050"/>
                          <w:sz w:val="16"/>
                          <w:szCs w:val="16"/>
                        </w:rPr>
                        <w:t>Acerinox</w:t>
                      </w:r>
                      <w:proofErr w:type="spellEnd"/>
                      <w:r>
                        <w:rPr>
                          <w:rFonts w:ascii="Garamond" w:hAnsi="Garamond"/>
                          <w:color w:val="92D050"/>
                          <w:sz w:val="16"/>
                          <w:szCs w:val="16"/>
                        </w:rPr>
                        <w:t xml:space="preserve">, </w:t>
                      </w:r>
                      <w:proofErr w:type="spellStart"/>
                      <w:r>
                        <w:rPr>
                          <w:rFonts w:ascii="Garamond" w:hAnsi="Garamond"/>
                          <w:color w:val="92D050"/>
                          <w:sz w:val="16"/>
                          <w:szCs w:val="16"/>
                        </w:rPr>
                        <w:t>Spain</w:t>
                      </w:r>
                      <w:proofErr w:type="spellEnd"/>
                    </w:p>
                  </w:txbxContent>
                </v:textbox>
              </v:shape>
            </w:pict>
          </mc:Fallback>
        </mc:AlternateContent>
      </w:r>
      <w:r w:rsidR="005248D4" w:rsidRPr="00CD2EEF">
        <w:rPr>
          <w:noProof/>
          <w:lang w:val="en-GB"/>
        </w:rPr>
        <mc:AlternateContent>
          <mc:Choice Requires="wps">
            <w:drawing>
              <wp:anchor distT="0" distB="0" distL="114300" distR="114300" simplePos="0" relativeHeight="251680768" behindDoc="0" locked="0" layoutInCell="1" allowOverlap="1" wp14:anchorId="69DEE8D4" wp14:editId="5688C5B2">
                <wp:simplePos x="0" y="0"/>
                <wp:positionH relativeFrom="column">
                  <wp:posOffset>4330752</wp:posOffset>
                </wp:positionH>
                <wp:positionV relativeFrom="paragraph">
                  <wp:posOffset>1360088</wp:posOffset>
                </wp:positionV>
                <wp:extent cx="112175" cy="1278097"/>
                <wp:effectExtent l="0" t="0" r="2540" b="0"/>
                <wp:wrapNone/>
                <wp:docPr id="24" name="Polje z besedilom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175" cy="1278097"/>
                        </a:xfrm>
                        <a:prstGeom prst="rect">
                          <a:avLst/>
                        </a:prstGeom>
                        <a:solidFill>
                          <a:schemeClr val="lt1"/>
                        </a:solidFill>
                        <a:ln w="6350">
                          <a:noFill/>
                        </a:ln>
                      </wps:spPr>
                      <wps:txbx>
                        <w:txbxContent>
                          <w:p w14:paraId="2FD4EB84" w14:textId="77777777" w:rsidR="005248D4" w:rsidRPr="00B65444" w:rsidRDefault="005248D4" w:rsidP="00B65444">
                            <w:pPr>
                              <w:rPr>
                                <w:rFonts w:ascii="Garamond" w:hAnsi="Garamond"/>
                                <w:color w:val="92D050"/>
                                <w:sz w:val="16"/>
                                <w:szCs w:val="16"/>
                                <w:lang w:val="en-US"/>
                              </w:rPr>
                            </w:pPr>
                            <w:r>
                              <w:rPr>
                                <w:rFonts w:ascii="Garamond" w:hAnsi="Garamond"/>
                                <w:color w:val="92D050"/>
                                <w:sz w:val="16"/>
                                <w:szCs w:val="16"/>
                                <w:lang w:val="en-US"/>
                              </w:rPr>
                              <w:t>Forest fire,</w:t>
                            </w:r>
                            <w:r w:rsidRPr="00B65444">
                              <w:rPr>
                                <w:rFonts w:ascii="Garamond" w:hAnsi="Garamond"/>
                                <w:color w:val="92D050"/>
                                <w:sz w:val="16"/>
                                <w:szCs w:val="16"/>
                                <w:lang w:val="en-US"/>
                              </w:rPr>
                              <w:t xml:space="preserve"> Chernoby</w:t>
                            </w:r>
                            <w:r>
                              <w:rPr>
                                <w:rFonts w:ascii="Garamond" w:hAnsi="Garamond"/>
                                <w:color w:val="92D050"/>
                                <w:sz w:val="16"/>
                                <w:szCs w:val="16"/>
                                <w:lang w:val="en-US"/>
                              </w:rPr>
                              <w:t>l,</w:t>
                            </w:r>
                            <w:r w:rsidRPr="00B65444">
                              <w:rPr>
                                <w:rFonts w:ascii="Garamond" w:hAnsi="Garamond"/>
                                <w:color w:val="92D050"/>
                                <w:sz w:val="16"/>
                                <w:szCs w:val="16"/>
                                <w:lang w:val="en-US"/>
                              </w:rPr>
                              <w:t xml:space="preserve"> Ukraine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E8D4" id="Polje z besedilom 24" o:spid="_x0000_s1030" type="#_x0000_t202" alt="&quot;&quot;" style="position:absolute;margin-left:341pt;margin-top:107.1pt;width:8.85pt;height:10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" fillcolor="white [3201]" stroked="f" strokeweight=".5pt">
                <v:textbox style="layout-flow:vertical;mso-layout-flow-alt:bottom-to-top" inset="0,0,0,0">
                  <w:txbxContent>
                    <w:p w14:paraId="2FD4EB84" w14:textId="77777777" w:rsidR="005248D4" w:rsidRPr="00B65444" w:rsidRDefault="005248D4" w:rsidP="00B65444">
                      <w:pPr>
                        <w:rPr>
                          <w:rFonts w:ascii="Garamond" w:hAnsi="Garamond"/>
                          <w:color w:val="92D050"/>
                          <w:sz w:val="16"/>
                          <w:szCs w:val="16"/>
                          <w:lang w:val="en-US"/>
                        </w:rPr>
                      </w:pPr>
                      <w:r>
                        <w:rPr>
                          <w:rFonts w:ascii="Garamond" w:hAnsi="Garamond"/>
                          <w:color w:val="92D050"/>
                          <w:sz w:val="16"/>
                          <w:szCs w:val="16"/>
                          <w:lang w:val="en-US"/>
                        </w:rPr>
                        <w:t>Forest fire,</w:t>
                      </w:r>
                      <w:r w:rsidRPr="00B65444">
                        <w:rPr>
                          <w:rFonts w:ascii="Garamond" w:hAnsi="Garamond"/>
                          <w:color w:val="92D050"/>
                          <w:sz w:val="16"/>
                          <w:szCs w:val="16"/>
                          <w:lang w:val="en-US"/>
                        </w:rPr>
                        <w:t xml:space="preserve"> Chernoby</w:t>
                      </w:r>
                      <w:r>
                        <w:rPr>
                          <w:rFonts w:ascii="Garamond" w:hAnsi="Garamond"/>
                          <w:color w:val="92D050"/>
                          <w:sz w:val="16"/>
                          <w:szCs w:val="16"/>
                          <w:lang w:val="en-US"/>
                        </w:rPr>
                        <w:t>l,</w:t>
                      </w:r>
                      <w:r w:rsidRPr="00B65444">
                        <w:rPr>
                          <w:rFonts w:ascii="Garamond" w:hAnsi="Garamond"/>
                          <w:color w:val="92D050"/>
                          <w:sz w:val="16"/>
                          <w:szCs w:val="16"/>
                          <w:lang w:val="en-US"/>
                        </w:rPr>
                        <w:t xml:space="preserve"> Ukraine</w:t>
                      </w:r>
                    </w:p>
                  </w:txbxContent>
                </v:textbox>
              </v:shape>
            </w:pict>
          </mc:Fallback>
        </mc:AlternateContent>
      </w:r>
      <w:r w:rsidR="005248D4" w:rsidRPr="00CD2EEF">
        <w:rPr>
          <w:noProof/>
          <w:lang w:val="en-GB"/>
        </w:rPr>
        <mc:AlternateContent>
          <mc:Choice Requires="wps">
            <w:drawing>
              <wp:anchor distT="0" distB="0" distL="114300" distR="114300" simplePos="0" relativeHeight="251679744" behindDoc="0" locked="0" layoutInCell="1" allowOverlap="1" wp14:anchorId="670E6418" wp14:editId="58152537">
                <wp:simplePos x="0" y="0"/>
                <wp:positionH relativeFrom="column">
                  <wp:posOffset>4736172</wp:posOffset>
                </wp:positionH>
                <wp:positionV relativeFrom="paragraph">
                  <wp:posOffset>1401784</wp:posOffset>
                </wp:positionV>
                <wp:extent cx="112175" cy="1278097"/>
                <wp:effectExtent l="0" t="0" r="2540" b="0"/>
                <wp:wrapNone/>
                <wp:docPr id="22" name="Polje z besedilom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175" cy="1278097"/>
                        </a:xfrm>
                        <a:prstGeom prst="rect">
                          <a:avLst/>
                        </a:prstGeom>
                        <a:solidFill>
                          <a:schemeClr val="lt1"/>
                        </a:solidFill>
                        <a:ln w="6350">
                          <a:noFill/>
                        </a:ln>
                      </wps:spPr>
                      <wps:txbx>
                        <w:txbxContent>
                          <w:p w14:paraId="61B9E760" w14:textId="77777777" w:rsidR="005248D4" w:rsidRPr="00B65444" w:rsidRDefault="005248D4" w:rsidP="00B65444">
                            <w:pPr>
                              <w:rPr>
                                <w:rFonts w:ascii="Garamond" w:hAnsi="Garamond"/>
                                <w:color w:val="92D050"/>
                                <w:sz w:val="16"/>
                                <w:szCs w:val="16"/>
                                <w:lang w:val="en-US"/>
                              </w:rPr>
                            </w:pPr>
                            <w:r>
                              <w:rPr>
                                <w:rFonts w:ascii="Garamond" w:hAnsi="Garamond"/>
                                <w:color w:val="92D050"/>
                                <w:sz w:val="16"/>
                                <w:szCs w:val="16"/>
                                <w:lang w:val="en-US"/>
                              </w:rPr>
                              <w:t>Forest fire,</w:t>
                            </w:r>
                            <w:r w:rsidRPr="00B65444">
                              <w:rPr>
                                <w:rFonts w:ascii="Garamond" w:hAnsi="Garamond"/>
                                <w:color w:val="92D050"/>
                                <w:sz w:val="16"/>
                                <w:szCs w:val="16"/>
                                <w:lang w:val="en-US"/>
                              </w:rPr>
                              <w:t xml:space="preserve"> Chernoby</w:t>
                            </w:r>
                            <w:r>
                              <w:rPr>
                                <w:rFonts w:ascii="Garamond" w:hAnsi="Garamond"/>
                                <w:color w:val="92D050"/>
                                <w:sz w:val="16"/>
                                <w:szCs w:val="16"/>
                                <w:lang w:val="en-US"/>
                              </w:rPr>
                              <w:t>l,</w:t>
                            </w:r>
                            <w:r w:rsidRPr="00B65444">
                              <w:rPr>
                                <w:rFonts w:ascii="Garamond" w:hAnsi="Garamond"/>
                                <w:color w:val="92D050"/>
                                <w:sz w:val="16"/>
                                <w:szCs w:val="16"/>
                                <w:lang w:val="en-US"/>
                              </w:rPr>
                              <w:t xml:space="preserve"> Ukraine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6418" id="Polje z besedilom 22" o:spid="_x0000_s1031" type="#_x0000_t202" alt="&quot;&quot;" style="position:absolute;margin-left:372.95pt;margin-top:110.4pt;width:8.85pt;height:10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" fillcolor="white [3201]" stroked="f" strokeweight=".5pt">
                <v:textbox style="layout-flow:vertical;mso-layout-flow-alt:bottom-to-top" inset="0,0,0,0">
                  <w:txbxContent>
                    <w:p w14:paraId="61B9E760" w14:textId="77777777" w:rsidR="005248D4" w:rsidRPr="00B65444" w:rsidRDefault="005248D4" w:rsidP="00B65444">
                      <w:pPr>
                        <w:rPr>
                          <w:rFonts w:ascii="Garamond" w:hAnsi="Garamond"/>
                          <w:color w:val="92D050"/>
                          <w:sz w:val="16"/>
                          <w:szCs w:val="16"/>
                          <w:lang w:val="en-US"/>
                        </w:rPr>
                      </w:pPr>
                      <w:r>
                        <w:rPr>
                          <w:rFonts w:ascii="Garamond" w:hAnsi="Garamond"/>
                          <w:color w:val="92D050"/>
                          <w:sz w:val="16"/>
                          <w:szCs w:val="16"/>
                          <w:lang w:val="en-US"/>
                        </w:rPr>
                        <w:t>Forest fire,</w:t>
                      </w:r>
                      <w:r w:rsidRPr="00B65444">
                        <w:rPr>
                          <w:rFonts w:ascii="Garamond" w:hAnsi="Garamond"/>
                          <w:color w:val="92D050"/>
                          <w:sz w:val="16"/>
                          <w:szCs w:val="16"/>
                          <w:lang w:val="en-US"/>
                        </w:rPr>
                        <w:t xml:space="preserve"> Chernoby</w:t>
                      </w:r>
                      <w:r>
                        <w:rPr>
                          <w:rFonts w:ascii="Garamond" w:hAnsi="Garamond"/>
                          <w:color w:val="92D050"/>
                          <w:sz w:val="16"/>
                          <w:szCs w:val="16"/>
                          <w:lang w:val="en-US"/>
                        </w:rPr>
                        <w:t>l,</w:t>
                      </w:r>
                      <w:r w:rsidRPr="00B65444">
                        <w:rPr>
                          <w:rFonts w:ascii="Garamond" w:hAnsi="Garamond"/>
                          <w:color w:val="92D050"/>
                          <w:sz w:val="16"/>
                          <w:szCs w:val="16"/>
                          <w:lang w:val="en-US"/>
                        </w:rPr>
                        <w:t xml:space="preserve"> Ukraine</w:t>
                      </w:r>
                    </w:p>
                  </w:txbxContent>
                </v:textbox>
              </v:shape>
            </w:pict>
          </mc:Fallback>
        </mc:AlternateContent>
      </w:r>
      <w:r w:rsidR="005248D4" w:rsidRPr="00CD2EEF">
        <w:rPr>
          <w:noProof/>
          <w:lang w:val="en-GB"/>
        </w:rPr>
        <mc:AlternateContent>
          <mc:Choice Requires="wps">
            <w:drawing>
              <wp:anchor distT="0" distB="0" distL="114300" distR="114300" simplePos="0" relativeHeight="251677696" behindDoc="0" locked="0" layoutInCell="1" allowOverlap="1" wp14:anchorId="0A052CA6" wp14:editId="3E4189DE">
                <wp:simplePos x="0" y="0"/>
                <wp:positionH relativeFrom="column">
                  <wp:posOffset>3794205</wp:posOffset>
                </wp:positionH>
                <wp:positionV relativeFrom="paragraph">
                  <wp:posOffset>1024447</wp:posOffset>
                </wp:positionV>
                <wp:extent cx="112175" cy="1492274"/>
                <wp:effectExtent l="0" t="0" r="2540" b="0"/>
                <wp:wrapNone/>
                <wp:docPr id="26" name="Polje z besedilom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175" cy="1492274"/>
                        </a:xfrm>
                        <a:prstGeom prst="rect">
                          <a:avLst/>
                        </a:prstGeom>
                        <a:solidFill>
                          <a:schemeClr val="lt1"/>
                        </a:solidFill>
                        <a:ln w="6350">
                          <a:noFill/>
                        </a:ln>
                      </wps:spPr>
                      <wps:txbx>
                        <w:txbxContent>
                          <w:p w14:paraId="53F4B7F3" w14:textId="77777777" w:rsidR="005248D4" w:rsidRPr="00B65444" w:rsidRDefault="005248D4" w:rsidP="00B65444">
                            <w:pPr>
                              <w:rPr>
                                <w:rFonts w:ascii="Garamond" w:hAnsi="Garamond"/>
                                <w:color w:val="92D050"/>
                                <w:sz w:val="16"/>
                                <w:szCs w:val="16"/>
                                <w:lang w:val="en-US"/>
                              </w:rPr>
                            </w:pPr>
                            <w:r w:rsidRPr="00B65444">
                              <w:rPr>
                                <w:rFonts w:ascii="Garamond" w:hAnsi="Garamond"/>
                                <w:color w:val="92D050"/>
                                <w:sz w:val="16"/>
                                <w:szCs w:val="16"/>
                                <w:lang w:val="en-US"/>
                              </w:rPr>
                              <w:t>Nuclear accident</w:t>
                            </w:r>
                            <w:r>
                              <w:rPr>
                                <w:rFonts w:ascii="Garamond" w:hAnsi="Garamond"/>
                                <w:color w:val="92D050"/>
                                <w:sz w:val="16"/>
                                <w:szCs w:val="16"/>
                                <w:lang w:val="en-US"/>
                              </w:rPr>
                              <w:t>,</w:t>
                            </w:r>
                            <w:r w:rsidRPr="00B65444">
                              <w:rPr>
                                <w:rFonts w:ascii="Garamond" w:hAnsi="Garamond"/>
                                <w:color w:val="92D050"/>
                                <w:sz w:val="16"/>
                                <w:szCs w:val="16"/>
                                <w:lang w:val="en-US"/>
                              </w:rPr>
                              <w:t xml:space="preserve"> </w:t>
                            </w:r>
                            <w:r>
                              <w:rPr>
                                <w:rFonts w:ascii="Garamond" w:hAnsi="Garamond"/>
                                <w:color w:val="92D050"/>
                                <w:sz w:val="16"/>
                                <w:szCs w:val="16"/>
                                <w:lang w:val="en-US"/>
                              </w:rPr>
                              <w:t>Fukushima, Japan</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52CA6" id="Polje z besedilom 26" o:spid="_x0000_s1032" type="#_x0000_t202" alt="&quot;&quot;" style="position:absolute;margin-left:298.75pt;margin-top:80.65pt;width:8.85pt;height: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" fillcolor="white [3201]" stroked="f" strokeweight=".5pt">
                <v:textbox style="layout-flow:vertical;mso-layout-flow-alt:bottom-to-top" inset="0,0,0,0">
                  <w:txbxContent>
                    <w:p w14:paraId="53F4B7F3" w14:textId="77777777" w:rsidR="005248D4" w:rsidRPr="00B65444" w:rsidRDefault="005248D4" w:rsidP="00B65444">
                      <w:pPr>
                        <w:rPr>
                          <w:rFonts w:ascii="Garamond" w:hAnsi="Garamond"/>
                          <w:color w:val="92D050"/>
                          <w:sz w:val="16"/>
                          <w:szCs w:val="16"/>
                          <w:lang w:val="en-US"/>
                        </w:rPr>
                      </w:pPr>
                      <w:r w:rsidRPr="00B65444">
                        <w:rPr>
                          <w:rFonts w:ascii="Garamond" w:hAnsi="Garamond"/>
                          <w:color w:val="92D050"/>
                          <w:sz w:val="16"/>
                          <w:szCs w:val="16"/>
                          <w:lang w:val="en-US"/>
                        </w:rPr>
                        <w:t>Nuclear accident</w:t>
                      </w:r>
                      <w:r>
                        <w:rPr>
                          <w:rFonts w:ascii="Garamond" w:hAnsi="Garamond"/>
                          <w:color w:val="92D050"/>
                          <w:sz w:val="16"/>
                          <w:szCs w:val="16"/>
                          <w:lang w:val="en-US"/>
                        </w:rPr>
                        <w:t>,</w:t>
                      </w:r>
                      <w:r w:rsidRPr="00B65444">
                        <w:rPr>
                          <w:rFonts w:ascii="Garamond" w:hAnsi="Garamond"/>
                          <w:color w:val="92D050"/>
                          <w:sz w:val="16"/>
                          <w:szCs w:val="16"/>
                          <w:lang w:val="en-US"/>
                        </w:rPr>
                        <w:t xml:space="preserve"> </w:t>
                      </w:r>
                      <w:r>
                        <w:rPr>
                          <w:rFonts w:ascii="Garamond" w:hAnsi="Garamond"/>
                          <w:color w:val="92D050"/>
                          <w:sz w:val="16"/>
                          <w:szCs w:val="16"/>
                          <w:lang w:val="en-US"/>
                        </w:rPr>
                        <w:t>Fukushima, Japan</w:t>
                      </w:r>
                    </w:p>
                  </w:txbxContent>
                </v:textbox>
              </v:shape>
            </w:pict>
          </mc:Fallback>
        </mc:AlternateContent>
      </w:r>
      <w:r w:rsidR="005248D4" w:rsidRPr="00CD2EEF">
        <w:rPr>
          <w:noProof/>
          <w:lang w:val="en-GB"/>
        </w:rPr>
        <w:drawing>
          <wp:inline distT="0" distB="0" distL="0" distR="0" wp14:anchorId="0CDBB81A" wp14:editId="5B70B8F2">
            <wp:extent cx="5308575" cy="2951901"/>
            <wp:effectExtent l="0" t="0" r="6985" b="1270"/>
            <wp:docPr id="47" name="Slika 47" descr="graphical introduction of average 137Cs activities in Ljubljana since 19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graphical introduction of average 137Cs activities in Ljubljana since 1981 "/>
                    <pic:cNvPicPr/>
                  </pic:nvPicPr>
                  <pic:blipFill>
                    <a:blip r:embed="rId49"/>
                    <a:stretch>
                      <a:fillRect/>
                    </a:stretch>
                  </pic:blipFill>
                  <pic:spPr>
                    <a:xfrm>
                      <a:off x="0" y="0"/>
                      <a:ext cx="5360737" cy="2980906"/>
                    </a:xfrm>
                    <a:prstGeom prst="rect">
                      <a:avLst/>
                    </a:prstGeom>
                  </pic:spPr>
                </pic:pic>
              </a:graphicData>
            </a:graphic>
          </wp:inline>
        </w:drawing>
      </w:r>
    </w:p>
    <w:p w14:paraId="4419567B" w14:textId="69B3FCBB" w:rsidR="005248D4" w:rsidRPr="00AD24C3" w:rsidRDefault="00EB44B3" w:rsidP="00EB44B3">
      <w:pPr>
        <w:pStyle w:val="LPnaslovslika"/>
        <w:rPr>
          <w:highlight w:val="green"/>
          <w:lang w:val="en-GB"/>
        </w:rPr>
      </w:pPr>
      <w:bookmarkStart w:id="158" w:name="_Toc76973090"/>
      <w:bookmarkStart w:id="159" w:name="_Toc126309899"/>
      <w:bookmarkEnd w:id="157"/>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20</w:t>
      </w:r>
      <w:r w:rsidR="00366B6D" w:rsidRPr="00CD2EEF">
        <w:rPr>
          <w:lang w:val="en-GB"/>
        </w:rPr>
        <w:fldChar w:fldCharType="end"/>
      </w:r>
      <w:r w:rsidR="005248D4" w:rsidRPr="00CD2EEF">
        <w:rPr>
          <w:lang w:val="en-GB"/>
        </w:rPr>
        <w:t xml:space="preserve">: Average annual specific activities of </w:t>
      </w:r>
      <w:r w:rsidR="005248D4" w:rsidRPr="00CD2EEF">
        <w:rPr>
          <w:vertAlign w:val="superscript"/>
          <w:lang w:val="en-GB"/>
        </w:rPr>
        <w:t>137</w:t>
      </w:r>
      <w:r w:rsidR="005248D4" w:rsidRPr="00CD2EEF">
        <w:rPr>
          <w:lang w:val="en-GB"/>
        </w:rPr>
        <w:t>Cs in the air</w:t>
      </w:r>
      <w:r w:rsidR="005248D4" w:rsidRPr="00CD2EEF" w:rsidDel="003D27D7">
        <w:rPr>
          <w:lang w:val="en-GB"/>
        </w:rPr>
        <w:t xml:space="preserve"> </w:t>
      </w:r>
      <w:r w:rsidR="005248D4" w:rsidRPr="00CD2EEF">
        <w:rPr>
          <w:lang w:val="en-GB"/>
        </w:rPr>
        <w:t>in Ljubljana since 1981</w:t>
      </w:r>
      <w:bookmarkEnd w:id="158"/>
      <w:bookmarkEnd w:id="159"/>
    </w:p>
    <w:p w14:paraId="1B1782B4" w14:textId="059DBD16" w:rsidR="005248D4" w:rsidRPr="00CD2EEF" w:rsidRDefault="005248D4" w:rsidP="00FF0400">
      <w:pPr>
        <w:spacing w:after="120"/>
        <w:jc w:val="both"/>
        <w:rPr>
          <w:rFonts w:ascii="Garamond" w:hAnsi="Garamond"/>
          <w:szCs w:val="20"/>
          <w:lang w:val="en-GB"/>
        </w:rPr>
      </w:pPr>
      <w:r w:rsidRPr="00CD2EEF">
        <w:rPr>
          <w:rFonts w:ascii="Garamond" w:hAnsi="Garamond"/>
          <w:szCs w:val="20"/>
          <w:lang w:val="en-GB"/>
        </w:rPr>
        <w:t xml:space="preserve">Measurements of specific activity in the air also enable a more detailed analysis of seasonal variations of </w:t>
      </w:r>
      <w:r w:rsidRPr="00CD2EEF">
        <w:rPr>
          <w:rFonts w:ascii="Garamond" w:hAnsi="Garamond"/>
          <w:szCs w:val="20"/>
          <w:vertAlign w:val="superscript"/>
          <w:lang w:val="en-GB"/>
        </w:rPr>
        <w:t>137</w:t>
      </w:r>
      <w:r w:rsidRPr="00CD2EEF">
        <w:rPr>
          <w:rFonts w:ascii="Garamond" w:hAnsi="Garamond"/>
          <w:szCs w:val="20"/>
          <w:lang w:val="en-GB"/>
        </w:rPr>
        <w:t xml:space="preserve">Cs activity in the air, which are assumed to be a result of </w:t>
      </w:r>
      <w:r w:rsidR="00C70F7A">
        <w:rPr>
          <w:rFonts w:ascii="Garamond" w:hAnsi="Garamond"/>
          <w:szCs w:val="20"/>
          <w:lang w:val="en-GB"/>
        </w:rPr>
        <w:t xml:space="preserve">the </w:t>
      </w:r>
      <w:r w:rsidRPr="00CD2EEF">
        <w:rPr>
          <w:rFonts w:ascii="Garamond" w:hAnsi="Garamond"/>
          <w:szCs w:val="20"/>
          <w:lang w:val="en-GB"/>
        </w:rPr>
        <w:t>increased use of firewood and wood fuels in the winter months (</w:t>
      </w:r>
      <w:hyperlink w:anchor="fig21" w:history="1">
        <w:r w:rsidRPr="00CD2EEF">
          <w:rPr>
            <w:rStyle w:val="Hiperpovezava"/>
            <w:rFonts w:ascii="Garamond" w:hAnsi="Garamond"/>
            <w:szCs w:val="20"/>
            <w:lang w:val="en-GB"/>
          </w:rPr>
          <w:t>Figure 21</w:t>
        </w:r>
      </w:hyperlink>
      <w:r w:rsidRPr="00CD2EEF">
        <w:rPr>
          <w:rFonts w:ascii="Garamond" w:hAnsi="Garamond"/>
          <w:szCs w:val="20"/>
          <w:lang w:val="en-GB"/>
        </w:rPr>
        <w:t xml:space="preserve">). Based on </w:t>
      </w:r>
      <w:r w:rsidR="00C70F7A">
        <w:rPr>
          <w:rFonts w:ascii="Garamond" w:hAnsi="Garamond"/>
          <w:szCs w:val="20"/>
          <w:lang w:val="en-GB"/>
        </w:rPr>
        <w:t xml:space="preserve">the </w:t>
      </w:r>
      <w:r w:rsidRPr="00CD2EEF">
        <w:rPr>
          <w:rFonts w:ascii="Garamond" w:hAnsi="Garamond"/>
          <w:szCs w:val="20"/>
          <w:lang w:val="en-GB"/>
        </w:rPr>
        <w:t xml:space="preserve">data on the total consumption of wood fuels in previous years, it can be estimated that a total of 3.5 GBq of </w:t>
      </w:r>
      <w:r w:rsidRPr="00CD2EEF">
        <w:rPr>
          <w:rFonts w:ascii="Garamond" w:hAnsi="Garamond"/>
          <w:szCs w:val="20"/>
          <w:vertAlign w:val="superscript"/>
          <w:lang w:val="en-GB"/>
        </w:rPr>
        <w:t>137</w:t>
      </w:r>
      <w:r w:rsidRPr="00CD2EEF">
        <w:rPr>
          <w:rFonts w:ascii="Garamond" w:hAnsi="Garamond"/>
          <w:szCs w:val="20"/>
          <w:lang w:val="en-GB"/>
        </w:rPr>
        <w:t xml:space="preserve">Cs was released into the air in 2021, which is, for sake of comparison, much more than is released every year by </w:t>
      </w:r>
      <w:r w:rsidR="001B146F">
        <w:rPr>
          <w:rFonts w:ascii="Garamond" w:hAnsi="Garamond"/>
          <w:szCs w:val="20"/>
          <w:lang w:val="en-GB"/>
        </w:rPr>
        <w:t xml:space="preserve">the Krško </w:t>
      </w:r>
      <w:r w:rsidR="001B146F" w:rsidRPr="00AD24C3">
        <w:rPr>
          <w:rFonts w:ascii="Garamond" w:hAnsi="Garamond"/>
          <w:szCs w:val="20"/>
          <w:lang w:val="en-GB"/>
        </w:rPr>
        <w:t>NPP</w:t>
      </w:r>
      <w:r w:rsidRPr="00AD24C3">
        <w:rPr>
          <w:rFonts w:ascii="Garamond" w:hAnsi="Garamond"/>
          <w:szCs w:val="20"/>
          <w:lang w:val="en-GB"/>
        </w:rPr>
        <w:t xml:space="preserve"> (1</w:t>
      </w:r>
      <w:r w:rsidR="00C70F7A" w:rsidRPr="00AD24C3">
        <w:rPr>
          <w:rFonts w:ascii="Garamond" w:hAnsi="Garamond"/>
          <w:szCs w:val="20"/>
          <w:lang w:val="en-GB"/>
        </w:rPr>
        <w:t>.</w:t>
      </w:r>
      <w:r w:rsidRPr="00AD24C3">
        <w:rPr>
          <w:rFonts w:ascii="Garamond" w:hAnsi="Garamond"/>
          <w:szCs w:val="20"/>
          <w:lang w:val="en-GB"/>
        </w:rPr>
        <w:t>3</w:t>
      </w:r>
      <w:r w:rsidRPr="00CD2EEF">
        <w:rPr>
          <w:rFonts w:ascii="Garamond" w:hAnsi="Garamond"/>
          <w:szCs w:val="20"/>
          <w:lang w:val="en-GB"/>
        </w:rPr>
        <w:t xml:space="preserve"> MBq in 2021).</w:t>
      </w:r>
    </w:p>
    <w:bookmarkStart w:id="160" w:name="fig21"/>
    <w:p w14:paraId="6FFDFAF2" w14:textId="639B99ED" w:rsidR="005248D4" w:rsidRPr="00CD2EEF" w:rsidRDefault="00CE0058" w:rsidP="00FF0400">
      <w:pPr>
        <w:spacing w:after="120"/>
        <w:jc w:val="both"/>
        <w:rPr>
          <w:rFonts w:ascii="Garamond" w:hAnsi="Garamond"/>
          <w:color w:val="FF0000"/>
          <w:szCs w:val="20"/>
          <w:lang w:val="en-GB"/>
        </w:rPr>
      </w:pPr>
      <w:r w:rsidRPr="00CD2EEF">
        <w:rPr>
          <w:noProof/>
          <w:color w:val="FF0000"/>
          <w:lang w:val="en-GB"/>
        </w:rPr>
        <mc:AlternateContent>
          <mc:Choice Requires="wps">
            <w:drawing>
              <wp:anchor distT="45720" distB="45720" distL="114300" distR="114300" simplePos="0" relativeHeight="251681792" behindDoc="0" locked="0" layoutInCell="1" allowOverlap="1" wp14:anchorId="40AF5274" wp14:editId="29141143">
                <wp:simplePos x="0" y="0"/>
                <wp:positionH relativeFrom="margin">
                  <wp:posOffset>-1118368</wp:posOffset>
                </wp:positionH>
                <wp:positionV relativeFrom="paragraph">
                  <wp:posOffset>1134929</wp:posOffset>
                </wp:positionV>
                <wp:extent cx="2509050" cy="326390"/>
                <wp:effectExtent l="5398" t="0" r="0" b="0"/>
                <wp:wrapNone/>
                <wp:docPr id="33"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09050" cy="326390"/>
                        </a:xfrm>
                        <a:prstGeom prst="rect">
                          <a:avLst/>
                        </a:prstGeom>
                        <a:solidFill>
                          <a:schemeClr val="bg1"/>
                        </a:solidFill>
                        <a:ln w="9525">
                          <a:noFill/>
                          <a:miter lim="800000"/>
                          <a:headEnd/>
                          <a:tailEnd/>
                        </a:ln>
                      </wps:spPr>
                      <wps:txbx>
                        <w:txbxContent>
                          <w:p w14:paraId="020447DD" w14:textId="77777777" w:rsidR="005248D4" w:rsidRDefault="005248D4" w:rsidP="00FF4A37">
                            <w:pPr>
                              <w:pStyle w:val="LPnavaden"/>
                            </w:pPr>
                            <w:r>
                              <w:t xml:space="preserve">   Specific activity </w:t>
                            </w:r>
                            <w:r>
                              <w:rPr>
                                <w:rStyle w:val="LPnadpisano"/>
                                <w:rFonts w:eastAsiaTheme="majorEastAsia"/>
                              </w:rPr>
                              <w:t>137</w:t>
                            </w:r>
                            <w:r>
                              <w:t>Cs (mBq/m</w:t>
                            </w:r>
                            <w:r w:rsidRPr="005621B0">
                              <w:rPr>
                                <w:rStyle w:val="LPnadpisano"/>
                                <w:rFonts w:eastAsiaTheme="majorEastAsia"/>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F5274" id="_x0000_s1033" type="#_x0000_t202" alt="&quot;&quot;" style="position:absolute;left:0;text-align:left;margin-left:-88.05pt;margin-top:89.35pt;width:197.55pt;height:25.7pt;rotation:-90;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" fillcolor="white [3212]" stroked="f">
                <v:textbox>
                  <w:txbxContent>
                    <w:p w14:paraId="020447DD" w14:textId="77777777" w:rsidR="005248D4" w:rsidRDefault="005248D4" w:rsidP="00FF4A37">
                      <w:pPr>
                        <w:pStyle w:val="LPnavaden"/>
                      </w:pPr>
                      <w:r>
                        <w:t xml:space="preserve">   </w:t>
                      </w:r>
                      <w:proofErr w:type="spellStart"/>
                      <w:r>
                        <w:t>Specific</w:t>
                      </w:r>
                      <w:proofErr w:type="spellEnd"/>
                      <w:r>
                        <w:t xml:space="preserve"> </w:t>
                      </w:r>
                      <w:proofErr w:type="spellStart"/>
                      <w:r>
                        <w:t>activity</w:t>
                      </w:r>
                      <w:proofErr w:type="spellEnd"/>
                      <w:r>
                        <w:t xml:space="preserve"> </w:t>
                      </w:r>
                      <w:r>
                        <w:rPr>
                          <w:rStyle w:val="LPnadpisano"/>
                          <w:rFonts w:eastAsiaTheme="majorEastAsia"/>
                        </w:rPr>
                        <w:t>137</w:t>
                      </w:r>
                      <w:r>
                        <w:t>Cs (</w:t>
                      </w:r>
                      <w:proofErr w:type="spellStart"/>
                      <w:r>
                        <w:t>mBq</w:t>
                      </w:r>
                      <w:proofErr w:type="spellEnd"/>
                      <w:r>
                        <w:t>/m</w:t>
                      </w:r>
                      <w:r w:rsidRPr="005621B0">
                        <w:rPr>
                          <w:rStyle w:val="LPnadpisano"/>
                          <w:rFonts w:eastAsiaTheme="majorEastAsia"/>
                        </w:rPr>
                        <w:t>3</w:t>
                      </w:r>
                      <w:r>
                        <w:t>)</w:t>
                      </w:r>
                    </w:p>
                  </w:txbxContent>
                </v:textbox>
                <w10:wrap anchorx="margin"/>
              </v:shape>
            </w:pict>
          </mc:Fallback>
        </mc:AlternateContent>
      </w:r>
      <w:r w:rsidRPr="00CD2EEF">
        <w:rPr>
          <w:noProof/>
          <w:color w:val="FF0000"/>
          <w:lang w:val="en-GB"/>
        </w:rPr>
        <mc:AlternateContent>
          <mc:Choice Requires="wps">
            <w:drawing>
              <wp:anchor distT="45720" distB="45720" distL="114300" distR="114300" simplePos="0" relativeHeight="251682816" behindDoc="0" locked="0" layoutInCell="1" allowOverlap="1" wp14:anchorId="7F6D7088" wp14:editId="71D8BE3E">
                <wp:simplePos x="0" y="0"/>
                <wp:positionH relativeFrom="margin">
                  <wp:posOffset>2296338</wp:posOffset>
                </wp:positionH>
                <wp:positionV relativeFrom="paragraph">
                  <wp:posOffset>2314067</wp:posOffset>
                </wp:positionV>
                <wp:extent cx="1033374" cy="241401"/>
                <wp:effectExtent l="0" t="0" r="0" b="6350"/>
                <wp:wrapNone/>
                <wp:docPr id="28"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374" cy="241401"/>
                        </a:xfrm>
                        <a:prstGeom prst="rect">
                          <a:avLst/>
                        </a:prstGeom>
                        <a:solidFill>
                          <a:schemeClr val="bg1"/>
                        </a:solidFill>
                        <a:ln w="9525">
                          <a:noFill/>
                          <a:miter lim="800000"/>
                          <a:headEnd/>
                          <a:tailEnd/>
                        </a:ln>
                      </wps:spPr>
                      <wps:txbx>
                        <w:txbxContent>
                          <w:p w14:paraId="6F55A524" w14:textId="77777777" w:rsidR="005248D4" w:rsidRDefault="005248D4" w:rsidP="00105CE8">
                            <w:pPr>
                              <w:pStyle w:val="LPnavaden"/>
                              <w:jc w:val="center"/>
                            </w:pPr>
                            <w: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D7088" id="_x0000_s1034" type="#_x0000_t202" alt="&quot;&quot;" style="position:absolute;left:0;text-align:left;margin-left:180.8pt;margin-top:182.2pt;width:81.35pt;height:1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" fillcolor="white [3212]" stroked="f">
                <v:textbox>
                  <w:txbxContent>
                    <w:p w14:paraId="6F55A524" w14:textId="77777777" w:rsidR="005248D4" w:rsidRDefault="005248D4" w:rsidP="00105CE8">
                      <w:pPr>
                        <w:pStyle w:val="LPnavaden"/>
                        <w:jc w:val="center"/>
                      </w:pPr>
                      <w:r>
                        <w:t>Date</w:t>
                      </w:r>
                    </w:p>
                  </w:txbxContent>
                </v:textbox>
                <w10:wrap anchorx="margin"/>
              </v:shape>
            </w:pict>
          </mc:Fallback>
        </mc:AlternateContent>
      </w:r>
      <w:r w:rsidR="00B93605" w:rsidRPr="00CD2EEF">
        <w:rPr>
          <w:noProof/>
          <w:color w:val="FF0000"/>
          <w:lang w:val="en-GB"/>
        </w:rPr>
        <mc:AlternateContent>
          <mc:Choice Requires="wps">
            <w:drawing>
              <wp:anchor distT="45720" distB="45720" distL="114300" distR="114300" simplePos="0" relativeHeight="251685888" behindDoc="0" locked="0" layoutInCell="1" allowOverlap="1" wp14:anchorId="5D53DDBA" wp14:editId="79630F28">
                <wp:simplePos x="0" y="0"/>
                <wp:positionH relativeFrom="margin">
                  <wp:posOffset>3062053</wp:posOffset>
                </wp:positionH>
                <wp:positionV relativeFrom="paragraph">
                  <wp:posOffset>371392</wp:posOffset>
                </wp:positionV>
                <wp:extent cx="1862792" cy="173362"/>
                <wp:effectExtent l="0" t="0" r="4445" b="0"/>
                <wp:wrapNone/>
                <wp:docPr id="31"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792" cy="173362"/>
                        </a:xfrm>
                        <a:prstGeom prst="rect">
                          <a:avLst/>
                        </a:prstGeom>
                        <a:solidFill>
                          <a:schemeClr val="bg1"/>
                        </a:solidFill>
                        <a:ln w="9525">
                          <a:noFill/>
                          <a:miter lim="800000"/>
                          <a:headEnd/>
                          <a:tailEnd/>
                        </a:ln>
                      </wps:spPr>
                      <wps:txbx>
                        <w:txbxContent>
                          <w:p w14:paraId="3223B133" w14:textId="32074BAC" w:rsidR="005248D4" w:rsidRDefault="005248D4" w:rsidP="00105CE8">
                            <w:pPr>
                              <w:pStyle w:val="LPnavaden"/>
                              <w:rPr>
                                <w:sz w:val="22"/>
                                <w:szCs w:val="22"/>
                              </w:rPr>
                            </w:pPr>
                            <w:r>
                              <w:rPr>
                                <w:sz w:val="22"/>
                                <w:szCs w:val="22"/>
                              </w:rPr>
                              <w:t>3</w:t>
                            </w:r>
                            <w:r w:rsidR="00A5765B">
                              <w:rPr>
                                <w:sz w:val="22"/>
                                <w:szCs w:val="22"/>
                              </w:rPr>
                              <w:t>-</w:t>
                            </w:r>
                            <w:r>
                              <w:rPr>
                                <w:sz w:val="22"/>
                                <w:szCs w:val="22"/>
                              </w:rPr>
                              <w:t>month moving average</w:t>
                            </w:r>
                          </w:p>
                          <w:p w14:paraId="1E51B68A" w14:textId="77777777" w:rsidR="005248D4" w:rsidRPr="00FF4A37" w:rsidRDefault="005248D4" w:rsidP="00105CE8">
                            <w:pPr>
                              <w:pStyle w:val="LPnavaden"/>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3DDBA" id="_x0000_s1035" type="#_x0000_t202" alt="&quot;&quot;" style="position:absolute;left:0;text-align:left;margin-left:241.1pt;margin-top:29.25pt;width:146.7pt;height:13.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" fillcolor="white [3212]" stroked="f">
                <v:textbox inset="0,0,0,0">
                  <w:txbxContent>
                    <w:p w14:paraId="3223B133" w14:textId="32074BAC" w:rsidR="005248D4" w:rsidRDefault="005248D4" w:rsidP="00105CE8">
                      <w:pPr>
                        <w:pStyle w:val="LPnavaden"/>
                        <w:rPr>
                          <w:sz w:val="22"/>
                          <w:szCs w:val="22"/>
                        </w:rPr>
                      </w:pPr>
                      <w:r>
                        <w:rPr>
                          <w:sz w:val="22"/>
                          <w:szCs w:val="22"/>
                        </w:rPr>
                        <w:t>3</w:t>
                      </w:r>
                      <w:r w:rsidR="00A5765B">
                        <w:rPr>
                          <w:sz w:val="22"/>
                          <w:szCs w:val="22"/>
                        </w:rPr>
                        <w:t>-</w:t>
                      </w:r>
                      <w:r>
                        <w:rPr>
                          <w:sz w:val="22"/>
                          <w:szCs w:val="22"/>
                        </w:rPr>
                        <w:t xml:space="preserve">month </w:t>
                      </w:r>
                      <w:proofErr w:type="spellStart"/>
                      <w:r>
                        <w:rPr>
                          <w:sz w:val="22"/>
                          <w:szCs w:val="22"/>
                        </w:rPr>
                        <w:t>moving</w:t>
                      </w:r>
                      <w:proofErr w:type="spellEnd"/>
                      <w:r>
                        <w:rPr>
                          <w:sz w:val="22"/>
                          <w:szCs w:val="22"/>
                        </w:rPr>
                        <w:t xml:space="preserve"> </w:t>
                      </w:r>
                      <w:proofErr w:type="spellStart"/>
                      <w:r>
                        <w:rPr>
                          <w:sz w:val="22"/>
                          <w:szCs w:val="22"/>
                        </w:rPr>
                        <w:t>average</w:t>
                      </w:r>
                      <w:proofErr w:type="spellEnd"/>
                    </w:p>
                    <w:p w14:paraId="1E51B68A" w14:textId="77777777" w:rsidR="005248D4" w:rsidRPr="00FF4A37" w:rsidRDefault="005248D4" w:rsidP="00105CE8">
                      <w:pPr>
                        <w:pStyle w:val="LPnavaden"/>
                        <w:rPr>
                          <w:sz w:val="22"/>
                          <w:szCs w:val="22"/>
                        </w:rPr>
                      </w:pPr>
                    </w:p>
                  </w:txbxContent>
                </v:textbox>
                <w10:wrap anchorx="margin"/>
              </v:shape>
            </w:pict>
          </mc:Fallback>
        </mc:AlternateContent>
      </w:r>
      <w:r w:rsidR="00B93605" w:rsidRPr="00CD2EEF">
        <w:rPr>
          <w:noProof/>
          <w:color w:val="FF0000"/>
          <w:lang w:val="en-GB"/>
        </w:rPr>
        <mc:AlternateContent>
          <mc:Choice Requires="wps">
            <w:drawing>
              <wp:anchor distT="45720" distB="45720" distL="114300" distR="114300" simplePos="0" relativeHeight="251684864" behindDoc="0" locked="0" layoutInCell="1" allowOverlap="1" wp14:anchorId="512DD787" wp14:editId="1B3D4AAC">
                <wp:simplePos x="0" y="0"/>
                <wp:positionH relativeFrom="margin">
                  <wp:posOffset>3059845</wp:posOffset>
                </wp:positionH>
                <wp:positionV relativeFrom="paragraph">
                  <wp:posOffset>197678</wp:posOffset>
                </wp:positionV>
                <wp:extent cx="1937385" cy="169963"/>
                <wp:effectExtent l="0" t="0" r="5715" b="1905"/>
                <wp:wrapNone/>
                <wp:docPr id="30"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69963"/>
                        </a:xfrm>
                        <a:prstGeom prst="rect">
                          <a:avLst/>
                        </a:prstGeom>
                        <a:solidFill>
                          <a:schemeClr val="bg1"/>
                        </a:solidFill>
                        <a:ln w="9525">
                          <a:noFill/>
                          <a:miter lim="800000"/>
                          <a:headEnd/>
                          <a:tailEnd/>
                        </a:ln>
                      </wps:spPr>
                      <wps:txbx>
                        <w:txbxContent>
                          <w:p w14:paraId="6886BFEC" w14:textId="77777777" w:rsidR="005248D4" w:rsidRDefault="005248D4" w:rsidP="00105CE8">
                            <w:pPr>
                              <w:pStyle w:val="LPnavaden"/>
                              <w:rPr>
                                <w:sz w:val="22"/>
                                <w:szCs w:val="22"/>
                              </w:rPr>
                            </w:pPr>
                            <w:r>
                              <w:rPr>
                                <w:sz w:val="22"/>
                                <w:szCs w:val="22"/>
                              </w:rPr>
                              <w:t>Average monthly concentration</w:t>
                            </w:r>
                          </w:p>
                          <w:p w14:paraId="147DB76C" w14:textId="77777777" w:rsidR="005248D4" w:rsidRPr="00FF4A37" w:rsidRDefault="005248D4" w:rsidP="00FF4A37">
                            <w:pPr>
                              <w:pStyle w:val="LPnavaden"/>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DD787" id="_x0000_s1036" type="#_x0000_t202" alt="&quot;&quot;" style="position:absolute;left:0;text-align:left;margin-left:240.95pt;margin-top:15.55pt;width:152.55pt;height:13.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" fillcolor="white [3212]" stroked="f">
                <v:textbox inset="0,0,0,0">
                  <w:txbxContent>
                    <w:p w14:paraId="6886BFEC" w14:textId="77777777" w:rsidR="005248D4" w:rsidRDefault="005248D4" w:rsidP="00105CE8">
                      <w:pPr>
                        <w:pStyle w:val="LPnavaden"/>
                        <w:rPr>
                          <w:sz w:val="22"/>
                          <w:szCs w:val="22"/>
                        </w:rPr>
                      </w:pPr>
                      <w:proofErr w:type="spellStart"/>
                      <w:r>
                        <w:rPr>
                          <w:sz w:val="22"/>
                          <w:szCs w:val="22"/>
                        </w:rPr>
                        <w:t>Average</w:t>
                      </w:r>
                      <w:proofErr w:type="spellEnd"/>
                      <w:r>
                        <w:rPr>
                          <w:sz w:val="22"/>
                          <w:szCs w:val="22"/>
                        </w:rPr>
                        <w:t xml:space="preserve"> </w:t>
                      </w:r>
                      <w:proofErr w:type="spellStart"/>
                      <w:r>
                        <w:rPr>
                          <w:sz w:val="22"/>
                          <w:szCs w:val="22"/>
                        </w:rPr>
                        <w:t>monthly</w:t>
                      </w:r>
                      <w:proofErr w:type="spellEnd"/>
                      <w:r>
                        <w:rPr>
                          <w:sz w:val="22"/>
                          <w:szCs w:val="22"/>
                        </w:rPr>
                        <w:t xml:space="preserve"> </w:t>
                      </w:r>
                      <w:proofErr w:type="spellStart"/>
                      <w:r>
                        <w:rPr>
                          <w:sz w:val="22"/>
                          <w:szCs w:val="22"/>
                        </w:rPr>
                        <w:t>concentration</w:t>
                      </w:r>
                      <w:proofErr w:type="spellEnd"/>
                    </w:p>
                    <w:p w14:paraId="147DB76C" w14:textId="77777777" w:rsidR="005248D4" w:rsidRPr="00FF4A37" w:rsidRDefault="005248D4" w:rsidP="00FF4A37">
                      <w:pPr>
                        <w:pStyle w:val="LPnavaden"/>
                        <w:rPr>
                          <w:sz w:val="22"/>
                          <w:szCs w:val="22"/>
                        </w:rPr>
                      </w:pPr>
                    </w:p>
                  </w:txbxContent>
                </v:textbox>
                <w10:wrap anchorx="margin"/>
              </v:shape>
            </w:pict>
          </mc:Fallback>
        </mc:AlternateContent>
      </w:r>
      <w:r w:rsidR="005248D4" w:rsidRPr="00CD2EEF">
        <w:rPr>
          <w:noProof/>
          <w:color w:val="FF0000"/>
          <w:lang w:val="en-GB"/>
        </w:rPr>
        <mc:AlternateContent>
          <mc:Choice Requires="wps">
            <w:drawing>
              <wp:anchor distT="0" distB="0" distL="114300" distR="114300" simplePos="0" relativeHeight="251683840" behindDoc="0" locked="0" layoutInCell="1" allowOverlap="1" wp14:anchorId="1CF6F2ED" wp14:editId="57A6BF5A">
                <wp:simplePos x="0" y="0"/>
                <wp:positionH relativeFrom="column">
                  <wp:posOffset>3769733</wp:posOffset>
                </wp:positionH>
                <wp:positionV relativeFrom="paragraph">
                  <wp:posOffset>840105</wp:posOffset>
                </wp:positionV>
                <wp:extent cx="112175" cy="1018762"/>
                <wp:effectExtent l="0" t="0" r="2540" b="0"/>
                <wp:wrapNone/>
                <wp:docPr id="32" name="Polje z besedilom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175" cy="1018762"/>
                        </a:xfrm>
                        <a:prstGeom prst="rect">
                          <a:avLst/>
                        </a:prstGeom>
                        <a:solidFill>
                          <a:schemeClr val="lt1"/>
                        </a:solidFill>
                        <a:ln w="6350">
                          <a:noFill/>
                        </a:ln>
                      </wps:spPr>
                      <wps:txbx>
                        <w:txbxContent>
                          <w:p w14:paraId="57DCA213" w14:textId="77777777" w:rsidR="005248D4" w:rsidRPr="00B65444" w:rsidRDefault="005248D4" w:rsidP="00FF4A37">
                            <w:pPr>
                              <w:rPr>
                                <w:rFonts w:ascii="Garamond" w:hAnsi="Garamond"/>
                                <w:color w:val="92D050"/>
                                <w:sz w:val="16"/>
                                <w:szCs w:val="16"/>
                                <w:lang w:val="en-US"/>
                              </w:rPr>
                            </w:pPr>
                            <w:r>
                              <w:rPr>
                                <w:rFonts w:ascii="Garamond" w:hAnsi="Garamond"/>
                                <w:color w:val="92D050"/>
                                <w:sz w:val="16"/>
                                <w:szCs w:val="16"/>
                                <w:lang w:val="en-US"/>
                              </w:rPr>
                              <w:t>Forest fire,</w:t>
                            </w:r>
                            <w:r w:rsidRPr="00B65444">
                              <w:rPr>
                                <w:rFonts w:ascii="Garamond" w:hAnsi="Garamond"/>
                                <w:color w:val="92D050"/>
                                <w:sz w:val="16"/>
                                <w:szCs w:val="16"/>
                                <w:lang w:val="en-US"/>
                              </w:rPr>
                              <w:t xml:space="preserve"> Chernoby</w:t>
                            </w:r>
                            <w:r>
                              <w:rPr>
                                <w:rFonts w:ascii="Garamond" w:hAnsi="Garamond"/>
                                <w:color w:val="92D050"/>
                                <w:sz w:val="16"/>
                                <w:szCs w:val="16"/>
                                <w:lang w:val="en-US"/>
                              </w:rPr>
                              <w:t>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F2ED" id="Polje z besedilom 32" o:spid="_x0000_s1037" type="#_x0000_t202" alt="&quot;&quot;" style="position:absolute;left:0;text-align:left;margin-left:296.85pt;margin-top:66.15pt;width:8.85pt;height:8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" fillcolor="white [3201]" stroked="f" strokeweight=".5pt">
                <v:textbox style="layout-flow:vertical;mso-layout-flow-alt:bottom-to-top" inset="0,0,0,0">
                  <w:txbxContent>
                    <w:p w14:paraId="57DCA213" w14:textId="77777777" w:rsidR="005248D4" w:rsidRPr="00B65444" w:rsidRDefault="005248D4" w:rsidP="00FF4A37">
                      <w:pPr>
                        <w:rPr>
                          <w:rFonts w:ascii="Garamond" w:hAnsi="Garamond"/>
                          <w:color w:val="92D050"/>
                          <w:sz w:val="16"/>
                          <w:szCs w:val="16"/>
                          <w:lang w:val="en-US"/>
                        </w:rPr>
                      </w:pPr>
                      <w:r>
                        <w:rPr>
                          <w:rFonts w:ascii="Garamond" w:hAnsi="Garamond"/>
                          <w:color w:val="92D050"/>
                          <w:sz w:val="16"/>
                          <w:szCs w:val="16"/>
                          <w:lang w:val="en-US"/>
                        </w:rPr>
                        <w:t>Forest fire,</w:t>
                      </w:r>
                      <w:r w:rsidRPr="00B65444">
                        <w:rPr>
                          <w:rFonts w:ascii="Garamond" w:hAnsi="Garamond"/>
                          <w:color w:val="92D050"/>
                          <w:sz w:val="16"/>
                          <w:szCs w:val="16"/>
                          <w:lang w:val="en-US"/>
                        </w:rPr>
                        <w:t xml:space="preserve"> Chernoby</w:t>
                      </w:r>
                      <w:r>
                        <w:rPr>
                          <w:rFonts w:ascii="Garamond" w:hAnsi="Garamond"/>
                          <w:color w:val="92D050"/>
                          <w:sz w:val="16"/>
                          <w:szCs w:val="16"/>
                          <w:lang w:val="en-US"/>
                        </w:rPr>
                        <w:t>l</w:t>
                      </w:r>
                    </w:p>
                  </w:txbxContent>
                </v:textbox>
              </v:shape>
            </w:pict>
          </mc:Fallback>
        </mc:AlternateContent>
      </w:r>
      <w:r w:rsidR="005248D4" w:rsidRPr="00CD2EEF">
        <w:rPr>
          <w:noProof/>
          <w:color w:val="FF0000"/>
          <w:lang w:val="en-GB"/>
        </w:rPr>
        <w:drawing>
          <wp:inline distT="0" distB="0" distL="0" distR="0" wp14:anchorId="59048126" wp14:editId="44F046C8">
            <wp:extent cx="5240583" cy="2472538"/>
            <wp:effectExtent l="0" t="0" r="0" b="4445"/>
            <wp:docPr id="48" name="Slika 48" descr="graphical introduction of seasonal 137Cs concentrations in Ljubljana sin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graphical introduction of seasonal 137Cs concentrations in Ljubljana since 2016"/>
                    <pic:cNvPicPr/>
                  </pic:nvPicPr>
                  <pic:blipFill>
                    <a:blip r:embed="rId50"/>
                    <a:stretch>
                      <a:fillRect/>
                    </a:stretch>
                  </pic:blipFill>
                  <pic:spPr>
                    <a:xfrm>
                      <a:off x="0" y="0"/>
                      <a:ext cx="5283838" cy="2492946"/>
                    </a:xfrm>
                    <a:prstGeom prst="rect">
                      <a:avLst/>
                    </a:prstGeom>
                  </pic:spPr>
                </pic:pic>
              </a:graphicData>
            </a:graphic>
          </wp:inline>
        </w:drawing>
      </w:r>
    </w:p>
    <w:p w14:paraId="7D9101A8" w14:textId="1BCAC1DC" w:rsidR="005248D4" w:rsidRPr="00CD2EEF" w:rsidRDefault="00EB44B3" w:rsidP="00EB44B3">
      <w:pPr>
        <w:pStyle w:val="LPnaslovslika"/>
        <w:rPr>
          <w:lang w:val="en-GB"/>
        </w:rPr>
      </w:pPr>
      <w:bookmarkStart w:id="161" w:name="_Toc126309900"/>
      <w:bookmarkEnd w:id="160"/>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21</w:t>
      </w:r>
      <w:r w:rsidR="00366B6D" w:rsidRPr="00CD2EEF">
        <w:rPr>
          <w:lang w:val="en-GB"/>
        </w:rPr>
        <w:fldChar w:fldCharType="end"/>
      </w:r>
      <w:r w:rsidR="005248D4" w:rsidRPr="00CD2EEF">
        <w:rPr>
          <w:lang w:val="en-GB"/>
        </w:rPr>
        <w:t xml:space="preserve">: Seasonal variations of </w:t>
      </w:r>
      <w:r w:rsidR="005248D4" w:rsidRPr="00CD2EEF">
        <w:rPr>
          <w:vertAlign w:val="superscript"/>
          <w:lang w:val="en-GB"/>
        </w:rPr>
        <w:t>137</w:t>
      </w:r>
      <w:r w:rsidR="005248D4" w:rsidRPr="00CD2EEF">
        <w:rPr>
          <w:lang w:val="en-GB"/>
        </w:rPr>
        <w:t>Cs concentrations in the air</w:t>
      </w:r>
      <w:r w:rsidR="005248D4" w:rsidRPr="00CD2EEF" w:rsidDel="003D27D7">
        <w:rPr>
          <w:lang w:val="en-GB"/>
        </w:rPr>
        <w:t xml:space="preserve"> </w:t>
      </w:r>
      <w:r w:rsidR="005248D4" w:rsidRPr="00CD2EEF">
        <w:rPr>
          <w:lang w:val="en-GB"/>
        </w:rPr>
        <w:t>in Ljubljana</w:t>
      </w:r>
      <w:bookmarkEnd w:id="161"/>
    </w:p>
    <w:p w14:paraId="3EF99207" w14:textId="70E61F9B" w:rsidR="005248D4" w:rsidRPr="00CD2EEF" w:rsidRDefault="005248D4" w:rsidP="00FF0400">
      <w:pPr>
        <w:spacing w:after="120"/>
        <w:jc w:val="both"/>
        <w:rPr>
          <w:rFonts w:ascii="Garamond" w:hAnsi="Garamond"/>
          <w:szCs w:val="20"/>
          <w:lang w:val="en-GB"/>
        </w:rPr>
      </w:pPr>
      <w:r w:rsidRPr="00CD2EEF">
        <w:rPr>
          <w:rFonts w:ascii="Garamond" w:hAnsi="Garamond"/>
          <w:szCs w:val="20"/>
          <w:lang w:val="en-GB"/>
        </w:rPr>
        <w:lastRenderedPageBreak/>
        <w:t xml:space="preserve">The measurements of all environmental media were, within </w:t>
      </w:r>
      <w:r w:rsidR="00FD40E3" w:rsidRPr="008F46F9">
        <w:rPr>
          <w:rFonts w:ascii="Garamond" w:hAnsi="Garamond"/>
          <w:szCs w:val="20"/>
          <w:lang w:val="en-GB"/>
        </w:rPr>
        <w:t xml:space="preserve">statistical </w:t>
      </w:r>
      <w:r w:rsidRPr="008F46F9">
        <w:rPr>
          <w:rFonts w:ascii="Garamond" w:hAnsi="Garamond"/>
          <w:szCs w:val="20"/>
          <w:lang w:val="en-GB"/>
        </w:rPr>
        <w:t>variations, comparable</w:t>
      </w:r>
      <w:r w:rsidRPr="00CD2EEF">
        <w:rPr>
          <w:rFonts w:ascii="Garamond" w:hAnsi="Garamond"/>
          <w:szCs w:val="20"/>
          <w:lang w:val="en-GB"/>
        </w:rPr>
        <w:t xml:space="preserve"> to</w:t>
      </w:r>
      <w:r w:rsidR="00113F98">
        <w:rPr>
          <w:rFonts w:ascii="Garamond" w:hAnsi="Garamond"/>
          <w:szCs w:val="20"/>
          <w:lang w:val="en-GB"/>
        </w:rPr>
        <w:t xml:space="preserve"> the</w:t>
      </w:r>
      <w:r w:rsidRPr="00CD2EEF">
        <w:rPr>
          <w:rFonts w:ascii="Garamond" w:hAnsi="Garamond"/>
          <w:szCs w:val="20"/>
          <w:lang w:val="en-GB"/>
        </w:rPr>
        <w:t xml:space="preserve"> values from previous years. </w:t>
      </w:r>
    </w:p>
    <w:p w14:paraId="0763E419" w14:textId="475763CF" w:rsidR="005248D4" w:rsidRPr="00CD2EEF" w:rsidRDefault="005248D4" w:rsidP="00FF0400">
      <w:pPr>
        <w:spacing w:after="120"/>
        <w:jc w:val="both"/>
        <w:rPr>
          <w:rFonts w:ascii="Garamond" w:hAnsi="Garamond"/>
          <w:szCs w:val="20"/>
          <w:lang w:val="en-GB"/>
        </w:rPr>
      </w:pPr>
      <w:r w:rsidRPr="00CD2EEF">
        <w:rPr>
          <w:rFonts w:ascii="Garamond" w:hAnsi="Garamond"/>
          <w:szCs w:val="20"/>
          <w:lang w:val="en-GB"/>
        </w:rPr>
        <w:t xml:space="preserve">The largest contribution to the radiation exposure of the population due to the contamination of the environment with artificial radionuclides comes from external radiation and food. The received dose due to the inhalation of air particles with fission radionuclides is negligible. </w:t>
      </w:r>
      <w:r w:rsidRPr="00CD2EEF">
        <w:rPr>
          <w:rFonts w:ascii="Garamond" w:hAnsi="Garamond"/>
          <w:szCs w:val="20"/>
          <w:vertAlign w:val="superscript"/>
          <w:lang w:val="en-GB"/>
        </w:rPr>
        <w:t>90</w:t>
      </w:r>
      <w:r w:rsidRPr="00CD2EEF">
        <w:rPr>
          <w:rFonts w:ascii="Garamond" w:hAnsi="Garamond"/>
          <w:szCs w:val="20"/>
          <w:lang w:val="en-GB"/>
        </w:rPr>
        <w:t xml:space="preserve">Sr contributes the largest part of the dose in food, while </w:t>
      </w:r>
      <w:r w:rsidRPr="00CD2EEF">
        <w:rPr>
          <w:rFonts w:ascii="Garamond" w:hAnsi="Garamond"/>
          <w:szCs w:val="20"/>
          <w:vertAlign w:val="superscript"/>
          <w:lang w:val="en-GB"/>
        </w:rPr>
        <w:t>137</w:t>
      </w:r>
      <w:r w:rsidRPr="00CD2EEF">
        <w:rPr>
          <w:rFonts w:ascii="Garamond" w:hAnsi="Garamond"/>
          <w:szCs w:val="20"/>
          <w:lang w:val="en-GB"/>
        </w:rPr>
        <w:t xml:space="preserve">Cs contributes the most to external radiation. The effective dose of external radiation due to </w:t>
      </w:r>
      <w:r w:rsidRPr="00CD2EEF">
        <w:rPr>
          <w:rFonts w:ascii="Garamond" w:hAnsi="Garamond"/>
          <w:szCs w:val="20"/>
          <w:vertAlign w:val="superscript"/>
          <w:lang w:val="en-GB"/>
        </w:rPr>
        <w:t>137</w:t>
      </w:r>
      <w:r w:rsidRPr="00CD2EEF">
        <w:rPr>
          <w:rFonts w:ascii="Garamond" w:hAnsi="Garamond"/>
          <w:szCs w:val="20"/>
          <w:lang w:val="en-GB"/>
        </w:rPr>
        <w:t>Cs (mostly from the Chernobyl accident) was estimated to be 2.4 ± 0.2 μSv in 2021, which is 0.1% of the dose received by the average resident of Slovenia from external radiation due to the natural background.</w:t>
      </w:r>
    </w:p>
    <w:p w14:paraId="1E32467C" w14:textId="7E9CE89E" w:rsidR="005248D4" w:rsidRPr="00CD2EEF" w:rsidRDefault="005248D4" w:rsidP="00FF0400">
      <w:pPr>
        <w:spacing w:after="120"/>
        <w:jc w:val="both"/>
        <w:rPr>
          <w:rFonts w:ascii="Garamond" w:hAnsi="Garamond"/>
          <w:szCs w:val="20"/>
          <w:lang w:val="en-GB"/>
        </w:rPr>
      </w:pPr>
      <w:r w:rsidRPr="00CD2EEF">
        <w:rPr>
          <w:rFonts w:ascii="Garamond" w:hAnsi="Garamond"/>
          <w:szCs w:val="20"/>
          <w:lang w:val="en-GB"/>
        </w:rPr>
        <w:t xml:space="preserve">In 2019, nutrition data were updated, where differences are noticeable, especially with smaller amounts of certain types of consumed food. Therefore, for the second consecutive year, within the statistical deviations of food selection and sampling, the dose due to ingestion (the ingestion of food and beverages) is expected to be lower and is estimated </w:t>
      </w:r>
      <w:r w:rsidR="005949C7">
        <w:rPr>
          <w:rFonts w:ascii="Garamond" w:hAnsi="Garamond"/>
          <w:szCs w:val="20"/>
          <w:lang w:val="en-GB"/>
        </w:rPr>
        <w:t>to be</w:t>
      </w:r>
      <w:r w:rsidR="005949C7" w:rsidRPr="00CD2EEF">
        <w:rPr>
          <w:rFonts w:ascii="Garamond" w:hAnsi="Garamond"/>
          <w:szCs w:val="20"/>
          <w:lang w:val="en-GB"/>
        </w:rPr>
        <w:t xml:space="preserve"> </w:t>
      </w:r>
      <w:r w:rsidRPr="00CD2EEF">
        <w:rPr>
          <w:rFonts w:ascii="Garamond" w:hAnsi="Garamond"/>
          <w:szCs w:val="20"/>
          <w:lang w:val="en-GB"/>
        </w:rPr>
        <w:t xml:space="preserve">0.9 ± 0.5 µSv. However, if individual types of food are analysed, the largest part of the effective dose for adults is contributed by the ingestion of radionuclides through the consumption of vegetables and meat, and for infants by the </w:t>
      </w:r>
      <w:r w:rsidRPr="00CD2EEF">
        <w:rPr>
          <w:rFonts w:ascii="Garamond" w:hAnsi="Garamond"/>
          <w:noProof/>
          <w:szCs w:val="20"/>
          <w:lang w:val="en-GB"/>
        </w:rPr>
        <mc:AlternateContent>
          <mc:Choice Requires="wps">
            <w:drawing>
              <wp:anchor distT="45720" distB="45720" distL="114300" distR="114300" simplePos="0" relativeHeight="251666432" behindDoc="0" locked="0" layoutInCell="1" allowOverlap="1" wp14:anchorId="28A64F7A" wp14:editId="2AECD71F">
                <wp:simplePos x="0" y="0"/>
                <wp:positionH relativeFrom="margin">
                  <wp:posOffset>-20955</wp:posOffset>
                </wp:positionH>
                <wp:positionV relativeFrom="paragraph">
                  <wp:posOffset>-66095245</wp:posOffset>
                </wp:positionV>
                <wp:extent cx="640080" cy="266065"/>
                <wp:effectExtent l="0" t="0" r="7620" b="635"/>
                <wp:wrapNone/>
                <wp:docPr id="34"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66065"/>
                        </a:xfrm>
                        <a:prstGeom prst="rect">
                          <a:avLst/>
                        </a:prstGeom>
                        <a:solidFill>
                          <a:schemeClr val="bg1"/>
                        </a:solidFill>
                        <a:ln w="9525">
                          <a:noFill/>
                          <a:miter lim="800000"/>
                          <a:headEnd/>
                          <a:tailEnd/>
                        </a:ln>
                      </wps:spPr>
                      <wps:txbx>
                        <w:txbxContent>
                          <w:p w14:paraId="7E59997C" w14:textId="77777777" w:rsidR="005248D4" w:rsidRDefault="005248D4" w:rsidP="00DA62B5">
                            <w:pPr>
                              <w:pStyle w:val="LPnavaden"/>
                            </w:pPr>
                            <w:r>
                              <w:t>Leto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64F7A" id="_x0000_s1038" type="#_x0000_t202" alt="&quot;&quot;" style="position:absolute;left:0;text-align:left;margin-left:-1.65pt;margin-top:-5204.35pt;width:50.4pt;height:20.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" fillcolor="white [3212]" stroked="f">
                <v:textbox>
                  <w:txbxContent>
                    <w:p w14:paraId="7E59997C" w14:textId="77777777" w:rsidR="005248D4" w:rsidRDefault="005248D4" w:rsidP="00DA62B5">
                      <w:pPr>
                        <w:pStyle w:val="LPnavaden"/>
                      </w:pPr>
                      <w:r>
                        <w:t>Leto</w:t>
                      </w:r>
                    </w:p>
                  </w:txbxContent>
                </v:textbox>
                <w10:wrap anchorx="margin"/>
              </v:shape>
            </w:pict>
          </mc:Fallback>
        </mc:AlternateContent>
      </w:r>
      <w:r w:rsidRPr="00CD2EEF">
        <w:rPr>
          <w:rFonts w:ascii="Garamond" w:hAnsi="Garamond"/>
          <w:szCs w:val="20"/>
          <w:lang w:val="en-GB"/>
        </w:rPr>
        <w:t xml:space="preserve">ingestion of milk and vegetables. </w:t>
      </w:r>
    </w:p>
    <w:p w14:paraId="09C6CDC1" w14:textId="40AA91C3" w:rsidR="005248D4" w:rsidRPr="00CD2EEF" w:rsidRDefault="005248D4" w:rsidP="00FF0400">
      <w:pPr>
        <w:spacing w:after="120"/>
        <w:jc w:val="both"/>
        <w:rPr>
          <w:rFonts w:ascii="Garamond" w:hAnsi="Garamond"/>
          <w:szCs w:val="20"/>
          <w:lang w:val="en-GB"/>
        </w:rPr>
      </w:pPr>
      <w:r w:rsidRPr="00CD2EEF">
        <w:rPr>
          <w:rFonts w:ascii="Garamond" w:hAnsi="Garamond"/>
          <w:szCs w:val="20"/>
          <w:lang w:val="en-GB"/>
        </w:rPr>
        <w:t xml:space="preserve">Due to the low concentrations of </w:t>
      </w:r>
      <w:r w:rsidRPr="00CD2EEF">
        <w:rPr>
          <w:rFonts w:ascii="Garamond" w:hAnsi="Garamond"/>
          <w:szCs w:val="20"/>
          <w:vertAlign w:val="superscript"/>
          <w:lang w:val="en-GB"/>
        </w:rPr>
        <w:t>137</w:t>
      </w:r>
      <w:r w:rsidRPr="00CD2EEF">
        <w:rPr>
          <w:rFonts w:ascii="Garamond" w:hAnsi="Garamond"/>
          <w:szCs w:val="20"/>
          <w:lang w:val="en-GB"/>
        </w:rPr>
        <w:t xml:space="preserve">Cs and </w:t>
      </w:r>
      <w:r w:rsidRPr="00CD2EEF">
        <w:rPr>
          <w:rFonts w:ascii="Garamond" w:hAnsi="Garamond"/>
          <w:szCs w:val="20"/>
          <w:vertAlign w:val="superscript"/>
          <w:lang w:val="en-GB"/>
        </w:rPr>
        <w:t>90</w:t>
      </w:r>
      <w:r w:rsidRPr="00CD2EEF">
        <w:rPr>
          <w:rFonts w:ascii="Garamond" w:hAnsi="Garamond"/>
          <w:szCs w:val="20"/>
          <w:lang w:val="en-GB"/>
        </w:rPr>
        <w:t xml:space="preserve">Sr in the air, the estimated annual contribution of both long-lived fission radionuclides to the inhalation dose is negligible compared to radiation exposure from other transmission pathways and is </w:t>
      </w:r>
      <w:r w:rsidR="008944D0">
        <w:rPr>
          <w:rFonts w:ascii="Garamond" w:hAnsi="Garamond"/>
          <w:szCs w:val="20"/>
          <w:lang w:val="en-GB"/>
        </w:rPr>
        <w:t>approximately</w:t>
      </w:r>
      <w:r w:rsidR="008944D0" w:rsidRPr="00CD2EEF">
        <w:rPr>
          <w:rFonts w:ascii="Garamond" w:hAnsi="Garamond"/>
          <w:szCs w:val="20"/>
          <w:lang w:val="en-GB"/>
        </w:rPr>
        <w:t xml:space="preserve"> </w:t>
      </w:r>
      <w:r w:rsidRPr="00CD2EEF">
        <w:rPr>
          <w:rFonts w:ascii="Garamond" w:hAnsi="Garamond"/>
          <w:szCs w:val="20"/>
          <w:lang w:val="en-GB"/>
        </w:rPr>
        <w:t>0.1 nSv for both radionuclides together, which is similar to that in previous years.</w:t>
      </w:r>
    </w:p>
    <w:p w14:paraId="2AD01C43" w14:textId="77777777" w:rsidR="005248D4" w:rsidRPr="00CD2EEF" w:rsidRDefault="005248D4" w:rsidP="00FF0400">
      <w:pPr>
        <w:spacing w:after="120"/>
        <w:jc w:val="both"/>
        <w:rPr>
          <w:rFonts w:ascii="Garamond" w:hAnsi="Garamond"/>
          <w:szCs w:val="20"/>
          <w:lang w:val="en-GB"/>
        </w:rPr>
      </w:pPr>
      <w:r w:rsidRPr="00CD2EEF">
        <w:rPr>
          <w:rFonts w:ascii="Garamond" w:hAnsi="Garamond"/>
          <w:szCs w:val="20"/>
          <w:lang w:val="en-GB"/>
        </w:rPr>
        <w:t>The dose from drinking water due to the artificial radionuclides it contains is also assessed each year. Calculations show that it averages approximately 0.03 µSv per year. The annual limit value of 0.1 mSv due to natural and artificial radionuclides in drinking water from local water supplies was not exceeded in any of the examined cases.</w:t>
      </w:r>
    </w:p>
    <w:p w14:paraId="0CD90432" w14:textId="6AA6ABD2" w:rsidR="005248D4" w:rsidRPr="00CD2EEF" w:rsidRDefault="005248D4" w:rsidP="005C296D">
      <w:pPr>
        <w:spacing w:after="120"/>
        <w:jc w:val="both"/>
        <w:rPr>
          <w:rFonts w:ascii="Garamond" w:hAnsi="Garamond"/>
          <w:szCs w:val="20"/>
          <w:lang w:val="en-GB"/>
        </w:rPr>
      </w:pPr>
      <w:r w:rsidRPr="00CD2EEF">
        <w:rPr>
          <w:rFonts w:ascii="Garamond" w:hAnsi="Garamond"/>
          <w:szCs w:val="20"/>
          <w:lang w:val="en-GB"/>
        </w:rPr>
        <w:t xml:space="preserve">In 2021, the total effective dose of an adult in the central part of Slovenia arising from the global contamination of the environment with artificial radionuclides (external radiation) was estimated to be 3.4 µSv, as shown in </w:t>
      </w:r>
      <w:hyperlink w:anchor="t05" w:history="1">
        <w:r w:rsidRPr="00CD2EEF">
          <w:rPr>
            <w:rStyle w:val="Hiperpovezava"/>
            <w:rFonts w:ascii="Garamond" w:hAnsi="Garamond"/>
            <w:szCs w:val="20"/>
            <w:lang w:val="en-GB"/>
          </w:rPr>
          <w:t>Table 5</w:t>
        </w:r>
      </w:hyperlink>
      <w:r w:rsidRPr="00CD2EEF">
        <w:rPr>
          <w:rFonts w:ascii="Garamond" w:hAnsi="Garamond"/>
          <w:szCs w:val="20"/>
          <w:lang w:val="en-GB"/>
        </w:rPr>
        <w:t>. This value represents less than 1</w:t>
      </w:r>
      <w:r w:rsidR="00E30262">
        <w:rPr>
          <w:rFonts w:ascii="Garamond" w:hAnsi="Garamond"/>
          <w:szCs w:val="20"/>
          <w:lang w:val="en-GB"/>
        </w:rPr>
        <w:t>%</w:t>
      </w:r>
      <w:r w:rsidRPr="00CD2EEF">
        <w:rPr>
          <w:rFonts w:ascii="Garamond" w:hAnsi="Garamond"/>
          <w:szCs w:val="20"/>
          <w:lang w:val="en-GB"/>
        </w:rPr>
        <w:t xml:space="preserve"> of the annual limit dose for the long-term exposure to ionising radiation of an individual in the population. The annual effective dose for an adult in 2021 was lower than in previous years, mainly due to a reduction in external radiation due to lower concentrations of </w:t>
      </w:r>
      <w:r w:rsidRPr="00CD2EEF">
        <w:rPr>
          <w:rStyle w:val="LPnadpisano"/>
          <w:lang w:val="en-GB"/>
        </w:rPr>
        <w:t>137</w:t>
      </w:r>
      <w:r w:rsidRPr="00CD2EEF">
        <w:rPr>
          <w:rFonts w:ascii="Garamond" w:hAnsi="Garamond"/>
          <w:szCs w:val="20"/>
          <w:lang w:val="en-GB"/>
        </w:rPr>
        <w:t>Cs activity in the soil in Ljubljana. In the regions with lower radioactive contamination of the soil, such as Prekmurje and the Coastal Karst region, the corresponding dose is lower, while it is higher in the Slovenian alpine region. Considering all the estimated doses specified in this chapter, it should be kept in mind that these values are extremely low and cannot be measured directly. The results are calculated by using mathematical models and are based on measurable quantities of radionuclides, most of which are also low. The measurement uncertainties (</w:t>
      </w:r>
      <w:r w:rsidR="001C3410">
        <w:rPr>
          <w:rFonts w:ascii="Garamond" w:hAnsi="Garamond"/>
          <w:szCs w:val="20"/>
          <w:lang w:val="en-GB"/>
        </w:rPr>
        <w:t xml:space="preserve">the </w:t>
      </w:r>
      <w:r w:rsidRPr="00CD2EEF">
        <w:rPr>
          <w:rFonts w:ascii="Garamond" w:hAnsi="Garamond"/>
          <w:szCs w:val="20"/>
          <w:lang w:val="en-GB"/>
        </w:rPr>
        <w:t xml:space="preserve">grey area in </w:t>
      </w:r>
      <w:hyperlink w:anchor="fig22" w:history="1">
        <w:r w:rsidRPr="00CD2EEF">
          <w:rPr>
            <w:rStyle w:val="Hiperpovezava"/>
            <w:rFonts w:ascii="Garamond" w:hAnsi="Garamond"/>
            <w:szCs w:val="20"/>
            <w:lang w:val="en-GB"/>
          </w:rPr>
          <w:t>Figure 22</w:t>
        </w:r>
      </w:hyperlink>
      <w:r w:rsidRPr="00CD2EEF">
        <w:rPr>
          <w:rFonts w:ascii="Garamond" w:hAnsi="Garamond"/>
          <w:szCs w:val="20"/>
          <w:lang w:val="en-GB"/>
        </w:rPr>
        <w:t>) are therefore considerable and in some cases the results differ considerably from year to year. Most importantly, these values are far below the limit values.</w:t>
      </w:r>
    </w:p>
    <w:p w14:paraId="7C829B12" w14:textId="1DC6A0F0" w:rsidR="005248D4" w:rsidRPr="00CD2EEF" w:rsidRDefault="00345D0A" w:rsidP="00345D0A">
      <w:pPr>
        <w:pStyle w:val="LPnaslovpreglednica"/>
        <w:rPr>
          <w:lang w:val="en-GB"/>
        </w:rPr>
      </w:pPr>
      <w:bookmarkStart w:id="162" w:name="_Toc480790379"/>
      <w:bookmarkStart w:id="163" w:name="_Toc483815879"/>
      <w:bookmarkStart w:id="164" w:name="_Toc74219412"/>
      <w:bookmarkStart w:id="165" w:name="_Toc126309912"/>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00BE0188" w:rsidRPr="00CD2EEF">
        <w:rPr>
          <w:lang w:val="en-GB"/>
        </w:rPr>
        <w:t>5</w:t>
      </w:r>
      <w:r w:rsidR="00366B6D" w:rsidRPr="00CD2EEF">
        <w:rPr>
          <w:lang w:val="en-GB"/>
        </w:rPr>
        <w:fldChar w:fldCharType="end"/>
      </w:r>
      <w:r w:rsidR="005248D4" w:rsidRPr="00CD2EEF">
        <w:rPr>
          <w:lang w:val="en-GB"/>
        </w:rPr>
        <w:t>: The radiation exposure of the adult population in Slovenia due to global contamination of the environment with artificial radionuclides in 2021</w:t>
      </w:r>
      <w:bookmarkEnd w:id="165"/>
      <w:r w:rsidR="005248D4" w:rsidRPr="00CD2EEF">
        <w:rPr>
          <w:lang w:val="en-GB"/>
        </w:rPr>
        <w:t xml:space="preserve"> </w:t>
      </w:r>
      <w:bookmarkEnd w:id="162"/>
      <w:bookmarkEnd w:id="163"/>
      <w:bookmarkEnd w:id="164"/>
    </w:p>
    <w:tbl>
      <w:tblPr>
        <w:tblStyle w:val="LPtabelamodronaslovna"/>
        <w:tblW w:w="394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4093"/>
        <w:gridCol w:w="3048"/>
      </w:tblGrid>
      <w:tr w:rsidR="005248D4" w:rsidRPr="00CD2EEF" w14:paraId="3B494B16" w14:textId="77777777" w:rsidTr="00764574">
        <w:trPr>
          <w:cnfStyle w:val="100000000000" w:firstRow="1" w:lastRow="0" w:firstColumn="0" w:lastColumn="0" w:oddVBand="0" w:evenVBand="0" w:oddHBand="0" w:evenHBand="0" w:firstRowFirstColumn="0" w:firstRowLastColumn="0" w:lastRowFirstColumn="0" w:lastRowLastColumn="0"/>
          <w:trHeight w:val="21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3984087C" w14:textId="77777777" w:rsidR="005248D4" w:rsidRPr="00CD2EEF" w:rsidRDefault="005248D4" w:rsidP="00066539">
            <w:pPr>
              <w:pStyle w:val="LPpreglednicaglavasredina"/>
              <w:rPr>
                <w:rStyle w:val="LPpobarvan1"/>
                <w:rFonts w:eastAsiaTheme="majorEastAsia"/>
                <w:b/>
                <w:bCs/>
                <w:shd w:val="clear" w:color="auto" w:fill="auto"/>
                <w:lang w:val="en-GB"/>
              </w:rPr>
            </w:pPr>
            <w:bookmarkStart w:id="166" w:name="t05"/>
            <w:r w:rsidRPr="00CD2EEF">
              <w:rPr>
                <w:b/>
                <w:bCs/>
                <w:lang w:val="en-GB"/>
              </w:rPr>
              <w:t>Transfer pathway</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19465C22" w14:textId="77777777" w:rsidR="005248D4" w:rsidRPr="00CD2EEF" w:rsidRDefault="005248D4" w:rsidP="00066539">
            <w:pPr>
              <w:pStyle w:val="LPpreglednicaglavasredina"/>
              <w:rPr>
                <w:rStyle w:val="LPpobarvan1"/>
                <w:rFonts w:eastAsiaTheme="majorEastAsia"/>
                <w:b/>
                <w:bCs/>
                <w:shd w:val="clear" w:color="auto" w:fill="auto"/>
                <w:lang w:val="en-GB"/>
              </w:rPr>
            </w:pPr>
            <w:r w:rsidRPr="00CD2EEF">
              <w:rPr>
                <w:b/>
                <w:bCs/>
                <w:lang w:val="en-GB"/>
              </w:rPr>
              <w:t>Effective dose [μSv per year]</w:t>
            </w:r>
          </w:p>
        </w:tc>
      </w:tr>
      <w:tr w:rsidR="005248D4" w:rsidRPr="00CD2EEF" w14:paraId="759176D9" w14:textId="77777777" w:rsidTr="00764574">
        <w:trPr>
          <w:trHeight w:val="25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5D25074" w14:textId="77777777" w:rsidR="005248D4" w:rsidRPr="00CD2EEF" w:rsidRDefault="005248D4" w:rsidP="00764574">
            <w:pPr>
              <w:pStyle w:val="LPpreglednicatelo"/>
              <w:rPr>
                <w:rStyle w:val="LPpobarvan1"/>
                <w:rFonts w:eastAsiaTheme="majorEastAsia"/>
                <w:lang w:val="en-GB"/>
              </w:rPr>
            </w:pPr>
            <w:r w:rsidRPr="00CD2EEF">
              <w:rPr>
                <w:lang w:val="en-GB"/>
              </w:rPr>
              <w:t>Inhalation</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7065343A" w14:textId="77777777" w:rsidR="005248D4" w:rsidRPr="00CD2EEF" w:rsidRDefault="005248D4" w:rsidP="00FC7A41">
            <w:pPr>
              <w:pStyle w:val="LPpreglednicatelo"/>
              <w:rPr>
                <w:rStyle w:val="LPpobarvan1"/>
                <w:rFonts w:eastAsiaTheme="majorEastAsia"/>
                <w:lang w:val="en-GB"/>
              </w:rPr>
            </w:pPr>
            <w:r w:rsidRPr="00CD2EEF">
              <w:rPr>
                <w:lang w:val="en-GB"/>
              </w:rPr>
              <w:t>0.0001</w:t>
            </w:r>
          </w:p>
        </w:tc>
      </w:tr>
      <w:tr w:rsidR="005248D4" w:rsidRPr="00CD2EEF" w14:paraId="7D968A2B" w14:textId="77777777" w:rsidTr="00764574">
        <w:trPr>
          <w:trHeight w:val="214"/>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88964AE" w14:textId="77777777" w:rsidR="005248D4" w:rsidRPr="00CD2EEF" w:rsidRDefault="005248D4" w:rsidP="00764574">
            <w:pPr>
              <w:pStyle w:val="LPpreglednicatelo"/>
              <w:rPr>
                <w:rFonts w:eastAsiaTheme="majorEastAsia"/>
                <w:lang w:val="en-GB"/>
              </w:rPr>
            </w:pPr>
            <w:r w:rsidRPr="00CD2EEF">
              <w:rPr>
                <w:lang w:val="en-GB"/>
              </w:rPr>
              <w:t>Ingestion (of food and beverage):</w:t>
            </w:r>
          </w:p>
          <w:p w14:paraId="79E85F2B" w14:textId="77777777" w:rsidR="005248D4" w:rsidRPr="00CD2EEF" w:rsidRDefault="005248D4" w:rsidP="00764574">
            <w:pPr>
              <w:pStyle w:val="LPpreglednicatelo"/>
              <w:rPr>
                <w:lang w:val="en-GB"/>
              </w:rPr>
            </w:pPr>
            <w:r w:rsidRPr="00CD2EEF">
              <w:rPr>
                <w:lang w:val="en-GB"/>
              </w:rPr>
              <w:t>drinking water</w:t>
            </w:r>
          </w:p>
          <w:p w14:paraId="6297ED67" w14:textId="77777777" w:rsidR="005248D4" w:rsidRPr="00CD2EEF" w:rsidRDefault="005248D4" w:rsidP="00764574">
            <w:pPr>
              <w:pStyle w:val="LPpreglednicatelo"/>
              <w:rPr>
                <w:rStyle w:val="LPpobarvan1"/>
                <w:rFonts w:eastAsiaTheme="majorEastAsia"/>
                <w:lang w:val="en-GB"/>
              </w:rPr>
            </w:pPr>
            <w:r w:rsidRPr="00CD2EEF">
              <w:rPr>
                <w:lang w:val="en-GB"/>
              </w:rPr>
              <w:t>food</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97B8120" w14:textId="77777777" w:rsidR="005248D4" w:rsidRPr="00CD2EEF" w:rsidRDefault="005248D4" w:rsidP="00FC7A41">
            <w:pPr>
              <w:pStyle w:val="LPpreglednicatelo"/>
              <w:rPr>
                <w:rFonts w:eastAsiaTheme="majorEastAsia"/>
                <w:lang w:val="en-GB"/>
              </w:rPr>
            </w:pPr>
          </w:p>
          <w:p w14:paraId="12159A5F" w14:textId="77777777" w:rsidR="005248D4" w:rsidRPr="00CD2EEF" w:rsidRDefault="005248D4" w:rsidP="00FC7A41">
            <w:pPr>
              <w:pStyle w:val="LPpreglednicatelo"/>
              <w:rPr>
                <w:lang w:val="en-GB"/>
              </w:rPr>
            </w:pPr>
            <w:r w:rsidRPr="00CD2EEF">
              <w:rPr>
                <w:lang w:val="en-GB"/>
              </w:rPr>
              <w:t>0.03</w:t>
            </w:r>
          </w:p>
          <w:p w14:paraId="61CFD7CC" w14:textId="77777777" w:rsidR="005248D4" w:rsidRPr="00CD2EEF" w:rsidRDefault="005248D4" w:rsidP="00FC7A41">
            <w:pPr>
              <w:pStyle w:val="LPpreglednicatelo"/>
              <w:rPr>
                <w:rStyle w:val="LPpobarvan1"/>
                <w:rFonts w:eastAsiaTheme="majorEastAsia"/>
                <w:lang w:val="en-GB"/>
              </w:rPr>
            </w:pPr>
            <w:r w:rsidRPr="00CD2EEF">
              <w:rPr>
                <w:lang w:val="en-GB"/>
              </w:rPr>
              <w:t>0.9</w:t>
            </w:r>
          </w:p>
        </w:tc>
      </w:tr>
      <w:tr w:rsidR="005248D4" w:rsidRPr="00CD2EEF" w14:paraId="0FA90EF0" w14:textId="77777777" w:rsidTr="00764574">
        <w:trPr>
          <w:trHeight w:val="25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33F8464" w14:textId="77777777" w:rsidR="005248D4" w:rsidRPr="00CD2EEF" w:rsidRDefault="005248D4" w:rsidP="00764574">
            <w:pPr>
              <w:pStyle w:val="LPpreglednicatelo"/>
              <w:rPr>
                <w:rStyle w:val="LPpobarvan1"/>
                <w:rFonts w:eastAsiaTheme="majorEastAsia"/>
                <w:lang w:val="en-GB"/>
              </w:rPr>
            </w:pPr>
            <w:r w:rsidRPr="00CD2EEF">
              <w:rPr>
                <w:lang w:val="en-GB"/>
              </w:rPr>
              <w:t>External radiation</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06C6B20B" w14:textId="77777777" w:rsidR="005248D4" w:rsidRPr="00CD2EEF" w:rsidRDefault="005248D4" w:rsidP="00FC7A41">
            <w:pPr>
              <w:pStyle w:val="LPpreglednicatelo"/>
              <w:rPr>
                <w:rStyle w:val="LPpobarvan1"/>
                <w:rFonts w:eastAsiaTheme="majorEastAsia"/>
                <w:lang w:val="en-GB"/>
              </w:rPr>
            </w:pPr>
            <w:r w:rsidRPr="00CD2EEF">
              <w:rPr>
                <w:lang w:val="en-GB"/>
              </w:rPr>
              <w:t>2.4*</w:t>
            </w:r>
          </w:p>
        </w:tc>
      </w:tr>
      <w:tr w:rsidR="005248D4" w:rsidRPr="00CD2EEF" w14:paraId="3087C3FD" w14:textId="77777777" w:rsidTr="00764574">
        <w:trPr>
          <w:trHeight w:val="21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63AED6D7" w14:textId="77777777" w:rsidR="005248D4" w:rsidRPr="00CD2EEF" w:rsidRDefault="005248D4" w:rsidP="00764574">
            <w:pPr>
              <w:pStyle w:val="LPpreglednicaglavasredina"/>
              <w:jc w:val="left"/>
              <w:rPr>
                <w:rStyle w:val="LPpobarvan1"/>
                <w:rFonts w:eastAsiaTheme="majorEastAsia"/>
                <w:lang w:val="en-GB"/>
              </w:rPr>
            </w:pPr>
            <w:r w:rsidRPr="00CD2EEF">
              <w:rPr>
                <w:lang w:val="en-GB"/>
              </w:rPr>
              <w:t>Total (rounded)</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4574E526" w14:textId="77777777" w:rsidR="005248D4" w:rsidRPr="00CD2EEF" w:rsidRDefault="005248D4" w:rsidP="00FC7A41">
            <w:pPr>
              <w:pStyle w:val="LPpreglednicaglavasredina"/>
              <w:jc w:val="left"/>
              <w:rPr>
                <w:rStyle w:val="LPpobarvan1"/>
                <w:rFonts w:eastAsiaTheme="majorEastAsia"/>
                <w:lang w:val="en-GB"/>
              </w:rPr>
            </w:pPr>
            <w:r w:rsidRPr="00CD2EEF">
              <w:rPr>
                <w:lang w:val="en-GB"/>
              </w:rPr>
              <w:t>3.3**</w:t>
            </w:r>
          </w:p>
        </w:tc>
      </w:tr>
    </w:tbl>
    <w:bookmarkEnd w:id="166"/>
    <w:p w14:paraId="63768AF0" w14:textId="77777777" w:rsidR="005248D4" w:rsidRPr="00CD2EEF" w:rsidRDefault="005248D4" w:rsidP="008F5FA1">
      <w:pPr>
        <w:pStyle w:val="LPnavadenpomanjan8pt"/>
        <w:rPr>
          <w:lang w:val="en-GB"/>
        </w:rPr>
      </w:pPr>
      <w:r w:rsidRPr="00CD2EEF">
        <w:rPr>
          <w:lang w:val="en-GB"/>
        </w:rPr>
        <w:t xml:space="preserve">* </w:t>
      </w:r>
      <w:r w:rsidRPr="00CD2EEF">
        <w:rPr>
          <w:szCs w:val="16"/>
          <w:lang w:val="en-GB"/>
        </w:rPr>
        <w:t>This applies to central Slovenia; the value is slightly lower for the urban population and higher for the rural population.</w:t>
      </w:r>
      <w:r w:rsidRPr="00CD2EEF" w:rsidDel="007F01D5">
        <w:rPr>
          <w:lang w:val="en-GB"/>
        </w:rPr>
        <w:t xml:space="preserve"> </w:t>
      </w:r>
    </w:p>
    <w:p w14:paraId="55BD04B5" w14:textId="77777777" w:rsidR="005248D4" w:rsidRPr="00CD2EEF" w:rsidRDefault="005248D4" w:rsidP="00FC7A41">
      <w:pPr>
        <w:pStyle w:val="LPnavadenpomanjan8pt"/>
        <w:rPr>
          <w:lang w:val="en-GB"/>
        </w:rPr>
      </w:pPr>
      <w:r w:rsidRPr="00CD2EEF">
        <w:rPr>
          <w:lang w:val="en-GB"/>
        </w:rPr>
        <w:t>** Radiation exposure from natural radiation is</w:t>
      </w:r>
      <w:r w:rsidRPr="00CD2EEF" w:rsidDel="00962149">
        <w:rPr>
          <w:lang w:val="en-GB"/>
        </w:rPr>
        <w:t xml:space="preserve"> </w:t>
      </w:r>
      <w:r w:rsidRPr="00CD2EEF">
        <w:rPr>
          <w:lang w:val="en-GB"/>
        </w:rPr>
        <w:t>2,500–2,800 μSv per year.</w:t>
      </w:r>
    </w:p>
    <w:p w14:paraId="4F6A86B1" w14:textId="47FEDD74" w:rsidR="005248D4" w:rsidRPr="00CD2EEF" w:rsidRDefault="00447204" w:rsidP="00FF0400">
      <w:pPr>
        <w:spacing w:after="120"/>
        <w:jc w:val="both"/>
        <w:rPr>
          <w:rFonts w:ascii="Garamond" w:hAnsi="Garamond"/>
          <w:szCs w:val="20"/>
          <w:lang w:val="en-GB"/>
        </w:rPr>
      </w:pPr>
      <w:hyperlink w:anchor="fig22" w:history="1">
        <w:r w:rsidR="009A72C3" w:rsidRPr="00CD2EEF">
          <w:rPr>
            <w:rStyle w:val="Hiperpovezava"/>
            <w:rFonts w:ascii="Garamond" w:hAnsi="Garamond"/>
            <w:szCs w:val="20"/>
            <w:lang w:val="en-GB"/>
          </w:rPr>
          <w:t>Figure 22</w:t>
        </w:r>
      </w:hyperlink>
      <w:r w:rsidR="00A44DC2">
        <w:rPr>
          <w:rStyle w:val="Hiperpovezava"/>
          <w:rFonts w:ascii="Garamond" w:hAnsi="Garamond"/>
          <w:szCs w:val="20"/>
          <w:lang w:val="en-GB"/>
        </w:rPr>
        <w:t xml:space="preserve"> </w:t>
      </w:r>
      <w:r w:rsidR="005248D4" w:rsidRPr="00CD2EEF">
        <w:rPr>
          <w:rFonts w:ascii="Garamond" w:hAnsi="Garamond"/>
          <w:szCs w:val="20"/>
          <w:lang w:val="en-GB"/>
        </w:rPr>
        <w:t>shows the estimated total effective dose (ingestion, inhalation, and external radiation) due to environmental contamination with long-lived artificial radionuclides for adults since the year 2000. The calculation methodology changed after 2000. The grey area represents the highest expected value of the dose exposure and represents the error in the calculations.</w:t>
      </w:r>
    </w:p>
    <w:bookmarkStart w:id="167" w:name="fig22"/>
    <w:p w14:paraId="44BE2691" w14:textId="77777777" w:rsidR="005248D4" w:rsidRPr="00CD2EEF" w:rsidRDefault="005248D4" w:rsidP="00FF0400">
      <w:pPr>
        <w:spacing w:after="120"/>
        <w:jc w:val="both"/>
        <w:rPr>
          <w:rFonts w:ascii="Garamond" w:hAnsi="Garamond"/>
          <w:szCs w:val="20"/>
          <w:lang w:val="en-GB"/>
        </w:rPr>
      </w:pPr>
      <w:r w:rsidRPr="00CD2EEF">
        <w:rPr>
          <w:noProof/>
          <w:lang w:val="en-GB"/>
        </w:rPr>
        <mc:AlternateContent>
          <mc:Choice Requires="wps">
            <w:drawing>
              <wp:anchor distT="0" distB="0" distL="114300" distR="114300" simplePos="0" relativeHeight="251674624" behindDoc="0" locked="0" layoutInCell="1" allowOverlap="1" wp14:anchorId="35C03550" wp14:editId="5B0580EC">
                <wp:simplePos x="0" y="0"/>
                <wp:positionH relativeFrom="column">
                  <wp:posOffset>4228160</wp:posOffset>
                </wp:positionH>
                <wp:positionV relativeFrom="paragraph">
                  <wp:posOffset>298679</wp:posOffset>
                </wp:positionV>
                <wp:extent cx="1231900" cy="204825"/>
                <wp:effectExtent l="0" t="0" r="6350" b="5080"/>
                <wp:wrapNone/>
                <wp:docPr id="35" name="Polje z besedilom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31900" cy="204825"/>
                        </a:xfrm>
                        <a:prstGeom prst="rect">
                          <a:avLst/>
                        </a:prstGeom>
                        <a:solidFill>
                          <a:schemeClr val="bg1"/>
                        </a:solidFill>
                        <a:ln w="6350">
                          <a:noFill/>
                        </a:ln>
                      </wps:spPr>
                      <wps:txbx>
                        <w:txbxContent>
                          <w:p w14:paraId="2751E71E" w14:textId="77777777" w:rsidR="005248D4" w:rsidRPr="00D014B5" w:rsidRDefault="005248D4" w:rsidP="005C296D">
                            <w:pPr>
                              <w:pStyle w:val="LPnavadenpomanjan0"/>
                              <w:rPr>
                                <w:sz w:val="18"/>
                                <w:szCs w:val="18"/>
                                <w:lang w:val="en-GB"/>
                              </w:rPr>
                            </w:pPr>
                            <w:r w:rsidRPr="00D014B5">
                              <w:rPr>
                                <w:sz w:val="18"/>
                                <w:szCs w:val="18"/>
                                <w:lang w:val="en-GB"/>
                              </w:rPr>
                              <w:t>External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3550" id="Polje z besedilom 35" o:spid="_x0000_s1039" type="#_x0000_t202" alt="&quot;&quot;" style="position:absolute;left:0;text-align:left;margin-left:332.95pt;margin-top:23.5pt;width:97pt;height:1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" fillcolor="white [3212]" stroked="f" strokeweight=".5pt">
                <v:textbox>
                  <w:txbxContent>
                    <w:p w14:paraId="2751E71E" w14:textId="77777777" w:rsidR="005248D4" w:rsidRPr="00D014B5" w:rsidRDefault="005248D4" w:rsidP="005C296D">
                      <w:pPr>
                        <w:pStyle w:val="LPnavadenpomanjan0"/>
                        <w:rPr>
                          <w:sz w:val="18"/>
                          <w:szCs w:val="18"/>
                          <w:lang w:val="en-GB"/>
                        </w:rPr>
                      </w:pPr>
                      <w:r w:rsidRPr="00D014B5">
                        <w:rPr>
                          <w:sz w:val="18"/>
                          <w:szCs w:val="18"/>
                          <w:lang w:val="en-GB"/>
                        </w:rPr>
                        <w:t>External radiation</w:t>
                      </w:r>
                    </w:p>
                  </w:txbxContent>
                </v:textbox>
              </v:shape>
            </w:pict>
          </mc:Fallback>
        </mc:AlternateContent>
      </w:r>
      <w:r w:rsidRPr="00CD2EEF">
        <w:rPr>
          <w:noProof/>
          <w:lang w:val="en-GB"/>
        </w:rPr>
        <mc:AlternateContent>
          <mc:Choice Requires="wps">
            <w:drawing>
              <wp:anchor distT="0" distB="0" distL="114300" distR="114300" simplePos="0" relativeHeight="251675648" behindDoc="0" locked="0" layoutInCell="1" allowOverlap="1" wp14:anchorId="47435EC4" wp14:editId="7D2FD491">
                <wp:simplePos x="0" y="0"/>
                <wp:positionH relativeFrom="column">
                  <wp:posOffset>4199255</wp:posOffset>
                </wp:positionH>
                <wp:positionV relativeFrom="paragraph">
                  <wp:posOffset>145760</wp:posOffset>
                </wp:positionV>
                <wp:extent cx="1346200" cy="234950"/>
                <wp:effectExtent l="0" t="0" r="6350" b="0"/>
                <wp:wrapNone/>
                <wp:docPr id="36" name="Polje z besedilom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46200" cy="234950"/>
                        </a:xfrm>
                        <a:prstGeom prst="rect">
                          <a:avLst/>
                        </a:prstGeom>
                        <a:solidFill>
                          <a:schemeClr val="bg1"/>
                        </a:solidFill>
                        <a:ln w="6350">
                          <a:noFill/>
                        </a:ln>
                      </wps:spPr>
                      <wps:txbx>
                        <w:txbxContent>
                          <w:p w14:paraId="3311DED3" w14:textId="77777777" w:rsidR="005248D4" w:rsidRPr="00D014B5" w:rsidRDefault="005248D4" w:rsidP="005C296D">
                            <w:pPr>
                              <w:pStyle w:val="LPnavadenpomanjan0"/>
                              <w:jc w:val="center"/>
                              <w:rPr>
                                <w:sz w:val="18"/>
                                <w:szCs w:val="18"/>
                                <w:lang w:val="en-GB"/>
                              </w:rPr>
                            </w:pPr>
                            <w:r w:rsidRPr="00D014B5">
                              <w:rPr>
                                <w:sz w:val="18"/>
                                <w:szCs w:val="18"/>
                                <w:lang w:val="en-GB"/>
                              </w:rPr>
                              <w:t>Ingestion and inhalation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5EC4" id="Polje z besedilom 36" o:spid="_x0000_s1040" type="#_x0000_t202" alt="&quot;&quot;" style="position:absolute;left:0;text-align:left;margin-left:330.65pt;margin-top:11.5pt;width:106pt;height: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" fillcolor="white [3212]" stroked="f" strokeweight=".5pt">
                <v:textbox>
                  <w:txbxContent>
                    <w:p w14:paraId="3311DED3" w14:textId="77777777" w:rsidR="005248D4" w:rsidRPr="00D014B5" w:rsidRDefault="005248D4" w:rsidP="005C296D">
                      <w:pPr>
                        <w:pStyle w:val="LPnavadenpomanjan0"/>
                        <w:jc w:val="center"/>
                        <w:rPr>
                          <w:sz w:val="18"/>
                          <w:szCs w:val="18"/>
                          <w:lang w:val="en-GB"/>
                        </w:rPr>
                      </w:pPr>
                      <w:r w:rsidRPr="00D014B5">
                        <w:rPr>
                          <w:sz w:val="18"/>
                          <w:szCs w:val="18"/>
                          <w:lang w:val="en-GB"/>
                        </w:rPr>
                        <w:t>Ingestion and inhalation</w:t>
                      </w:r>
                    </w:p>
                  </w:txbxContent>
                </v:textbox>
              </v:shape>
            </w:pict>
          </mc:Fallback>
        </mc:AlternateContent>
      </w:r>
      <w:r w:rsidRPr="00CD2EEF">
        <w:rPr>
          <w:noProof/>
          <w:lang w:val="en-GB"/>
        </w:rPr>
        <mc:AlternateContent>
          <mc:Choice Requires="wps">
            <w:drawing>
              <wp:anchor distT="0" distB="0" distL="114300" distR="114300" simplePos="0" relativeHeight="251663360" behindDoc="0" locked="0" layoutInCell="1" allowOverlap="1" wp14:anchorId="0EB04B7C" wp14:editId="2EFAC207">
                <wp:simplePos x="0" y="0"/>
                <wp:positionH relativeFrom="column">
                  <wp:posOffset>4231005</wp:posOffset>
                </wp:positionH>
                <wp:positionV relativeFrom="paragraph">
                  <wp:posOffset>427355</wp:posOffset>
                </wp:positionV>
                <wp:extent cx="1066800" cy="234950"/>
                <wp:effectExtent l="0" t="0" r="0" b="0"/>
                <wp:wrapNone/>
                <wp:docPr id="37" name="Polje z besedilom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66800" cy="234950"/>
                        </a:xfrm>
                        <a:prstGeom prst="rect">
                          <a:avLst/>
                        </a:prstGeom>
                        <a:solidFill>
                          <a:schemeClr val="bg1"/>
                        </a:solidFill>
                        <a:ln w="6350">
                          <a:noFill/>
                        </a:ln>
                      </wps:spPr>
                      <wps:txbx>
                        <w:txbxContent>
                          <w:p w14:paraId="7F60C0D0" w14:textId="77777777" w:rsidR="005248D4" w:rsidRPr="00D014B5" w:rsidRDefault="005248D4" w:rsidP="005C296D">
                            <w:pPr>
                              <w:pStyle w:val="LPnavadenpomanjan0"/>
                              <w:rPr>
                                <w:sz w:val="18"/>
                                <w:szCs w:val="18"/>
                                <w:lang w:val="en-GB"/>
                              </w:rPr>
                            </w:pPr>
                            <w:r w:rsidRPr="00D014B5">
                              <w:rPr>
                                <w:sz w:val="18"/>
                                <w:szCs w:val="18"/>
                                <w:lang w:val="en-GB"/>
                              </w:rPr>
                              <w:t>Upper 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4B7C" id="Polje z besedilom 37" o:spid="_x0000_s1041" type="#_x0000_t202" alt="&quot;&quot;" style="position:absolute;left:0;text-align:left;margin-left:333.15pt;margin-top:33.65pt;width:84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Q4MAIAAFw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" fillcolor="white [3212]" stroked="f" strokeweight=".5pt">
                <v:textbox>
                  <w:txbxContent>
                    <w:p w14:paraId="7F60C0D0" w14:textId="77777777" w:rsidR="005248D4" w:rsidRPr="00D014B5" w:rsidRDefault="005248D4" w:rsidP="005C296D">
                      <w:pPr>
                        <w:pStyle w:val="LPnavadenpomanjan0"/>
                        <w:rPr>
                          <w:sz w:val="18"/>
                          <w:szCs w:val="18"/>
                          <w:lang w:val="en-GB"/>
                        </w:rPr>
                      </w:pPr>
                      <w:r w:rsidRPr="00D014B5">
                        <w:rPr>
                          <w:sz w:val="18"/>
                          <w:szCs w:val="18"/>
                          <w:lang w:val="en-GB"/>
                        </w:rPr>
                        <w:t>Upper limit</w:t>
                      </w:r>
                    </w:p>
                  </w:txbxContent>
                </v:textbox>
              </v:shape>
            </w:pict>
          </mc:Fallback>
        </mc:AlternateContent>
      </w:r>
      <w:r w:rsidRPr="00CD2EEF">
        <w:rPr>
          <w:noProof/>
          <w:lang w:val="en-GB"/>
        </w:rPr>
        <mc:AlternateContent>
          <mc:Choice Requires="wps">
            <w:drawing>
              <wp:anchor distT="0" distB="0" distL="114300" distR="114300" simplePos="0" relativeHeight="251673600" behindDoc="0" locked="0" layoutInCell="1" allowOverlap="1" wp14:anchorId="3EB2F475" wp14:editId="64F24A0D">
                <wp:simplePos x="0" y="0"/>
                <wp:positionH relativeFrom="column">
                  <wp:posOffset>937260</wp:posOffset>
                </wp:positionH>
                <wp:positionV relativeFrom="paragraph">
                  <wp:posOffset>220345</wp:posOffset>
                </wp:positionV>
                <wp:extent cx="758825" cy="588963"/>
                <wp:effectExtent l="8890" t="0" r="0" b="0"/>
                <wp:wrapNone/>
                <wp:docPr id="38" name="Polje z besedilom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758825" cy="588963"/>
                        </a:xfrm>
                        <a:prstGeom prst="rect">
                          <a:avLst/>
                        </a:prstGeom>
                        <a:solidFill>
                          <a:schemeClr val="bg1"/>
                        </a:solidFill>
                        <a:ln w="6350">
                          <a:noFill/>
                        </a:ln>
                      </wps:spPr>
                      <wps:txbx>
                        <w:txbxContent>
                          <w:p w14:paraId="39F26881" w14:textId="77777777" w:rsidR="005248D4" w:rsidRPr="005C296D" w:rsidRDefault="005248D4" w:rsidP="005C296D">
                            <w:pPr>
                              <w:pStyle w:val="LPnavadenpomanjan0"/>
                              <w:jc w:val="center"/>
                              <w:rPr>
                                <w:sz w:val="20"/>
                                <w:szCs w:val="18"/>
                                <w:lang w:val="en-GB"/>
                              </w:rPr>
                            </w:pPr>
                            <w:r w:rsidRPr="005C296D">
                              <w:rPr>
                                <w:sz w:val="20"/>
                                <w:szCs w:val="18"/>
                                <w:lang w:val="en-GB"/>
                              </w:rPr>
                              <w:t>Change of calculation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F475" id="Polje z besedilom 38" o:spid="_x0000_s1042" type="#_x0000_t202" alt="&quot;&quot;" style="position:absolute;left:0;text-align:left;margin-left:73.8pt;margin-top:17.35pt;width:59.75pt;height:46.4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" fillcolor="white [3212]" stroked="f" strokeweight=".5pt">
                <v:textbox>
                  <w:txbxContent>
                    <w:p w14:paraId="39F26881" w14:textId="77777777" w:rsidR="005248D4" w:rsidRPr="005C296D" w:rsidRDefault="005248D4" w:rsidP="005C296D">
                      <w:pPr>
                        <w:pStyle w:val="LPnavadenpomanjan0"/>
                        <w:jc w:val="center"/>
                        <w:rPr>
                          <w:sz w:val="20"/>
                          <w:szCs w:val="18"/>
                          <w:lang w:val="en-GB"/>
                        </w:rPr>
                      </w:pPr>
                      <w:r w:rsidRPr="005C296D">
                        <w:rPr>
                          <w:sz w:val="20"/>
                          <w:szCs w:val="18"/>
                          <w:lang w:val="en-GB"/>
                        </w:rPr>
                        <w:t>Change of calculation method</w:t>
                      </w:r>
                    </w:p>
                  </w:txbxContent>
                </v:textbox>
              </v:shape>
            </w:pict>
          </mc:Fallback>
        </mc:AlternateContent>
      </w:r>
      <w:r w:rsidRPr="00CD2EEF">
        <w:rPr>
          <w:noProof/>
          <w:lang w:val="en-GB"/>
        </w:rPr>
        <mc:AlternateContent>
          <mc:Choice Requires="wps">
            <w:drawing>
              <wp:anchor distT="0" distB="0" distL="114300" distR="114300" simplePos="0" relativeHeight="251672576" behindDoc="0" locked="0" layoutInCell="1" allowOverlap="1" wp14:anchorId="59D70C5A" wp14:editId="19DB9208">
                <wp:simplePos x="0" y="0"/>
                <wp:positionH relativeFrom="margin">
                  <wp:posOffset>-864495</wp:posOffset>
                </wp:positionH>
                <wp:positionV relativeFrom="paragraph">
                  <wp:posOffset>1524689</wp:posOffset>
                </wp:positionV>
                <wp:extent cx="1851158" cy="284935"/>
                <wp:effectExtent l="2223" t="0" r="0" b="0"/>
                <wp:wrapNone/>
                <wp:docPr id="39" name="Polje z besedilo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1158" cy="284935"/>
                        </a:xfrm>
                        <a:prstGeom prst="rect">
                          <a:avLst/>
                        </a:prstGeom>
                        <a:solidFill>
                          <a:schemeClr val="bg1"/>
                        </a:solidFill>
                        <a:ln w="9525">
                          <a:noFill/>
                          <a:miter lim="800000"/>
                          <a:headEnd/>
                          <a:tailEnd/>
                        </a:ln>
                      </wps:spPr>
                      <wps:txbx>
                        <w:txbxContent>
                          <w:p w14:paraId="4A01D1FC" w14:textId="77777777" w:rsidR="005248D4" w:rsidRDefault="005248D4" w:rsidP="00B4528F">
                            <w:pPr>
                              <w:spacing w:after="120"/>
                              <w:jc w:val="both"/>
                              <w:rPr>
                                <w:rFonts w:ascii="Garamond" w:hAnsi="Garamond"/>
                              </w:rPr>
                            </w:pPr>
                            <w:r>
                              <w:rPr>
                                <w:rFonts w:ascii="Garamond" w:hAnsi="Garamond"/>
                              </w:rPr>
                              <w:t xml:space="preserve">Total </w:t>
                            </w:r>
                            <w:r w:rsidRPr="005C296D">
                              <w:rPr>
                                <w:rFonts w:ascii="Garamond" w:hAnsi="Garamond"/>
                                <w:lang w:val="en-GB"/>
                              </w:rPr>
                              <w:t>effective</w:t>
                            </w:r>
                            <w:r>
                              <w:rPr>
                                <w:rFonts w:ascii="Garamond" w:hAnsi="Garamond"/>
                              </w:rPr>
                              <w:t xml:space="preserve"> </w:t>
                            </w:r>
                            <w:r w:rsidRPr="005C296D">
                              <w:rPr>
                                <w:rFonts w:ascii="Garamond" w:hAnsi="Garamond"/>
                                <w:lang w:val="en-GB"/>
                              </w:rPr>
                              <w:t>dose</w:t>
                            </w:r>
                            <w:r>
                              <w:rPr>
                                <w:rFonts w:ascii="Garamond" w:hAnsi="Garamond"/>
                              </w:rPr>
                              <w:t xml:space="preserve"> (µSv)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70C5A" id="Polje z besedilom 1" o:spid="_x0000_s1043" type="#_x0000_t202" alt="&quot;&quot;" style="position:absolute;left:0;text-align:left;margin-left:-68.05pt;margin-top:120.05pt;width:145.75pt;height:22.4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" fillcolor="white [3212]" stroked="f">
                <v:textbox>
                  <w:txbxContent>
                    <w:p w14:paraId="4A01D1FC" w14:textId="77777777" w:rsidR="005248D4" w:rsidRDefault="005248D4" w:rsidP="00B4528F">
                      <w:pPr>
                        <w:spacing w:after="120"/>
                        <w:jc w:val="both"/>
                        <w:rPr>
                          <w:rFonts w:ascii="Garamond" w:hAnsi="Garamond"/>
                        </w:rPr>
                      </w:pPr>
                      <w:r>
                        <w:rPr>
                          <w:rFonts w:ascii="Garamond" w:hAnsi="Garamond"/>
                        </w:rPr>
                        <w:t xml:space="preserve">Total </w:t>
                      </w:r>
                      <w:r w:rsidRPr="005C296D">
                        <w:rPr>
                          <w:rFonts w:ascii="Garamond" w:hAnsi="Garamond"/>
                          <w:lang w:val="en-GB"/>
                        </w:rPr>
                        <w:t>effective</w:t>
                      </w:r>
                      <w:r>
                        <w:rPr>
                          <w:rFonts w:ascii="Garamond" w:hAnsi="Garamond"/>
                        </w:rPr>
                        <w:t xml:space="preserve"> </w:t>
                      </w:r>
                      <w:r w:rsidRPr="005C296D">
                        <w:rPr>
                          <w:rFonts w:ascii="Garamond" w:hAnsi="Garamond"/>
                          <w:lang w:val="en-GB"/>
                        </w:rPr>
                        <w:t>dose</w:t>
                      </w:r>
                      <w:r>
                        <w:rPr>
                          <w:rFonts w:ascii="Garamond" w:hAnsi="Garamond"/>
                        </w:rPr>
                        <w:t xml:space="preserve"> (µSv)</w:t>
                      </w:r>
                    </w:p>
                  </w:txbxContent>
                </v:textbox>
                <w10:wrap anchorx="margin"/>
              </v:shape>
            </w:pict>
          </mc:Fallback>
        </mc:AlternateContent>
      </w:r>
      <w:r w:rsidRPr="00CD2EEF">
        <w:rPr>
          <w:noProof/>
          <w:lang w:val="en-GB"/>
        </w:rPr>
        <mc:AlternateContent>
          <mc:Choice Requires="wps">
            <w:drawing>
              <wp:anchor distT="0" distB="0" distL="114300" distR="114300" simplePos="0" relativeHeight="251671552" behindDoc="0" locked="0" layoutInCell="1" allowOverlap="1" wp14:anchorId="1D398E4F" wp14:editId="177DED9D">
                <wp:simplePos x="0" y="0"/>
                <wp:positionH relativeFrom="column">
                  <wp:posOffset>2683823</wp:posOffset>
                </wp:positionH>
                <wp:positionV relativeFrom="paragraph">
                  <wp:posOffset>3625677</wp:posOffset>
                </wp:positionV>
                <wp:extent cx="1224280" cy="266065"/>
                <wp:effectExtent l="0" t="0" r="0" b="635"/>
                <wp:wrapNone/>
                <wp:docPr id="40" name="Polje z besedilom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66065"/>
                        </a:xfrm>
                        <a:prstGeom prst="rect">
                          <a:avLst/>
                        </a:prstGeom>
                        <a:solidFill>
                          <a:schemeClr val="bg1"/>
                        </a:solidFill>
                        <a:ln w="9525">
                          <a:noFill/>
                          <a:miter lim="800000"/>
                          <a:headEnd/>
                          <a:tailEnd/>
                        </a:ln>
                      </wps:spPr>
                      <wps:txbx>
                        <w:txbxContent>
                          <w:p w14:paraId="63D40F1F" w14:textId="77777777" w:rsidR="005248D4" w:rsidRDefault="005248D4" w:rsidP="00B4528F">
                            <w:pPr>
                              <w:spacing w:after="120"/>
                              <w:jc w:val="both"/>
                              <w:rPr>
                                <w:rFonts w:ascii="Garamond" w:hAnsi="Garamond"/>
                              </w:rPr>
                            </w:pPr>
                            <w:r>
                              <w:rPr>
                                <w:rFonts w:ascii="Garamond" w:hAnsi="Garamond"/>
                              </w:rPr>
                              <w:t>Year</w:t>
                            </w:r>
                          </w:p>
                        </w:txbxContent>
                      </wps:txbx>
                      <wps:bodyPr rot="0" vert="horz" wrap="square" lIns="91440" tIns="45720" rIns="91440" bIns="45720" anchor="t" anchorCtr="0">
                        <a:noAutofit/>
                      </wps:bodyPr>
                    </wps:wsp>
                  </a:graphicData>
                </a:graphic>
              </wp:anchor>
            </w:drawing>
          </mc:Choice>
          <mc:Fallback>
            <w:pict>
              <v:shape w14:anchorId="1D398E4F" id="_x0000_s1044" type="#_x0000_t202" alt="&quot;&quot;" style="position:absolute;left:0;text-align:left;margin-left:211.3pt;margin-top:285.5pt;width:96.4pt;height:20.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" fillcolor="white [3212]" stroked="f">
                <v:textbox>
                  <w:txbxContent>
                    <w:p w14:paraId="63D40F1F" w14:textId="77777777" w:rsidR="005248D4" w:rsidRDefault="005248D4" w:rsidP="00B4528F">
                      <w:pPr>
                        <w:spacing w:after="120"/>
                        <w:jc w:val="both"/>
                        <w:rPr>
                          <w:rFonts w:ascii="Garamond" w:hAnsi="Garamond"/>
                        </w:rPr>
                      </w:pPr>
                      <w:proofErr w:type="spellStart"/>
                      <w:r>
                        <w:rPr>
                          <w:rFonts w:ascii="Garamond" w:hAnsi="Garamond"/>
                        </w:rPr>
                        <w:t>Year</w:t>
                      </w:r>
                      <w:proofErr w:type="spellEnd"/>
                    </w:p>
                  </w:txbxContent>
                </v:textbox>
              </v:shape>
            </w:pict>
          </mc:Fallback>
        </mc:AlternateContent>
      </w:r>
      <w:r w:rsidRPr="00CD2EEF">
        <w:rPr>
          <w:noProof/>
          <w:lang w:val="en-GB"/>
        </w:rPr>
        <w:drawing>
          <wp:inline distT="0" distB="0" distL="0" distR="0" wp14:anchorId="79916F3E" wp14:editId="046F30B7">
            <wp:extent cx="5760720" cy="3796030"/>
            <wp:effectExtent l="0" t="0" r="0" b="0"/>
            <wp:docPr id="208" name="Slika 208" descr="graphical introduction of average effective dose for adults in Slovenia since 2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ka 208" descr="graphical introduction of average effective dose for adults in Slovenia since 2000 "/>
                    <pic:cNvPicPr/>
                  </pic:nvPicPr>
                  <pic:blipFill>
                    <a:blip r:embed="rId51"/>
                    <a:stretch>
                      <a:fillRect/>
                    </a:stretch>
                  </pic:blipFill>
                  <pic:spPr>
                    <a:xfrm>
                      <a:off x="0" y="0"/>
                      <a:ext cx="5760720" cy="3796030"/>
                    </a:xfrm>
                    <a:prstGeom prst="rect">
                      <a:avLst/>
                    </a:prstGeom>
                  </pic:spPr>
                </pic:pic>
              </a:graphicData>
            </a:graphic>
          </wp:inline>
        </w:drawing>
      </w:r>
    </w:p>
    <w:p w14:paraId="4DDA6297" w14:textId="6145A17B" w:rsidR="005248D4" w:rsidRPr="00CD2EEF" w:rsidRDefault="008B7E7C" w:rsidP="008B7E7C">
      <w:pPr>
        <w:pStyle w:val="LPnaslovslika"/>
        <w:rPr>
          <w:sz w:val="24"/>
          <w:lang w:val="en-GB"/>
        </w:rPr>
      </w:pPr>
      <w:bookmarkStart w:id="168" w:name="_Toc76973091"/>
      <w:bookmarkStart w:id="169" w:name="_Toc126309901"/>
      <w:bookmarkEnd w:id="167"/>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22</w:t>
      </w:r>
      <w:r w:rsidR="00366B6D" w:rsidRPr="00CD2EEF">
        <w:rPr>
          <w:lang w:val="en-GB"/>
        </w:rPr>
        <w:fldChar w:fldCharType="end"/>
      </w:r>
      <w:r w:rsidR="005248D4" w:rsidRPr="00CD2EEF">
        <w:rPr>
          <w:lang w:val="en-GB"/>
        </w:rPr>
        <w:fldChar w:fldCharType="begin"/>
      </w:r>
      <w:r w:rsidR="005248D4" w:rsidRPr="00CD2EEF">
        <w:rPr>
          <w:lang w:val="en-GB"/>
        </w:rPr>
        <w:instrText xml:space="preserve"> SEQ Slika \* ARABIC </w:instrText>
      </w:r>
      <w:r w:rsidR="00447204">
        <w:rPr>
          <w:lang w:val="en-GB"/>
        </w:rPr>
        <w:fldChar w:fldCharType="separate"/>
      </w:r>
      <w:r w:rsidR="005248D4" w:rsidRPr="00CD2EEF">
        <w:rPr>
          <w:lang w:val="en-GB"/>
        </w:rPr>
        <w:fldChar w:fldCharType="end"/>
      </w:r>
      <w:r w:rsidR="005248D4" w:rsidRPr="00CD2EEF">
        <w:rPr>
          <w:lang w:val="en-GB"/>
        </w:rPr>
        <w:t>: Estimated effective dose due to environmental contamination with long-lived artificial radionuclides for adults (Slovenian average) since 2000</w:t>
      </w:r>
      <w:bookmarkEnd w:id="168"/>
      <w:bookmarkEnd w:id="169"/>
    </w:p>
    <w:p w14:paraId="4E05137F" w14:textId="77777777" w:rsidR="005248D4" w:rsidRPr="00CD2EEF" w:rsidRDefault="005248D4" w:rsidP="0057789F">
      <w:pPr>
        <w:pStyle w:val="LPNaslov2"/>
        <w:rPr>
          <w:lang w:val="en-GB"/>
        </w:rPr>
      </w:pPr>
      <w:bookmarkStart w:id="170" w:name="_Toc294704144"/>
      <w:bookmarkStart w:id="171" w:name="_Ref324762365"/>
      <w:bookmarkStart w:id="172" w:name="_Toc327337045"/>
      <w:bookmarkStart w:id="173" w:name="_Toc358804686"/>
      <w:bookmarkStart w:id="174" w:name="_Toc421612135"/>
      <w:bookmarkStart w:id="175" w:name="_Toc480786910"/>
      <w:bookmarkStart w:id="176" w:name="_Toc483815816"/>
      <w:bookmarkStart w:id="177" w:name="_Toc74219335"/>
      <w:bookmarkStart w:id="178" w:name="ch33"/>
      <w:bookmarkStart w:id="179" w:name="_Toc126312002"/>
      <w:r w:rsidRPr="00CD2EEF">
        <w:rPr>
          <w:caps w:val="0"/>
          <w:lang w:val="en-GB"/>
        </w:rPr>
        <w:t>OPERATIONAL MONITORING IN NUCLEAR AND RADIATION FACILITIES</w:t>
      </w:r>
      <w:bookmarkEnd w:id="170"/>
      <w:bookmarkEnd w:id="171"/>
      <w:bookmarkEnd w:id="172"/>
      <w:bookmarkEnd w:id="173"/>
      <w:bookmarkEnd w:id="174"/>
      <w:bookmarkEnd w:id="175"/>
      <w:bookmarkEnd w:id="176"/>
      <w:bookmarkEnd w:id="177"/>
      <w:bookmarkEnd w:id="179"/>
    </w:p>
    <w:p w14:paraId="33C9C468" w14:textId="77777777" w:rsidR="005248D4" w:rsidRPr="00CD2EEF" w:rsidRDefault="005248D4" w:rsidP="008F5FA1">
      <w:pPr>
        <w:pStyle w:val="LPnavaden"/>
        <w:rPr>
          <w:lang w:val="en-GB"/>
        </w:rPr>
      </w:pPr>
      <w:bookmarkStart w:id="180" w:name="_Hlk512244339"/>
      <w:bookmarkEnd w:id="178"/>
      <w:r w:rsidRPr="00CD2EEF">
        <w:rPr>
          <w:lang w:val="en-GB"/>
        </w:rPr>
        <w:t>Each installation or facility that may discharge radioactive substances into the environment is required to be subjected to regulatory control. Radioactivity measurements in the surroundings of the installations are performed in the pre-operational period, during operation, and for a certain period after the installation ceases to operate. The goal of operational monitoring is to establish whether the discharged activities are within the authorised limits, whether the radioactivity concentrations in the environment are within the prescribed limits, and whether the radiation doses received by the population are lower than the prescribed dose limits.</w:t>
      </w:r>
    </w:p>
    <w:p w14:paraId="5E809861" w14:textId="77777777" w:rsidR="005248D4" w:rsidRPr="00CD2EEF" w:rsidRDefault="005248D4" w:rsidP="0057789F">
      <w:pPr>
        <w:pStyle w:val="LPNaslov3"/>
        <w:rPr>
          <w:lang w:val="en-GB"/>
        </w:rPr>
      </w:pPr>
      <w:bookmarkStart w:id="181" w:name="_Toc265149302"/>
      <w:bookmarkStart w:id="182" w:name="_Toc294704145"/>
      <w:bookmarkStart w:id="183" w:name="_Toc327337046"/>
      <w:bookmarkStart w:id="184" w:name="_Toc358804687"/>
      <w:bookmarkStart w:id="185" w:name="_Toc421612136"/>
      <w:bookmarkStart w:id="186" w:name="_Toc480786911"/>
      <w:bookmarkStart w:id="187" w:name="_Toc483815817"/>
      <w:bookmarkStart w:id="188" w:name="_Toc74219336"/>
      <w:bookmarkStart w:id="189" w:name="_Toc126312003"/>
      <w:bookmarkEnd w:id="180"/>
      <w:r w:rsidRPr="00CD2EEF">
        <w:rPr>
          <w:lang w:val="en-GB"/>
        </w:rPr>
        <w:t>The Krško</w:t>
      </w:r>
      <w:bookmarkEnd w:id="181"/>
      <w:bookmarkEnd w:id="182"/>
      <w:bookmarkEnd w:id="183"/>
      <w:bookmarkEnd w:id="184"/>
      <w:bookmarkEnd w:id="185"/>
      <w:bookmarkEnd w:id="186"/>
      <w:bookmarkEnd w:id="187"/>
      <w:bookmarkEnd w:id="188"/>
      <w:r w:rsidRPr="00CD2EEF">
        <w:rPr>
          <w:lang w:val="en-GB"/>
        </w:rPr>
        <w:t xml:space="preserve"> Nuclear Power Plant</w:t>
      </w:r>
      <w:bookmarkEnd w:id="189"/>
    </w:p>
    <w:p w14:paraId="0662AFD6" w14:textId="77777777" w:rsidR="005248D4" w:rsidRPr="00CD2EEF" w:rsidRDefault="005248D4" w:rsidP="00FF0400">
      <w:pPr>
        <w:pStyle w:val="LPnavaden"/>
        <w:rPr>
          <w:lang w:val="en-GB"/>
        </w:rPr>
      </w:pPr>
      <w:r w:rsidRPr="00CD2EEF">
        <w:rPr>
          <w:lang w:val="en-GB"/>
        </w:rPr>
        <w:t xml:space="preserve">The radiological situation in the surroundings of the nuclear power plant is monitored by the continuous measurement of gaseous and liquid radioactive discharges and by carrying out radioactivity measurements of environmental samples. The measured values of the analysed radionuclides in environmental samples (in air, soil, surface and underground water, precipitation, drinking water, food, and feedstuffs) during the normal operation of the plant are low, usually considerably lower than the detection limits of analytical procedures. The impacts of the NPP on the environment are therefore only evaluated based on data on gaseous and liquid discharges. These discharge data are used as an input for modelling the dispersion of radionuclides in the </w:t>
      </w:r>
      <w:r w:rsidRPr="00CD2EEF">
        <w:rPr>
          <w:lang w:val="en-GB"/>
        </w:rPr>
        <w:lastRenderedPageBreak/>
        <w:t>environment. The low results of the measurements in the environment of the NPP during normal operation confirm that radioactive discharges into the atmosphere and in aquifers were low. In the event of an emergency, the established monitoring network allows the immediate sampling and analysis of contaminated samples.</w:t>
      </w:r>
    </w:p>
    <w:p w14:paraId="13005C1E" w14:textId="124C1B44" w:rsidR="005248D4" w:rsidRPr="00CD2EEF" w:rsidRDefault="005248D4" w:rsidP="008F5FA1">
      <w:pPr>
        <w:pStyle w:val="LPnavaden"/>
        <w:rPr>
          <w:lang w:val="en-GB"/>
        </w:rPr>
      </w:pPr>
      <w:r w:rsidRPr="00CD2EEF">
        <w:rPr>
          <w:lang w:val="en-GB"/>
        </w:rPr>
        <w:t xml:space="preserve">In 2021, independent verification measurements were performed, following a slightly modified programme that considered the measurements of milk and rainwater. The independent verification measurements were performed by the JSI and the IOS. The results of the measurements of liquid discharges carried out by </w:t>
      </w:r>
      <w:r w:rsidR="001B146F">
        <w:rPr>
          <w:lang w:val="en-GB"/>
        </w:rPr>
        <w:t>the Krško NPP</w:t>
      </w:r>
      <w:r w:rsidRPr="00CD2EEF">
        <w:rPr>
          <w:lang w:val="en-GB"/>
        </w:rPr>
        <w:t xml:space="preserve"> were fully consistent with the results of measurements carried out by the laboratory authorised to perform the monitoring of radiation, i.e. the JSI. However, it was not possible to compare gas emissions due to the low values, which were below the detection limit. The measurement results of samples from the environment between the authorised organisations, namely </w:t>
      </w:r>
      <w:r w:rsidR="00A726E8">
        <w:rPr>
          <w:lang w:val="en-GB"/>
        </w:rPr>
        <w:t>the</w:t>
      </w:r>
      <w:r w:rsidRPr="00CD2EEF">
        <w:rPr>
          <w:lang w:val="en-GB"/>
        </w:rPr>
        <w:t xml:space="preserve"> JSI and the IOS, were comparable for milk samples and diverged for rainwater </w:t>
      </w:r>
      <w:r w:rsidR="00EE7A05">
        <w:rPr>
          <w:lang w:val="en-GB"/>
        </w:rPr>
        <w:t>by approximately</w:t>
      </w:r>
      <w:r w:rsidR="00EE7A05" w:rsidRPr="00CD2EEF">
        <w:rPr>
          <w:lang w:val="en-GB"/>
        </w:rPr>
        <w:t xml:space="preserve"> </w:t>
      </w:r>
      <w:r w:rsidRPr="00CD2EEF">
        <w:rPr>
          <w:lang w:val="en-GB"/>
        </w:rPr>
        <w:t>7</w:t>
      </w:r>
      <w:r w:rsidR="00E30262">
        <w:rPr>
          <w:lang w:val="en-GB"/>
        </w:rPr>
        <w:t>%</w:t>
      </w:r>
      <w:r w:rsidRPr="00CD2EEF">
        <w:rPr>
          <w:lang w:val="en-GB"/>
        </w:rPr>
        <w:t>.</w:t>
      </w:r>
    </w:p>
    <w:p w14:paraId="0FDAA74B" w14:textId="26E3C1B0" w:rsidR="005248D4" w:rsidRPr="00CD2EEF" w:rsidRDefault="005248D4" w:rsidP="0057789F">
      <w:pPr>
        <w:pStyle w:val="LPNaslov4"/>
        <w:rPr>
          <w:lang w:val="en-GB"/>
        </w:rPr>
      </w:pPr>
      <w:bookmarkStart w:id="190" w:name="_Toc74219337"/>
      <w:r w:rsidRPr="00CD2EEF">
        <w:rPr>
          <w:lang w:val="en-GB"/>
        </w:rPr>
        <w:t xml:space="preserve">Radioactive </w:t>
      </w:r>
      <w:r w:rsidR="00717416">
        <w:rPr>
          <w:lang w:val="en-GB"/>
        </w:rPr>
        <w:t>D</w:t>
      </w:r>
      <w:r w:rsidRPr="00CD2EEF">
        <w:rPr>
          <w:lang w:val="en-GB"/>
        </w:rPr>
        <w:t>ischarges</w:t>
      </w:r>
      <w:bookmarkEnd w:id="190"/>
    </w:p>
    <w:p w14:paraId="5250AB28" w14:textId="0C45ADDE" w:rsidR="005248D4" w:rsidRPr="00CD2EEF" w:rsidRDefault="005248D4" w:rsidP="00FF0400">
      <w:pPr>
        <w:pStyle w:val="LPnavaden"/>
        <w:rPr>
          <w:lang w:val="en-GB"/>
        </w:rPr>
      </w:pPr>
      <w:r w:rsidRPr="00CD2EEF">
        <w:rPr>
          <w:lang w:val="en-GB"/>
        </w:rPr>
        <w:t>In 2021, an outage took place, which typically means higher radioactive releases. The values were within the average value for the years when an outage was carried out. Noble gases predominate in the gaseous discharges. The emissions of noble gases into the atmosphere amounted to 0.851 TBq in 2021, resulting in a dose exposure that represents 0.06</w:t>
      </w:r>
      <w:r w:rsidR="00E30262">
        <w:rPr>
          <w:lang w:val="en-GB"/>
        </w:rPr>
        <w:t>%</w:t>
      </w:r>
      <w:r w:rsidRPr="00CD2EEF">
        <w:rPr>
          <w:lang w:val="en-GB"/>
        </w:rPr>
        <w:t xml:space="preserve"> of the total limit. The predominant noble gas was the very short-lived activation radionuclide </w:t>
      </w:r>
      <w:r w:rsidRPr="00CD2EEF">
        <w:rPr>
          <w:rStyle w:val="LPnadpisano"/>
          <w:rFonts w:eastAsiaTheme="majorEastAsia"/>
          <w:lang w:val="en-GB"/>
        </w:rPr>
        <w:t>41</w:t>
      </w:r>
      <w:r w:rsidRPr="00CD2EEF">
        <w:rPr>
          <w:lang w:val="en-GB"/>
        </w:rPr>
        <w:t>Ar. In 2021, radioactive iodine radionuclides were detected in discharges, around 0.001</w:t>
      </w:r>
      <w:r w:rsidR="00E30262">
        <w:rPr>
          <w:lang w:val="en-GB"/>
        </w:rPr>
        <w:t>%</w:t>
      </w:r>
      <w:r w:rsidRPr="00CD2EEF">
        <w:rPr>
          <w:lang w:val="en-GB"/>
        </w:rPr>
        <w:t xml:space="preserve"> of </w:t>
      </w:r>
      <w:r w:rsidR="009B41A5">
        <w:rPr>
          <w:lang w:val="en-GB"/>
        </w:rPr>
        <w:t xml:space="preserve">the </w:t>
      </w:r>
      <w:r w:rsidRPr="00CD2EEF">
        <w:rPr>
          <w:lang w:val="en-GB"/>
        </w:rPr>
        <w:t xml:space="preserve">annual regulatory limit. The discharged activity of radioactive particulates was negligible in 2021. Regarding </w:t>
      </w:r>
      <w:r w:rsidRPr="00CD2EEF">
        <w:rPr>
          <w:vertAlign w:val="superscript"/>
          <w:lang w:val="en-GB"/>
        </w:rPr>
        <w:t>3</w:t>
      </w:r>
      <w:r w:rsidRPr="00CD2EEF">
        <w:rPr>
          <w:lang w:val="en-GB"/>
        </w:rPr>
        <w:t xml:space="preserve">H discharges into the atmosphere, a slight increase in the activity of </w:t>
      </w:r>
      <w:r w:rsidRPr="00CD2EEF">
        <w:rPr>
          <w:vertAlign w:val="superscript"/>
          <w:lang w:val="en-GB"/>
        </w:rPr>
        <w:t>3</w:t>
      </w:r>
      <w:r w:rsidRPr="00CD2EEF">
        <w:rPr>
          <w:lang w:val="en-GB"/>
        </w:rPr>
        <w:t xml:space="preserve">H in gaseous discharges was observed from year to year. This increase was mainly due to an improvement in the sampling and analysis methods in the laboratory. As expected, the levels of these releases slowly stabilised. The activity of </w:t>
      </w:r>
      <w:r w:rsidRPr="00CD2EEF">
        <w:rPr>
          <w:vertAlign w:val="superscript"/>
          <w:lang w:val="en-GB"/>
        </w:rPr>
        <w:t>14</w:t>
      </w:r>
      <w:r w:rsidRPr="00CD2EEF">
        <w:rPr>
          <w:lang w:val="en-GB"/>
        </w:rPr>
        <w:t>C corresponds to the typical values when the outage takes place.</w:t>
      </w:r>
    </w:p>
    <w:p w14:paraId="7BC2FF3C" w14:textId="4AC1D28E" w:rsidR="005248D4" w:rsidRPr="00CD2EEF" w:rsidRDefault="005248D4" w:rsidP="00FF0400">
      <w:pPr>
        <w:pStyle w:val="LPnavaden"/>
        <w:rPr>
          <w:lang w:val="en-GB"/>
        </w:rPr>
      </w:pPr>
      <w:r w:rsidRPr="00CD2EEF">
        <w:rPr>
          <w:rStyle w:val="LPnadpisano"/>
          <w:rFonts w:eastAsiaTheme="majorEastAsia"/>
          <w:lang w:val="en-GB"/>
        </w:rPr>
        <w:t>3</w:t>
      </w:r>
      <w:r w:rsidRPr="00CD2EEF">
        <w:rPr>
          <w:szCs w:val="24"/>
          <w:lang w:val="en-GB"/>
        </w:rPr>
        <w:t xml:space="preserve">H, bound to water molecules, predominates in liquid discharges from the plant into the Sava River. Total </w:t>
      </w:r>
      <w:r w:rsidRPr="00CD2EEF">
        <w:rPr>
          <w:rStyle w:val="LPnadpisano"/>
          <w:rFonts w:eastAsiaTheme="majorEastAsia"/>
          <w:lang w:val="en-GB"/>
        </w:rPr>
        <w:t>3</w:t>
      </w:r>
      <w:r w:rsidRPr="00CD2EEF">
        <w:rPr>
          <w:szCs w:val="24"/>
          <w:lang w:val="en-GB"/>
        </w:rPr>
        <w:t>H activity released in 2021 was expected to be higher and amounted to 16.1 TBq, which is 36</w:t>
      </w:r>
      <w:r w:rsidR="00E30262">
        <w:rPr>
          <w:szCs w:val="24"/>
          <w:lang w:val="en-GB"/>
        </w:rPr>
        <w:t>%</w:t>
      </w:r>
      <w:r w:rsidRPr="00CD2EEF">
        <w:rPr>
          <w:szCs w:val="24"/>
          <w:lang w:val="en-GB"/>
        </w:rPr>
        <w:t xml:space="preserve"> of the annual regulatory limit (45 TBq). Due to its low radiotoxicity, despite its higher activity, tritium is radiologically less important in comparison to other radioactive contaminants. The activity of other radioisotopes in liquid discharges was also slightly higher than in the previous year and amounted to 35.6 MBq, or 0.04</w:t>
      </w:r>
      <w:r w:rsidR="00E30262">
        <w:rPr>
          <w:szCs w:val="24"/>
          <w:lang w:val="en-GB"/>
        </w:rPr>
        <w:t>%</w:t>
      </w:r>
      <w:r w:rsidRPr="00CD2EEF">
        <w:rPr>
          <w:szCs w:val="24"/>
          <w:lang w:val="en-GB"/>
        </w:rPr>
        <w:t xml:space="preserve"> of the annual limit (100 GBq). The </w:t>
      </w:r>
      <w:r w:rsidR="005476EB">
        <w:rPr>
          <w:szCs w:val="24"/>
          <w:lang w:val="en-GB"/>
        </w:rPr>
        <w:t xml:space="preserve">amount of </w:t>
      </w:r>
      <w:r w:rsidRPr="00CD2EEF">
        <w:rPr>
          <w:rStyle w:val="LPnadpisano"/>
          <w:rFonts w:eastAsiaTheme="majorEastAsia"/>
          <w:lang w:val="en-GB"/>
        </w:rPr>
        <w:t>137</w:t>
      </w:r>
      <w:r w:rsidRPr="00CD2EEF">
        <w:rPr>
          <w:szCs w:val="24"/>
          <w:lang w:val="en-GB"/>
        </w:rPr>
        <w:t xml:space="preserve">C </w:t>
      </w:r>
      <w:r w:rsidR="005476EB" w:rsidRPr="00CD2EEF">
        <w:rPr>
          <w:szCs w:val="24"/>
          <w:lang w:val="en-GB"/>
        </w:rPr>
        <w:t xml:space="preserve">released </w:t>
      </w:r>
      <w:r w:rsidRPr="00CD2EEF">
        <w:rPr>
          <w:szCs w:val="24"/>
          <w:lang w:val="en-GB"/>
        </w:rPr>
        <w:t>from the NPP</w:t>
      </w:r>
      <w:r w:rsidR="005476EB">
        <w:rPr>
          <w:szCs w:val="24"/>
          <w:lang w:val="en-GB"/>
        </w:rPr>
        <w:t xml:space="preserve"> </w:t>
      </w:r>
      <w:r w:rsidR="005476EB" w:rsidRPr="00CD2EEF">
        <w:rPr>
          <w:szCs w:val="24"/>
          <w:lang w:val="en-GB"/>
        </w:rPr>
        <w:t>annually</w:t>
      </w:r>
      <w:r w:rsidRPr="00CD2EEF">
        <w:rPr>
          <w:szCs w:val="24"/>
          <w:lang w:val="en-GB"/>
        </w:rPr>
        <w:t xml:space="preserve"> was 1.8 </w:t>
      </w:r>
      <w:r w:rsidRPr="00CD2EEF">
        <w:rPr>
          <w:lang w:val="en-GB"/>
        </w:rPr>
        <w:t xml:space="preserve">MBq, which is lower compared to previous years. The estimated </w:t>
      </w:r>
      <w:r w:rsidR="008C6911" w:rsidRPr="00CD2EEF">
        <w:rPr>
          <w:lang w:val="en-GB"/>
        </w:rPr>
        <w:t>conce</w:t>
      </w:r>
      <w:r w:rsidR="008C6911">
        <w:rPr>
          <w:lang w:val="en-GB"/>
        </w:rPr>
        <w:t>ntr</w:t>
      </w:r>
      <w:r w:rsidR="008C6911" w:rsidRPr="00CD2EEF">
        <w:rPr>
          <w:lang w:val="en-GB"/>
        </w:rPr>
        <w:t xml:space="preserve">ation </w:t>
      </w:r>
      <w:r w:rsidRPr="00CD2EEF">
        <w:rPr>
          <w:lang w:val="en-GB"/>
        </w:rPr>
        <w:t xml:space="preserve">of </w:t>
      </w:r>
      <w:r w:rsidRPr="00CD2EEF">
        <w:rPr>
          <w:rStyle w:val="LPnadpisano"/>
          <w:rFonts w:eastAsiaTheme="majorEastAsia"/>
          <w:lang w:val="en-GB"/>
        </w:rPr>
        <w:t>137</w:t>
      </w:r>
      <w:r w:rsidRPr="00CD2EEF">
        <w:rPr>
          <w:lang w:val="en-GB"/>
        </w:rPr>
        <w:t xml:space="preserve">Cs activity in the Sava River in the vicinity of </w:t>
      </w:r>
      <w:r w:rsidR="001B146F">
        <w:rPr>
          <w:lang w:val="en-GB"/>
        </w:rPr>
        <w:t>the Krško NPP</w:t>
      </w:r>
      <w:r w:rsidRPr="00CD2EEF">
        <w:rPr>
          <w:lang w:val="en-GB"/>
        </w:rPr>
        <w:t xml:space="preserve"> due to releases was far below the detection limit; therefore, the contribution from releases cannot be separated from the global contamination.</w:t>
      </w:r>
      <w:r w:rsidRPr="00CD2EEF">
        <w:rPr>
          <w:szCs w:val="24"/>
          <w:lang w:val="en-GB"/>
        </w:rPr>
        <w:t xml:space="preserve"> In 2021, the total activity of released </w:t>
      </w:r>
      <w:r w:rsidRPr="00CD2EEF">
        <w:rPr>
          <w:szCs w:val="24"/>
          <w:vertAlign w:val="superscript"/>
          <w:lang w:val="en-GB"/>
        </w:rPr>
        <w:t>14</w:t>
      </w:r>
      <w:r w:rsidRPr="00CD2EEF">
        <w:rPr>
          <w:szCs w:val="24"/>
          <w:lang w:val="en-GB"/>
        </w:rPr>
        <w:t xml:space="preserve">C was 0.132 GBq, which is comparable to recent years and less than suggested in the literature and international practice, </w:t>
      </w:r>
      <w:r w:rsidR="00457753">
        <w:rPr>
          <w:szCs w:val="24"/>
          <w:lang w:val="en-GB"/>
        </w:rPr>
        <w:t xml:space="preserve">i.e. </w:t>
      </w:r>
      <w:r w:rsidRPr="00CD2EEF">
        <w:rPr>
          <w:szCs w:val="24"/>
          <w:lang w:val="en-GB"/>
        </w:rPr>
        <w:t>0.07 Ci/GW(e)/year or 1.8 GBq/year.</w:t>
      </w:r>
    </w:p>
    <w:p w14:paraId="02C69B9C" w14:textId="08B76E5A" w:rsidR="005248D4" w:rsidRPr="00CD2EEF" w:rsidRDefault="00447204" w:rsidP="008F5FA1">
      <w:pPr>
        <w:pStyle w:val="LPnavaden"/>
        <w:rPr>
          <w:lang w:val="en-GB"/>
        </w:rPr>
      </w:pPr>
      <w:hyperlink w:anchor="fig23" w:history="1">
        <w:r w:rsidR="005248D4" w:rsidRPr="00CD2EEF">
          <w:rPr>
            <w:rStyle w:val="Hiperpovezava"/>
            <w:lang w:val="en-GB"/>
          </w:rPr>
          <w:t>Figure 23</w:t>
        </w:r>
      </w:hyperlink>
      <w:r w:rsidR="005248D4" w:rsidRPr="00CD2EEF">
        <w:rPr>
          <w:lang w:val="en-GB"/>
        </w:rPr>
        <w:t xml:space="preserve"> shows the activity of </w:t>
      </w:r>
      <w:r w:rsidR="005248D4" w:rsidRPr="00CD2EEF">
        <w:rPr>
          <w:rStyle w:val="LPnadpisano"/>
          <w:lang w:val="en-GB"/>
        </w:rPr>
        <w:t>3</w:t>
      </w:r>
      <w:r w:rsidR="005248D4" w:rsidRPr="00CD2EEF">
        <w:rPr>
          <w:lang w:val="en-GB"/>
        </w:rPr>
        <w:t xml:space="preserve">H </w:t>
      </w:r>
      <w:r w:rsidR="002929FA" w:rsidRPr="00CD2EEF">
        <w:rPr>
          <w:lang w:val="en-GB"/>
        </w:rPr>
        <w:t xml:space="preserve">released </w:t>
      </w:r>
      <w:r w:rsidR="005248D4" w:rsidRPr="00CD2EEF">
        <w:rPr>
          <w:lang w:val="en-GB"/>
        </w:rPr>
        <w:t>in liquid discharges from 1983 to</w:t>
      </w:r>
      <w:r w:rsidR="005248D4" w:rsidRPr="00CD2EEF" w:rsidDel="00B11E04">
        <w:rPr>
          <w:lang w:val="en-GB"/>
        </w:rPr>
        <w:t xml:space="preserve"> </w:t>
      </w:r>
      <w:r w:rsidR="005248D4" w:rsidRPr="00CD2EEF">
        <w:rPr>
          <w:lang w:val="en-GB"/>
        </w:rPr>
        <w:t>2021.</w:t>
      </w:r>
    </w:p>
    <w:p w14:paraId="184C5810" w14:textId="77777777" w:rsidR="005248D4" w:rsidRPr="00CD2EEF" w:rsidRDefault="005248D4" w:rsidP="005C296D">
      <w:pPr>
        <w:pStyle w:val="LPnavaden"/>
        <w:jc w:val="center"/>
        <w:rPr>
          <w:lang w:val="en-GB"/>
        </w:rPr>
      </w:pPr>
      <w:bookmarkStart w:id="191" w:name="fig23"/>
      <w:r w:rsidRPr="00CD2EEF">
        <w:rPr>
          <w:noProof/>
          <w:lang w:val="en-GB"/>
        </w:rPr>
        <w:lastRenderedPageBreak/>
        <w:drawing>
          <wp:inline distT="0" distB="0" distL="0" distR="0" wp14:anchorId="609AE5C5" wp14:editId="5C2F726E">
            <wp:extent cx="5760720" cy="3489325"/>
            <wp:effectExtent l="0" t="0" r="0" b="0"/>
            <wp:docPr id="50" name="Grafikon 50" descr="graphical introduction of 3H discharges in NPP since 19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DB0D9F" w14:textId="1E46FD41" w:rsidR="005248D4" w:rsidRPr="00CD2EEF" w:rsidRDefault="008B7E7C" w:rsidP="008B7E7C">
      <w:pPr>
        <w:pStyle w:val="LPnaslovslika"/>
        <w:rPr>
          <w:lang w:val="en-GB"/>
        </w:rPr>
      </w:pPr>
      <w:bookmarkStart w:id="192" w:name="_Toc480790824"/>
      <w:bookmarkStart w:id="193" w:name="_Toc483815898"/>
      <w:bookmarkStart w:id="194" w:name="_Toc76973092"/>
      <w:bookmarkStart w:id="195" w:name="_Toc126309902"/>
      <w:bookmarkEnd w:id="191"/>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23</w:t>
      </w:r>
      <w:r w:rsidR="00366B6D" w:rsidRPr="00CD2EEF">
        <w:rPr>
          <w:lang w:val="en-GB"/>
        </w:rPr>
        <w:fldChar w:fldCharType="end"/>
      </w:r>
      <w:r w:rsidR="005248D4" w:rsidRPr="00CD2EEF">
        <w:rPr>
          <w:lang w:val="en-GB"/>
        </w:rPr>
        <w:t xml:space="preserve">: </w:t>
      </w:r>
      <w:r w:rsidR="00B41A9A">
        <w:rPr>
          <w:lang w:val="en-GB"/>
        </w:rPr>
        <w:t>The a</w:t>
      </w:r>
      <w:r w:rsidR="005248D4" w:rsidRPr="00CD2EEF">
        <w:rPr>
          <w:lang w:val="en-GB"/>
        </w:rPr>
        <w:t xml:space="preserve">ctivity of released </w:t>
      </w:r>
      <w:r w:rsidR="005248D4" w:rsidRPr="00CD2EEF">
        <w:rPr>
          <w:rStyle w:val="LPnadpisano"/>
          <w:lang w:val="en-GB"/>
        </w:rPr>
        <w:t>3</w:t>
      </w:r>
      <w:r w:rsidR="005248D4" w:rsidRPr="00CD2EEF">
        <w:rPr>
          <w:lang w:val="en-GB"/>
        </w:rPr>
        <w:t xml:space="preserve">H in liquid discharges in </w:t>
      </w:r>
      <w:bookmarkEnd w:id="192"/>
      <w:bookmarkEnd w:id="193"/>
      <w:bookmarkEnd w:id="194"/>
      <w:r w:rsidR="001B146F">
        <w:rPr>
          <w:lang w:val="en-GB"/>
        </w:rPr>
        <w:t>the Krško NPP</w:t>
      </w:r>
      <w:bookmarkEnd w:id="195"/>
    </w:p>
    <w:p w14:paraId="45A652E5" w14:textId="77777777" w:rsidR="005248D4" w:rsidRPr="00CD2EEF" w:rsidRDefault="005248D4" w:rsidP="0057789F">
      <w:pPr>
        <w:pStyle w:val="LPNaslov4"/>
        <w:rPr>
          <w:lang w:val="en-GB"/>
        </w:rPr>
      </w:pPr>
      <w:bookmarkStart w:id="196" w:name="_Toc74219338"/>
      <w:r w:rsidRPr="00CD2EEF">
        <w:rPr>
          <w:lang w:val="en-GB"/>
        </w:rPr>
        <w:t>Exposure of the Public</w:t>
      </w:r>
      <w:bookmarkEnd w:id="196"/>
    </w:p>
    <w:p w14:paraId="18C6F5A2" w14:textId="77777777" w:rsidR="005248D4" w:rsidRPr="00CD2EEF" w:rsidRDefault="005248D4" w:rsidP="00FF0400">
      <w:pPr>
        <w:pStyle w:val="LPnavaden"/>
        <w:rPr>
          <w:highlight w:val="yellow"/>
          <w:lang w:val="en-GB"/>
        </w:rPr>
      </w:pPr>
      <w:r w:rsidRPr="00CD2EEF">
        <w:rPr>
          <w:lang w:val="en-GB"/>
        </w:rPr>
        <w:t>The programme for monitoring environmental radioactivity that may be attributed to the above-mentioned discharges comprises the following measurements of the concentrations or contents of radionuclides in environmental samples in:</w:t>
      </w:r>
    </w:p>
    <w:p w14:paraId="23CA048C" w14:textId="77777777" w:rsidR="005248D4" w:rsidRPr="00CD2EEF" w:rsidRDefault="005248D4" w:rsidP="00FF0400">
      <w:pPr>
        <w:pStyle w:val="LPalineje"/>
        <w:shd w:val="clear" w:color="auto" w:fill="auto"/>
        <w:tabs>
          <w:tab w:val="num" w:pos="340"/>
        </w:tabs>
        <w:suppressAutoHyphens w:val="0"/>
        <w:spacing w:after="60"/>
        <w:ind w:left="340" w:hanging="340"/>
        <w:rPr>
          <w:lang w:val="en-GB"/>
        </w:rPr>
      </w:pPr>
      <w:r w:rsidRPr="00CD2EEF">
        <w:rPr>
          <w:lang w:val="en-GB"/>
        </w:rPr>
        <w:t>air (aerosol and iodine filters),</w:t>
      </w:r>
    </w:p>
    <w:p w14:paraId="181D2748" w14:textId="77777777" w:rsidR="005248D4" w:rsidRPr="00CD2EEF" w:rsidRDefault="005248D4" w:rsidP="00FF0400">
      <w:pPr>
        <w:pStyle w:val="LPalineje"/>
        <w:shd w:val="clear" w:color="auto" w:fill="auto"/>
        <w:tabs>
          <w:tab w:val="num" w:pos="340"/>
        </w:tabs>
        <w:suppressAutoHyphens w:val="0"/>
        <w:spacing w:after="60"/>
        <w:ind w:left="340" w:hanging="340"/>
        <w:rPr>
          <w:lang w:val="en-GB"/>
        </w:rPr>
      </w:pPr>
      <w:r w:rsidRPr="00CD2EEF">
        <w:rPr>
          <w:lang w:val="en-GB"/>
        </w:rPr>
        <w:t>dry and wet deposition (dry and wet precipitation),</w:t>
      </w:r>
    </w:p>
    <w:p w14:paraId="3178C661" w14:textId="77777777" w:rsidR="005248D4" w:rsidRPr="00CD2EEF" w:rsidRDefault="005248D4" w:rsidP="00FF0400">
      <w:pPr>
        <w:pStyle w:val="LPalineje"/>
        <w:shd w:val="clear" w:color="auto" w:fill="auto"/>
        <w:tabs>
          <w:tab w:val="num" w:pos="340"/>
        </w:tabs>
        <w:suppressAutoHyphens w:val="0"/>
        <w:spacing w:after="60"/>
        <w:ind w:left="340" w:hanging="340"/>
        <w:rPr>
          <w:lang w:val="en-GB"/>
        </w:rPr>
      </w:pPr>
      <w:r w:rsidRPr="00CD2EEF">
        <w:rPr>
          <w:lang w:val="en-GB"/>
        </w:rPr>
        <w:t>Sava River water, sediments, and water biota (fish),</w:t>
      </w:r>
    </w:p>
    <w:p w14:paraId="015F4D2F" w14:textId="2EAF3E9A" w:rsidR="005248D4" w:rsidRPr="00CD2EEF" w:rsidRDefault="005248D4" w:rsidP="008F21AC">
      <w:pPr>
        <w:pStyle w:val="LPalineje"/>
        <w:shd w:val="clear" w:color="auto" w:fill="auto"/>
        <w:tabs>
          <w:tab w:val="num" w:pos="340"/>
        </w:tabs>
        <w:suppressAutoHyphens w:val="0"/>
        <w:spacing w:after="60"/>
        <w:ind w:left="340" w:hanging="340"/>
        <w:rPr>
          <w:lang w:val="en-GB"/>
        </w:rPr>
      </w:pPr>
      <w:r w:rsidRPr="00CD2EEF">
        <w:rPr>
          <w:lang w:val="en-GB"/>
        </w:rPr>
        <w:t>drinking water (</w:t>
      </w:r>
      <w:r w:rsidR="00553DCF">
        <w:rPr>
          <w:lang w:val="en-GB"/>
        </w:rPr>
        <w:t xml:space="preserve">the </w:t>
      </w:r>
      <w:r w:rsidRPr="00CD2EEF">
        <w:rPr>
          <w:lang w:val="en-GB"/>
        </w:rPr>
        <w:t>Krško and Brežice Rivers), wells</w:t>
      </w:r>
      <w:r w:rsidR="00D212B4">
        <w:rPr>
          <w:lang w:val="en-GB"/>
        </w:rPr>
        <w:t>,</w:t>
      </w:r>
      <w:r w:rsidRPr="00CD2EEF">
        <w:rPr>
          <w:lang w:val="en-GB"/>
        </w:rPr>
        <w:t xml:space="preserve"> and underground water,</w:t>
      </w:r>
    </w:p>
    <w:p w14:paraId="4020C4AA" w14:textId="77777777" w:rsidR="005248D4" w:rsidRPr="00CD2EEF" w:rsidRDefault="005248D4" w:rsidP="00FF0400">
      <w:pPr>
        <w:pStyle w:val="LPalineje"/>
        <w:shd w:val="clear" w:color="auto" w:fill="auto"/>
        <w:tabs>
          <w:tab w:val="num" w:pos="340"/>
        </w:tabs>
        <w:suppressAutoHyphens w:val="0"/>
        <w:spacing w:after="60"/>
        <w:ind w:left="340" w:hanging="340"/>
        <w:rPr>
          <w:lang w:val="en-GB"/>
        </w:rPr>
      </w:pPr>
      <w:r w:rsidRPr="00CD2EEF">
        <w:rPr>
          <w:lang w:val="en-GB"/>
        </w:rPr>
        <w:t>food of vegetable and animal origin (including milk),</w:t>
      </w:r>
    </w:p>
    <w:p w14:paraId="44257744" w14:textId="29380552" w:rsidR="005248D4" w:rsidRPr="00CD2EEF" w:rsidRDefault="005248D4" w:rsidP="00FF0400">
      <w:pPr>
        <w:pStyle w:val="LPalineje"/>
        <w:shd w:val="clear" w:color="auto" w:fill="auto"/>
        <w:tabs>
          <w:tab w:val="num" w:pos="340"/>
        </w:tabs>
        <w:suppressAutoHyphens w:val="0"/>
        <w:spacing w:after="60"/>
        <w:ind w:left="340" w:hanging="340"/>
        <w:rPr>
          <w:lang w:val="en-GB"/>
        </w:rPr>
      </w:pPr>
      <w:r w:rsidRPr="00CD2EEF">
        <w:rPr>
          <w:lang w:val="en-GB"/>
        </w:rPr>
        <w:t>soil on cultivated and uncultivated areas</w:t>
      </w:r>
      <w:r w:rsidR="00553DCF">
        <w:rPr>
          <w:lang w:val="en-GB"/>
        </w:rPr>
        <w:t>,</w:t>
      </w:r>
      <w:r w:rsidRPr="00CD2EEF">
        <w:rPr>
          <w:lang w:val="en-GB"/>
        </w:rPr>
        <w:t xml:space="preserve"> and</w:t>
      </w:r>
    </w:p>
    <w:p w14:paraId="6C5D31E9" w14:textId="77777777" w:rsidR="005248D4" w:rsidRPr="00CD2EEF" w:rsidRDefault="005248D4" w:rsidP="00FF0400">
      <w:pPr>
        <w:pStyle w:val="LPalineje"/>
        <w:shd w:val="clear" w:color="auto" w:fill="auto"/>
        <w:tabs>
          <w:tab w:val="num" w:pos="340"/>
        </w:tabs>
        <w:suppressAutoHyphens w:val="0"/>
        <w:spacing w:after="60"/>
        <w:ind w:left="340" w:hanging="340"/>
        <w:rPr>
          <w:lang w:val="en-GB"/>
        </w:rPr>
      </w:pPr>
      <w:r w:rsidRPr="00CD2EEF">
        <w:rPr>
          <w:lang w:val="en-GB"/>
        </w:rPr>
        <w:t>measurements of ambient dose equivalents at several locations.</w:t>
      </w:r>
    </w:p>
    <w:p w14:paraId="4E50990D" w14:textId="0AEFB47D" w:rsidR="005248D4" w:rsidRPr="00CD2EEF" w:rsidRDefault="005248D4" w:rsidP="00FF0400">
      <w:pPr>
        <w:pStyle w:val="LPnavaden"/>
        <w:rPr>
          <w:lang w:val="en-GB"/>
        </w:rPr>
      </w:pPr>
      <w:r w:rsidRPr="00CD2EEF">
        <w:rPr>
          <w:lang w:val="en-GB"/>
        </w:rPr>
        <w:t xml:space="preserve">Dose assessment of the public was carried out by contractors and was based on discharge measurements and model calculations </w:t>
      </w:r>
      <w:r w:rsidR="0043124F" w:rsidRPr="008F46F9">
        <w:rPr>
          <w:lang w:val="en-GB"/>
        </w:rPr>
        <w:t xml:space="preserve">as </w:t>
      </w:r>
      <w:r w:rsidR="0039244B" w:rsidRPr="0043124F">
        <w:rPr>
          <w:lang w:val="en-GB"/>
        </w:rPr>
        <w:t xml:space="preserve">the </w:t>
      </w:r>
      <w:r w:rsidRPr="0043124F">
        <w:rPr>
          <w:lang w:val="en-GB"/>
        </w:rPr>
        <w:t xml:space="preserve">influence of </w:t>
      </w:r>
      <w:r w:rsidR="001B146F" w:rsidRPr="0043124F">
        <w:rPr>
          <w:lang w:val="en-GB"/>
        </w:rPr>
        <w:t>the Krško NPP</w:t>
      </w:r>
      <w:r w:rsidRPr="0043124F">
        <w:rPr>
          <w:lang w:val="en-GB"/>
        </w:rPr>
        <w:t xml:space="preserve"> on the concentrations of radionuclides in environmental samples is mostly not measurable</w:t>
      </w:r>
      <w:r w:rsidRPr="00CD2EEF">
        <w:rPr>
          <w:lang w:val="en-GB"/>
        </w:rPr>
        <w:t>. The model is based on the calculation of dilution factors for air discharges, on the basis of real meteorological data</w:t>
      </w:r>
      <w:r w:rsidR="00B77CBE">
        <w:rPr>
          <w:lang w:val="en-GB"/>
        </w:rPr>
        <w:t>,</w:t>
      </w:r>
      <w:r w:rsidRPr="00CD2EEF">
        <w:rPr>
          <w:lang w:val="en-GB"/>
        </w:rPr>
        <w:t xml:space="preserve"> and</w:t>
      </w:r>
      <w:r w:rsidR="00B77CBE">
        <w:rPr>
          <w:lang w:val="en-GB"/>
        </w:rPr>
        <w:t xml:space="preserve"> the</w:t>
      </w:r>
      <w:r w:rsidRPr="00CD2EEF">
        <w:rPr>
          <w:lang w:val="en-GB"/>
        </w:rPr>
        <w:t xml:space="preserve"> method of mixing liquid discharges into the Sava River.</w:t>
      </w:r>
    </w:p>
    <w:p w14:paraId="050C66A9" w14:textId="77CA19DF" w:rsidR="005248D4" w:rsidRPr="00CD2EEF" w:rsidRDefault="005248D4" w:rsidP="00FF0400">
      <w:pPr>
        <w:pStyle w:val="LPnavaden"/>
        <w:rPr>
          <w:b/>
          <w:lang w:val="en-GB"/>
        </w:rPr>
      </w:pPr>
      <w:r w:rsidRPr="00CD2EEF">
        <w:rPr>
          <w:szCs w:val="24"/>
          <w:lang w:val="en-GB"/>
        </w:rPr>
        <w:t xml:space="preserve">The highest annual dose received by adult individuals was due to the intake of </w:t>
      </w:r>
      <w:r w:rsidRPr="00CD2EEF">
        <w:rPr>
          <w:rStyle w:val="LPnadpisano"/>
          <w:rFonts w:eastAsiaTheme="majorEastAsia"/>
          <w:lang w:val="en-GB"/>
        </w:rPr>
        <w:t>14</w:t>
      </w:r>
      <w:r w:rsidRPr="00CD2EEF">
        <w:rPr>
          <w:szCs w:val="24"/>
          <w:lang w:val="en-GB"/>
        </w:rPr>
        <w:t xml:space="preserve">C from vegetable food (0.14 µSv), while a lower dose (0.019 µSv) was also received due to the inhalation of </w:t>
      </w:r>
      <w:r w:rsidRPr="00CD2EEF">
        <w:rPr>
          <w:rStyle w:val="LPnadpisano"/>
          <w:rFonts w:eastAsiaTheme="majorEastAsia"/>
          <w:lang w:val="en-GB"/>
        </w:rPr>
        <w:t>3</w:t>
      </w:r>
      <w:r w:rsidRPr="00CD2EEF">
        <w:rPr>
          <w:szCs w:val="24"/>
          <w:lang w:val="en-GB"/>
        </w:rPr>
        <w:t xml:space="preserve">H and </w:t>
      </w:r>
      <w:r w:rsidRPr="00CD2EEF">
        <w:rPr>
          <w:rStyle w:val="LPnadpisano"/>
          <w:rFonts w:eastAsiaTheme="majorEastAsia"/>
          <w:lang w:val="en-GB"/>
        </w:rPr>
        <w:t>14</w:t>
      </w:r>
      <w:r w:rsidRPr="00CD2EEF">
        <w:rPr>
          <w:szCs w:val="24"/>
          <w:lang w:val="en-GB"/>
        </w:rPr>
        <w:t xml:space="preserve">C. The liquid discharges in 2021 contributed to the additional exposure of individuals from the population (similar to previous years, 0.016 µSv) – of which </w:t>
      </w:r>
      <w:r w:rsidRPr="00CD2EEF">
        <w:rPr>
          <w:szCs w:val="24"/>
          <w:vertAlign w:val="superscript"/>
          <w:lang w:val="en-GB"/>
        </w:rPr>
        <w:t>3</w:t>
      </w:r>
      <w:r w:rsidRPr="00CD2EEF">
        <w:rPr>
          <w:szCs w:val="24"/>
          <w:lang w:val="en-GB"/>
        </w:rPr>
        <w:t xml:space="preserve">H makes the largest contribution. It is estimated that </w:t>
      </w:r>
      <w:r w:rsidRPr="00CD2EEF">
        <w:rPr>
          <w:szCs w:val="24"/>
          <w:vertAlign w:val="superscript"/>
          <w:lang w:val="en-GB"/>
        </w:rPr>
        <w:t>14</w:t>
      </w:r>
      <w:r w:rsidRPr="00CD2EEF">
        <w:rPr>
          <w:szCs w:val="24"/>
          <w:lang w:val="en-GB"/>
        </w:rPr>
        <w:t xml:space="preserve">C still contributes the most to the total dose compared with other radionuclides resulting from the operation of </w:t>
      </w:r>
      <w:r w:rsidR="001B146F">
        <w:rPr>
          <w:szCs w:val="24"/>
          <w:lang w:val="en-GB"/>
        </w:rPr>
        <w:t>the Krško NPP</w:t>
      </w:r>
      <w:r w:rsidRPr="00CD2EEF">
        <w:rPr>
          <w:szCs w:val="24"/>
          <w:lang w:val="en-GB"/>
        </w:rPr>
        <w:t>. It is important to emphasise that all types of exposure of the population were negligible compared to the natural radiation, the dose limits, and the authorised limits.</w:t>
      </w:r>
    </w:p>
    <w:p w14:paraId="47CB1A31" w14:textId="13995216" w:rsidR="005248D4" w:rsidRPr="00CD2EEF" w:rsidRDefault="00447204" w:rsidP="008F5FA1">
      <w:pPr>
        <w:pStyle w:val="LPnavaden"/>
        <w:rPr>
          <w:lang w:val="en-GB"/>
        </w:rPr>
      </w:pPr>
      <w:hyperlink w:anchor="t06" w:history="1">
        <w:r w:rsidR="005248D4" w:rsidRPr="00CD2EEF">
          <w:rPr>
            <w:rStyle w:val="Hiperpovezava"/>
            <w:lang w:val="en-GB"/>
          </w:rPr>
          <w:t>Table 6</w:t>
        </w:r>
      </w:hyperlink>
      <w:r w:rsidR="005248D4" w:rsidRPr="00CD2EEF">
        <w:rPr>
          <w:lang w:val="en-GB"/>
        </w:rPr>
        <w:t xml:space="preserve"> shows that the estimated total annual effective dose of an individual who lives in the surroundings of </w:t>
      </w:r>
      <w:r w:rsidR="001B146F">
        <w:rPr>
          <w:lang w:val="en-GB"/>
        </w:rPr>
        <w:t>the Krško NPP</w:t>
      </w:r>
      <w:r w:rsidR="005248D4" w:rsidRPr="00CD2EEF">
        <w:rPr>
          <w:lang w:val="en-GB"/>
        </w:rPr>
        <w:t xml:space="preserve"> is less than 0.18 µSv. This value represents 0.4</w:t>
      </w:r>
      <w:r w:rsidR="00E30262">
        <w:rPr>
          <w:lang w:val="en-GB"/>
        </w:rPr>
        <w:t>%</w:t>
      </w:r>
      <w:r w:rsidR="005248D4" w:rsidRPr="00CD2EEF">
        <w:rPr>
          <w:lang w:val="en-GB"/>
        </w:rPr>
        <w:t xml:space="preserve"> of the authorised limit value (the dose constraint is 50 µSv per year), or 0.008</w:t>
      </w:r>
      <w:r w:rsidR="00E30262">
        <w:rPr>
          <w:lang w:val="en-GB"/>
        </w:rPr>
        <w:t>%</w:t>
      </w:r>
      <w:r w:rsidR="005248D4" w:rsidRPr="00CD2EEF">
        <w:rPr>
          <w:lang w:val="en-GB"/>
        </w:rPr>
        <w:t xml:space="preserve"> of the effective dose received by an average Slovenian from natural background radiation (2,500</w:t>
      </w:r>
      <w:r w:rsidR="008536B8">
        <w:rPr>
          <w:lang w:val="en-GB"/>
        </w:rPr>
        <w:t>–</w:t>
      </w:r>
      <w:r w:rsidR="005248D4" w:rsidRPr="00CD2EEF">
        <w:rPr>
          <w:lang w:val="en-GB"/>
        </w:rPr>
        <w:t>2,800 µSv per year).</w:t>
      </w:r>
    </w:p>
    <w:p w14:paraId="55B89780" w14:textId="12CAD13C" w:rsidR="005248D4" w:rsidRPr="00CD2EEF" w:rsidRDefault="008B7E7C" w:rsidP="008B7E7C">
      <w:pPr>
        <w:pStyle w:val="LPnaslovpreglednica"/>
        <w:rPr>
          <w:lang w:val="en-GB"/>
        </w:rPr>
      </w:pPr>
      <w:bookmarkStart w:id="197" w:name="_Toc480790380"/>
      <w:bookmarkStart w:id="198" w:name="_Toc483815880"/>
      <w:bookmarkStart w:id="199" w:name="_Toc74219413"/>
      <w:bookmarkStart w:id="200" w:name="_Toc126309913"/>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00BE0188" w:rsidRPr="00CD2EEF">
        <w:rPr>
          <w:lang w:val="en-GB"/>
        </w:rPr>
        <w:t>6</w:t>
      </w:r>
      <w:r w:rsidR="00366B6D" w:rsidRPr="00CD2EEF">
        <w:rPr>
          <w:lang w:val="en-GB"/>
        </w:rPr>
        <w:fldChar w:fldCharType="end"/>
      </w:r>
      <w:r w:rsidR="005248D4" w:rsidRPr="00CD2EEF">
        <w:rPr>
          <w:lang w:val="en-GB"/>
        </w:rPr>
        <w:t xml:space="preserve">: Assessments of the partial exposure of an adult member of the reference public group due to atmospheric and liquid radioactive discharges from </w:t>
      </w:r>
      <w:r w:rsidR="001B146F">
        <w:rPr>
          <w:lang w:val="en-GB"/>
        </w:rPr>
        <w:t>the Krško NPP</w:t>
      </w:r>
      <w:r w:rsidR="005248D4" w:rsidRPr="00CD2EEF">
        <w:rPr>
          <w:lang w:val="en-GB"/>
        </w:rPr>
        <w:t xml:space="preserve"> in </w:t>
      </w:r>
      <w:bookmarkEnd w:id="197"/>
      <w:bookmarkEnd w:id="198"/>
      <w:r w:rsidR="005248D4" w:rsidRPr="00CD2EEF">
        <w:rPr>
          <w:lang w:val="en-GB"/>
        </w:rPr>
        <w:t>2021</w:t>
      </w:r>
      <w:bookmarkEnd w:id="199"/>
      <w:bookmarkEnd w:id="200"/>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47"/>
        <w:gridCol w:w="1979"/>
        <w:gridCol w:w="2982"/>
        <w:gridCol w:w="1547"/>
      </w:tblGrid>
      <w:tr w:rsidR="005248D4" w:rsidRPr="00CD2EEF" w14:paraId="5E3F4CBB" w14:textId="77777777" w:rsidTr="005C296D">
        <w:trPr>
          <w:trHeight w:val="345"/>
        </w:trPr>
        <w:tc>
          <w:tcPr>
            <w:tcW w:w="2547" w:type="dxa"/>
            <w:shd w:val="clear" w:color="auto" w:fill="5B9BD5" w:themeFill="accent1"/>
            <w:vAlign w:val="center"/>
          </w:tcPr>
          <w:p w14:paraId="2598F134" w14:textId="77777777" w:rsidR="005248D4" w:rsidRPr="00CD2EEF" w:rsidRDefault="005248D4" w:rsidP="00764574">
            <w:pPr>
              <w:pStyle w:val="LPpreglednicaglavasredina"/>
              <w:rPr>
                <w:lang w:val="en-GB"/>
              </w:rPr>
            </w:pPr>
            <w:bookmarkStart w:id="201" w:name="t06"/>
            <w:r w:rsidRPr="00CD2EEF">
              <w:rPr>
                <w:lang w:val="en-GB"/>
              </w:rPr>
              <w:t>Type of exposure</w:t>
            </w:r>
          </w:p>
        </w:tc>
        <w:tc>
          <w:tcPr>
            <w:tcW w:w="1979" w:type="dxa"/>
            <w:shd w:val="clear" w:color="auto" w:fill="5B9BD5" w:themeFill="accent1"/>
            <w:vAlign w:val="center"/>
          </w:tcPr>
          <w:p w14:paraId="776A1A59" w14:textId="77777777" w:rsidR="005248D4" w:rsidRPr="00CD2EEF" w:rsidRDefault="005248D4" w:rsidP="00764574">
            <w:pPr>
              <w:pStyle w:val="LPpreglednicaglavasredina"/>
              <w:rPr>
                <w:lang w:val="en-GB"/>
              </w:rPr>
            </w:pPr>
            <w:r w:rsidRPr="00CD2EEF">
              <w:rPr>
                <w:lang w:val="en-GB"/>
              </w:rPr>
              <w:t>Transfer pathway</w:t>
            </w:r>
          </w:p>
        </w:tc>
        <w:tc>
          <w:tcPr>
            <w:tcW w:w="2982" w:type="dxa"/>
            <w:shd w:val="clear" w:color="auto" w:fill="5B9BD5" w:themeFill="accent1"/>
            <w:vAlign w:val="center"/>
          </w:tcPr>
          <w:p w14:paraId="3C81CCF5" w14:textId="77777777" w:rsidR="005248D4" w:rsidRPr="00CD2EEF" w:rsidRDefault="005248D4" w:rsidP="00764574">
            <w:pPr>
              <w:pStyle w:val="LPpreglednicaglavasredina"/>
              <w:rPr>
                <w:lang w:val="en-GB"/>
              </w:rPr>
            </w:pPr>
            <w:r w:rsidRPr="00CD2EEF">
              <w:rPr>
                <w:lang w:val="en-GB"/>
              </w:rPr>
              <w:t>The most important radionuclides</w:t>
            </w:r>
          </w:p>
        </w:tc>
        <w:tc>
          <w:tcPr>
            <w:tcW w:w="1547" w:type="dxa"/>
            <w:shd w:val="clear" w:color="auto" w:fill="5B9BD5" w:themeFill="accent1"/>
            <w:vAlign w:val="center"/>
          </w:tcPr>
          <w:p w14:paraId="5AA099F6" w14:textId="77777777" w:rsidR="005248D4" w:rsidRPr="00CD2EEF" w:rsidRDefault="005248D4" w:rsidP="00764574">
            <w:pPr>
              <w:pStyle w:val="LPpreglednicaglavasredina"/>
              <w:rPr>
                <w:lang w:val="en-GB"/>
              </w:rPr>
            </w:pPr>
            <w:r w:rsidRPr="00CD2EEF">
              <w:rPr>
                <w:lang w:val="en-GB"/>
              </w:rPr>
              <w:t>Effective dose [µSv per year]</w:t>
            </w:r>
          </w:p>
        </w:tc>
      </w:tr>
      <w:tr w:rsidR="005248D4" w:rsidRPr="00CD2EEF" w14:paraId="55C12249" w14:textId="77777777" w:rsidTr="005C296D">
        <w:trPr>
          <w:trHeight w:val="313"/>
        </w:trPr>
        <w:tc>
          <w:tcPr>
            <w:tcW w:w="2547" w:type="dxa"/>
            <w:vMerge w:val="restart"/>
            <w:hideMark/>
          </w:tcPr>
          <w:p w14:paraId="3D6F7E05" w14:textId="77777777" w:rsidR="005248D4" w:rsidRPr="00CD2EEF" w:rsidRDefault="005248D4" w:rsidP="00764574">
            <w:pPr>
              <w:pStyle w:val="LPpreglednicatelo"/>
              <w:rPr>
                <w:lang w:val="en-GB"/>
              </w:rPr>
            </w:pPr>
            <w:r w:rsidRPr="00CD2EEF">
              <w:rPr>
                <w:lang w:val="en-GB"/>
              </w:rPr>
              <w:t>External radiation</w:t>
            </w:r>
          </w:p>
        </w:tc>
        <w:tc>
          <w:tcPr>
            <w:tcW w:w="1979" w:type="dxa"/>
            <w:hideMark/>
          </w:tcPr>
          <w:p w14:paraId="794268B8" w14:textId="77777777" w:rsidR="005248D4" w:rsidRPr="00CD2EEF" w:rsidRDefault="005248D4" w:rsidP="00764574">
            <w:pPr>
              <w:pStyle w:val="LPpreglednicatelo"/>
              <w:rPr>
                <w:lang w:val="en-GB"/>
              </w:rPr>
            </w:pPr>
            <w:r w:rsidRPr="00CD2EEF">
              <w:rPr>
                <w:lang w:val="en-GB"/>
              </w:rPr>
              <w:t>Cloud immersion</w:t>
            </w:r>
          </w:p>
        </w:tc>
        <w:tc>
          <w:tcPr>
            <w:tcW w:w="2982" w:type="dxa"/>
            <w:hideMark/>
          </w:tcPr>
          <w:p w14:paraId="03B8520F" w14:textId="77777777" w:rsidR="005248D4" w:rsidRPr="00CD2EEF" w:rsidRDefault="005248D4" w:rsidP="00764574">
            <w:pPr>
              <w:pStyle w:val="LPpreglednicatelo"/>
              <w:rPr>
                <w:lang w:val="en-GB"/>
              </w:rPr>
            </w:pPr>
            <w:r w:rsidRPr="00CD2EEF">
              <w:rPr>
                <w:lang w:val="en-GB"/>
              </w:rPr>
              <w:t>Noble gases: (</w:t>
            </w:r>
            <w:r w:rsidRPr="00CD2EEF">
              <w:rPr>
                <w:rStyle w:val="LPnadpisano"/>
                <w:lang w:val="en-GB"/>
              </w:rPr>
              <w:t>41</w:t>
            </w:r>
            <w:r w:rsidRPr="00CD2EEF">
              <w:rPr>
                <w:lang w:val="en-GB"/>
              </w:rPr>
              <w:t xml:space="preserve">Ar, </w:t>
            </w:r>
            <w:r w:rsidRPr="00CD2EEF">
              <w:rPr>
                <w:rStyle w:val="LPnadpisano"/>
                <w:lang w:val="en-GB"/>
              </w:rPr>
              <w:t>133</w:t>
            </w:r>
            <w:r w:rsidRPr="00CD2EEF">
              <w:rPr>
                <w:lang w:val="en-GB"/>
              </w:rPr>
              <w:t xml:space="preserve">Xe, </w:t>
            </w:r>
            <w:r w:rsidRPr="00CD2EEF">
              <w:rPr>
                <w:rStyle w:val="LPnadpisano"/>
                <w:lang w:val="en-GB"/>
              </w:rPr>
              <w:t xml:space="preserve">131m </w:t>
            </w:r>
            <w:r w:rsidRPr="00CD2EEF">
              <w:rPr>
                <w:lang w:val="en-GB"/>
              </w:rPr>
              <w:t>Xe)</w:t>
            </w:r>
          </w:p>
        </w:tc>
        <w:tc>
          <w:tcPr>
            <w:tcW w:w="1547" w:type="dxa"/>
            <w:vAlign w:val="center"/>
            <w:hideMark/>
          </w:tcPr>
          <w:p w14:paraId="5130BCA0" w14:textId="77777777" w:rsidR="005248D4" w:rsidRPr="00CD2EEF" w:rsidRDefault="005248D4" w:rsidP="00CA5668">
            <w:pPr>
              <w:pStyle w:val="LPpreglednicatelo"/>
              <w:rPr>
                <w:lang w:val="en-GB"/>
              </w:rPr>
            </w:pPr>
            <w:r w:rsidRPr="00CD2EEF">
              <w:rPr>
                <w:lang w:val="en-GB"/>
              </w:rPr>
              <w:t>5.8</w:t>
            </w:r>
            <w:r w:rsidRPr="00CD2EEF">
              <w:rPr>
                <w:lang w:val="en-GB"/>
              </w:rPr>
              <w:sym w:font="Symbol" w:char="F0D7"/>
            </w:r>
            <w:r w:rsidRPr="00CD2EEF">
              <w:rPr>
                <w:lang w:val="en-GB"/>
              </w:rPr>
              <w:t>10</w:t>
            </w:r>
            <w:r w:rsidRPr="00CD2EEF">
              <w:rPr>
                <w:rStyle w:val="LPpreglednicanadpisano"/>
                <w:lang w:val="en-GB"/>
              </w:rPr>
              <w:t>-4</w:t>
            </w:r>
          </w:p>
        </w:tc>
      </w:tr>
      <w:tr w:rsidR="005248D4" w:rsidRPr="00CD2EEF" w14:paraId="49E40AC6" w14:textId="77777777" w:rsidTr="005C296D">
        <w:trPr>
          <w:trHeight w:val="375"/>
        </w:trPr>
        <w:tc>
          <w:tcPr>
            <w:tcW w:w="2547" w:type="dxa"/>
            <w:vMerge/>
            <w:hideMark/>
          </w:tcPr>
          <w:p w14:paraId="6D4D3464" w14:textId="77777777" w:rsidR="005248D4" w:rsidRPr="00CD2EEF" w:rsidRDefault="005248D4" w:rsidP="00764574">
            <w:pPr>
              <w:pStyle w:val="LPpreglednicatelo"/>
              <w:rPr>
                <w:lang w:val="en-GB"/>
              </w:rPr>
            </w:pPr>
          </w:p>
        </w:tc>
        <w:tc>
          <w:tcPr>
            <w:tcW w:w="1979" w:type="dxa"/>
            <w:hideMark/>
          </w:tcPr>
          <w:p w14:paraId="45DFD36B" w14:textId="77777777" w:rsidR="005248D4" w:rsidRPr="00CD2EEF" w:rsidRDefault="005248D4" w:rsidP="00764574">
            <w:pPr>
              <w:pStyle w:val="LPpreglednicatelo"/>
              <w:rPr>
                <w:lang w:val="en-GB"/>
              </w:rPr>
            </w:pPr>
            <w:r w:rsidRPr="00CD2EEF">
              <w:rPr>
                <w:lang w:val="en-GB"/>
              </w:rPr>
              <w:t>Deposition</w:t>
            </w:r>
          </w:p>
        </w:tc>
        <w:tc>
          <w:tcPr>
            <w:tcW w:w="2982" w:type="dxa"/>
            <w:hideMark/>
          </w:tcPr>
          <w:p w14:paraId="36BE89B6" w14:textId="77777777" w:rsidR="005248D4" w:rsidRPr="00CD2EEF" w:rsidRDefault="005248D4" w:rsidP="00764574">
            <w:pPr>
              <w:pStyle w:val="LPpreglednicatelo"/>
              <w:rPr>
                <w:lang w:val="en-GB"/>
              </w:rPr>
            </w:pPr>
            <w:r w:rsidRPr="00CD2EEF">
              <w:rPr>
                <w:lang w:val="en-GB"/>
              </w:rPr>
              <w:t>Particulates: (</w:t>
            </w:r>
            <w:r w:rsidRPr="00CD2EEF">
              <w:rPr>
                <w:rStyle w:val="LPnadpisano"/>
                <w:lang w:val="en-GB"/>
              </w:rPr>
              <w:t>58</w:t>
            </w:r>
            <w:r w:rsidRPr="00CD2EEF">
              <w:rPr>
                <w:lang w:val="en-GB"/>
              </w:rPr>
              <w:t xml:space="preserve">Co, </w:t>
            </w:r>
            <w:r w:rsidRPr="00CD2EEF">
              <w:rPr>
                <w:rStyle w:val="LPnadpisano"/>
                <w:lang w:val="en-GB"/>
              </w:rPr>
              <w:t>60</w:t>
            </w:r>
            <w:r w:rsidRPr="00CD2EEF">
              <w:rPr>
                <w:lang w:val="en-GB"/>
              </w:rPr>
              <w:t xml:space="preserve">Co, </w:t>
            </w:r>
            <w:r w:rsidRPr="00CD2EEF">
              <w:rPr>
                <w:rStyle w:val="LPnadpisano"/>
                <w:lang w:val="en-GB"/>
              </w:rPr>
              <w:t>137</w:t>
            </w:r>
            <w:r w:rsidRPr="00CD2EEF">
              <w:rPr>
                <w:lang w:val="en-GB"/>
              </w:rPr>
              <w:t>Cs …)</w:t>
            </w:r>
          </w:p>
        </w:tc>
        <w:tc>
          <w:tcPr>
            <w:tcW w:w="1547" w:type="dxa"/>
            <w:vAlign w:val="center"/>
            <w:hideMark/>
          </w:tcPr>
          <w:p w14:paraId="46B5DCCA" w14:textId="77777777" w:rsidR="005248D4" w:rsidRPr="00CD2EEF" w:rsidRDefault="005248D4" w:rsidP="00CA5668">
            <w:pPr>
              <w:pStyle w:val="LPpreglednicatelo"/>
              <w:rPr>
                <w:lang w:val="en-GB"/>
              </w:rPr>
            </w:pPr>
            <w:r w:rsidRPr="00CD2EEF">
              <w:rPr>
                <w:lang w:val="en-GB"/>
              </w:rPr>
              <w:t>7.4</w:t>
            </w:r>
            <w:r w:rsidRPr="00CD2EEF">
              <w:rPr>
                <w:lang w:val="en-GB"/>
              </w:rPr>
              <w:sym w:font="Symbol" w:char="F0D7"/>
            </w:r>
            <w:r w:rsidRPr="00CD2EEF">
              <w:rPr>
                <w:lang w:val="en-GB"/>
              </w:rPr>
              <w:t>10</w:t>
            </w:r>
            <w:r w:rsidRPr="00CD2EEF">
              <w:rPr>
                <w:rStyle w:val="LPpreglednicanadpisano"/>
                <w:lang w:val="en-GB"/>
              </w:rPr>
              <w:t>-12</w:t>
            </w:r>
          </w:p>
        </w:tc>
      </w:tr>
      <w:tr w:rsidR="005248D4" w:rsidRPr="00CD2EEF" w14:paraId="2510A356" w14:textId="77777777" w:rsidTr="005C296D">
        <w:trPr>
          <w:trHeight w:val="300"/>
        </w:trPr>
        <w:tc>
          <w:tcPr>
            <w:tcW w:w="2547" w:type="dxa"/>
            <w:hideMark/>
          </w:tcPr>
          <w:p w14:paraId="4C7E1C28" w14:textId="77777777" w:rsidR="005248D4" w:rsidRPr="00CD2EEF" w:rsidRDefault="005248D4" w:rsidP="00764574">
            <w:pPr>
              <w:pStyle w:val="LPpreglednicatelo"/>
              <w:rPr>
                <w:lang w:val="en-GB"/>
              </w:rPr>
            </w:pPr>
            <w:r w:rsidRPr="00CD2EEF">
              <w:rPr>
                <w:lang w:val="en-GB"/>
              </w:rPr>
              <w:t>Inhalation</w:t>
            </w:r>
          </w:p>
        </w:tc>
        <w:tc>
          <w:tcPr>
            <w:tcW w:w="1979" w:type="dxa"/>
            <w:hideMark/>
          </w:tcPr>
          <w:p w14:paraId="1D0AF649" w14:textId="77777777" w:rsidR="005248D4" w:rsidRPr="00CD2EEF" w:rsidRDefault="005248D4" w:rsidP="00764574">
            <w:pPr>
              <w:pStyle w:val="LPpreglednicatelo"/>
              <w:rPr>
                <w:lang w:val="en-GB"/>
              </w:rPr>
            </w:pPr>
            <w:r w:rsidRPr="00CD2EEF">
              <w:rPr>
                <w:lang w:val="en-GB"/>
              </w:rPr>
              <w:t>Cloud</w:t>
            </w:r>
          </w:p>
        </w:tc>
        <w:tc>
          <w:tcPr>
            <w:tcW w:w="2982" w:type="dxa"/>
            <w:hideMark/>
          </w:tcPr>
          <w:p w14:paraId="48971A7F" w14:textId="77777777" w:rsidR="005248D4" w:rsidRPr="00CD2EEF" w:rsidRDefault="005248D4" w:rsidP="00764574">
            <w:pPr>
              <w:pStyle w:val="LPpreglednicatelo"/>
              <w:rPr>
                <w:lang w:val="en-GB"/>
              </w:rPr>
            </w:pPr>
            <w:r w:rsidRPr="00CD2EEF">
              <w:rPr>
                <w:rStyle w:val="LPnadpisano"/>
                <w:lang w:val="en-GB"/>
              </w:rPr>
              <w:t>3</w:t>
            </w:r>
            <w:r w:rsidRPr="00CD2EEF">
              <w:rPr>
                <w:lang w:val="en-GB"/>
              </w:rPr>
              <w:t xml:space="preserve">H, </w:t>
            </w:r>
            <w:r w:rsidRPr="00CD2EEF">
              <w:rPr>
                <w:rStyle w:val="LPnadpisano"/>
                <w:lang w:val="en-GB"/>
              </w:rPr>
              <w:t>14</w:t>
            </w:r>
            <w:r w:rsidRPr="00CD2EEF">
              <w:rPr>
                <w:lang w:val="en-GB"/>
              </w:rPr>
              <w:t xml:space="preserve">C </w:t>
            </w:r>
          </w:p>
        </w:tc>
        <w:tc>
          <w:tcPr>
            <w:tcW w:w="1547" w:type="dxa"/>
            <w:vAlign w:val="center"/>
            <w:hideMark/>
          </w:tcPr>
          <w:p w14:paraId="67E05B04" w14:textId="77777777" w:rsidR="005248D4" w:rsidRPr="00CD2EEF" w:rsidRDefault="005248D4" w:rsidP="00CA5668">
            <w:pPr>
              <w:pStyle w:val="LPpreglednicatelo"/>
              <w:rPr>
                <w:lang w:val="en-GB"/>
              </w:rPr>
            </w:pPr>
            <w:r w:rsidRPr="00CD2EEF">
              <w:rPr>
                <w:lang w:val="en-GB"/>
              </w:rPr>
              <w:t>0.019</w:t>
            </w:r>
          </w:p>
        </w:tc>
      </w:tr>
      <w:tr w:rsidR="005248D4" w:rsidRPr="00CD2EEF" w14:paraId="1F76EA2E" w14:textId="77777777" w:rsidTr="005C296D">
        <w:trPr>
          <w:trHeight w:val="357"/>
        </w:trPr>
        <w:tc>
          <w:tcPr>
            <w:tcW w:w="2547" w:type="dxa"/>
            <w:hideMark/>
          </w:tcPr>
          <w:p w14:paraId="0A56EFE4" w14:textId="77777777" w:rsidR="005248D4" w:rsidRPr="00CD2EEF" w:rsidRDefault="005248D4" w:rsidP="00764574">
            <w:pPr>
              <w:pStyle w:val="LPpreglednicatelo"/>
              <w:rPr>
                <w:lang w:val="en-GB"/>
              </w:rPr>
            </w:pPr>
            <w:r w:rsidRPr="00CD2EEF">
              <w:rPr>
                <w:lang w:val="en-GB"/>
              </w:rPr>
              <w:t>Ingestion (atmospheric discharges)</w:t>
            </w:r>
          </w:p>
        </w:tc>
        <w:tc>
          <w:tcPr>
            <w:tcW w:w="1979" w:type="dxa"/>
            <w:hideMark/>
          </w:tcPr>
          <w:p w14:paraId="443DA28B" w14:textId="77777777" w:rsidR="005248D4" w:rsidRPr="00CD2EEF" w:rsidRDefault="005248D4" w:rsidP="00764574">
            <w:pPr>
              <w:pStyle w:val="LPpreglednicatelo"/>
              <w:rPr>
                <w:lang w:val="en-GB"/>
              </w:rPr>
            </w:pPr>
            <w:r w:rsidRPr="00CD2EEF">
              <w:rPr>
                <w:lang w:val="en-GB"/>
              </w:rPr>
              <w:t>Vegetable food</w:t>
            </w:r>
          </w:p>
        </w:tc>
        <w:tc>
          <w:tcPr>
            <w:tcW w:w="2982" w:type="dxa"/>
            <w:hideMark/>
          </w:tcPr>
          <w:p w14:paraId="0B91887D" w14:textId="77777777" w:rsidR="005248D4" w:rsidRPr="00CD2EEF" w:rsidRDefault="005248D4" w:rsidP="00764574">
            <w:pPr>
              <w:pStyle w:val="LPpreglednicatelo"/>
              <w:rPr>
                <w:lang w:val="en-GB"/>
              </w:rPr>
            </w:pPr>
            <w:r w:rsidRPr="00CD2EEF">
              <w:rPr>
                <w:rStyle w:val="LPnadpisano"/>
                <w:lang w:val="en-GB"/>
              </w:rPr>
              <w:t>14</w:t>
            </w:r>
            <w:r w:rsidRPr="00CD2EEF">
              <w:rPr>
                <w:lang w:val="en-GB"/>
              </w:rPr>
              <w:t>C</w:t>
            </w:r>
          </w:p>
        </w:tc>
        <w:tc>
          <w:tcPr>
            <w:tcW w:w="1547" w:type="dxa"/>
            <w:vAlign w:val="center"/>
            <w:hideMark/>
          </w:tcPr>
          <w:p w14:paraId="692DDCA7" w14:textId="77777777" w:rsidR="005248D4" w:rsidRPr="00CD2EEF" w:rsidRDefault="005248D4" w:rsidP="00CA5668">
            <w:pPr>
              <w:pStyle w:val="LPpreglednicatelo"/>
              <w:rPr>
                <w:lang w:val="en-GB"/>
              </w:rPr>
            </w:pPr>
            <w:r w:rsidRPr="00CD2EEF">
              <w:rPr>
                <w:lang w:val="en-GB"/>
              </w:rPr>
              <w:t>0.14</w:t>
            </w:r>
          </w:p>
        </w:tc>
      </w:tr>
      <w:tr w:rsidR="005248D4" w:rsidRPr="00CD2EEF" w14:paraId="3D12404F" w14:textId="77777777" w:rsidTr="005C296D">
        <w:trPr>
          <w:trHeight w:val="277"/>
        </w:trPr>
        <w:tc>
          <w:tcPr>
            <w:tcW w:w="2547" w:type="dxa"/>
            <w:hideMark/>
          </w:tcPr>
          <w:p w14:paraId="3002B5B0" w14:textId="77777777" w:rsidR="005248D4" w:rsidRPr="00CD2EEF" w:rsidRDefault="005248D4" w:rsidP="00764574">
            <w:pPr>
              <w:pStyle w:val="LPpreglednicatelo"/>
              <w:rPr>
                <w:lang w:val="en-GB"/>
              </w:rPr>
            </w:pPr>
            <w:r w:rsidRPr="00CD2EEF">
              <w:rPr>
                <w:lang w:val="en-GB"/>
              </w:rPr>
              <w:t>Ingestion (liquid discharges)</w:t>
            </w:r>
          </w:p>
        </w:tc>
        <w:tc>
          <w:tcPr>
            <w:tcW w:w="1979" w:type="dxa"/>
            <w:hideMark/>
          </w:tcPr>
          <w:p w14:paraId="7300E5A5" w14:textId="77777777" w:rsidR="005248D4" w:rsidRPr="00CD2EEF" w:rsidRDefault="005248D4" w:rsidP="00764574">
            <w:pPr>
              <w:pStyle w:val="LPpreglednicatelo"/>
              <w:rPr>
                <w:lang w:val="en-GB"/>
              </w:rPr>
            </w:pPr>
            <w:r w:rsidRPr="00CD2EEF">
              <w:rPr>
                <w:lang w:val="en-GB"/>
              </w:rPr>
              <w:t>Ingestion of fish (from the Sava River)</w:t>
            </w:r>
          </w:p>
        </w:tc>
        <w:tc>
          <w:tcPr>
            <w:tcW w:w="2982" w:type="dxa"/>
            <w:hideMark/>
          </w:tcPr>
          <w:p w14:paraId="0476DA70" w14:textId="77777777" w:rsidR="005248D4" w:rsidRPr="00CD2EEF" w:rsidRDefault="005248D4" w:rsidP="00764574">
            <w:pPr>
              <w:pStyle w:val="LPpreglednicatelo"/>
              <w:rPr>
                <w:lang w:val="en-GB"/>
              </w:rPr>
            </w:pPr>
            <w:r w:rsidRPr="00CD2EEF">
              <w:rPr>
                <w:rStyle w:val="LPnadpisano"/>
                <w:lang w:val="en-GB"/>
              </w:rPr>
              <w:t>3</w:t>
            </w:r>
            <w:r w:rsidRPr="00CD2EEF">
              <w:rPr>
                <w:lang w:val="en-GB"/>
              </w:rPr>
              <w:t xml:space="preserve">H, </w:t>
            </w:r>
            <w:r w:rsidRPr="00CD2EEF">
              <w:rPr>
                <w:rStyle w:val="LPnadpisano"/>
                <w:lang w:val="en-GB"/>
              </w:rPr>
              <w:t>137</w:t>
            </w:r>
            <w:r w:rsidRPr="00CD2EEF">
              <w:rPr>
                <w:lang w:val="en-GB"/>
              </w:rPr>
              <w:t xml:space="preserve">Cs, </w:t>
            </w:r>
            <w:r w:rsidRPr="00CD2EEF">
              <w:rPr>
                <w:rStyle w:val="LPnadpisano"/>
                <w:lang w:val="en-GB"/>
              </w:rPr>
              <w:t>89</w:t>
            </w:r>
            <w:r w:rsidRPr="00CD2EEF">
              <w:rPr>
                <w:lang w:val="en-GB"/>
              </w:rPr>
              <w:t xml:space="preserve">Sr, </w:t>
            </w:r>
            <w:r w:rsidRPr="00CD2EEF">
              <w:rPr>
                <w:rStyle w:val="LPnadpisano"/>
                <w:lang w:val="en-GB"/>
              </w:rPr>
              <w:t>90</w:t>
            </w:r>
            <w:r w:rsidRPr="00CD2EEF">
              <w:rPr>
                <w:lang w:val="en-GB"/>
              </w:rPr>
              <w:t xml:space="preserve">Sr, </w:t>
            </w:r>
            <w:r w:rsidRPr="00CD2EEF">
              <w:rPr>
                <w:rStyle w:val="LPnadpisano"/>
                <w:lang w:val="en-GB"/>
              </w:rPr>
              <w:t>131</w:t>
            </w:r>
            <w:r w:rsidRPr="00CD2EEF">
              <w:rPr>
                <w:lang w:val="en-GB"/>
              </w:rPr>
              <w:t xml:space="preserve">I, </w:t>
            </w:r>
            <w:r w:rsidRPr="00CD2EEF">
              <w:rPr>
                <w:rStyle w:val="LPnadpisano"/>
                <w:lang w:val="en-GB"/>
              </w:rPr>
              <w:t>14</w:t>
            </w:r>
            <w:r w:rsidRPr="00CD2EEF">
              <w:rPr>
                <w:lang w:val="en-GB"/>
              </w:rPr>
              <w:t>C</w:t>
            </w:r>
          </w:p>
        </w:tc>
        <w:tc>
          <w:tcPr>
            <w:tcW w:w="1547" w:type="dxa"/>
            <w:vAlign w:val="center"/>
            <w:hideMark/>
          </w:tcPr>
          <w:p w14:paraId="5EA6B8F4" w14:textId="77777777" w:rsidR="005248D4" w:rsidRPr="00CD2EEF" w:rsidRDefault="005248D4" w:rsidP="00CA5668">
            <w:pPr>
              <w:pStyle w:val="LPpreglednicatelo"/>
              <w:rPr>
                <w:lang w:val="en-GB"/>
              </w:rPr>
            </w:pPr>
            <w:r w:rsidRPr="00CD2EEF">
              <w:rPr>
                <w:lang w:val="en-GB"/>
              </w:rPr>
              <w:t>0.016</w:t>
            </w:r>
          </w:p>
        </w:tc>
      </w:tr>
      <w:tr w:rsidR="005248D4" w:rsidRPr="00CD2EEF" w14:paraId="7B348A1F" w14:textId="77777777" w:rsidTr="00764574">
        <w:trPr>
          <w:trHeight w:val="450"/>
        </w:trPr>
        <w:tc>
          <w:tcPr>
            <w:tcW w:w="4526" w:type="dxa"/>
            <w:gridSpan w:val="2"/>
            <w:shd w:val="clear" w:color="auto" w:fill="5B9BD5" w:themeFill="accent1"/>
            <w:vAlign w:val="center"/>
            <w:hideMark/>
          </w:tcPr>
          <w:p w14:paraId="0039DE1C" w14:textId="09C9A35F" w:rsidR="005248D4" w:rsidRPr="00CD2EEF" w:rsidRDefault="005248D4" w:rsidP="00764574">
            <w:pPr>
              <w:pStyle w:val="LPpreglednicaglavasredina"/>
              <w:jc w:val="left"/>
              <w:rPr>
                <w:lang w:val="en-GB"/>
              </w:rPr>
            </w:pPr>
            <w:r w:rsidRPr="00CD2EEF">
              <w:rPr>
                <w:lang w:val="en-GB"/>
              </w:rPr>
              <w:t xml:space="preserve">Total </w:t>
            </w:r>
            <w:r w:rsidR="00C5169D">
              <w:rPr>
                <w:lang w:val="en-GB"/>
              </w:rPr>
              <w:t>the Krško NPP</w:t>
            </w:r>
            <w:r w:rsidRPr="00CD2EEF">
              <w:rPr>
                <w:lang w:val="en-GB"/>
              </w:rPr>
              <w:t xml:space="preserve"> in 2021</w:t>
            </w:r>
          </w:p>
        </w:tc>
        <w:tc>
          <w:tcPr>
            <w:tcW w:w="4529" w:type="dxa"/>
            <w:gridSpan w:val="2"/>
            <w:vAlign w:val="center"/>
          </w:tcPr>
          <w:p w14:paraId="470A8F9E" w14:textId="77777777" w:rsidR="005248D4" w:rsidRPr="00CD2EEF" w:rsidRDefault="005248D4" w:rsidP="00CA5668">
            <w:pPr>
              <w:pStyle w:val="LPpreglednicaglavasredina"/>
              <w:jc w:val="left"/>
              <w:rPr>
                <w:lang w:val="en-GB"/>
              </w:rPr>
            </w:pPr>
            <w:r w:rsidRPr="00CD2EEF">
              <w:rPr>
                <w:lang w:val="en-GB"/>
              </w:rPr>
              <w:t>&lt; 0.18</w:t>
            </w:r>
            <w:r w:rsidRPr="00CD2EEF">
              <w:rPr>
                <w:b w:val="0"/>
                <w:lang w:val="en-GB"/>
              </w:rPr>
              <w:t>*</w:t>
            </w:r>
          </w:p>
        </w:tc>
      </w:tr>
    </w:tbl>
    <w:bookmarkEnd w:id="201"/>
    <w:p w14:paraId="29A3BACE" w14:textId="77777777" w:rsidR="005248D4" w:rsidRPr="00CD2EEF" w:rsidRDefault="005248D4" w:rsidP="00CA5668">
      <w:pPr>
        <w:pStyle w:val="LPnavadenpomanjan8pt"/>
        <w:rPr>
          <w:lang w:val="en-GB"/>
        </w:rPr>
      </w:pPr>
      <w:r w:rsidRPr="00CD2EEF">
        <w:rPr>
          <w:lang w:val="en-GB"/>
        </w:rPr>
        <w:t>*</w:t>
      </w:r>
      <w:r w:rsidRPr="00CD2EEF">
        <w:rPr>
          <w:szCs w:val="16"/>
          <w:lang w:val="en-GB"/>
        </w:rPr>
        <w:t xml:space="preserve"> The total amount is conservative since all contributions cannot simply be summed up due to different reference groups of the population</w:t>
      </w:r>
      <w:r w:rsidRPr="00CD2EEF" w:rsidDel="00FC36E1">
        <w:rPr>
          <w:lang w:val="en-GB"/>
        </w:rPr>
        <w:t>.</w:t>
      </w:r>
      <w:bookmarkStart w:id="202" w:name="_Toc198013770"/>
      <w:bookmarkStart w:id="203" w:name="_Toc56786199"/>
      <w:bookmarkStart w:id="204" w:name="_Toc56786761"/>
      <w:bookmarkStart w:id="205" w:name="_Toc104711261"/>
      <w:bookmarkStart w:id="206" w:name="_Toc134582255"/>
      <w:bookmarkStart w:id="207" w:name="_Toc134415243"/>
      <w:bookmarkStart w:id="208" w:name="_Toc135104516"/>
      <w:bookmarkStart w:id="209" w:name="_Toc135462350"/>
      <w:bookmarkStart w:id="210" w:name="_Toc165267622"/>
      <w:bookmarkStart w:id="211" w:name="_Toc167689548"/>
      <w:bookmarkStart w:id="212" w:name="_Toc231789307"/>
      <w:bookmarkStart w:id="213" w:name="_Toc265149303"/>
      <w:bookmarkStart w:id="214" w:name="_Toc294704146"/>
      <w:bookmarkStart w:id="215" w:name="_Toc327337047"/>
      <w:bookmarkStart w:id="216" w:name="_Toc358804688"/>
      <w:bookmarkStart w:id="217" w:name="_Toc421612137"/>
      <w:bookmarkStart w:id="218" w:name="_Toc480786912"/>
      <w:bookmarkStart w:id="219" w:name="_Toc483815818"/>
    </w:p>
    <w:p w14:paraId="094227E9" w14:textId="77777777" w:rsidR="005248D4" w:rsidRPr="00CD2EEF" w:rsidRDefault="005248D4" w:rsidP="0057789F">
      <w:pPr>
        <w:pStyle w:val="LPNaslov3"/>
        <w:rPr>
          <w:lang w:val="en-GB"/>
        </w:rPr>
      </w:pPr>
      <w:bookmarkStart w:id="220" w:name="_Toc74219339"/>
      <w:bookmarkStart w:id="221" w:name="_Toc126312004"/>
      <w:r w:rsidRPr="00CD2EEF">
        <w:rPr>
          <w:lang w:val="en-GB"/>
        </w:rPr>
        <w:t>The TRIGA Mark II Research Reactor and the Central Storage for Radioactive Waste at Brinje</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4A01DC87" w14:textId="77777777" w:rsidR="005248D4" w:rsidRPr="00CD2EEF" w:rsidRDefault="005248D4" w:rsidP="00FF0400">
      <w:pPr>
        <w:pStyle w:val="LPnavaden"/>
        <w:rPr>
          <w:lang w:val="en-GB"/>
        </w:rPr>
      </w:pPr>
      <w:r w:rsidRPr="00CD2EEF">
        <w:rPr>
          <w:lang w:val="en-GB"/>
        </w:rPr>
        <w:t>The TRIGA Mark II Research Reactor and the CSRW are both located in Brinje near Ljubljana. The samples irradiated in the reactor are analysed in the laboratories of the Department of Environmental Science of the JSI, which are located near the reactor building. Therefore, the radioactive discharges at this location arise from the reactor operation, the CSRW, and from laboratory activities. Since the operation of the facilities was stable and there were no incidents that resulted in radioactive material being released into the environment, the results of the operational monitoring for 2021 are essentially the same as for the previous year.</w:t>
      </w:r>
    </w:p>
    <w:p w14:paraId="4475FA70" w14:textId="77777777" w:rsidR="005248D4" w:rsidRPr="00CD2EEF" w:rsidRDefault="005248D4" w:rsidP="0057789F">
      <w:pPr>
        <w:pStyle w:val="LPNaslov4"/>
        <w:rPr>
          <w:lang w:val="en-GB"/>
        </w:rPr>
      </w:pPr>
      <w:bookmarkStart w:id="222" w:name="_Toc74219340"/>
      <w:r w:rsidRPr="00CD2EEF">
        <w:rPr>
          <w:lang w:val="en-GB"/>
        </w:rPr>
        <w:t>The TRIGA Mark II Research Reactor</w:t>
      </w:r>
      <w:bookmarkEnd w:id="222"/>
    </w:p>
    <w:p w14:paraId="7D157AE4" w14:textId="77777777" w:rsidR="005248D4" w:rsidRPr="00CD2EEF" w:rsidRDefault="005248D4" w:rsidP="00FF0400">
      <w:pPr>
        <w:pStyle w:val="LPnavaden"/>
        <w:rPr>
          <w:lang w:val="en-GB"/>
        </w:rPr>
      </w:pPr>
      <w:r w:rsidRPr="00CD2EEF">
        <w:rPr>
          <w:lang w:val="en-GB"/>
        </w:rPr>
        <w:t>Environmental monitoring of the TRIGA Mark II Research Reactor comprises measurements of atmospheric and liquid discharges and measurements of radioactivity levels in the environment. The latter are carried out to determine the environmental impact of the installation and include measurements of radioactivity in the air and underground water, as well as measurements of external radiation, radioactive contamination of the soil, and the radioactivity of the Sava River sediments.</w:t>
      </w:r>
    </w:p>
    <w:p w14:paraId="3C1885B9" w14:textId="7B15E4EF" w:rsidR="005248D4" w:rsidRPr="00CD2EEF" w:rsidRDefault="005248D4" w:rsidP="00FF0400">
      <w:pPr>
        <w:pStyle w:val="LPnavaden"/>
        <w:rPr>
          <w:lang w:val="en-GB"/>
        </w:rPr>
      </w:pPr>
      <w:r w:rsidRPr="00CD2EEF">
        <w:rPr>
          <w:lang w:val="en-GB"/>
        </w:rPr>
        <w:t xml:space="preserve">Measurements of radioactive aerosol discharges into the atmosphere showed very low results, which </w:t>
      </w:r>
      <w:r w:rsidR="00E34791">
        <w:rPr>
          <w:lang w:val="en-GB"/>
        </w:rPr>
        <w:t>are similar to</w:t>
      </w:r>
      <w:r w:rsidRPr="00CD2EEF">
        <w:rPr>
          <w:lang w:val="en-GB"/>
        </w:rPr>
        <w:t xml:space="preserve"> or below the detection limit. Discharges of the noble gas </w:t>
      </w:r>
      <w:r w:rsidRPr="00CD2EEF">
        <w:rPr>
          <w:rStyle w:val="LPnadpisano"/>
          <w:rFonts w:eastAsiaTheme="majorEastAsia"/>
          <w:lang w:val="en-GB"/>
        </w:rPr>
        <w:t>41</w:t>
      </w:r>
      <w:r w:rsidRPr="00CD2EEF">
        <w:rPr>
          <w:lang w:val="en-GB"/>
        </w:rPr>
        <w:t>Ar into the atmosphere, based only on reactor operation time, were estimated at 1.1 TBq in 2021, which is approximately 50</w:t>
      </w:r>
      <w:r w:rsidR="00E30262">
        <w:rPr>
          <w:lang w:val="en-GB"/>
        </w:rPr>
        <w:t>%</w:t>
      </w:r>
      <w:r w:rsidRPr="00CD2EEF">
        <w:rPr>
          <w:lang w:val="en-GB"/>
        </w:rPr>
        <w:t xml:space="preserve"> more than in 2020 (0.7 TBq)</w:t>
      </w:r>
      <w:r w:rsidR="00E34791">
        <w:rPr>
          <w:lang w:val="en-GB"/>
        </w:rPr>
        <w:t>,</w:t>
      </w:r>
      <w:r w:rsidRPr="00CD2EEF">
        <w:rPr>
          <w:lang w:val="en-GB"/>
        </w:rPr>
        <w:t xml:space="preserve"> when there was</w:t>
      </w:r>
      <w:r w:rsidR="00E34791">
        <w:rPr>
          <w:lang w:val="en-GB"/>
        </w:rPr>
        <w:t xml:space="preserve"> a</w:t>
      </w:r>
      <w:r w:rsidRPr="00CD2EEF">
        <w:rPr>
          <w:lang w:val="en-GB"/>
        </w:rPr>
        <w:t xml:space="preserve"> reduced number of operating hours of the reactor</w:t>
      </w:r>
      <w:r w:rsidR="00E34791">
        <w:rPr>
          <w:lang w:val="en-GB"/>
        </w:rPr>
        <w:t>,</w:t>
      </w:r>
      <w:r w:rsidRPr="00CD2EEF">
        <w:rPr>
          <w:lang w:val="en-GB"/>
        </w:rPr>
        <w:t xml:space="preserve"> and similar </w:t>
      </w:r>
      <w:r w:rsidR="00E34791">
        <w:rPr>
          <w:lang w:val="en-GB"/>
        </w:rPr>
        <w:t>to that</w:t>
      </w:r>
      <w:r w:rsidR="00E34791" w:rsidRPr="00CD2EEF">
        <w:rPr>
          <w:lang w:val="en-GB"/>
        </w:rPr>
        <w:t xml:space="preserve"> </w:t>
      </w:r>
      <w:r w:rsidRPr="00CD2EEF">
        <w:rPr>
          <w:lang w:val="en-GB"/>
        </w:rPr>
        <w:t xml:space="preserve">in 2019 (1.2 TBq). There were no liquid releases, as in 2021 the presence of artificial radionuclides was not detected in </w:t>
      </w:r>
      <w:r w:rsidR="00E34791" w:rsidRPr="00CD2EEF">
        <w:rPr>
          <w:lang w:val="en-GB"/>
        </w:rPr>
        <w:t xml:space="preserve">either </w:t>
      </w:r>
      <w:r w:rsidRPr="00CD2EEF">
        <w:rPr>
          <w:lang w:val="en-GB"/>
        </w:rPr>
        <w:t>the containment tank of the O-2 section, or in the drainage tank of the reactor.</w:t>
      </w:r>
    </w:p>
    <w:p w14:paraId="13CEDEA7" w14:textId="3C06FAB4" w:rsidR="005248D4" w:rsidRPr="00CD2EEF" w:rsidRDefault="005248D4" w:rsidP="00FF0400">
      <w:pPr>
        <w:pStyle w:val="LPnavaden"/>
        <w:rPr>
          <w:lang w:val="en-GB"/>
        </w:rPr>
      </w:pPr>
      <w:r w:rsidRPr="00CD2EEF">
        <w:rPr>
          <w:lang w:val="en-GB"/>
        </w:rPr>
        <w:t xml:space="preserve">The programme for taking specific activity measurements in the environment showed no radioactive contamination from the operation of the reactor. The activities of artificial radionuclides in all </w:t>
      </w:r>
      <w:r w:rsidR="00273367">
        <w:rPr>
          <w:lang w:val="en-GB"/>
        </w:rPr>
        <w:t xml:space="preserve">of the </w:t>
      </w:r>
      <w:r w:rsidRPr="00CD2EEF">
        <w:rPr>
          <w:lang w:val="en-GB"/>
        </w:rPr>
        <w:t xml:space="preserve">measured samples were below the detection limit, with the exception of </w:t>
      </w:r>
      <w:r w:rsidRPr="00CD2EEF">
        <w:rPr>
          <w:rStyle w:val="LPnadpisano"/>
          <w:rFonts w:eastAsiaTheme="majorEastAsia"/>
          <w:lang w:val="en-GB"/>
        </w:rPr>
        <w:t>137</w:t>
      </w:r>
      <w:r w:rsidRPr="00CD2EEF">
        <w:rPr>
          <w:lang w:val="en-GB"/>
        </w:rPr>
        <w:t xml:space="preserve">Cs, which is a result of global contamination. The external dose </w:t>
      </w:r>
      <w:r w:rsidRPr="001E3C16">
        <w:rPr>
          <w:lang w:val="en-GB"/>
        </w:rPr>
        <w:t>from the cloud shine due</w:t>
      </w:r>
      <w:r w:rsidRPr="00CD2EEF">
        <w:rPr>
          <w:lang w:val="en-GB"/>
        </w:rPr>
        <w:t xml:space="preserve"> to </w:t>
      </w:r>
      <w:r w:rsidRPr="00CD2EEF">
        <w:rPr>
          <w:vertAlign w:val="superscript"/>
          <w:lang w:val="en-GB"/>
        </w:rPr>
        <w:t>41</w:t>
      </w:r>
      <w:r w:rsidRPr="00CD2EEF">
        <w:rPr>
          <w:lang w:val="en-GB"/>
        </w:rPr>
        <w:t xml:space="preserve">Ar </w:t>
      </w:r>
      <w:r w:rsidRPr="00CD2EEF">
        <w:rPr>
          <w:lang w:val="en-GB"/>
        </w:rPr>
        <w:lastRenderedPageBreak/>
        <w:t>discharges on an individual who mows grass or shovels snow 65 hours annually at a distance 100 m from the reactor and only stays 10</w:t>
      </w:r>
      <w:r w:rsidR="00E30262">
        <w:rPr>
          <w:lang w:val="en-GB"/>
        </w:rPr>
        <w:t>%</w:t>
      </w:r>
      <w:r w:rsidRPr="00CD2EEF">
        <w:rPr>
          <w:lang w:val="en-GB"/>
        </w:rPr>
        <w:t xml:space="preserve"> of his</w:t>
      </w:r>
      <w:r w:rsidR="00273367">
        <w:rPr>
          <w:lang w:val="en-GB"/>
        </w:rPr>
        <w:t xml:space="preserve"> or her</w:t>
      </w:r>
      <w:r w:rsidRPr="00CD2EEF">
        <w:rPr>
          <w:lang w:val="en-GB"/>
        </w:rPr>
        <w:t xml:space="preserve"> time</w:t>
      </w:r>
      <w:r w:rsidR="00273367">
        <w:rPr>
          <w:lang w:val="en-GB"/>
        </w:rPr>
        <w:t>,</w:t>
      </w:r>
      <w:r w:rsidR="008F46F9">
        <w:rPr>
          <w:lang w:val="en-GB"/>
        </w:rPr>
        <w:t xml:space="preserve"> </w:t>
      </w:r>
      <w:r w:rsidRPr="00CD2EEF">
        <w:rPr>
          <w:lang w:val="en-GB"/>
        </w:rPr>
        <w:t>in the cloud was estimated at 0.02 μSv per year. A resident of Pšata, a settlement at a distance of 500 m, receives 0.6 µSv per year for a year-round stay. The values are higher than in 2020</w:t>
      </w:r>
      <w:r w:rsidR="00273367">
        <w:rPr>
          <w:lang w:val="en-GB"/>
        </w:rPr>
        <w:t>,</w:t>
      </w:r>
      <w:r w:rsidRPr="00CD2EEF">
        <w:rPr>
          <w:lang w:val="en-GB"/>
        </w:rPr>
        <w:t xml:space="preserve"> when there was </w:t>
      </w:r>
      <w:r w:rsidR="00273367">
        <w:rPr>
          <w:lang w:val="en-GB"/>
        </w:rPr>
        <w:t xml:space="preserve">a </w:t>
      </w:r>
      <w:r w:rsidRPr="00CD2EEF">
        <w:rPr>
          <w:lang w:val="en-GB"/>
        </w:rPr>
        <w:t xml:space="preserve">reduced number of operating hours of the reactor. As there were no liquid releases, no exposure occurred along this exposure route. The total annual dose received by an individual from the population in 2021 was </w:t>
      </w:r>
      <w:r w:rsidR="00273367">
        <w:rPr>
          <w:lang w:val="en-GB"/>
        </w:rPr>
        <w:t>slightly</w:t>
      </w:r>
      <w:r w:rsidR="00273367" w:rsidRPr="00CD2EEF">
        <w:rPr>
          <w:lang w:val="en-GB"/>
        </w:rPr>
        <w:t xml:space="preserve"> </w:t>
      </w:r>
      <w:r w:rsidRPr="00CD2EEF">
        <w:rPr>
          <w:lang w:val="en-GB"/>
        </w:rPr>
        <w:t>higher than 1% of the authorised dose limit, which is 50 μSv/year, or several thousand times less than the effective dose from the natural background in Slovenia (2,500</w:t>
      </w:r>
      <w:r w:rsidR="008536B8">
        <w:rPr>
          <w:lang w:val="en-GB"/>
        </w:rPr>
        <w:t>–</w:t>
      </w:r>
      <w:r w:rsidRPr="00CD2EEF">
        <w:rPr>
          <w:lang w:val="en-GB"/>
        </w:rPr>
        <w:t>2,800 μSv per year).</w:t>
      </w:r>
    </w:p>
    <w:p w14:paraId="02407B59" w14:textId="77777777" w:rsidR="005248D4" w:rsidRPr="00CD2EEF" w:rsidRDefault="005248D4" w:rsidP="0057789F">
      <w:pPr>
        <w:pStyle w:val="LPNaslov4"/>
        <w:rPr>
          <w:lang w:val="en-GB"/>
        </w:rPr>
      </w:pPr>
      <w:bookmarkStart w:id="223" w:name="_Toc74219341"/>
      <w:r w:rsidRPr="00CD2EEF">
        <w:rPr>
          <w:lang w:val="en-GB"/>
        </w:rPr>
        <w:t>Central Storage for Radioactive Waste at Brinje</w:t>
      </w:r>
      <w:bookmarkEnd w:id="223"/>
    </w:p>
    <w:p w14:paraId="7EC8AE2A" w14:textId="288101DF" w:rsidR="005248D4" w:rsidRPr="00CD2EEF" w:rsidRDefault="005248D4" w:rsidP="00FF0400">
      <w:pPr>
        <w:pStyle w:val="LPnavaden"/>
        <w:rPr>
          <w:lang w:val="en-GB"/>
        </w:rPr>
      </w:pPr>
      <w:r w:rsidRPr="00CD2EEF">
        <w:rPr>
          <w:lang w:val="en-GB"/>
        </w:rPr>
        <w:t xml:space="preserve">The environmental radioactivity monitoring programme of the CSRW in Brinje mainly comprised control measurements of radioactive atmospheric discharges (radon and its short-lived progeny from the storage facility, </w:t>
      </w:r>
      <w:r w:rsidRPr="00F74DA1">
        <w:rPr>
          <w:lang w:val="en-GB"/>
        </w:rPr>
        <w:t>dug into the ground,</w:t>
      </w:r>
      <w:r w:rsidRPr="00CD2EEF">
        <w:rPr>
          <w:lang w:val="en-GB"/>
        </w:rPr>
        <w:t xml:space="preserve"> coming from the stored </w:t>
      </w:r>
      <w:r w:rsidRPr="00CD2EEF">
        <w:rPr>
          <w:rStyle w:val="LPnadpisano"/>
          <w:rFonts w:eastAsiaTheme="majorEastAsia"/>
          <w:lang w:val="en-GB"/>
        </w:rPr>
        <w:t>226</w:t>
      </w:r>
      <w:r w:rsidRPr="00CD2EEF">
        <w:rPr>
          <w:lang w:val="en-GB"/>
        </w:rPr>
        <w:t>Ra sources), radioactive wastewater from the underground drainage collector, and direct external radiation on the outside parts of the storage area. Environmental concentrations of radionuclides were measured in the same way as in previous years, namely</w:t>
      </w:r>
      <w:r w:rsidR="001E161F">
        <w:rPr>
          <w:lang w:val="en-GB"/>
        </w:rPr>
        <w:t>,</w:t>
      </w:r>
      <w:r w:rsidRPr="00CD2EEF">
        <w:rPr>
          <w:lang w:val="en-GB"/>
        </w:rPr>
        <w:t xml:space="preserve"> in underground water and in the air. In addition, external radiation was measured at different distances from the storage area. As part of the measurements for maintaining preparedness, measurements of soil contamination and the concentration of radionuclides in the dry deposition from the air near the storage area were also performed.</w:t>
      </w:r>
    </w:p>
    <w:p w14:paraId="73CE813C" w14:textId="2D3C70F7" w:rsidR="005248D4" w:rsidRPr="00CD2EEF" w:rsidRDefault="005248D4" w:rsidP="00FF0400">
      <w:pPr>
        <w:pStyle w:val="LPnavaden"/>
        <w:rPr>
          <w:lang w:val="en-GB"/>
        </w:rPr>
      </w:pPr>
      <w:r w:rsidRPr="00CD2EEF">
        <w:rPr>
          <w:lang w:val="en-GB"/>
        </w:rPr>
        <w:t>The estimated average radon discharge rate in 2021 was 13 Bq/s, which is 30</w:t>
      </w:r>
      <w:r w:rsidR="00E30262">
        <w:rPr>
          <w:lang w:val="en-GB"/>
        </w:rPr>
        <w:t>%</w:t>
      </w:r>
      <w:r w:rsidRPr="00CD2EEF">
        <w:rPr>
          <w:lang w:val="en-GB"/>
        </w:rPr>
        <w:t xml:space="preserve"> higher than in </w:t>
      </w:r>
      <w:r w:rsidR="001E161F">
        <w:rPr>
          <w:lang w:val="en-GB"/>
        </w:rPr>
        <w:t xml:space="preserve">the </w:t>
      </w:r>
      <w:r w:rsidRPr="00CD2EEF">
        <w:rPr>
          <w:lang w:val="en-GB"/>
        </w:rPr>
        <w:t>previous year, but still within the measurement uncertainty of the values, measured in the previous years (</w:t>
      </w:r>
      <w:hyperlink w:anchor="fig24" w:history="1">
        <w:r w:rsidRPr="00CD2EEF">
          <w:rPr>
            <w:rStyle w:val="Hiperpovezava"/>
            <w:lang w:val="en-GB"/>
          </w:rPr>
          <w:t>Figure 24</w:t>
        </w:r>
      </w:hyperlink>
      <w:r w:rsidRPr="00CD2EEF">
        <w:rPr>
          <w:lang w:val="en-GB"/>
        </w:rPr>
        <w:t xml:space="preserve">). The higher values in 2004 and 2005 are due to the situation before the reconstruction of the storage facility. </w:t>
      </w:r>
    </w:p>
    <w:p w14:paraId="5440D501" w14:textId="02C67BAA" w:rsidR="005248D4" w:rsidRPr="00CD2EEF" w:rsidRDefault="005248D4" w:rsidP="00FF0400">
      <w:pPr>
        <w:pStyle w:val="LPnavaden"/>
        <w:rPr>
          <w:lang w:val="en-GB"/>
        </w:rPr>
      </w:pPr>
      <w:r w:rsidRPr="00CD2EEF">
        <w:rPr>
          <w:lang w:val="en-GB"/>
        </w:rPr>
        <w:t xml:space="preserve">An increase in the radon </w:t>
      </w:r>
      <w:r w:rsidRPr="00CD2EEF">
        <w:rPr>
          <w:rStyle w:val="LPnadpisano"/>
          <w:rFonts w:eastAsiaTheme="majorEastAsia"/>
          <w:lang w:val="en-GB"/>
        </w:rPr>
        <w:t>222</w:t>
      </w:r>
      <w:r w:rsidRPr="00CD2EEF">
        <w:rPr>
          <w:lang w:val="en-GB"/>
        </w:rPr>
        <w:t>Rn concentration near the storage</w:t>
      </w:r>
      <w:r w:rsidR="00554CF3">
        <w:rPr>
          <w:lang w:val="en-GB"/>
        </w:rPr>
        <w:t xml:space="preserve"> facility</w:t>
      </w:r>
      <w:r w:rsidRPr="00CD2EEF">
        <w:rPr>
          <w:lang w:val="en-GB"/>
        </w:rPr>
        <w:t xml:space="preserve"> was not measurable in 2021 and was therefore estimated by a model for average weather conditions to be </w:t>
      </w:r>
      <w:r w:rsidR="00554CF3">
        <w:rPr>
          <w:lang w:val="en-GB"/>
        </w:rPr>
        <w:t>approximately</w:t>
      </w:r>
      <w:r w:rsidR="00554CF3" w:rsidRPr="00CD2EEF">
        <w:rPr>
          <w:lang w:val="en-GB"/>
        </w:rPr>
        <w:t xml:space="preserve"> </w:t>
      </w:r>
      <w:r w:rsidRPr="00CD2EEF">
        <w:rPr>
          <w:lang w:val="en-GB"/>
        </w:rPr>
        <w:t>0.7 Bq/m</w:t>
      </w:r>
      <w:r w:rsidRPr="00CD2EEF">
        <w:rPr>
          <w:rStyle w:val="LPnadpisano"/>
          <w:rFonts w:eastAsiaTheme="majorEastAsia"/>
          <w:lang w:val="en-GB"/>
        </w:rPr>
        <w:t>3</w:t>
      </w:r>
      <w:r w:rsidRPr="00CD2EEF">
        <w:rPr>
          <w:lang w:val="en-GB"/>
        </w:rPr>
        <w:t xml:space="preserve"> at the fence of the reactor site. </w:t>
      </w:r>
    </w:p>
    <w:p w14:paraId="56386B18" w14:textId="4729FA7D" w:rsidR="005248D4" w:rsidRPr="00CD2EEF" w:rsidRDefault="005248D4" w:rsidP="00FF0400">
      <w:pPr>
        <w:pStyle w:val="LPnavaden"/>
        <w:rPr>
          <w:b/>
          <w:lang w:val="en-GB"/>
        </w:rPr>
      </w:pPr>
      <w:r w:rsidRPr="00CD2EEF">
        <w:rPr>
          <w:lang w:val="en-GB"/>
        </w:rPr>
        <w:t xml:space="preserve">In the wastewater from the underground reservoir, the only artificial radionuclide measured was again </w:t>
      </w:r>
      <w:r w:rsidRPr="00CD2EEF">
        <w:rPr>
          <w:rStyle w:val="LPnadpisano"/>
          <w:rFonts w:eastAsiaTheme="majorEastAsia"/>
          <w:lang w:val="en-GB"/>
        </w:rPr>
        <w:t>137</w:t>
      </w:r>
      <w:r w:rsidRPr="00CD2EEF">
        <w:rPr>
          <w:lang w:val="en-GB"/>
        </w:rPr>
        <w:t xml:space="preserve">Cs, which is a consequence of global contamination and not of storage operation. One sample showed that </w:t>
      </w:r>
      <w:r w:rsidRPr="00CD2EEF">
        <w:rPr>
          <w:rStyle w:val="LPnadpisano"/>
          <w:rFonts w:eastAsiaTheme="majorEastAsia"/>
          <w:lang w:val="en-GB"/>
        </w:rPr>
        <w:t>40</w:t>
      </w:r>
      <w:r w:rsidRPr="00CD2EEF">
        <w:rPr>
          <w:lang w:val="en-GB"/>
        </w:rPr>
        <w:t>K activity was slightly pronounced at 460 Bq/m</w:t>
      </w:r>
      <w:r w:rsidRPr="00CD2EEF">
        <w:rPr>
          <w:rStyle w:val="LPnadpisano"/>
          <w:rFonts w:eastAsiaTheme="majorEastAsia"/>
          <w:lang w:val="en-GB"/>
        </w:rPr>
        <w:t>3</w:t>
      </w:r>
      <w:r w:rsidRPr="00CD2EEF">
        <w:rPr>
          <w:lang w:val="en-GB"/>
        </w:rPr>
        <w:t xml:space="preserve">. The slightly higher concentration of </w:t>
      </w:r>
      <w:r w:rsidRPr="00CD2EEF">
        <w:rPr>
          <w:rStyle w:val="LPnadpisano"/>
          <w:rFonts w:eastAsiaTheme="majorEastAsia"/>
          <w:lang w:val="en-GB"/>
        </w:rPr>
        <w:t>40</w:t>
      </w:r>
      <w:r w:rsidRPr="00CD2EEF">
        <w:rPr>
          <w:lang w:val="en-GB"/>
        </w:rPr>
        <w:t xml:space="preserve">K activity is probably related to cleaning the facility after the pressure was changed, as the cleaning residues had drained into an underground reservoir. Even the ground soil in the storage vicinity does not indicate the presence of other radionuclides, except the Chernobyl contaminant </w:t>
      </w:r>
      <w:r w:rsidRPr="00CD2EEF">
        <w:rPr>
          <w:rStyle w:val="LPnadpisano"/>
          <w:rFonts w:eastAsiaTheme="majorEastAsia"/>
          <w:lang w:val="en-GB"/>
        </w:rPr>
        <w:t>137</w:t>
      </w:r>
      <w:r w:rsidRPr="00CD2EEF">
        <w:rPr>
          <w:lang w:val="en-GB"/>
        </w:rPr>
        <w:t xml:space="preserve">Cs and the natural radionuclides </w:t>
      </w:r>
      <w:r w:rsidRPr="00CD2EEF">
        <w:rPr>
          <w:rStyle w:val="LPnadpisano"/>
          <w:rFonts w:eastAsiaTheme="majorEastAsia"/>
          <w:lang w:val="en-GB"/>
        </w:rPr>
        <w:t>7</w:t>
      </w:r>
      <w:r w:rsidRPr="00CD2EEF">
        <w:rPr>
          <w:lang w:val="en-GB"/>
        </w:rPr>
        <w:t xml:space="preserve">Be and </w:t>
      </w:r>
      <w:r w:rsidRPr="00CD2EEF">
        <w:rPr>
          <w:rStyle w:val="LPnadpisano"/>
          <w:rFonts w:eastAsiaTheme="majorEastAsia"/>
          <w:lang w:val="en-GB"/>
        </w:rPr>
        <w:t>40</w:t>
      </w:r>
      <w:r w:rsidRPr="00CD2EEF">
        <w:rPr>
          <w:lang w:val="en-GB"/>
        </w:rPr>
        <w:t xml:space="preserve">K, as well as </w:t>
      </w:r>
      <w:r w:rsidR="004E6896">
        <w:rPr>
          <w:lang w:val="en-GB"/>
        </w:rPr>
        <w:t xml:space="preserve">the </w:t>
      </w:r>
      <w:r w:rsidRPr="00CD2EEF">
        <w:rPr>
          <w:lang w:val="en-GB"/>
        </w:rPr>
        <w:t>radionuclides of the uranium-radium and thorium decay series.</w:t>
      </w:r>
    </w:p>
    <w:bookmarkStart w:id="224" w:name="fig24"/>
    <w:p w14:paraId="4D71487E" w14:textId="77777777" w:rsidR="005248D4" w:rsidRPr="00CD2EEF" w:rsidRDefault="005248D4" w:rsidP="005C296D">
      <w:pPr>
        <w:pStyle w:val="LPnavaden"/>
        <w:jc w:val="center"/>
        <w:rPr>
          <w:lang w:val="en-GB"/>
        </w:rPr>
      </w:pPr>
      <w:r w:rsidRPr="00CD2EEF">
        <w:rPr>
          <w:noProof/>
          <w:lang w:val="en-GB"/>
        </w:rPr>
        <w:lastRenderedPageBreak/>
        <mc:AlternateContent>
          <mc:Choice Requires="wps">
            <w:drawing>
              <wp:anchor distT="45720" distB="45720" distL="114300" distR="114300" simplePos="0" relativeHeight="251668480" behindDoc="0" locked="0" layoutInCell="1" allowOverlap="1" wp14:anchorId="54CDC5FE" wp14:editId="5511560F">
                <wp:simplePos x="0" y="0"/>
                <wp:positionH relativeFrom="margin">
                  <wp:posOffset>-611505</wp:posOffset>
                </wp:positionH>
                <wp:positionV relativeFrom="paragraph">
                  <wp:posOffset>1074420</wp:posOffset>
                </wp:positionV>
                <wp:extent cx="2050415" cy="266065"/>
                <wp:effectExtent l="0" t="3175" r="3810" b="3810"/>
                <wp:wrapNone/>
                <wp:docPr id="41"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0415" cy="266065"/>
                        </a:xfrm>
                        <a:prstGeom prst="rect">
                          <a:avLst/>
                        </a:prstGeom>
                        <a:solidFill>
                          <a:schemeClr val="bg1"/>
                        </a:solidFill>
                        <a:ln w="9525">
                          <a:noFill/>
                          <a:miter lim="800000"/>
                          <a:headEnd/>
                          <a:tailEnd/>
                        </a:ln>
                      </wps:spPr>
                      <wps:txbx>
                        <w:txbxContent>
                          <w:p w14:paraId="3067811A" w14:textId="77777777" w:rsidR="005248D4" w:rsidRDefault="005248D4" w:rsidP="00E0316D">
                            <w:pPr>
                              <w:pStyle w:val="LPnavaden"/>
                            </w:pPr>
                            <w:r>
                              <w:t>Radon discharge rate (Bq/s)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DC5FE" id="_x0000_s1045" type="#_x0000_t202" alt="&quot;&quot;" style="position:absolute;left:0;text-align:left;margin-left:-48.15pt;margin-top:84.6pt;width:161.45pt;height:20.95pt;rotation:-90;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" fillcolor="white [3212]" stroked="f">
                <v:textbox>
                  <w:txbxContent>
                    <w:p w14:paraId="3067811A" w14:textId="77777777" w:rsidR="005248D4" w:rsidRDefault="005248D4" w:rsidP="00E0316D">
                      <w:pPr>
                        <w:pStyle w:val="LPnavaden"/>
                      </w:pPr>
                      <w:r>
                        <w:t xml:space="preserve">Radon </w:t>
                      </w:r>
                      <w:proofErr w:type="spellStart"/>
                      <w:r>
                        <w:t>discharge</w:t>
                      </w:r>
                      <w:proofErr w:type="spellEnd"/>
                      <w:r>
                        <w:t xml:space="preserve"> </w:t>
                      </w:r>
                      <w:proofErr w:type="spellStart"/>
                      <w:r>
                        <w:t>rate</w:t>
                      </w:r>
                      <w:proofErr w:type="spellEnd"/>
                      <w:r>
                        <w:t xml:space="preserve"> (Bq/s)</w:t>
                      </w:r>
                    </w:p>
                  </w:txbxContent>
                </v:textbox>
                <w10:wrap anchorx="margin"/>
              </v:shape>
            </w:pict>
          </mc:Fallback>
        </mc:AlternateContent>
      </w:r>
      <w:r w:rsidRPr="00CD2EEF">
        <w:rPr>
          <w:noProof/>
          <w:lang w:val="en-GB"/>
        </w:rPr>
        <mc:AlternateContent>
          <mc:Choice Requires="wps">
            <w:drawing>
              <wp:anchor distT="45720" distB="45720" distL="114300" distR="114300" simplePos="0" relativeHeight="251667456" behindDoc="0" locked="0" layoutInCell="1" allowOverlap="1" wp14:anchorId="09189902" wp14:editId="151F55DE">
                <wp:simplePos x="0" y="0"/>
                <wp:positionH relativeFrom="margin">
                  <wp:posOffset>2715520</wp:posOffset>
                </wp:positionH>
                <wp:positionV relativeFrom="paragraph">
                  <wp:posOffset>2435387</wp:posOffset>
                </wp:positionV>
                <wp:extent cx="919685" cy="266385"/>
                <wp:effectExtent l="0" t="0" r="0" b="635"/>
                <wp:wrapNone/>
                <wp:docPr id="42"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685" cy="266385"/>
                        </a:xfrm>
                        <a:prstGeom prst="rect">
                          <a:avLst/>
                        </a:prstGeom>
                        <a:solidFill>
                          <a:schemeClr val="bg1"/>
                        </a:solidFill>
                        <a:ln w="9525">
                          <a:noFill/>
                          <a:miter lim="800000"/>
                          <a:headEnd/>
                          <a:tailEnd/>
                        </a:ln>
                      </wps:spPr>
                      <wps:txbx>
                        <w:txbxContent>
                          <w:p w14:paraId="15F75A7B" w14:textId="77777777" w:rsidR="005248D4" w:rsidRDefault="005248D4" w:rsidP="00E0316D">
                            <w:pPr>
                              <w:pStyle w:val="LPnavaden"/>
                            </w:pPr>
                            <w: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89902" id="_x0000_s1046" type="#_x0000_t202" alt="&quot;&quot;" style="position:absolute;left:0;text-align:left;margin-left:213.8pt;margin-top:191.75pt;width:72.4pt;height:2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" fillcolor="white [3212]" stroked="f">
                <v:textbox>
                  <w:txbxContent>
                    <w:p w14:paraId="15F75A7B" w14:textId="77777777" w:rsidR="005248D4" w:rsidRDefault="005248D4" w:rsidP="00E0316D">
                      <w:pPr>
                        <w:pStyle w:val="LPnavaden"/>
                      </w:pPr>
                      <w:proofErr w:type="spellStart"/>
                      <w:r>
                        <w:t>Year</w:t>
                      </w:r>
                      <w:proofErr w:type="spellEnd"/>
                    </w:p>
                  </w:txbxContent>
                </v:textbox>
                <w10:wrap anchorx="margin"/>
              </v:shape>
            </w:pict>
          </mc:Fallback>
        </mc:AlternateContent>
      </w:r>
      <w:r w:rsidRPr="00CD2EEF">
        <w:rPr>
          <w:noProof/>
          <w:lang w:val="en-GB"/>
        </w:rPr>
        <w:drawing>
          <wp:inline distT="0" distB="0" distL="0" distR="0" wp14:anchorId="52772D86" wp14:editId="59FF2FD4">
            <wp:extent cx="5295900" cy="2743200"/>
            <wp:effectExtent l="0" t="0" r="0" b="0"/>
            <wp:docPr id="51" name="Grafikon 51" descr="graphical introdustion of 222Rn emissions from CSRW">
              <a:extLst xmlns:a="http://schemas.openxmlformats.org/drawingml/2006/main">
                <a:ext uri="{FF2B5EF4-FFF2-40B4-BE49-F238E27FC236}">
                  <a16:creationId xmlns:a16="http://schemas.microsoft.com/office/drawing/2014/main" id="{CA70024D-5C05-4F60-AEF0-308F2C98B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DF6DC46" w14:textId="2311A8AB" w:rsidR="005248D4" w:rsidRPr="00CD2EEF" w:rsidRDefault="008B7E7C" w:rsidP="008B7E7C">
      <w:pPr>
        <w:pStyle w:val="LPnaslovslika"/>
        <w:rPr>
          <w:lang w:val="en-GB"/>
        </w:rPr>
      </w:pPr>
      <w:bookmarkStart w:id="225" w:name="_Toc480790825"/>
      <w:bookmarkStart w:id="226" w:name="_Toc483815899"/>
      <w:bookmarkStart w:id="227" w:name="_Toc76973093"/>
      <w:bookmarkStart w:id="228" w:name="_Toc126309903"/>
      <w:bookmarkEnd w:id="224"/>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24</w:t>
      </w:r>
      <w:r w:rsidR="00366B6D" w:rsidRPr="00CD2EEF">
        <w:rPr>
          <w:lang w:val="en-GB"/>
        </w:rPr>
        <w:fldChar w:fldCharType="end"/>
      </w:r>
      <w:r w:rsidR="005248D4" w:rsidRPr="00CD2EEF">
        <w:rPr>
          <w:lang w:val="en-GB"/>
        </w:rPr>
        <w:t xml:space="preserve">: </w:t>
      </w:r>
      <w:r w:rsidR="005248D4" w:rsidRPr="00CD2EEF">
        <w:rPr>
          <w:rStyle w:val="LPnadpisano"/>
          <w:lang w:val="en-GB"/>
        </w:rPr>
        <w:t>222</w:t>
      </w:r>
      <w:r w:rsidR="005248D4" w:rsidRPr="00CD2EEF">
        <w:rPr>
          <w:lang w:val="en-GB"/>
        </w:rPr>
        <w:t>Rn emissions from the Central Radioactive Waste Storage Facility in Brinje</w:t>
      </w:r>
      <w:bookmarkEnd w:id="225"/>
      <w:bookmarkEnd w:id="226"/>
      <w:bookmarkEnd w:id="227"/>
      <w:bookmarkEnd w:id="228"/>
    </w:p>
    <w:p w14:paraId="526D1C61" w14:textId="206FA2A5" w:rsidR="005248D4" w:rsidRPr="00CD2EEF" w:rsidRDefault="005248D4" w:rsidP="009F26ED">
      <w:pPr>
        <w:spacing w:after="120"/>
        <w:jc w:val="both"/>
        <w:rPr>
          <w:rFonts w:ascii="Garamond" w:hAnsi="Garamond"/>
          <w:szCs w:val="20"/>
          <w:lang w:val="en-GB"/>
        </w:rPr>
      </w:pPr>
      <w:bookmarkStart w:id="229" w:name="_Nekdanji_rudnik_urana"/>
      <w:bookmarkStart w:id="230" w:name="_Toc198013771"/>
      <w:bookmarkStart w:id="231" w:name="_Toc134582256"/>
      <w:bookmarkStart w:id="232" w:name="_Toc134415244"/>
      <w:bookmarkStart w:id="233" w:name="_Toc135104517"/>
      <w:bookmarkStart w:id="234" w:name="_Toc135462351"/>
      <w:bookmarkStart w:id="235" w:name="_Toc165267623"/>
      <w:bookmarkStart w:id="236" w:name="_Toc167689549"/>
      <w:bookmarkStart w:id="237" w:name="_Toc231789308"/>
      <w:bookmarkStart w:id="238" w:name="_Toc265149304"/>
      <w:bookmarkStart w:id="239" w:name="_Toc294704147"/>
      <w:bookmarkStart w:id="240" w:name="_Toc327337048"/>
      <w:bookmarkStart w:id="241" w:name="_Toc358804689"/>
      <w:bookmarkStart w:id="242" w:name="_Toc421612138"/>
      <w:bookmarkStart w:id="243" w:name="_Toc480786913"/>
      <w:bookmarkStart w:id="244" w:name="_Toc483815819"/>
      <w:bookmarkEnd w:id="229"/>
      <w:r w:rsidRPr="00CD2EEF">
        <w:rPr>
          <w:rFonts w:ascii="Garamond" w:hAnsi="Garamond"/>
          <w:szCs w:val="20"/>
          <w:lang w:val="en-GB"/>
        </w:rPr>
        <w:t xml:space="preserve">For the dose assessment of the most exposed members of the public, the inhalation of radon decay products and direct external radiation from the storage facility were considered. The most exposed members of the reference group are the employees of the Reactor Centre, who could potentially be affected by radon releases from the storage area. According to the model calculation, they received an estimated effective dose of </w:t>
      </w:r>
      <w:r w:rsidRPr="00CD2EEF">
        <w:rPr>
          <w:lang w:val="en-GB"/>
        </w:rPr>
        <w:t xml:space="preserve">&lt; 2 </w:t>
      </w:r>
      <w:r w:rsidRPr="00CD2EEF">
        <w:rPr>
          <w:rFonts w:ascii="Garamond" w:hAnsi="Garamond"/>
          <w:szCs w:val="20"/>
          <w:lang w:val="en-GB"/>
        </w:rPr>
        <w:t>μSv in 2021, which amounts to 2</w:t>
      </w:r>
      <w:r w:rsidR="00E30262">
        <w:rPr>
          <w:rFonts w:ascii="Garamond" w:hAnsi="Garamond"/>
          <w:szCs w:val="20"/>
          <w:lang w:val="en-GB"/>
        </w:rPr>
        <w:t>%</w:t>
      </w:r>
      <w:r w:rsidRPr="00CD2EEF">
        <w:rPr>
          <w:rFonts w:ascii="Garamond" w:hAnsi="Garamond"/>
          <w:szCs w:val="20"/>
          <w:lang w:val="en-GB"/>
        </w:rPr>
        <w:t xml:space="preserve"> of the authorised dose limit for individuals from the reference group of the population (100 µSv per year). A security officer at the Reactor Centre</w:t>
      </w:r>
      <w:r w:rsidRPr="00CD2EEF" w:rsidDel="00491623">
        <w:rPr>
          <w:rFonts w:ascii="Garamond" w:hAnsi="Garamond"/>
          <w:szCs w:val="20"/>
          <w:lang w:val="en-GB"/>
        </w:rPr>
        <w:t xml:space="preserve"> </w:t>
      </w:r>
      <w:r w:rsidRPr="00CD2EEF">
        <w:rPr>
          <w:rFonts w:ascii="Garamond" w:hAnsi="Garamond"/>
          <w:szCs w:val="20"/>
          <w:lang w:val="en-GB"/>
        </w:rPr>
        <w:t xml:space="preserve">received </w:t>
      </w:r>
      <w:r w:rsidRPr="00CD2EEF">
        <w:rPr>
          <w:lang w:val="en-GB"/>
        </w:rPr>
        <w:t xml:space="preserve">&lt; 1 </w:t>
      </w:r>
      <w:r w:rsidRPr="00CD2EEF">
        <w:rPr>
          <w:rFonts w:ascii="Garamond" w:hAnsi="Garamond"/>
          <w:szCs w:val="20"/>
          <w:lang w:val="en-GB"/>
        </w:rPr>
        <w:t>μSv per year from his or her regular rounds, while the annual dose received by a farmer adjacent to the controlled reactor area was estimated to be only approximately 0.1 μSv per year.</w:t>
      </w:r>
      <w:r w:rsidRPr="00CD2EEF">
        <w:rPr>
          <w:rFonts w:ascii="Garamond" w:hAnsi="Garamond"/>
          <w:b/>
          <w:szCs w:val="20"/>
          <w:lang w:val="en-GB"/>
        </w:rPr>
        <w:t xml:space="preserve"> </w:t>
      </w:r>
      <w:r w:rsidRPr="00CD2EEF">
        <w:rPr>
          <w:rFonts w:ascii="Garamond" w:hAnsi="Garamond"/>
          <w:szCs w:val="20"/>
          <w:lang w:val="en-GB"/>
        </w:rPr>
        <w:t>The values are comparable to the year 2020</w:t>
      </w:r>
      <w:r w:rsidR="00153F07">
        <w:rPr>
          <w:rFonts w:ascii="Garamond" w:hAnsi="Garamond"/>
          <w:szCs w:val="20"/>
          <w:lang w:val="en-GB"/>
        </w:rPr>
        <w:t>,</w:t>
      </w:r>
      <w:r w:rsidRPr="00CD2EEF">
        <w:rPr>
          <w:rFonts w:ascii="Garamond" w:hAnsi="Garamond"/>
          <w:szCs w:val="20"/>
          <w:lang w:val="en-GB"/>
        </w:rPr>
        <w:t xml:space="preserve"> and are much lower than in 2008 due to </w:t>
      </w:r>
      <w:r w:rsidR="00153F07">
        <w:rPr>
          <w:rFonts w:ascii="Garamond" w:hAnsi="Garamond"/>
          <w:szCs w:val="20"/>
          <w:lang w:val="en-GB"/>
        </w:rPr>
        <w:t xml:space="preserve">the </w:t>
      </w:r>
      <w:r w:rsidRPr="00CD2EEF">
        <w:rPr>
          <w:rFonts w:ascii="Garamond" w:hAnsi="Garamond"/>
          <w:szCs w:val="20"/>
          <w:lang w:val="en-GB"/>
        </w:rPr>
        <w:t>lower radon emissions; at the same time, they are negligible compared to the annual dose received by each individual due to natural radiation, which is 2,500</w:t>
      </w:r>
      <w:r w:rsidR="008536B8">
        <w:rPr>
          <w:rFonts w:ascii="Garamond" w:hAnsi="Garamond"/>
          <w:szCs w:val="20"/>
          <w:lang w:val="en-GB"/>
        </w:rPr>
        <w:t>–</w:t>
      </w:r>
      <w:r w:rsidRPr="00CD2EEF">
        <w:rPr>
          <w:rFonts w:ascii="Garamond" w:hAnsi="Garamond"/>
          <w:szCs w:val="20"/>
          <w:lang w:val="en-GB"/>
        </w:rPr>
        <w:t>2,800 µSv.</w:t>
      </w:r>
    </w:p>
    <w:p w14:paraId="3EE6A2DC" w14:textId="77777777" w:rsidR="005248D4" w:rsidRPr="00CD2EEF" w:rsidRDefault="005248D4" w:rsidP="0057789F">
      <w:pPr>
        <w:pStyle w:val="LPNaslov3"/>
        <w:rPr>
          <w:lang w:val="en-GB"/>
        </w:rPr>
      </w:pPr>
      <w:bookmarkStart w:id="245" w:name="_Toc74219342"/>
      <w:bookmarkStart w:id="246" w:name="ch333"/>
      <w:bookmarkStart w:id="247" w:name="_Toc126312005"/>
      <w:r w:rsidRPr="00CD2EEF">
        <w:rPr>
          <w:lang w:val="en-GB"/>
        </w:rPr>
        <w:t>The Former Žirovski Vrh</w:t>
      </w:r>
      <w:r w:rsidRPr="00CD2EEF" w:rsidDel="00CD2586">
        <w:rPr>
          <w:lang w:val="en-GB"/>
        </w:rPr>
        <w:t xml:space="preserve"> </w:t>
      </w:r>
      <w:r w:rsidRPr="00CD2EEF">
        <w:rPr>
          <w:lang w:val="en-GB"/>
        </w:rPr>
        <w:t>Uranium Mine</w:t>
      </w:r>
      <w:bookmarkEnd w:id="247"/>
      <w:r w:rsidRPr="00CD2EEF">
        <w:rPr>
          <w:lang w:val="en-GB"/>
        </w:rPr>
        <w:t xml:space="preserve"> </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bookmarkEnd w:id="246"/>
    <w:p w14:paraId="3102A1CC" w14:textId="38475240" w:rsidR="005248D4" w:rsidRPr="00CD2EEF" w:rsidRDefault="005248D4" w:rsidP="00161197">
      <w:pPr>
        <w:pStyle w:val="LPnavaden"/>
        <w:rPr>
          <w:lang w:val="en-GB"/>
        </w:rPr>
      </w:pPr>
      <w:r w:rsidRPr="00CD2EEF">
        <w:rPr>
          <w:lang w:val="en-GB"/>
        </w:rPr>
        <w:t xml:space="preserve">The monitoring of the environmental radioactivity of the former uranium mine consists of measuring radon releases, liquid radioactive discharges, and concentrations of radionuclides in the environment. An integrated programme of measurements has been implemented, including the radionuclide-specific activities of the uranium-radium decay chain in environmental samples, including the concentrations of radon and its decay products in the air, as well as external radiation. Measurement locations are set mainly in the settled areas in the valley, up to 3 km from the existing mine radiation sources, from Todraž to Gorenja Vas. For </w:t>
      </w:r>
      <w:r w:rsidR="00C57507">
        <w:rPr>
          <w:lang w:val="en-GB"/>
        </w:rPr>
        <w:t xml:space="preserve">the </w:t>
      </w:r>
      <w:r w:rsidRPr="00CD2EEF">
        <w:rPr>
          <w:lang w:val="en-GB"/>
        </w:rPr>
        <w:t>evaluation of the impact of uranium mining and milling, the relevant measurements of radionuclides of natural origin are carried out at reference points outside the influence of mine and disposal site discharges (as an approximation of the natural radiation background).</w:t>
      </w:r>
    </w:p>
    <w:p w14:paraId="4D05DAB6" w14:textId="77777777" w:rsidR="005248D4" w:rsidRPr="00CD2EEF" w:rsidRDefault="005248D4" w:rsidP="00161197">
      <w:pPr>
        <w:pStyle w:val="LPnavaden"/>
        <w:rPr>
          <w:lang w:val="en-GB"/>
        </w:rPr>
      </w:pPr>
      <w:r w:rsidRPr="00CD2EEF">
        <w:rPr>
          <w:lang w:val="en-GB"/>
        </w:rPr>
        <w:t>In 2015, the ARAO assumed the management and long-term monitoring of the Jazbec disposal site, while the Boršt hydro-metallurgical tailings disposal site is managed by Rudnik Žirovski Vrh d.o.o. (RŽV). Currently, both disposal site operators are responsible for implementing the environmental monitoring programme.</w:t>
      </w:r>
    </w:p>
    <w:p w14:paraId="74A45C85" w14:textId="45ED0800" w:rsidR="005248D4" w:rsidRPr="00CD2EEF" w:rsidRDefault="005248D4" w:rsidP="00161197">
      <w:pPr>
        <w:pStyle w:val="LPnavaden"/>
        <w:rPr>
          <w:lang w:val="en-GB"/>
        </w:rPr>
      </w:pPr>
      <w:r w:rsidRPr="00CD2EEF">
        <w:rPr>
          <w:lang w:val="en-GB"/>
        </w:rPr>
        <w:t xml:space="preserve">On 24 September 2019, </w:t>
      </w:r>
      <w:r w:rsidR="00A726E8">
        <w:rPr>
          <w:lang w:val="en-GB"/>
        </w:rPr>
        <w:t>the</w:t>
      </w:r>
      <w:r w:rsidR="00E63423">
        <w:rPr>
          <w:lang w:val="en-GB"/>
        </w:rPr>
        <w:t xml:space="preserve"> SNSA</w:t>
      </w:r>
      <w:r w:rsidRPr="00CD2EEF">
        <w:rPr>
          <w:lang w:val="en-GB"/>
        </w:rPr>
        <w:t xml:space="preserve"> approved a change to the Safety Report of the Jazbec disposal site. Thereby, the radioactivity control programme of the Jazbec disposal site was changed and the scope was decreased according to the analysis of the implementation of monitoring in the past and the condition of the closed disposal site.</w:t>
      </w:r>
    </w:p>
    <w:p w14:paraId="607E4370" w14:textId="77777777" w:rsidR="005248D4" w:rsidRPr="00CD2EEF" w:rsidRDefault="005248D4" w:rsidP="00161197">
      <w:pPr>
        <w:pStyle w:val="LPnavaden"/>
        <w:rPr>
          <w:b/>
          <w:shd w:val="clear" w:color="auto" w:fill="A8D08D" w:themeFill="accent6" w:themeFillTint="99"/>
          <w:lang w:val="en-GB"/>
        </w:rPr>
      </w:pPr>
      <w:r w:rsidRPr="00CD2EEF">
        <w:rPr>
          <w:lang w:val="en-GB"/>
        </w:rPr>
        <w:lastRenderedPageBreak/>
        <w:t>The year 2021 was already the eleventh year of the envisaged transitional five-year period at the Boršt disposal site. The monitoring programme for the Boršt disposal site was carried out under the same programme as in the fifth (last) year and will remain active in the future until the closure of the disposal site.</w:t>
      </w:r>
    </w:p>
    <w:p w14:paraId="66EE19E5" w14:textId="77777777" w:rsidR="005248D4" w:rsidRPr="00CD2EEF" w:rsidRDefault="005248D4" w:rsidP="0057789F">
      <w:pPr>
        <w:pStyle w:val="LPNaslov4"/>
        <w:rPr>
          <w:lang w:val="en-GB"/>
        </w:rPr>
      </w:pPr>
      <w:bookmarkStart w:id="248" w:name="_Toc74219343"/>
      <w:r w:rsidRPr="00CD2EEF">
        <w:rPr>
          <w:lang w:val="en-GB"/>
        </w:rPr>
        <w:t>R</w:t>
      </w:r>
      <w:bookmarkEnd w:id="248"/>
      <w:r w:rsidRPr="00CD2EEF">
        <w:rPr>
          <w:lang w:val="en-GB"/>
        </w:rPr>
        <w:t>adioactive Releases</w:t>
      </w:r>
      <w:r w:rsidRPr="00CD2EEF" w:rsidDel="00C8305C">
        <w:rPr>
          <w:lang w:val="en-GB"/>
        </w:rPr>
        <w:t xml:space="preserve"> </w:t>
      </w:r>
    </w:p>
    <w:p w14:paraId="576449D8" w14:textId="080434B8" w:rsidR="005248D4" w:rsidRPr="00CD2EEF" w:rsidRDefault="005248D4" w:rsidP="00161197">
      <w:pPr>
        <w:pStyle w:val="LPnavaden"/>
        <w:rPr>
          <w:lang w:val="en-GB"/>
        </w:rPr>
      </w:pPr>
      <w:r w:rsidRPr="00CD2EEF">
        <w:rPr>
          <w:lang w:val="en-GB"/>
        </w:rPr>
        <w:t>In 2021, measurements of liquid discharges showed that they were within the authorised limit values for the Boršt disposal site. Measurements of discharges carried out for Jazbec and for mine water also confirmed that the activities of natural radionuclides are below the authorised limits set in 2019. Concerning gas discharges,</w:t>
      </w:r>
      <w:r w:rsidR="000C1734">
        <w:rPr>
          <w:lang w:val="en-GB"/>
        </w:rPr>
        <w:t xml:space="preserve"> the</w:t>
      </w:r>
      <w:r w:rsidRPr="00CD2EEF">
        <w:rPr>
          <w:lang w:val="en-GB"/>
        </w:rPr>
        <w:t xml:space="preserve"> measurements made it possible to estimate the radon discharge from disposal site surfaces and the state of the multilayer soil cover. At the Boršt disposal site, the measured values were below the authorised limits. Regarding the Jazbec disposal site, this restriction was lifted in 2019, therefore the measurements are used to estimate the state of the multilayer soil cover. In 2021, the measured values were comparable to previous years.</w:t>
      </w:r>
    </w:p>
    <w:p w14:paraId="3D71D3A3" w14:textId="554E1947" w:rsidR="005248D4" w:rsidRPr="00CD2EEF" w:rsidRDefault="005248D4" w:rsidP="0057789F">
      <w:pPr>
        <w:pStyle w:val="LPNaslov4"/>
        <w:rPr>
          <w:lang w:val="en-GB"/>
        </w:rPr>
      </w:pPr>
      <w:bookmarkStart w:id="249" w:name="_Toc74219344"/>
      <w:r w:rsidRPr="00CD2EEF">
        <w:rPr>
          <w:lang w:val="en-GB"/>
        </w:rPr>
        <w:t>Exposure of the Population</w:t>
      </w:r>
      <w:bookmarkEnd w:id="249"/>
    </w:p>
    <w:p w14:paraId="52D0EAD5" w14:textId="3158C30A" w:rsidR="005248D4" w:rsidRPr="00CD2EEF" w:rsidRDefault="005248D4" w:rsidP="00161197">
      <w:pPr>
        <w:pStyle w:val="LPnavaden"/>
        <w:rPr>
          <w:lang w:val="en-GB"/>
        </w:rPr>
      </w:pPr>
      <w:bookmarkStart w:id="250" w:name="_Toc480790381"/>
      <w:bookmarkStart w:id="251" w:name="_Toc483815881"/>
      <w:bookmarkStart w:id="252" w:name="_Toc74219414"/>
      <w:r w:rsidRPr="00CD2EEF">
        <w:rPr>
          <w:lang w:val="en-GB"/>
        </w:rPr>
        <w:t>During operation, it was possible to evaluate the contribution of the mine by comparison with the reference locations outside the influence area of the mine. Following the remediation of the mine, its impact is difficult to separate from the natural background. Therefore, a model estimate has to be made. The contribution of mining radon in Gorenja Dobrava in the current year is calculated from the ratio of radon concentrations at the Jazbec disposal site from the period after the closure of the mine when the closing or regulatory activities (1991</w:t>
      </w:r>
      <w:r w:rsidR="008536B8">
        <w:rPr>
          <w:lang w:val="en-GB"/>
        </w:rPr>
        <w:t>–</w:t>
      </w:r>
      <w:r w:rsidRPr="00CD2EEF">
        <w:rPr>
          <w:lang w:val="en-GB"/>
        </w:rPr>
        <w:t>1995) had not started, and the average contribution of mining radon in Gorenja Dobrava in this period.</w:t>
      </w:r>
    </w:p>
    <w:p w14:paraId="33CDC652" w14:textId="353F24B6" w:rsidR="005248D4" w:rsidRPr="00CD2EEF" w:rsidRDefault="005248D4" w:rsidP="00161197">
      <w:pPr>
        <w:pStyle w:val="LPnavaden"/>
        <w:rPr>
          <w:lang w:val="en-GB"/>
        </w:rPr>
      </w:pPr>
      <w:r w:rsidRPr="00CD2EEF">
        <w:rPr>
          <w:lang w:val="en-GB"/>
        </w:rPr>
        <w:t>In recent years, the radioactivity in surface waters has been slowly but steadily decreasing. Due to a different dynamic of closing both the Jazbec and Boršt disposal sites, the programme for monitoring radioactivity in the Todraščica and Brebovščica Streams has changed. In 2021, it was difficult to ascertain the overall state of the environment and make a comparison with past measurements as the collection and analysis of data were carried out separately by the operators of both disposal sites. In 2021, the concentration in the water of the Brebovščica Stream in the settlement of Gorenja Dobrava was 247 Bq/m</w:t>
      </w:r>
      <w:r w:rsidRPr="00CD2EEF">
        <w:rPr>
          <w:rStyle w:val="LPnadpisano"/>
          <w:rFonts w:eastAsiaTheme="majorEastAsia"/>
          <w:lang w:val="en-GB"/>
        </w:rPr>
        <w:t>3</w:t>
      </w:r>
      <w:r w:rsidRPr="00CD2EEF">
        <w:rPr>
          <w:lang w:val="en-GB"/>
        </w:rPr>
        <w:t xml:space="preserve"> for </w:t>
      </w:r>
      <w:r w:rsidRPr="00CD2EEF">
        <w:rPr>
          <w:rStyle w:val="LPnadpisano"/>
          <w:rFonts w:eastAsiaTheme="majorEastAsia"/>
          <w:lang w:val="en-GB"/>
        </w:rPr>
        <w:t>238</w:t>
      </w:r>
      <w:r w:rsidRPr="00CD2EEF">
        <w:rPr>
          <w:lang w:val="en-GB"/>
        </w:rPr>
        <w:t>U and 5.8 Bq/m</w:t>
      </w:r>
      <w:r w:rsidRPr="00CD2EEF">
        <w:rPr>
          <w:rStyle w:val="LPnadpisano"/>
          <w:rFonts w:eastAsiaTheme="majorEastAsia"/>
          <w:lang w:val="en-GB"/>
        </w:rPr>
        <w:t>3</w:t>
      </w:r>
      <w:r w:rsidRPr="00CD2EEF">
        <w:rPr>
          <w:lang w:val="en-GB"/>
        </w:rPr>
        <w:t xml:space="preserve"> for </w:t>
      </w:r>
      <w:r w:rsidRPr="00CD2EEF">
        <w:rPr>
          <w:rStyle w:val="LPnadpisano"/>
          <w:rFonts w:eastAsiaTheme="majorEastAsia"/>
          <w:lang w:val="en-GB"/>
        </w:rPr>
        <w:t>226</w:t>
      </w:r>
      <w:r w:rsidRPr="00CD2EEF">
        <w:rPr>
          <w:lang w:val="en-GB"/>
        </w:rPr>
        <w:t xml:space="preserve">Ra. According to the data </w:t>
      </w:r>
      <w:r w:rsidR="005B4EAB" w:rsidRPr="00CD2EEF">
        <w:rPr>
          <w:lang w:val="en-GB"/>
        </w:rPr>
        <w:t xml:space="preserve">collected </w:t>
      </w:r>
      <w:r w:rsidRPr="00CD2EEF">
        <w:rPr>
          <w:lang w:val="en-GB"/>
        </w:rPr>
        <w:t>on currents and concentrations, it can be estimated that discharges from both disposal sites are approximately ten times lower than the contribution of the mine. The contribution of the Boršt disposal site has decreased following rehabilitation works and is similar to, if not lower than, the contribution of the Jazbec disposal site.</w:t>
      </w:r>
    </w:p>
    <w:p w14:paraId="783E0290" w14:textId="77777777" w:rsidR="005248D4" w:rsidRPr="00CD2EEF" w:rsidRDefault="005248D4" w:rsidP="00161197">
      <w:pPr>
        <w:pStyle w:val="LPnavaden"/>
        <w:rPr>
          <w:lang w:val="en-GB"/>
        </w:rPr>
      </w:pPr>
      <w:r w:rsidRPr="00CD2EEF">
        <w:rPr>
          <w:lang w:val="en-GB"/>
        </w:rPr>
        <w:t xml:space="preserve">Just as in the previous years, in 2021 the most important part of the programme was measuring the radon concentrations. For 2021, it is estimated that the contribution of </w:t>
      </w:r>
      <w:r w:rsidRPr="00CD2EEF">
        <w:rPr>
          <w:rStyle w:val="LPnadpisano"/>
          <w:rFonts w:eastAsiaTheme="majorEastAsia"/>
          <w:lang w:val="en-GB"/>
        </w:rPr>
        <w:t>222</w:t>
      </w:r>
      <w:r w:rsidRPr="00CD2EEF">
        <w:rPr>
          <w:lang w:val="en-GB"/>
        </w:rPr>
        <w:t>Rn from the remaining mining sources to the natural concentrations in the environment was approximately 3.3 Bq/m</w:t>
      </w:r>
      <w:r w:rsidRPr="00CD2EEF">
        <w:rPr>
          <w:vertAlign w:val="superscript"/>
          <w:lang w:val="en-GB"/>
        </w:rPr>
        <w:t>3</w:t>
      </w:r>
      <w:r w:rsidRPr="00CD2EEF">
        <w:rPr>
          <w:lang w:val="en-GB"/>
        </w:rPr>
        <w:t>, which is the same as in 2020.</w:t>
      </w:r>
    </w:p>
    <w:p w14:paraId="7DF55927" w14:textId="7266D10E" w:rsidR="005248D4" w:rsidRPr="00CD2EEF" w:rsidRDefault="005248D4" w:rsidP="00161197">
      <w:pPr>
        <w:pStyle w:val="LPnavaden"/>
        <w:rPr>
          <w:lang w:val="en-GB"/>
        </w:rPr>
      </w:pPr>
      <w:r w:rsidRPr="00CD2EEF">
        <w:rPr>
          <w:lang w:val="en-GB"/>
        </w:rPr>
        <w:t xml:space="preserve">In 2020, the effective dose assessment was carried out separately for both the Jazbec and Boršt disposal sites for the first time. For Jazbec, the calculation was done based on the new methodology described in the Amendment to the safety report from 2019. Only the contribution of radon and its short-lived progeny inhalations was assessed in 2021. The estimated dose due to ingestion and external radiation is conservatively estimated at 40 μSv/year and is not calculated from the measurements. It is important to add that the value of 40 μSv/year is overestimated and can lead to the wrong conclusion that those doses have increased for the population, but the actual value assessed through models and the above-mentioned available patterns does not actually exceed 10 μSv/year. Due to higher concentrations of radon in the valley of the Brebovščica Stream due to the Boršt disposal site, the corresponding effective dose has been estimated. As </w:t>
      </w:r>
      <w:r w:rsidR="00B405C3">
        <w:rPr>
          <w:lang w:val="en-GB"/>
        </w:rPr>
        <w:t xml:space="preserve">the </w:t>
      </w:r>
      <w:r w:rsidRPr="00CD2EEF">
        <w:rPr>
          <w:lang w:val="en-GB"/>
        </w:rPr>
        <w:t xml:space="preserve">values are low, </w:t>
      </w:r>
      <w:r w:rsidRPr="00CD2EEF">
        <w:rPr>
          <w:lang w:val="en-GB"/>
        </w:rPr>
        <w:lastRenderedPageBreak/>
        <w:t>only the inhalation dose of radon and its short-lived progeny is mentioned, which in 2021 was estimated at 2.1 ± 0.6 μSv.</w:t>
      </w:r>
    </w:p>
    <w:p w14:paraId="486A1D56" w14:textId="6447F5B3" w:rsidR="005248D4" w:rsidRPr="00CD2EEF" w:rsidRDefault="005248D4" w:rsidP="00161197">
      <w:pPr>
        <w:pStyle w:val="LPnavaden"/>
        <w:rPr>
          <w:lang w:val="en-GB"/>
        </w:rPr>
      </w:pPr>
      <w:r w:rsidRPr="00CD2EEF">
        <w:rPr>
          <w:lang w:val="en-GB"/>
        </w:rPr>
        <w:t>In 2021, the total effective dose received by an adult member living in the surroundings of the former uranium mine was estimated at 0.124 mSv (</w:t>
      </w:r>
      <w:hyperlink w:anchor="t07" w:history="1">
        <w:r w:rsidRPr="00CD2EEF">
          <w:rPr>
            <w:rStyle w:val="Hiperpovezava"/>
            <w:lang w:val="en-GB"/>
          </w:rPr>
          <w:t>Table 7</w:t>
        </w:r>
      </w:hyperlink>
      <w:r w:rsidRPr="00CD2EEF">
        <w:rPr>
          <w:lang w:val="en-GB"/>
        </w:rPr>
        <w:t xml:space="preserve">), which is the same as in 2020. However, the most important source of radioactive contamination from the mine environment is still </w:t>
      </w:r>
      <w:r w:rsidRPr="00CD2EEF">
        <w:rPr>
          <w:rStyle w:val="LPnadpisano"/>
          <w:rFonts w:eastAsiaTheme="majorEastAsia"/>
          <w:lang w:val="en-GB"/>
        </w:rPr>
        <w:t>222</w:t>
      </w:r>
      <w:r w:rsidRPr="00CD2EEF">
        <w:rPr>
          <w:lang w:val="en-GB"/>
        </w:rPr>
        <w:t>Rn with its short-lived progeny, which contributed 0.080 mSv of additional exposure in this area.</w:t>
      </w:r>
    </w:p>
    <w:p w14:paraId="29F442F0" w14:textId="209322BE" w:rsidR="005248D4" w:rsidRPr="00CD2EEF" w:rsidRDefault="008B7E7C" w:rsidP="008B7E7C">
      <w:pPr>
        <w:pStyle w:val="LPnaslovpreglednica"/>
        <w:rPr>
          <w:lang w:val="en-GB"/>
        </w:rPr>
      </w:pPr>
      <w:bookmarkStart w:id="253" w:name="_Toc126309914"/>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00BE0188" w:rsidRPr="00CD2EEF">
        <w:rPr>
          <w:lang w:val="en-GB"/>
        </w:rPr>
        <w:t>7</w:t>
      </w:r>
      <w:r w:rsidR="00366B6D" w:rsidRPr="00CD2EEF">
        <w:rPr>
          <w:lang w:val="en-GB"/>
        </w:rPr>
        <w:fldChar w:fldCharType="end"/>
      </w:r>
      <w:r w:rsidR="005248D4" w:rsidRPr="00CD2EEF">
        <w:rPr>
          <w:lang w:val="en-GB"/>
        </w:rPr>
        <w:t>: The effective doses received by an adult member of the public living in the surroundings of the former Žirovski Vrh Uranium Mine in</w:t>
      </w:r>
      <w:r w:rsidR="005248D4" w:rsidRPr="00CD2EEF" w:rsidDel="00C57398">
        <w:rPr>
          <w:lang w:val="en-GB"/>
        </w:rPr>
        <w:t xml:space="preserve"> </w:t>
      </w:r>
      <w:bookmarkEnd w:id="250"/>
      <w:bookmarkEnd w:id="251"/>
      <w:r w:rsidR="005248D4" w:rsidRPr="00CD2EEF">
        <w:rPr>
          <w:lang w:val="en-GB"/>
        </w:rPr>
        <w:t>2021</w:t>
      </w:r>
      <w:bookmarkEnd w:id="252"/>
      <w:bookmarkEnd w:id="253"/>
    </w:p>
    <w:tbl>
      <w:tblPr>
        <w:tblW w:w="895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1588"/>
        <w:gridCol w:w="3227"/>
        <w:gridCol w:w="1276"/>
        <w:gridCol w:w="1134"/>
        <w:gridCol w:w="1734"/>
      </w:tblGrid>
      <w:tr w:rsidR="005248D4" w:rsidRPr="00CD2EEF" w14:paraId="312069CF" w14:textId="77777777" w:rsidTr="00764574">
        <w:tc>
          <w:tcPr>
            <w:tcW w:w="1588" w:type="dxa"/>
            <w:shd w:val="clear" w:color="auto" w:fill="5B9BD5" w:themeFill="accent1"/>
            <w:vAlign w:val="center"/>
          </w:tcPr>
          <w:p w14:paraId="1AB8AABC" w14:textId="77777777" w:rsidR="005248D4" w:rsidRPr="00CD2EEF" w:rsidRDefault="005248D4" w:rsidP="00764574">
            <w:pPr>
              <w:pStyle w:val="LPpreglednicaglavasredina"/>
              <w:rPr>
                <w:lang w:val="en-GB"/>
              </w:rPr>
            </w:pPr>
            <w:bookmarkStart w:id="254" w:name="t07"/>
            <w:r w:rsidRPr="00CD2EEF">
              <w:rPr>
                <w:lang w:val="en-GB"/>
              </w:rPr>
              <w:t>Transfer pathway</w:t>
            </w:r>
          </w:p>
        </w:tc>
        <w:tc>
          <w:tcPr>
            <w:tcW w:w="3227" w:type="dxa"/>
            <w:shd w:val="clear" w:color="auto" w:fill="5B9BD5" w:themeFill="accent1"/>
            <w:vAlign w:val="center"/>
          </w:tcPr>
          <w:p w14:paraId="397AB4F4" w14:textId="77777777" w:rsidR="005248D4" w:rsidRPr="00CD2EEF" w:rsidRDefault="005248D4" w:rsidP="00764574">
            <w:pPr>
              <w:pStyle w:val="LPpreglednicaglavasredina"/>
              <w:rPr>
                <w:lang w:val="en-GB"/>
              </w:rPr>
            </w:pPr>
            <w:r w:rsidRPr="00CD2EEF">
              <w:rPr>
                <w:lang w:val="en-GB"/>
              </w:rPr>
              <w:t>Important radionuclides</w:t>
            </w:r>
          </w:p>
        </w:tc>
        <w:tc>
          <w:tcPr>
            <w:tcW w:w="1276" w:type="dxa"/>
            <w:shd w:val="clear" w:color="auto" w:fill="5B9BD5" w:themeFill="accent1"/>
            <w:vAlign w:val="center"/>
          </w:tcPr>
          <w:p w14:paraId="337CD97F" w14:textId="77777777" w:rsidR="005248D4" w:rsidRPr="00CD2EEF" w:rsidRDefault="005248D4" w:rsidP="00764574">
            <w:pPr>
              <w:pStyle w:val="LPpreglednicaglavasredina"/>
              <w:rPr>
                <w:lang w:val="en-GB"/>
              </w:rPr>
            </w:pPr>
            <w:r w:rsidRPr="00CD2EEF">
              <w:rPr>
                <w:lang w:val="en-GB"/>
              </w:rPr>
              <w:t>Jazbec [mSv]</w:t>
            </w:r>
          </w:p>
        </w:tc>
        <w:tc>
          <w:tcPr>
            <w:tcW w:w="1134" w:type="dxa"/>
            <w:shd w:val="clear" w:color="auto" w:fill="5B9BD5" w:themeFill="accent1"/>
            <w:vAlign w:val="center"/>
          </w:tcPr>
          <w:p w14:paraId="57B0A358" w14:textId="77777777" w:rsidR="005248D4" w:rsidRPr="00CD2EEF" w:rsidRDefault="005248D4" w:rsidP="00764574">
            <w:pPr>
              <w:pStyle w:val="LPpreglednicaglavasredina"/>
              <w:rPr>
                <w:lang w:val="en-GB"/>
              </w:rPr>
            </w:pPr>
            <w:r w:rsidRPr="00CD2EEF">
              <w:rPr>
                <w:lang w:val="en-GB"/>
              </w:rPr>
              <w:t>Boršt [mSv]</w:t>
            </w:r>
          </w:p>
        </w:tc>
        <w:tc>
          <w:tcPr>
            <w:tcW w:w="1734" w:type="dxa"/>
            <w:tcBorders>
              <w:bottom w:val="single" w:sz="4" w:space="0" w:color="A5A5A5" w:themeColor="accent3"/>
            </w:tcBorders>
            <w:shd w:val="clear" w:color="auto" w:fill="5B9BD5" w:themeFill="accent1"/>
            <w:vAlign w:val="center"/>
          </w:tcPr>
          <w:p w14:paraId="2E774860" w14:textId="77777777" w:rsidR="005248D4" w:rsidRPr="00CD2EEF" w:rsidRDefault="005248D4" w:rsidP="00764574">
            <w:pPr>
              <w:pStyle w:val="LPpreglednicaglavasredina"/>
              <w:rPr>
                <w:lang w:val="en-GB"/>
              </w:rPr>
            </w:pPr>
            <w:r w:rsidRPr="00CD2EEF">
              <w:rPr>
                <w:bCs/>
                <w:lang w:val="en-GB"/>
              </w:rPr>
              <w:t xml:space="preserve">Effective dose </w:t>
            </w:r>
            <w:r w:rsidRPr="00CD2EEF">
              <w:rPr>
                <w:lang w:val="en-GB"/>
              </w:rPr>
              <w:t>[mSv]</w:t>
            </w:r>
          </w:p>
        </w:tc>
      </w:tr>
      <w:tr w:rsidR="005248D4" w:rsidRPr="00CD2EEF" w14:paraId="2267989F" w14:textId="77777777" w:rsidTr="00764574">
        <w:trPr>
          <w:trHeight w:val="175"/>
        </w:trPr>
        <w:tc>
          <w:tcPr>
            <w:tcW w:w="1588" w:type="dxa"/>
            <w:vMerge w:val="restart"/>
            <w:vAlign w:val="center"/>
          </w:tcPr>
          <w:p w14:paraId="4388095C" w14:textId="77777777" w:rsidR="005248D4" w:rsidRPr="00CD2EEF" w:rsidRDefault="005248D4" w:rsidP="00764574">
            <w:pPr>
              <w:pStyle w:val="LPpreglednicatelo"/>
              <w:rPr>
                <w:lang w:val="en-GB"/>
              </w:rPr>
            </w:pPr>
            <w:r w:rsidRPr="00CD2EEF">
              <w:rPr>
                <w:lang w:val="en-GB"/>
              </w:rPr>
              <w:t>Inhalation</w:t>
            </w:r>
          </w:p>
        </w:tc>
        <w:tc>
          <w:tcPr>
            <w:tcW w:w="3227" w:type="dxa"/>
            <w:tcBorders>
              <w:bottom w:val="dashSmallGap" w:sz="4" w:space="0" w:color="A5A5A5" w:themeColor="accent3"/>
            </w:tcBorders>
          </w:tcPr>
          <w:p w14:paraId="54DBDC1F" w14:textId="77777777" w:rsidR="005248D4" w:rsidRPr="00CD2EEF" w:rsidRDefault="005248D4" w:rsidP="008F5FA1">
            <w:pPr>
              <w:pStyle w:val="LPpreglednicateloalineje"/>
              <w:rPr>
                <w:lang w:val="en-GB"/>
              </w:rPr>
            </w:pPr>
            <w:r w:rsidRPr="00CD2EEF">
              <w:rPr>
                <w:lang w:val="en-GB"/>
              </w:rPr>
              <w:t xml:space="preserve">aerosols with long-lived radionuclides (U, </w:t>
            </w:r>
            <w:r w:rsidRPr="00CD2EEF">
              <w:rPr>
                <w:rStyle w:val="LPnadpisano"/>
                <w:lang w:val="en-GB"/>
              </w:rPr>
              <w:t>226</w:t>
            </w:r>
            <w:r w:rsidRPr="00CD2EEF">
              <w:rPr>
                <w:lang w:val="en-GB"/>
              </w:rPr>
              <w:t xml:space="preserve">Ra, </w:t>
            </w:r>
            <w:r w:rsidRPr="00CD2EEF">
              <w:rPr>
                <w:rStyle w:val="LPnadpisano"/>
                <w:lang w:val="en-GB"/>
              </w:rPr>
              <w:t>210</w:t>
            </w:r>
            <w:r w:rsidRPr="00CD2EEF">
              <w:rPr>
                <w:lang w:val="en-GB"/>
              </w:rPr>
              <w:t>Pb)</w:t>
            </w:r>
          </w:p>
        </w:tc>
        <w:tc>
          <w:tcPr>
            <w:tcW w:w="1276" w:type="dxa"/>
            <w:tcBorders>
              <w:bottom w:val="dashSmallGap" w:sz="4" w:space="0" w:color="A5A5A5" w:themeColor="accent3"/>
            </w:tcBorders>
            <w:vAlign w:val="center"/>
          </w:tcPr>
          <w:p w14:paraId="119878F7" w14:textId="77777777" w:rsidR="005248D4" w:rsidRPr="00CD2EEF" w:rsidRDefault="005248D4" w:rsidP="009324B7">
            <w:pPr>
              <w:pStyle w:val="LPpreglednicatelo"/>
              <w:rPr>
                <w:lang w:val="en-GB"/>
              </w:rPr>
            </w:pPr>
            <w:r w:rsidRPr="00CD2EEF">
              <w:rPr>
                <w:lang w:val="en-GB"/>
              </w:rPr>
              <w:t>-</w:t>
            </w:r>
          </w:p>
        </w:tc>
        <w:tc>
          <w:tcPr>
            <w:tcW w:w="1134" w:type="dxa"/>
            <w:tcBorders>
              <w:bottom w:val="dashSmallGap" w:sz="4" w:space="0" w:color="A5A5A5" w:themeColor="accent3"/>
            </w:tcBorders>
            <w:vAlign w:val="center"/>
          </w:tcPr>
          <w:p w14:paraId="21655E32" w14:textId="77777777" w:rsidR="005248D4" w:rsidRPr="00CD2EEF" w:rsidRDefault="005248D4" w:rsidP="009324B7">
            <w:pPr>
              <w:pStyle w:val="LPpreglednicatelo"/>
              <w:rPr>
                <w:lang w:val="en-GB"/>
              </w:rPr>
            </w:pPr>
            <w:r w:rsidRPr="00CD2EEF">
              <w:rPr>
                <w:lang w:val="en-GB"/>
              </w:rPr>
              <w:t>-</w:t>
            </w:r>
          </w:p>
        </w:tc>
        <w:tc>
          <w:tcPr>
            <w:tcW w:w="1734" w:type="dxa"/>
            <w:tcBorders>
              <w:bottom w:val="nil"/>
            </w:tcBorders>
            <w:vAlign w:val="center"/>
          </w:tcPr>
          <w:p w14:paraId="48DB5C0F" w14:textId="77777777" w:rsidR="005248D4" w:rsidRPr="00CD2EEF" w:rsidRDefault="005248D4" w:rsidP="009324B7">
            <w:pPr>
              <w:pStyle w:val="LPpreglednicatelo"/>
              <w:rPr>
                <w:lang w:val="en-GB"/>
              </w:rPr>
            </w:pPr>
            <w:r w:rsidRPr="00CD2EEF">
              <w:rPr>
                <w:lang w:val="en-GB"/>
              </w:rPr>
              <w:t>(pathway no longer exists)</w:t>
            </w:r>
          </w:p>
        </w:tc>
      </w:tr>
      <w:tr w:rsidR="005248D4" w:rsidRPr="00CD2EEF" w14:paraId="69E32486" w14:textId="77777777" w:rsidTr="00764574">
        <w:trPr>
          <w:trHeight w:val="175"/>
        </w:trPr>
        <w:tc>
          <w:tcPr>
            <w:tcW w:w="1588" w:type="dxa"/>
            <w:vMerge/>
            <w:vAlign w:val="center"/>
          </w:tcPr>
          <w:p w14:paraId="7B56D82F" w14:textId="77777777" w:rsidR="005248D4" w:rsidRPr="00CD2EEF" w:rsidRDefault="005248D4" w:rsidP="00764574">
            <w:pPr>
              <w:pStyle w:val="LPpreglednicatelo"/>
              <w:rPr>
                <w:lang w:val="en-GB"/>
              </w:rPr>
            </w:pPr>
          </w:p>
        </w:tc>
        <w:tc>
          <w:tcPr>
            <w:tcW w:w="3227" w:type="dxa"/>
            <w:tcBorders>
              <w:top w:val="dashSmallGap" w:sz="4" w:space="0" w:color="A5A5A5" w:themeColor="accent3"/>
              <w:bottom w:val="dashSmallGap" w:sz="4" w:space="0" w:color="A5A5A5" w:themeColor="accent3"/>
            </w:tcBorders>
          </w:tcPr>
          <w:p w14:paraId="4DB08DC4" w14:textId="77777777" w:rsidR="005248D4" w:rsidRPr="00CD2EEF" w:rsidRDefault="005248D4" w:rsidP="008F5FA1">
            <w:pPr>
              <w:pStyle w:val="LPpreglednicateloalineje"/>
              <w:rPr>
                <w:lang w:val="en-GB"/>
              </w:rPr>
            </w:pPr>
            <w:r w:rsidRPr="00CD2EEF">
              <w:rPr>
                <w:lang w:val="en-GB"/>
              </w:rPr>
              <w:t xml:space="preserve">only </w:t>
            </w:r>
            <w:r w:rsidRPr="00CD2EEF">
              <w:rPr>
                <w:rStyle w:val="LPnadpisano"/>
                <w:lang w:val="en-GB"/>
              </w:rPr>
              <w:t>222</w:t>
            </w:r>
            <w:r w:rsidRPr="00CD2EEF">
              <w:rPr>
                <w:lang w:val="en-GB"/>
              </w:rPr>
              <w:t>Rn</w:t>
            </w:r>
          </w:p>
        </w:tc>
        <w:tc>
          <w:tcPr>
            <w:tcW w:w="1276" w:type="dxa"/>
            <w:tcBorders>
              <w:top w:val="dashSmallGap" w:sz="4" w:space="0" w:color="A5A5A5" w:themeColor="accent3"/>
              <w:bottom w:val="dashSmallGap" w:sz="4" w:space="0" w:color="A5A5A5" w:themeColor="accent3"/>
            </w:tcBorders>
            <w:vAlign w:val="center"/>
          </w:tcPr>
          <w:p w14:paraId="093B7A70" w14:textId="77777777" w:rsidR="005248D4" w:rsidRPr="00CD2EEF" w:rsidRDefault="005248D4" w:rsidP="009324B7">
            <w:pPr>
              <w:pStyle w:val="LPpreglednicatelo"/>
              <w:rPr>
                <w:lang w:val="en-GB"/>
              </w:rPr>
            </w:pPr>
            <w:r w:rsidRPr="00CD2EEF">
              <w:rPr>
                <w:lang w:val="en-GB"/>
              </w:rPr>
              <w:t>0.0019</w:t>
            </w:r>
          </w:p>
        </w:tc>
        <w:tc>
          <w:tcPr>
            <w:tcW w:w="1134" w:type="dxa"/>
            <w:tcBorders>
              <w:top w:val="dashSmallGap" w:sz="4" w:space="0" w:color="A5A5A5" w:themeColor="accent3"/>
              <w:bottom w:val="dashSmallGap" w:sz="4" w:space="0" w:color="A5A5A5" w:themeColor="accent3"/>
            </w:tcBorders>
            <w:vAlign w:val="center"/>
          </w:tcPr>
          <w:p w14:paraId="49D4D32F" w14:textId="77777777" w:rsidR="005248D4" w:rsidRPr="00CD2EEF" w:rsidRDefault="005248D4" w:rsidP="009324B7">
            <w:pPr>
              <w:pStyle w:val="LPpreglednicatelo"/>
              <w:rPr>
                <w:lang w:val="en-GB"/>
              </w:rPr>
            </w:pPr>
            <w:r w:rsidRPr="00CD2EEF">
              <w:rPr>
                <w:lang w:val="en-GB"/>
              </w:rPr>
              <w:t>0.00005</w:t>
            </w:r>
          </w:p>
        </w:tc>
        <w:tc>
          <w:tcPr>
            <w:tcW w:w="1734" w:type="dxa"/>
            <w:tcBorders>
              <w:top w:val="nil"/>
              <w:bottom w:val="dashSmallGap" w:sz="4" w:space="0" w:color="A5A5A5" w:themeColor="accent3"/>
            </w:tcBorders>
            <w:vAlign w:val="center"/>
          </w:tcPr>
          <w:p w14:paraId="04B68A45" w14:textId="77777777" w:rsidR="005248D4" w:rsidRPr="00CD2EEF" w:rsidRDefault="005248D4" w:rsidP="009324B7">
            <w:pPr>
              <w:pStyle w:val="LPpreglednicatelo"/>
              <w:rPr>
                <w:lang w:val="en-GB"/>
              </w:rPr>
            </w:pPr>
            <w:r w:rsidRPr="00CD2EEF">
              <w:rPr>
                <w:lang w:val="en-GB"/>
              </w:rPr>
              <w:t>0.0019</w:t>
            </w:r>
          </w:p>
        </w:tc>
      </w:tr>
      <w:tr w:rsidR="005248D4" w:rsidRPr="00CD2EEF" w14:paraId="0DBE014C" w14:textId="77777777" w:rsidTr="00764574">
        <w:trPr>
          <w:trHeight w:val="175"/>
        </w:trPr>
        <w:tc>
          <w:tcPr>
            <w:tcW w:w="1588" w:type="dxa"/>
            <w:vMerge/>
            <w:tcBorders>
              <w:bottom w:val="single" w:sz="8" w:space="0" w:color="A5A5A5" w:themeColor="accent3"/>
            </w:tcBorders>
            <w:vAlign w:val="center"/>
          </w:tcPr>
          <w:p w14:paraId="49FD1001" w14:textId="77777777" w:rsidR="005248D4" w:rsidRPr="00CD2EEF" w:rsidRDefault="005248D4" w:rsidP="00764574">
            <w:pPr>
              <w:pStyle w:val="LPpreglednicatelo"/>
              <w:rPr>
                <w:lang w:val="en-GB"/>
              </w:rPr>
            </w:pPr>
          </w:p>
        </w:tc>
        <w:tc>
          <w:tcPr>
            <w:tcW w:w="3227" w:type="dxa"/>
            <w:tcBorders>
              <w:top w:val="dashSmallGap" w:sz="4" w:space="0" w:color="A5A5A5" w:themeColor="accent3"/>
              <w:bottom w:val="single" w:sz="8" w:space="0" w:color="A5A5A5" w:themeColor="accent3"/>
            </w:tcBorders>
          </w:tcPr>
          <w:p w14:paraId="0C5BE2B7" w14:textId="75F89876" w:rsidR="005248D4" w:rsidRPr="00CD2EEF" w:rsidRDefault="005248D4" w:rsidP="008F5FA1">
            <w:pPr>
              <w:pStyle w:val="LPpreglednicateloalineje"/>
              <w:rPr>
                <w:lang w:val="en-GB"/>
              </w:rPr>
            </w:pPr>
            <w:r w:rsidRPr="00CD2EEF">
              <w:rPr>
                <w:lang w:val="en-GB"/>
              </w:rPr>
              <w:t>Rn –</w:t>
            </w:r>
            <w:r w:rsidR="00AA67F2">
              <w:rPr>
                <w:lang w:val="en-GB"/>
              </w:rPr>
              <w:t xml:space="preserve"> </w:t>
            </w:r>
            <w:r w:rsidRPr="00CD2EEF">
              <w:rPr>
                <w:lang w:val="en-GB"/>
              </w:rPr>
              <w:t>short-lived progeny</w:t>
            </w:r>
          </w:p>
        </w:tc>
        <w:tc>
          <w:tcPr>
            <w:tcW w:w="1276" w:type="dxa"/>
            <w:tcBorders>
              <w:top w:val="dashSmallGap" w:sz="4" w:space="0" w:color="A5A5A5" w:themeColor="accent3"/>
              <w:bottom w:val="single" w:sz="8" w:space="0" w:color="A5A5A5" w:themeColor="accent3"/>
            </w:tcBorders>
            <w:vAlign w:val="center"/>
          </w:tcPr>
          <w:p w14:paraId="3C152C9F" w14:textId="77777777" w:rsidR="005248D4" w:rsidRPr="00CD2EEF" w:rsidRDefault="005248D4" w:rsidP="009324B7">
            <w:pPr>
              <w:pStyle w:val="LPpreglednicatelo"/>
              <w:rPr>
                <w:lang w:val="en-GB"/>
              </w:rPr>
            </w:pPr>
            <w:r w:rsidRPr="00CD2EEF">
              <w:rPr>
                <w:lang w:val="en-GB"/>
              </w:rPr>
              <w:t>0.080</w:t>
            </w:r>
          </w:p>
        </w:tc>
        <w:tc>
          <w:tcPr>
            <w:tcW w:w="1134" w:type="dxa"/>
            <w:tcBorders>
              <w:top w:val="dashSmallGap" w:sz="4" w:space="0" w:color="A5A5A5" w:themeColor="accent3"/>
              <w:bottom w:val="single" w:sz="8" w:space="0" w:color="A5A5A5" w:themeColor="accent3"/>
            </w:tcBorders>
            <w:vAlign w:val="center"/>
          </w:tcPr>
          <w:p w14:paraId="135D94B3" w14:textId="77777777" w:rsidR="005248D4" w:rsidRPr="00CD2EEF" w:rsidRDefault="005248D4" w:rsidP="009324B7">
            <w:pPr>
              <w:pStyle w:val="LPpreglednicatelo"/>
              <w:rPr>
                <w:lang w:val="en-GB"/>
              </w:rPr>
            </w:pPr>
            <w:r w:rsidRPr="00CD2EEF">
              <w:rPr>
                <w:lang w:val="en-GB"/>
              </w:rPr>
              <w:t>0.0021</w:t>
            </w:r>
          </w:p>
        </w:tc>
        <w:tc>
          <w:tcPr>
            <w:tcW w:w="1734" w:type="dxa"/>
            <w:tcBorders>
              <w:top w:val="dashSmallGap" w:sz="4" w:space="0" w:color="A5A5A5" w:themeColor="accent3"/>
              <w:bottom w:val="single" w:sz="8" w:space="0" w:color="A5A5A5" w:themeColor="accent3"/>
            </w:tcBorders>
            <w:vAlign w:val="center"/>
          </w:tcPr>
          <w:p w14:paraId="081E4EB4" w14:textId="77777777" w:rsidR="005248D4" w:rsidRPr="00CD2EEF" w:rsidRDefault="005248D4" w:rsidP="009324B7">
            <w:pPr>
              <w:pStyle w:val="LPpreglednicatelo"/>
              <w:rPr>
                <w:lang w:val="en-GB"/>
              </w:rPr>
            </w:pPr>
            <w:r w:rsidRPr="00CD2EEF">
              <w:rPr>
                <w:lang w:val="en-GB"/>
              </w:rPr>
              <w:t>0.082</w:t>
            </w:r>
          </w:p>
        </w:tc>
      </w:tr>
      <w:tr w:rsidR="005248D4" w:rsidRPr="00CD2EEF" w14:paraId="3B67CC08" w14:textId="77777777" w:rsidTr="00764574">
        <w:trPr>
          <w:trHeight w:val="150"/>
        </w:trPr>
        <w:tc>
          <w:tcPr>
            <w:tcW w:w="1588" w:type="dxa"/>
            <w:vMerge w:val="restart"/>
            <w:tcBorders>
              <w:top w:val="single" w:sz="8" w:space="0" w:color="A5A5A5" w:themeColor="accent3"/>
            </w:tcBorders>
            <w:vAlign w:val="center"/>
          </w:tcPr>
          <w:p w14:paraId="4D447309" w14:textId="77777777" w:rsidR="005248D4" w:rsidRPr="00CD2EEF" w:rsidRDefault="005248D4" w:rsidP="00764574">
            <w:pPr>
              <w:pStyle w:val="LPpreglednicatelo"/>
              <w:rPr>
                <w:lang w:val="en-GB"/>
              </w:rPr>
            </w:pPr>
            <w:r w:rsidRPr="00CD2EEF">
              <w:rPr>
                <w:lang w:val="en-GB"/>
              </w:rPr>
              <w:t>Ingestion</w:t>
            </w:r>
          </w:p>
        </w:tc>
        <w:tc>
          <w:tcPr>
            <w:tcW w:w="3227" w:type="dxa"/>
            <w:tcBorders>
              <w:top w:val="single" w:sz="8" w:space="0" w:color="A5A5A5" w:themeColor="accent3"/>
              <w:bottom w:val="dashSmallGap" w:sz="4" w:space="0" w:color="A5A5A5" w:themeColor="accent3"/>
            </w:tcBorders>
          </w:tcPr>
          <w:p w14:paraId="55FE0379" w14:textId="77777777" w:rsidR="005248D4" w:rsidRPr="00CD2EEF" w:rsidRDefault="005248D4" w:rsidP="008F5FA1">
            <w:pPr>
              <w:pStyle w:val="LPpreglednicateloalineje"/>
              <w:rPr>
                <w:lang w:val="en-GB"/>
              </w:rPr>
            </w:pPr>
            <w:r w:rsidRPr="00CD2EEF">
              <w:rPr>
                <w:lang w:val="en-GB"/>
              </w:rPr>
              <w:t xml:space="preserve">drinking water (U, </w:t>
            </w:r>
            <w:r w:rsidRPr="00CD2EEF">
              <w:rPr>
                <w:rStyle w:val="LPnadpisano"/>
                <w:lang w:val="en-GB"/>
              </w:rPr>
              <w:t>226</w:t>
            </w:r>
            <w:r w:rsidRPr="00CD2EEF">
              <w:rPr>
                <w:lang w:val="en-GB"/>
              </w:rPr>
              <w:t xml:space="preserve">Ra, </w:t>
            </w:r>
            <w:r w:rsidRPr="00CD2EEF">
              <w:rPr>
                <w:rStyle w:val="LPnadpisano"/>
                <w:lang w:val="en-GB"/>
              </w:rPr>
              <w:t>210</w:t>
            </w:r>
            <w:r w:rsidRPr="00CD2EEF">
              <w:rPr>
                <w:lang w:val="en-GB"/>
              </w:rPr>
              <w:t xml:space="preserve">Pb, </w:t>
            </w:r>
            <w:r w:rsidRPr="00CD2EEF">
              <w:rPr>
                <w:rStyle w:val="LPnadpisano"/>
                <w:lang w:val="en-GB"/>
              </w:rPr>
              <w:t>230</w:t>
            </w:r>
            <w:r w:rsidRPr="00CD2EEF">
              <w:rPr>
                <w:lang w:val="en-GB"/>
              </w:rPr>
              <w:t>Th)</w:t>
            </w:r>
          </w:p>
        </w:tc>
        <w:tc>
          <w:tcPr>
            <w:tcW w:w="1276" w:type="dxa"/>
            <w:vMerge w:val="restart"/>
            <w:tcBorders>
              <w:top w:val="single" w:sz="8" w:space="0" w:color="A5A5A5" w:themeColor="accent3"/>
            </w:tcBorders>
            <w:vAlign w:val="center"/>
          </w:tcPr>
          <w:p w14:paraId="0CD825AE" w14:textId="77777777" w:rsidR="005248D4" w:rsidRPr="00CD2EEF" w:rsidRDefault="005248D4" w:rsidP="009324B7">
            <w:pPr>
              <w:pStyle w:val="LPpreglednicatelo"/>
              <w:rPr>
                <w:lang w:val="en-GB"/>
              </w:rPr>
            </w:pPr>
          </w:p>
          <w:p w14:paraId="5B2A4D31" w14:textId="77777777" w:rsidR="005248D4" w:rsidRPr="00CD2EEF" w:rsidRDefault="005248D4" w:rsidP="009324B7">
            <w:pPr>
              <w:pStyle w:val="LPpreglednicatelo"/>
              <w:rPr>
                <w:lang w:val="en-GB"/>
              </w:rPr>
            </w:pPr>
          </w:p>
          <w:p w14:paraId="00E0277F" w14:textId="77777777" w:rsidR="005248D4" w:rsidRPr="00CD2EEF" w:rsidRDefault="005248D4" w:rsidP="009324B7">
            <w:pPr>
              <w:pStyle w:val="LPpreglednicatelo"/>
              <w:rPr>
                <w:lang w:val="en-GB"/>
              </w:rPr>
            </w:pPr>
            <w:r w:rsidRPr="00CD2EEF">
              <w:rPr>
                <w:lang w:val="en-GB"/>
              </w:rPr>
              <w:t>0.040</w:t>
            </w:r>
          </w:p>
          <w:p w14:paraId="3257ECAF" w14:textId="0BAB605B" w:rsidR="005248D4" w:rsidRPr="00CD2EEF" w:rsidRDefault="005248D4" w:rsidP="009324B7">
            <w:pPr>
              <w:pStyle w:val="LPpreglednicatelo"/>
              <w:rPr>
                <w:lang w:val="en-GB"/>
              </w:rPr>
            </w:pPr>
            <w:r w:rsidRPr="00CD2EEF">
              <w:rPr>
                <w:lang w:val="en-GB"/>
              </w:rPr>
              <w:t>(</w:t>
            </w:r>
            <w:r w:rsidR="00AA67F2">
              <w:rPr>
                <w:lang w:val="en-GB"/>
              </w:rPr>
              <w:t xml:space="preserve">the </w:t>
            </w:r>
            <w:r w:rsidRPr="00CD2EEF">
              <w:rPr>
                <w:lang w:val="en-GB"/>
              </w:rPr>
              <w:t>total contribution is estimated according to</w:t>
            </w:r>
            <w:r w:rsidR="00AA67F2">
              <w:rPr>
                <w:lang w:val="en-GB"/>
              </w:rPr>
              <w:t xml:space="preserve"> the</w:t>
            </w:r>
            <w:r w:rsidRPr="00CD2EEF">
              <w:rPr>
                <w:lang w:val="en-GB"/>
              </w:rPr>
              <w:t xml:space="preserve"> amendment of </w:t>
            </w:r>
            <w:r w:rsidR="00AA67F2">
              <w:rPr>
                <w:lang w:val="en-GB"/>
              </w:rPr>
              <w:t xml:space="preserve">the </w:t>
            </w:r>
            <w:r w:rsidRPr="00CD2EEF">
              <w:rPr>
                <w:lang w:val="en-GB"/>
              </w:rPr>
              <w:t>safety report, including mine water)</w:t>
            </w:r>
          </w:p>
        </w:tc>
        <w:tc>
          <w:tcPr>
            <w:tcW w:w="1134" w:type="dxa"/>
            <w:tcBorders>
              <w:top w:val="single" w:sz="8" w:space="0" w:color="A5A5A5" w:themeColor="accent3"/>
              <w:bottom w:val="nil"/>
            </w:tcBorders>
            <w:vAlign w:val="center"/>
          </w:tcPr>
          <w:p w14:paraId="721FBC3B" w14:textId="77777777" w:rsidR="005248D4" w:rsidRPr="00CD2EEF" w:rsidRDefault="005248D4" w:rsidP="009324B7">
            <w:pPr>
              <w:pStyle w:val="LPpreglednicatelo"/>
              <w:rPr>
                <w:lang w:val="en-GB"/>
              </w:rPr>
            </w:pPr>
            <w:r w:rsidRPr="00CD2EEF">
              <w:rPr>
                <w:lang w:val="en-GB"/>
              </w:rPr>
              <w:t>(0.004) *</w:t>
            </w:r>
          </w:p>
        </w:tc>
        <w:tc>
          <w:tcPr>
            <w:tcW w:w="1734" w:type="dxa"/>
            <w:vMerge w:val="restart"/>
            <w:tcBorders>
              <w:top w:val="single" w:sz="8" w:space="0" w:color="A5A5A5" w:themeColor="accent3"/>
            </w:tcBorders>
            <w:vAlign w:val="center"/>
          </w:tcPr>
          <w:p w14:paraId="468513CA" w14:textId="77777777" w:rsidR="005248D4" w:rsidRPr="00CD2EEF" w:rsidRDefault="005248D4" w:rsidP="009324B7">
            <w:pPr>
              <w:pStyle w:val="LPpreglednicatelo"/>
              <w:rPr>
                <w:lang w:val="en-GB"/>
              </w:rPr>
            </w:pPr>
          </w:p>
          <w:p w14:paraId="7A550146" w14:textId="77777777" w:rsidR="005248D4" w:rsidRPr="00CD2EEF" w:rsidRDefault="005248D4" w:rsidP="009324B7">
            <w:pPr>
              <w:pStyle w:val="LPpreglednicatelo"/>
              <w:rPr>
                <w:lang w:val="en-GB"/>
              </w:rPr>
            </w:pPr>
          </w:p>
          <w:p w14:paraId="2A1ED2EB" w14:textId="77777777" w:rsidR="005248D4" w:rsidRPr="00CD2EEF" w:rsidRDefault="005248D4" w:rsidP="009324B7">
            <w:pPr>
              <w:pStyle w:val="LPpreglednicatelo"/>
              <w:rPr>
                <w:lang w:val="en-GB"/>
              </w:rPr>
            </w:pPr>
          </w:p>
          <w:p w14:paraId="7B8E37D7" w14:textId="77777777" w:rsidR="005248D4" w:rsidRPr="00CD2EEF" w:rsidRDefault="005248D4" w:rsidP="009324B7">
            <w:pPr>
              <w:pStyle w:val="LPpreglednicatelo"/>
              <w:rPr>
                <w:lang w:val="en-GB"/>
              </w:rPr>
            </w:pPr>
          </w:p>
          <w:p w14:paraId="1A013555" w14:textId="77777777" w:rsidR="005248D4" w:rsidRPr="00CD2EEF" w:rsidRDefault="005248D4" w:rsidP="009324B7">
            <w:pPr>
              <w:pStyle w:val="LPpreglednicatelo"/>
              <w:rPr>
                <w:lang w:val="en-GB"/>
              </w:rPr>
            </w:pPr>
            <w:r w:rsidRPr="00CD2EEF">
              <w:rPr>
                <w:lang w:val="en-GB"/>
              </w:rPr>
              <w:t>0.040</w:t>
            </w:r>
          </w:p>
        </w:tc>
      </w:tr>
      <w:tr w:rsidR="005248D4" w:rsidRPr="00CD2EEF" w14:paraId="0A2F8146" w14:textId="77777777" w:rsidTr="00764574">
        <w:trPr>
          <w:trHeight w:val="150"/>
        </w:trPr>
        <w:tc>
          <w:tcPr>
            <w:tcW w:w="1588" w:type="dxa"/>
            <w:vMerge/>
            <w:vAlign w:val="center"/>
          </w:tcPr>
          <w:p w14:paraId="180B13B1" w14:textId="77777777" w:rsidR="005248D4" w:rsidRPr="00CD2EEF" w:rsidRDefault="005248D4" w:rsidP="00764574">
            <w:pPr>
              <w:pStyle w:val="LPpreglednicatelo"/>
              <w:rPr>
                <w:lang w:val="en-GB"/>
              </w:rPr>
            </w:pPr>
          </w:p>
        </w:tc>
        <w:tc>
          <w:tcPr>
            <w:tcW w:w="3227" w:type="dxa"/>
            <w:tcBorders>
              <w:top w:val="dashSmallGap" w:sz="4" w:space="0" w:color="A5A5A5" w:themeColor="accent3"/>
              <w:bottom w:val="dashSmallGap" w:sz="4" w:space="0" w:color="A5A5A5" w:themeColor="accent3"/>
            </w:tcBorders>
          </w:tcPr>
          <w:p w14:paraId="7BFF3D65" w14:textId="77777777" w:rsidR="005248D4" w:rsidRPr="00CD2EEF" w:rsidRDefault="005248D4" w:rsidP="008F5FA1">
            <w:pPr>
              <w:pStyle w:val="LPpreglednicateloalineje"/>
              <w:rPr>
                <w:lang w:val="en-GB"/>
              </w:rPr>
            </w:pPr>
            <w:r w:rsidRPr="00CD2EEF">
              <w:rPr>
                <w:lang w:val="en-GB"/>
              </w:rPr>
              <w:t>fish (</w:t>
            </w:r>
            <w:r w:rsidRPr="00CD2EEF">
              <w:rPr>
                <w:rStyle w:val="LPnadpisano"/>
                <w:lang w:val="en-GB"/>
              </w:rPr>
              <w:t>226</w:t>
            </w:r>
            <w:r w:rsidRPr="00CD2EEF">
              <w:rPr>
                <w:lang w:val="en-GB"/>
              </w:rPr>
              <w:t xml:space="preserve">Ra in </w:t>
            </w:r>
            <w:r w:rsidRPr="00CD2EEF">
              <w:rPr>
                <w:rStyle w:val="LPnadpisano"/>
                <w:lang w:val="en-GB"/>
              </w:rPr>
              <w:t>210</w:t>
            </w:r>
            <w:r w:rsidRPr="00CD2EEF">
              <w:rPr>
                <w:lang w:val="en-GB"/>
              </w:rPr>
              <w:t>Pb)</w:t>
            </w:r>
          </w:p>
        </w:tc>
        <w:tc>
          <w:tcPr>
            <w:tcW w:w="1276" w:type="dxa"/>
            <w:vMerge/>
            <w:vAlign w:val="center"/>
          </w:tcPr>
          <w:p w14:paraId="09E35291" w14:textId="77777777" w:rsidR="005248D4" w:rsidRPr="00CD2EEF" w:rsidRDefault="005248D4" w:rsidP="009324B7">
            <w:pPr>
              <w:pStyle w:val="LPpreglednicatelo"/>
              <w:rPr>
                <w:lang w:val="en-GB"/>
              </w:rPr>
            </w:pPr>
          </w:p>
        </w:tc>
        <w:tc>
          <w:tcPr>
            <w:tcW w:w="1134" w:type="dxa"/>
            <w:tcBorders>
              <w:top w:val="nil"/>
              <w:bottom w:val="dashSmallGap" w:sz="4" w:space="0" w:color="A5A5A5" w:themeColor="accent3"/>
            </w:tcBorders>
            <w:vAlign w:val="center"/>
          </w:tcPr>
          <w:p w14:paraId="70E3365A" w14:textId="77777777" w:rsidR="005248D4" w:rsidRPr="00CD2EEF" w:rsidRDefault="005248D4" w:rsidP="009324B7">
            <w:pPr>
              <w:pStyle w:val="LPpreglednicatelo"/>
              <w:rPr>
                <w:lang w:val="en-GB"/>
              </w:rPr>
            </w:pPr>
            <w:r w:rsidRPr="00CD2EEF">
              <w:rPr>
                <w:lang w:val="en-GB"/>
              </w:rPr>
              <w:t>(0.002) **</w:t>
            </w:r>
          </w:p>
        </w:tc>
        <w:tc>
          <w:tcPr>
            <w:tcW w:w="1734" w:type="dxa"/>
            <w:vMerge/>
            <w:vAlign w:val="center"/>
          </w:tcPr>
          <w:p w14:paraId="57A904F1" w14:textId="77777777" w:rsidR="005248D4" w:rsidRPr="00CD2EEF" w:rsidRDefault="005248D4" w:rsidP="009324B7">
            <w:pPr>
              <w:pStyle w:val="LPpreglednicatelo"/>
              <w:rPr>
                <w:lang w:val="en-GB"/>
              </w:rPr>
            </w:pPr>
          </w:p>
        </w:tc>
      </w:tr>
      <w:tr w:rsidR="005248D4" w:rsidRPr="00CD2EEF" w14:paraId="1054F21E" w14:textId="77777777" w:rsidTr="00764574">
        <w:trPr>
          <w:trHeight w:val="150"/>
        </w:trPr>
        <w:tc>
          <w:tcPr>
            <w:tcW w:w="1588" w:type="dxa"/>
            <w:vMerge/>
            <w:tcBorders>
              <w:bottom w:val="single" w:sz="8" w:space="0" w:color="A5A5A5" w:themeColor="accent3"/>
            </w:tcBorders>
            <w:vAlign w:val="center"/>
          </w:tcPr>
          <w:p w14:paraId="5B7F073C" w14:textId="77777777" w:rsidR="005248D4" w:rsidRPr="00CD2EEF" w:rsidRDefault="005248D4" w:rsidP="00764574">
            <w:pPr>
              <w:pStyle w:val="LPpreglednicatelo"/>
              <w:rPr>
                <w:lang w:val="en-GB"/>
              </w:rPr>
            </w:pPr>
          </w:p>
        </w:tc>
        <w:tc>
          <w:tcPr>
            <w:tcW w:w="3227" w:type="dxa"/>
            <w:tcBorders>
              <w:top w:val="dashSmallGap" w:sz="4" w:space="0" w:color="A5A5A5" w:themeColor="accent3"/>
              <w:bottom w:val="single" w:sz="8" w:space="0" w:color="A5A5A5" w:themeColor="accent3"/>
            </w:tcBorders>
          </w:tcPr>
          <w:p w14:paraId="33457A77" w14:textId="77777777" w:rsidR="005248D4" w:rsidRPr="00CD2EEF" w:rsidRDefault="005248D4" w:rsidP="008F5FA1">
            <w:pPr>
              <w:pStyle w:val="LPpreglednicateloalineje"/>
              <w:rPr>
                <w:lang w:val="en-GB"/>
              </w:rPr>
            </w:pPr>
            <w:r w:rsidRPr="00CD2EEF">
              <w:rPr>
                <w:lang w:val="en-GB"/>
              </w:rPr>
              <w:t>agricultural products (</w:t>
            </w:r>
            <w:r w:rsidRPr="00CD2EEF">
              <w:rPr>
                <w:rStyle w:val="LPnadpisano"/>
                <w:lang w:val="en-GB"/>
              </w:rPr>
              <w:t>226</w:t>
            </w:r>
            <w:r w:rsidRPr="00CD2EEF">
              <w:rPr>
                <w:lang w:val="en-GB"/>
              </w:rPr>
              <w:t xml:space="preserve">Ra in </w:t>
            </w:r>
            <w:r w:rsidRPr="00CD2EEF">
              <w:rPr>
                <w:rStyle w:val="LPnadpisano"/>
                <w:lang w:val="en-GB"/>
              </w:rPr>
              <w:t>210</w:t>
            </w:r>
            <w:r w:rsidRPr="00CD2EEF">
              <w:rPr>
                <w:lang w:val="en-GB"/>
              </w:rPr>
              <w:t>Pb)</w:t>
            </w:r>
          </w:p>
        </w:tc>
        <w:tc>
          <w:tcPr>
            <w:tcW w:w="1276" w:type="dxa"/>
            <w:vMerge/>
            <w:vAlign w:val="center"/>
          </w:tcPr>
          <w:p w14:paraId="0B77EFC4" w14:textId="77777777" w:rsidR="005248D4" w:rsidRPr="00CD2EEF" w:rsidRDefault="005248D4" w:rsidP="009324B7">
            <w:pPr>
              <w:pStyle w:val="LPpreglednicatelo"/>
              <w:rPr>
                <w:lang w:val="en-GB"/>
              </w:rPr>
            </w:pPr>
          </w:p>
        </w:tc>
        <w:tc>
          <w:tcPr>
            <w:tcW w:w="1134" w:type="dxa"/>
            <w:tcBorders>
              <w:top w:val="dashSmallGap" w:sz="4" w:space="0" w:color="A5A5A5" w:themeColor="accent3"/>
              <w:bottom w:val="single" w:sz="8" w:space="0" w:color="A5A5A5" w:themeColor="accent3"/>
            </w:tcBorders>
            <w:vAlign w:val="center"/>
          </w:tcPr>
          <w:p w14:paraId="1335DF17" w14:textId="77777777" w:rsidR="005248D4" w:rsidRPr="00CD2EEF" w:rsidRDefault="005248D4" w:rsidP="009324B7">
            <w:pPr>
              <w:pStyle w:val="LPpreglednicatelo"/>
              <w:rPr>
                <w:lang w:val="en-GB"/>
              </w:rPr>
            </w:pPr>
            <w:r w:rsidRPr="00CD2EEF">
              <w:rPr>
                <w:lang w:val="en-GB"/>
              </w:rPr>
              <w:t>(0.007) **</w:t>
            </w:r>
          </w:p>
        </w:tc>
        <w:tc>
          <w:tcPr>
            <w:tcW w:w="1734" w:type="dxa"/>
            <w:vMerge/>
            <w:vAlign w:val="center"/>
          </w:tcPr>
          <w:p w14:paraId="14BC2144" w14:textId="77777777" w:rsidR="005248D4" w:rsidRPr="00CD2EEF" w:rsidRDefault="005248D4" w:rsidP="009324B7">
            <w:pPr>
              <w:pStyle w:val="LPpreglednicatelo"/>
              <w:rPr>
                <w:lang w:val="en-GB"/>
              </w:rPr>
            </w:pPr>
          </w:p>
        </w:tc>
      </w:tr>
      <w:tr w:rsidR="005248D4" w:rsidRPr="00CD2EEF" w14:paraId="084A08A7" w14:textId="77777777" w:rsidTr="00764574">
        <w:trPr>
          <w:trHeight w:val="240"/>
        </w:trPr>
        <w:tc>
          <w:tcPr>
            <w:tcW w:w="1588" w:type="dxa"/>
            <w:vMerge w:val="restart"/>
            <w:tcBorders>
              <w:top w:val="single" w:sz="8" w:space="0" w:color="A5A5A5" w:themeColor="accent3"/>
            </w:tcBorders>
            <w:vAlign w:val="center"/>
          </w:tcPr>
          <w:p w14:paraId="25D91628" w14:textId="77777777" w:rsidR="005248D4" w:rsidRPr="00CD2EEF" w:rsidRDefault="005248D4">
            <w:pPr>
              <w:pStyle w:val="LPpreglednicatelo"/>
              <w:rPr>
                <w:lang w:val="en-GB"/>
              </w:rPr>
            </w:pPr>
            <w:r w:rsidRPr="00CD2EEF">
              <w:rPr>
                <w:lang w:val="en-GB"/>
              </w:rPr>
              <w:t>External radiation</w:t>
            </w:r>
          </w:p>
        </w:tc>
        <w:tc>
          <w:tcPr>
            <w:tcW w:w="3227" w:type="dxa"/>
            <w:tcBorders>
              <w:top w:val="single" w:sz="8" w:space="0" w:color="A5A5A5" w:themeColor="accent3"/>
              <w:bottom w:val="nil"/>
            </w:tcBorders>
          </w:tcPr>
          <w:p w14:paraId="1433CB49" w14:textId="77777777" w:rsidR="005248D4" w:rsidRPr="00CD2EEF" w:rsidRDefault="005248D4" w:rsidP="008F5FA1">
            <w:pPr>
              <w:pStyle w:val="LPpreglednicateloalineje"/>
              <w:rPr>
                <w:lang w:val="en-GB"/>
              </w:rPr>
            </w:pPr>
            <w:r w:rsidRPr="00CD2EEF">
              <w:rPr>
                <w:lang w:val="en-GB"/>
              </w:rPr>
              <w:t>immersion and deposition (radiation from the cloud and deposition)</w:t>
            </w:r>
          </w:p>
        </w:tc>
        <w:tc>
          <w:tcPr>
            <w:tcW w:w="1276" w:type="dxa"/>
            <w:vMerge/>
            <w:vAlign w:val="center"/>
          </w:tcPr>
          <w:p w14:paraId="220A5F53" w14:textId="77777777" w:rsidR="005248D4" w:rsidRPr="00CD2EEF" w:rsidRDefault="005248D4" w:rsidP="009324B7">
            <w:pPr>
              <w:pStyle w:val="LPpreglednicatelo"/>
              <w:rPr>
                <w:lang w:val="en-GB"/>
              </w:rPr>
            </w:pPr>
          </w:p>
        </w:tc>
        <w:tc>
          <w:tcPr>
            <w:tcW w:w="1134" w:type="dxa"/>
            <w:tcBorders>
              <w:top w:val="single" w:sz="8" w:space="0" w:color="A5A5A5" w:themeColor="accent3"/>
              <w:bottom w:val="nil"/>
            </w:tcBorders>
            <w:vAlign w:val="center"/>
          </w:tcPr>
          <w:p w14:paraId="02F7C8A6" w14:textId="77777777" w:rsidR="005248D4" w:rsidRPr="00CD2EEF" w:rsidRDefault="005248D4" w:rsidP="009324B7">
            <w:pPr>
              <w:pStyle w:val="LPpreglednicatelo"/>
              <w:rPr>
                <w:lang w:val="en-GB"/>
              </w:rPr>
            </w:pPr>
            <w:r w:rsidRPr="00CD2EEF">
              <w:rPr>
                <w:lang w:val="en-GB"/>
              </w:rPr>
              <w:t>0.00025</w:t>
            </w:r>
          </w:p>
        </w:tc>
        <w:tc>
          <w:tcPr>
            <w:tcW w:w="1734" w:type="dxa"/>
            <w:vMerge/>
            <w:vAlign w:val="center"/>
          </w:tcPr>
          <w:p w14:paraId="76D94571" w14:textId="77777777" w:rsidR="005248D4" w:rsidRPr="00CD2EEF" w:rsidRDefault="005248D4" w:rsidP="009324B7">
            <w:pPr>
              <w:pStyle w:val="LPpreglednicatelo"/>
              <w:rPr>
                <w:lang w:val="en-GB"/>
              </w:rPr>
            </w:pPr>
          </w:p>
        </w:tc>
      </w:tr>
      <w:tr w:rsidR="005248D4" w:rsidRPr="00CD2EEF" w14:paraId="34BD2C2C" w14:textId="77777777" w:rsidTr="00764574">
        <w:trPr>
          <w:trHeight w:val="240"/>
        </w:trPr>
        <w:tc>
          <w:tcPr>
            <w:tcW w:w="1588" w:type="dxa"/>
            <w:vMerge/>
            <w:vAlign w:val="center"/>
          </w:tcPr>
          <w:p w14:paraId="1B3A97CE" w14:textId="77777777" w:rsidR="005248D4" w:rsidRPr="00CD2EEF" w:rsidRDefault="005248D4" w:rsidP="00764574">
            <w:pPr>
              <w:pStyle w:val="LPpreglednicatelo"/>
              <w:rPr>
                <w:lang w:val="en-GB"/>
              </w:rPr>
            </w:pPr>
          </w:p>
        </w:tc>
        <w:tc>
          <w:tcPr>
            <w:tcW w:w="3227" w:type="dxa"/>
            <w:tcBorders>
              <w:top w:val="nil"/>
              <w:bottom w:val="dashSmallGap" w:sz="4" w:space="0" w:color="A5A5A5" w:themeColor="accent3"/>
            </w:tcBorders>
          </w:tcPr>
          <w:p w14:paraId="31DE88F6" w14:textId="77777777" w:rsidR="005248D4" w:rsidRPr="00CD2EEF" w:rsidRDefault="005248D4" w:rsidP="008F5FA1">
            <w:pPr>
              <w:pStyle w:val="LPpreglednicateloalineje"/>
              <w:rPr>
                <w:lang w:val="en-GB"/>
              </w:rPr>
            </w:pPr>
            <w:r w:rsidRPr="00CD2EEF">
              <w:rPr>
                <w:lang w:val="en-GB"/>
              </w:rPr>
              <w:t>deposition of long-lived radionuclides (deposition)</w:t>
            </w:r>
          </w:p>
        </w:tc>
        <w:tc>
          <w:tcPr>
            <w:tcW w:w="1276" w:type="dxa"/>
            <w:vMerge/>
            <w:vAlign w:val="center"/>
          </w:tcPr>
          <w:p w14:paraId="41391803" w14:textId="77777777" w:rsidR="005248D4" w:rsidRPr="00CD2EEF" w:rsidRDefault="005248D4" w:rsidP="009324B7">
            <w:pPr>
              <w:pStyle w:val="LPpreglednicatelo"/>
              <w:rPr>
                <w:lang w:val="en-GB"/>
              </w:rPr>
            </w:pPr>
          </w:p>
        </w:tc>
        <w:tc>
          <w:tcPr>
            <w:tcW w:w="1134" w:type="dxa"/>
            <w:tcBorders>
              <w:top w:val="nil"/>
              <w:bottom w:val="dashSmallGap" w:sz="4" w:space="0" w:color="A5A5A5" w:themeColor="accent3"/>
            </w:tcBorders>
            <w:vAlign w:val="center"/>
          </w:tcPr>
          <w:p w14:paraId="465B1257" w14:textId="77777777" w:rsidR="005248D4" w:rsidRPr="00CD2EEF" w:rsidRDefault="005248D4" w:rsidP="009324B7">
            <w:pPr>
              <w:pStyle w:val="LPpreglednicatelo"/>
              <w:rPr>
                <w:lang w:val="en-GB"/>
              </w:rPr>
            </w:pPr>
            <w:r w:rsidRPr="00CD2EEF">
              <w:rPr>
                <w:lang w:val="en-GB"/>
              </w:rPr>
              <w:t>-</w:t>
            </w:r>
          </w:p>
        </w:tc>
        <w:tc>
          <w:tcPr>
            <w:tcW w:w="1734" w:type="dxa"/>
            <w:vMerge/>
            <w:vAlign w:val="center"/>
          </w:tcPr>
          <w:p w14:paraId="2EDB78FC" w14:textId="77777777" w:rsidR="005248D4" w:rsidRPr="00CD2EEF" w:rsidRDefault="005248D4" w:rsidP="009324B7">
            <w:pPr>
              <w:pStyle w:val="LPpreglednicatelo"/>
              <w:rPr>
                <w:lang w:val="en-GB"/>
              </w:rPr>
            </w:pPr>
          </w:p>
        </w:tc>
      </w:tr>
      <w:tr w:rsidR="005248D4" w:rsidRPr="00CD2EEF" w14:paraId="0B245BEB" w14:textId="77777777" w:rsidTr="00764574">
        <w:trPr>
          <w:trHeight w:val="240"/>
        </w:trPr>
        <w:tc>
          <w:tcPr>
            <w:tcW w:w="1588" w:type="dxa"/>
            <w:vMerge/>
            <w:vAlign w:val="center"/>
          </w:tcPr>
          <w:p w14:paraId="5854588B" w14:textId="77777777" w:rsidR="005248D4" w:rsidRPr="00CD2EEF" w:rsidRDefault="005248D4" w:rsidP="00764574">
            <w:pPr>
              <w:pStyle w:val="LPpreglednicatelo"/>
              <w:rPr>
                <w:lang w:val="en-GB"/>
              </w:rPr>
            </w:pPr>
          </w:p>
        </w:tc>
        <w:tc>
          <w:tcPr>
            <w:tcW w:w="3227" w:type="dxa"/>
            <w:tcBorders>
              <w:top w:val="dashSmallGap" w:sz="4" w:space="0" w:color="A5A5A5" w:themeColor="accent3"/>
              <w:bottom w:val="single" w:sz="8" w:space="0" w:color="A5A5A5" w:themeColor="accent3"/>
            </w:tcBorders>
          </w:tcPr>
          <w:p w14:paraId="36D5AE0E" w14:textId="77777777" w:rsidR="005248D4" w:rsidRPr="00CD2EEF" w:rsidRDefault="005248D4" w:rsidP="008F5FA1">
            <w:pPr>
              <w:pStyle w:val="LPpreglednicateloalineje"/>
              <w:rPr>
                <w:lang w:val="en-GB"/>
              </w:rPr>
            </w:pPr>
            <w:r w:rsidRPr="00CD2EEF">
              <w:rPr>
                <w:lang w:val="en-GB"/>
              </w:rPr>
              <w:t>direct gamma radiation from disposal sites</w:t>
            </w:r>
          </w:p>
        </w:tc>
        <w:tc>
          <w:tcPr>
            <w:tcW w:w="1276" w:type="dxa"/>
            <w:vMerge/>
            <w:tcBorders>
              <w:bottom w:val="single" w:sz="8" w:space="0" w:color="A5A5A5" w:themeColor="accent3"/>
            </w:tcBorders>
            <w:vAlign w:val="center"/>
          </w:tcPr>
          <w:p w14:paraId="3E831598" w14:textId="77777777" w:rsidR="005248D4" w:rsidRPr="00CD2EEF" w:rsidRDefault="005248D4" w:rsidP="009324B7">
            <w:pPr>
              <w:pStyle w:val="LPpreglednicatelo"/>
              <w:rPr>
                <w:lang w:val="en-GB"/>
              </w:rPr>
            </w:pPr>
          </w:p>
        </w:tc>
        <w:tc>
          <w:tcPr>
            <w:tcW w:w="1134" w:type="dxa"/>
            <w:tcBorders>
              <w:top w:val="dashSmallGap" w:sz="4" w:space="0" w:color="A5A5A5" w:themeColor="accent3"/>
              <w:bottom w:val="single" w:sz="8" w:space="0" w:color="A5A5A5" w:themeColor="accent3"/>
            </w:tcBorders>
            <w:vAlign w:val="center"/>
          </w:tcPr>
          <w:p w14:paraId="45E03F23" w14:textId="77777777" w:rsidR="005248D4" w:rsidRPr="00CD2EEF" w:rsidRDefault="005248D4" w:rsidP="009324B7">
            <w:pPr>
              <w:pStyle w:val="LPpreglednicatelo"/>
              <w:rPr>
                <w:lang w:val="en-GB"/>
              </w:rPr>
            </w:pPr>
            <w:r w:rsidRPr="00CD2EEF">
              <w:rPr>
                <w:lang w:val="en-GB"/>
              </w:rPr>
              <w:t>-</w:t>
            </w:r>
          </w:p>
        </w:tc>
        <w:tc>
          <w:tcPr>
            <w:tcW w:w="1734" w:type="dxa"/>
            <w:vMerge/>
            <w:tcBorders>
              <w:bottom w:val="single" w:sz="8" w:space="0" w:color="A5A5A5" w:themeColor="accent3"/>
            </w:tcBorders>
            <w:vAlign w:val="center"/>
          </w:tcPr>
          <w:p w14:paraId="46E2F02A" w14:textId="77777777" w:rsidR="005248D4" w:rsidRPr="00CD2EEF" w:rsidRDefault="005248D4" w:rsidP="009324B7">
            <w:pPr>
              <w:pStyle w:val="LPpreglednicatelo"/>
              <w:rPr>
                <w:lang w:val="en-GB"/>
              </w:rPr>
            </w:pPr>
          </w:p>
        </w:tc>
      </w:tr>
      <w:tr w:rsidR="005248D4" w:rsidRPr="00CD2EEF" w14:paraId="48D4E1C9" w14:textId="77777777" w:rsidTr="00764574">
        <w:tc>
          <w:tcPr>
            <w:tcW w:w="4815" w:type="dxa"/>
            <w:gridSpan w:val="2"/>
            <w:shd w:val="clear" w:color="auto" w:fill="5B9BD5" w:themeFill="accent1"/>
            <w:vAlign w:val="center"/>
          </w:tcPr>
          <w:p w14:paraId="0CE705FD" w14:textId="77777777" w:rsidR="005248D4" w:rsidRPr="00CD2EEF" w:rsidRDefault="005248D4" w:rsidP="00764574">
            <w:pPr>
              <w:pStyle w:val="LPpreglednicaglavasredina"/>
              <w:jc w:val="left"/>
              <w:rPr>
                <w:lang w:val="en-GB"/>
              </w:rPr>
            </w:pPr>
            <w:r w:rsidRPr="00CD2EEF">
              <w:rPr>
                <w:rFonts w:eastAsia="MS Mincho"/>
                <w:lang w:val="en-GB"/>
              </w:rPr>
              <w:t>Total effective dose (rounded):</w:t>
            </w:r>
          </w:p>
        </w:tc>
        <w:tc>
          <w:tcPr>
            <w:tcW w:w="1276" w:type="dxa"/>
            <w:tcBorders>
              <w:top w:val="single" w:sz="8" w:space="0" w:color="A5A5A5" w:themeColor="accent3"/>
            </w:tcBorders>
            <w:vAlign w:val="center"/>
          </w:tcPr>
          <w:p w14:paraId="15DD768E" w14:textId="77777777" w:rsidR="005248D4" w:rsidRPr="00CD2EEF" w:rsidRDefault="005248D4" w:rsidP="009324B7">
            <w:pPr>
              <w:pStyle w:val="LPpreglednicatelo"/>
              <w:rPr>
                <w:rFonts w:eastAsia="MS Mincho"/>
                <w:lang w:val="en-GB"/>
              </w:rPr>
            </w:pPr>
            <w:r w:rsidRPr="00CD2EEF">
              <w:rPr>
                <w:rFonts w:eastAsia="MS Mincho"/>
                <w:lang w:val="en-GB"/>
              </w:rPr>
              <w:t>0.122</w:t>
            </w:r>
          </w:p>
        </w:tc>
        <w:tc>
          <w:tcPr>
            <w:tcW w:w="1134" w:type="dxa"/>
            <w:tcBorders>
              <w:top w:val="single" w:sz="8" w:space="0" w:color="A5A5A5" w:themeColor="accent3"/>
            </w:tcBorders>
            <w:vAlign w:val="center"/>
          </w:tcPr>
          <w:p w14:paraId="6C19EF8A" w14:textId="77777777" w:rsidR="005248D4" w:rsidRPr="00CD2EEF" w:rsidRDefault="005248D4" w:rsidP="009324B7">
            <w:pPr>
              <w:pStyle w:val="LPpreglednicatelo"/>
              <w:rPr>
                <w:rFonts w:eastAsia="MS Mincho"/>
                <w:lang w:val="en-GB"/>
              </w:rPr>
            </w:pPr>
            <w:r w:rsidRPr="00CD2EEF">
              <w:rPr>
                <w:rFonts w:eastAsia="MS Mincho"/>
                <w:lang w:val="en-GB"/>
              </w:rPr>
              <w:t>0.0026</w:t>
            </w:r>
          </w:p>
        </w:tc>
        <w:tc>
          <w:tcPr>
            <w:tcW w:w="1734" w:type="dxa"/>
            <w:tcBorders>
              <w:top w:val="single" w:sz="8" w:space="0" w:color="A5A5A5" w:themeColor="accent3"/>
            </w:tcBorders>
            <w:vAlign w:val="center"/>
          </w:tcPr>
          <w:p w14:paraId="3A0765B0" w14:textId="77777777" w:rsidR="005248D4" w:rsidRPr="00CD2EEF" w:rsidRDefault="005248D4" w:rsidP="009324B7">
            <w:pPr>
              <w:pStyle w:val="LPpreglednicatelo"/>
              <w:rPr>
                <w:lang w:val="en-GB"/>
              </w:rPr>
            </w:pPr>
            <w:r w:rsidRPr="00CD2EEF">
              <w:rPr>
                <w:rFonts w:eastAsia="MS Mincho"/>
                <w:lang w:val="en-GB"/>
              </w:rPr>
              <w:t>0.124 mSv</w:t>
            </w:r>
          </w:p>
        </w:tc>
      </w:tr>
    </w:tbl>
    <w:bookmarkEnd w:id="254"/>
    <w:p w14:paraId="29E6B57C" w14:textId="77777777" w:rsidR="005248D4" w:rsidRPr="00CD2EEF" w:rsidRDefault="005248D4" w:rsidP="008F5FA1">
      <w:pPr>
        <w:pStyle w:val="LPnavadenpomanjan8pt"/>
        <w:rPr>
          <w:lang w:val="en-GB"/>
        </w:rPr>
      </w:pPr>
      <w:r w:rsidRPr="00CD2EEF">
        <w:rPr>
          <w:lang w:val="en-GB"/>
        </w:rPr>
        <w:t xml:space="preserve">* </w:t>
      </w:r>
      <w:r w:rsidRPr="00CD2EEF">
        <w:rPr>
          <w:szCs w:val="16"/>
          <w:lang w:val="en-GB"/>
        </w:rPr>
        <w:t>The dose contribution due to the ingestion of water from the Brebovščica Stream is not included in the dose assessment because the water is not used for drinking, the watering of animals, or irrigation.</w:t>
      </w:r>
    </w:p>
    <w:p w14:paraId="12CD2B3E" w14:textId="77777777" w:rsidR="005248D4" w:rsidRPr="00CD2EEF" w:rsidRDefault="005248D4" w:rsidP="008F5FA1">
      <w:pPr>
        <w:pStyle w:val="LPnavadenpomanjan8pt"/>
        <w:rPr>
          <w:lang w:val="en-GB"/>
        </w:rPr>
      </w:pPr>
      <w:r w:rsidRPr="00CD2EEF">
        <w:rPr>
          <w:lang w:val="en-GB"/>
        </w:rPr>
        <w:t xml:space="preserve">** </w:t>
      </w:r>
      <w:r w:rsidRPr="00CD2EEF">
        <w:rPr>
          <w:szCs w:val="16"/>
          <w:lang w:val="en-GB"/>
        </w:rPr>
        <w:t>Values in brackets are calculated on the basis of the last measurements of fish and food from 2015.</w:t>
      </w:r>
      <w:r w:rsidRPr="00CD2EEF">
        <w:rPr>
          <w:lang w:val="en-GB"/>
        </w:rPr>
        <w:t xml:space="preserve"> </w:t>
      </w:r>
    </w:p>
    <w:p w14:paraId="6400B127" w14:textId="58358621" w:rsidR="005248D4" w:rsidRPr="00CD2EEF" w:rsidRDefault="005248D4" w:rsidP="006A5EFD">
      <w:pPr>
        <w:spacing w:after="120"/>
        <w:jc w:val="both"/>
        <w:rPr>
          <w:rFonts w:ascii="Garamond" w:hAnsi="Garamond"/>
          <w:szCs w:val="20"/>
          <w:lang w:val="en-GB"/>
        </w:rPr>
      </w:pPr>
      <w:r w:rsidRPr="00CD2EEF">
        <w:rPr>
          <w:rFonts w:ascii="Garamond" w:hAnsi="Garamond"/>
          <w:szCs w:val="20"/>
          <w:lang w:val="en-GB"/>
        </w:rPr>
        <w:t>Radioactivity measurements and dose assessments in recent years have shown that the cessation of mining, together with the closure work carried out thus far, has significantly reduced the impact on the environment and the population. The estimated exposure is lower than the authorised limit value of 0.3 mSv per year, which is determined for all facilities after the remediation (the mine and the Boršt and Jazbec disposal sites) (</w:t>
      </w:r>
      <w:hyperlink w:anchor="fig25" w:history="1">
        <w:r w:rsidRPr="00CD2EEF">
          <w:rPr>
            <w:rStyle w:val="Hiperpovezava"/>
            <w:rFonts w:ascii="Garamond" w:hAnsi="Garamond"/>
            <w:szCs w:val="20"/>
            <w:lang w:val="en-GB"/>
          </w:rPr>
          <w:t>Figure 25</w:t>
        </w:r>
      </w:hyperlink>
      <w:r w:rsidRPr="00CD2EEF">
        <w:rPr>
          <w:rFonts w:ascii="Garamond" w:hAnsi="Garamond"/>
          <w:szCs w:val="20"/>
          <w:lang w:val="en-GB"/>
        </w:rPr>
        <w:t xml:space="preserve">). Higher values in comparison to 2019, when the effective dose received by an adult member of the public was estimated at 71 μSv/year, were only a consequence of compliance with the new methodology, which is in accordance with the newly valid safety report for disposal sites and with the instructions from the </w:t>
      </w:r>
      <w:r w:rsidRPr="00CD2EEF">
        <w:rPr>
          <w:rFonts w:ascii="Garamond" w:hAnsi="Garamond"/>
          <w:i/>
          <w:iCs/>
          <w:szCs w:val="20"/>
          <w:lang w:val="en-GB"/>
        </w:rPr>
        <w:t>Rules on radioactivity monitoring</w:t>
      </w:r>
      <w:r w:rsidRPr="00CD2EEF">
        <w:rPr>
          <w:rFonts w:ascii="Garamond" w:hAnsi="Garamond"/>
          <w:szCs w:val="20"/>
          <w:lang w:val="en-GB"/>
        </w:rPr>
        <w:t xml:space="preserve"> (Rules JV10, Official Gazette </w:t>
      </w:r>
      <w:r w:rsidRPr="00CD2EEF">
        <w:rPr>
          <w:rFonts w:ascii="Garamond" w:hAnsi="Garamond"/>
          <w:szCs w:val="20"/>
          <w:lang w:val="en-GB" w:eastAsia="sl-SI"/>
        </w:rPr>
        <w:t>of the Republic of Slovenia</w:t>
      </w:r>
      <w:r w:rsidRPr="00CD2EEF">
        <w:rPr>
          <w:rFonts w:ascii="Garamond" w:hAnsi="Garamond"/>
          <w:szCs w:val="20"/>
          <w:lang w:val="en-GB"/>
        </w:rPr>
        <w:t xml:space="preserve">, Nos. 20/07, 97/09, 76/17, 26/19, 172/21 – ZVISJV-1 and 27/18). The values are actually similar to those from 2019 and are in accordance with </w:t>
      </w:r>
      <w:r w:rsidR="001C093F">
        <w:rPr>
          <w:rFonts w:ascii="Garamond" w:hAnsi="Garamond"/>
          <w:szCs w:val="20"/>
          <w:lang w:val="en-GB"/>
        </w:rPr>
        <w:t xml:space="preserve">the </w:t>
      </w:r>
      <w:r w:rsidR="001C093F" w:rsidRPr="00E054D5">
        <w:rPr>
          <w:rFonts w:ascii="Garamond" w:hAnsi="Garamond"/>
          <w:szCs w:val="20"/>
          <w:lang w:val="en-GB"/>
        </w:rPr>
        <w:t xml:space="preserve">average from previous </w:t>
      </w:r>
      <w:r w:rsidRPr="00E054D5">
        <w:rPr>
          <w:rFonts w:ascii="Garamond" w:hAnsi="Garamond"/>
          <w:szCs w:val="20"/>
          <w:lang w:val="en-GB"/>
        </w:rPr>
        <w:t>years</w:t>
      </w:r>
      <w:r w:rsidR="001C093F">
        <w:rPr>
          <w:rFonts w:ascii="Garamond" w:hAnsi="Garamond"/>
          <w:szCs w:val="20"/>
          <w:lang w:val="en-GB"/>
        </w:rPr>
        <w:t>.</w:t>
      </w:r>
      <w:r w:rsidRPr="00CD2EEF">
        <w:rPr>
          <w:rFonts w:ascii="Garamond" w:hAnsi="Garamond"/>
          <w:szCs w:val="20"/>
          <w:lang w:val="en-GB"/>
        </w:rPr>
        <w:t xml:space="preserve"> Considering the old calculation methodology, the effective dose for an adult member of the public would be estimated at 76 μSv/year.</w:t>
      </w:r>
    </w:p>
    <w:p w14:paraId="099917E3" w14:textId="77777777" w:rsidR="005248D4" w:rsidRPr="00CD2EEF" w:rsidRDefault="005248D4" w:rsidP="006A5EFD">
      <w:pPr>
        <w:spacing w:after="120"/>
        <w:jc w:val="both"/>
        <w:rPr>
          <w:rFonts w:ascii="Garamond" w:hAnsi="Garamond"/>
          <w:szCs w:val="20"/>
          <w:lang w:val="en-GB"/>
        </w:rPr>
      </w:pPr>
    </w:p>
    <w:bookmarkStart w:id="255" w:name="fig25"/>
    <w:p w14:paraId="51361676" w14:textId="77777777" w:rsidR="005248D4" w:rsidRPr="00CD2EEF" w:rsidRDefault="005248D4" w:rsidP="006A5EFD">
      <w:pPr>
        <w:spacing w:after="120"/>
        <w:jc w:val="both"/>
        <w:rPr>
          <w:rFonts w:ascii="Garamond" w:hAnsi="Garamond"/>
          <w:szCs w:val="20"/>
          <w:lang w:val="en-GB"/>
        </w:rPr>
      </w:pPr>
      <w:r w:rsidRPr="00CD2EEF">
        <w:rPr>
          <w:noProof/>
          <w:lang w:val="en-GB"/>
        </w:rPr>
        <w:lastRenderedPageBreak/>
        <mc:AlternateContent>
          <mc:Choice Requires="wps">
            <w:drawing>
              <wp:anchor distT="45720" distB="45720" distL="114300" distR="114300" simplePos="0" relativeHeight="251670528" behindDoc="0" locked="0" layoutInCell="1" allowOverlap="1" wp14:anchorId="2C0D9EC3" wp14:editId="6E2DE602">
                <wp:simplePos x="0" y="0"/>
                <wp:positionH relativeFrom="margin">
                  <wp:posOffset>-310993</wp:posOffset>
                </wp:positionH>
                <wp:positionV relativeFrom="paragraph">
                  <wp:posOffset>1012507</wp:posOffset>
                </wp:positionV>
                <wp:extent cx="919685" cy="266385"/>
                <wp:effectExtent l="2857" t="0" r="0" b="0"/>
                <wp:wrapNone/>
                <wp:docPr id="43"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9685" cy="266385"/>
                        </a:xfrm>
                        <a:prstGeom prst="rect">
                          <a:avLst/>
                        </a:prstGeom>
                        <a:solidFill>
                          <a:schemeClr val="bg1"/>
                        </a:solidFill>
                        <a:ln w="9525">
                          <a:noFill/>
                          <a:miter lim="800000"/>
                          <a:headEnd/>
                          <a:tailEnd/>
                        </a:ln>
                      </wps:spPr>
                      <wps:txbx>
                        <w:txbxContent>
                          <w:p w14:paraId="18328DC4" w14:textId="77777777" w:rsidR="005248D4" w:rsidRDefault="005248D4" w:rsidP="00C62357">
                            <w:pPr>
                              <w:pStyle w:val="LPnavaden"/>
                            </w:pPr>
                            <w:r>
                              <w:t>mSv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9EC3" id="_x0000_s1047" type="#_x0000_t202" alt="&quot;&quot;" style="position:absolute;left:0;text-align:left;margin-left:-24.5pt;margin-top:79.7pt;width:72.4pt;height:21pt;rotation:-90;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" fillcolor="white [3212]" stroked="f">
                <v:textbox>
                  <w:txbxContent>
                    <w:p w14:paraId="18328DC4" w14:textId="77777777" w:rsidR="005248D4" w:rsidRDefault="005248D4" w:rsidP="00C62357">
                      <w:pPr>
                        <w:pStyle w:val="LPnavaden"/>
                      </w:pPr>
                      <w:proofErr w:type="spellStart"/>
                      <w:r>
                        <w:t>mSv</w:t>
                      </w:r>
                      <w:proofErr w:type="spellEnd"/>
                    </w:p>
                  </w:txbxContent>
                </v:textbox>
                <w10:wrap anchorx="margin"/>
              </v:shape>
            </w:pict>
          </mc:Fallback>
        </mc:AlternateContent>
      </w:r>
      <w:r w:rsidRPr="00CD2EEF">
        <w:rPr>
          <w:noProof/>
          <w:lang w:val="en-GB"/>
        </w:rPr>
        <mc:AlternateContent>
          <mc:Choice Requires="wps">
            <w:drawing>
              <wp:anchor distT="45720" distB="45720" distL="114300" distR="114300" simplePos="0" relativeHeight="251669504" behindDoc="0" locked="0" layoutInCell="1" allowOverlap="1" wp14:anchorId="3A22AE8B" wp14:editId="7CE64223">
                <wp:simplePos x="0" y="0"/>
                <wp:positionH relativeFrom="margin">
                  <wp:posOffset>2640842</wp:posOffset>
                </wp:positionH>
                <wp:positionV relativeFrom="paragraph">
                  <wp:posOffset>3078054</wp:posOffset>
                </wp:positionV>
                <wp:extent cx="919685" cy="266385"/>
                <wp:effectExtent l="0" t="0" r="0" b="635"/>
                <wp:wrapNone/>
                <wp:docPr id="44"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685" cy="266385"/>
                        </a:xfrm>
                        <a:prstGeom prst="rect">
                          <a:avLst/>
                        </a:prstGeom>
                        <a:solidFill>
                          <a:schemeClr val="bg1"/>
                        </a:solidFill>
                        <a:ln w="9525">
                          <a:noFill/>
                          <a:miter lim="800000"/>
                          <a:headEnd/>
                          <a:tailEnd/>
                        </a:ln>
                      </wps:spPr>
                      <wps:txbx>
                        <w:txbxContent>
                          <w:p w14:paraId="3EED6C7A" w14:textId="77777777" w:rsidR="005248D4" w:rsidRDefault="005248D4" w:rsidP="00C62357">
                            <w:pPr>
                              <w:pStyle w:val="LPnavaden"/>
                            </w:pPr>
                            <w: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2AE8B" id="_x0000_s1048" type="#_x0000_t202" alt="&quot;&quot;" style="position:absolute;left:0;text-align:left;margin-left:207.95pt;margin-top:242.35pt;width:72.4pt;height:2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" fillcolor="white [3212]" stroked="f">
                <v:textbox>
                  <w:txbxContent>
                    <w:p w14:paraId="3EED6C7A" w14:textId="77777777" w:rsidR="005248D4" w:rsidRDefault="005248D4" w:rsidP="00C62357">
                      <w:pPr>
                        <w:pStyle w:val="LPnavaden"/>
                      </w:pPr>
                      <w:proofErr w:type="spellStart"/>
                      <w:r>
                        <w:t>Year</w:t>
                      </w:r>
                      <w:proofErr w:type="spellEnd"/>
                    </w:p>
                  </w:txbxContent>
                </v:textbox>
                <w10:wrap anchorx="margin"/>
              </v:shape>
            </w:pict>
          </mc:Fallback>
        </mc:AlternateContent>
      </w:r>
      <w:r w:rsidRPr="00CD2EEF">
        <w:rPr>
          <w:noProof/>
          <w:lang w:val="en-GB"/>
        </w:rPr>
        <w:drawing>
          <wp:inline distT="0" distB="0" distL="0" distR="0" wp14:anchorId="09393924" wp14:editId="73D68B12">
            <wp:extent cx="5760720" cy="3064510"/>
            <wp:effectExtent l="0" t="0" r="0" b="2540"/>
            <wp:docPr id="52" name="Grafikon 52" descr="graphical introduction of effective dose for adults since 1989">
              <a:extLst xmlns:a="http://schemas.openxmlformats.org/drawingml/2006/main">
                <a:ext uri="{FF2B5EF4-FFF2-40B4-BE49-F238E27FC236}">
                  <a16:creationId xmlns:a16="http://schemas.microsoft.com/office/drawing/2014/main" id="{55DC6139-3239-466F-8DBC-8B43BB11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bookmarkEnd w:id="255"/>
    <w:p w14:paraId="1B01C9F6" w14:textId="77777777" w:rsidR="005248D4" w:rsidRPr="00CD2EEF" w:rsidRDefault="005248D4" w:rsidP="008F5FA1">
      <w:pPr>
        <w:pStyle w:val="LPnavaden"/>
        <w:rPr>
          <w:lang w:val="en-GB"/>
        </w:rPr>
      </w:pPr>
    </w:p>
    <w:p w14:paraId="2EAD9BD7" w14:textId="4BC66A43" w:rsidR="005248D4" w:rsidRPr="00CD2EEF" w:rsidRDefault="008B7E7C" w:rsidP="008B7E7C">
      <w:pPr>
        <w:pStyle w:val="LPnaslovslika"/>
        <w:rPr>
          <w:lang w:val="en-GB"/>
        </w:rPr>
      </w:pPr>
      <w:bookmarkStart w:id="256" w:name="_Toc480790826"/>
      <w:bookmarkStart w:id="257" w:name="_Toc483815900"/>
      <w:bookmarkStart w:id="258" w:name="_Toc76973094"/>
      <w:bookmarkStart w:id="259" w:name="_Toc126309904"/>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00BE0188" w:rsidRPr="00CD2EEF">
        <w:rPr>
          <w:lang w:val="en-GB"/>
        </w:rPr>
        <w:t>25</w:t>
      </w:r>
      <w:r w:rsidR="00366B6D" w:rsidRPr="00CD2EEF">
        <w:rPr>
          <w:lang w:val="en-GB"/>
        </w:rPr>
        <w:fldChar w:fldCharType="end"/>
      </w:r>
      <w:r w:rsidR="005248D4" w:rsidRPr="00CD2EEF">
        <w:rPr>
          <w:lang w:val="en-GB"/>
        </w:rPr>
        <w:t>: Annual contributions to the effective dose received by an adult member of the public due to the former Žirovski Vrh Uranium Mine in the period 1989</w:t>
      </w:r>
      <w:bookmarkEnd w:id="256"/>
      <w:bookmarkEnd w:id="257"/>
      <w:r w:rsidR="00AB2B14">
        <w:rPr>
          <w:lang w:val="en-GB"/>
        </w:rPr>
        <w:t>–</w:t>
      </w:r>
      <w:r w:rsidR="005248D4" w:rsidRPr="00CD2EEF">
        <w:rPr>
          <w:lang w:val="en-GB"/>
        </w:rPr>
        <w:t>2021</w:t>
      </w:r>
      <w:bookmarkEnd w:id="258"/>
      <w:bookmarkEnd w:id="259"/>
    </w:p>
    <w:p w14:paraId="554046CB" w14:textId="15E7711F" w:rsidR="005248D4" w:rsidRPr="00A2555D" w:rsidRDefault="005248D4" w:rsidP="009324B7">
      <w:pPr>
        <w:pStyle w:val="LPNaslov3"/>
        <w:rPr>
          <w:lang w:val="en-GB"/>
        </w:rPr>
      </w:pPr>
      <w:bookmarkStart w:id="260" w:name="ch334"/>
      <w:bookmarkStart w:id="261" w:name="_Toc126312006"/>
      <w:r w:rsidRPr="00A2555D">
        <w:rPr>
          <w:rStyle w:val="LPpobarvan3"/>
          <w:shd w:val="clear" w:color="auto" w:fill="auto"/>
          <w:lang w:val="en-GB"/>
        </w:rPr>
        <w:t xml:space="preserve">Operational </w:t>
      </w:r>
      <w:r w:rsidR="00AB2B14" w:rsidRPr="00B73FE6">
        <w:rPr>
          <w:rStyle w:val="LPpobarvan3"/>
          <w:shd w:val="clear" w:color="auto" w:fill="auto"/>
          <w:lang w:val="en-GB"/>
        </w:rPr>
        <w:t>M</w:t>
      </w:r>
      <w:r w:rsidRPr="00A2555D">
        <w:rPr>
          <w:rStyle w:val="LPpobarvan3"/>
          <w:shd w:val="clear" w:color="auto" w:fill="auto"/>
          <w:lang w:val="en-GB"/>
        </w:rPr>
        <w:t xml:space="preserve">onitoring </w:t>
      </w:r>
      <w:bookmarkStart w:id="262" w:name="_Toc74219345"/>
      <w:r w:rsidRPr="00A2555D">
        <w:rPr>
          <w:lang w:val="en-GB"/>
        </w:rPr>
        <w:t>Inspections</w:t>
      </w:r>
      <w:bookmarkEnd w:id="262"/>
      <w:bookmarkEnd w:id="261"/>
    </w:p>
    <w:bookmarkEnd w:id="260"/>
    <w:p w14:paraId="1DE8C2B9" w14:textId="10D8F000" w:rsidR="005248D4" w:rsidRPr="00CD2EEF" w:rsidRDefault="005248D4" w:rsidP="00A12815">
      <w:pPr>
        <w:pStyle w:val="LPnavaden"/>
        <w:rPr>
          <w:lang w:val="en-GB"/>
        </w:rPr>
      </w:pPr>
      <w:r w:rsidRPr="00CD2EEF">
        <w:rPr>
          <w:lang w:val="en-GB"/>
        </w:rPr>
        <w:t xml:space="preserve">In 2021, </w:t>
      </w:r>
      <w:r w:rsidR="00A726E8">
        <w:rPr>
          <w:lang w:val="en-GB"/>
        </w:rPr>
        <w:t>the</w:t>
      </w:r>
      <w:r w:rsidR="00E63423">
        <w:rPr>
          <w:lang w:val="en-GB"/>
        </w:rPr>
        <w:t xml:space="preserve"> SNSA</w:t>
      </w:r>
      <w:r w:rsidRPr="00CD2EEF">
        <w:rPr>
          <w:lang w:val="en-GB"/>
        </w:rPr>
        <w:t xml:space="preserve"> Inspection performed one inspection related to operational monitoring,</w:t>
      </w:r>
      <w:r w:rsidR="008A1E6B">
        <w:rPr>
          <w:lang w:val="en-GB"/>
        </w:rPr>
        <w:t xml:space="preserve"> </w:t>
      </w:r>
      <w:r w:rsidRPr="00CD2EEF">
        <w:rPr>
          <w:lang w:val="en-GB"/>
        </w:rPr>
        <w:t>namely, at the JSI</w:t>
      </w:r>
      <w:r w:rsidR="00A74F21">
        <w:rPr>
          <w:lang w:val="en-GB"/>
        </w:rPr>
        <w:t>,</w:t>
      </w:r>
      <w:r w:rsidRPr="00CD2EEF">
        <w:rPr>
          <w:lang w:val="en-GB"/>
        </w:rPr>
        <w:t xml:space="preserve"> focusing on the operational monitoring at the RIC location in Podgorica, Brinje 40, Dol pri Ljubljani.</w:t>
      </w:r>
    </w:p>
    <w:p w14:paraId="0582F90B" w14:textId="58D9A9F4" w:rsidR="005248D4" w:rsidRPr="00CD2EEF" w:rsidRDefault="005248D4" w:rsidP="00A02DD7">
      <w:pPr>
        <w:pStyle w:val="LPnavaden"/>
        <w:rPr>
          <w:lang w:val="en-GB"/>
        </w:rPr>
      </w:pPr>
      <w:r w:rsidRPr="00CD2EEF">
        <w:rPr>
          <w:lang w:val="en-GB"/>
        </w:rPr>
        <w:t>Operational monitoring is defined in Article 159 of the ZVISJV-1. The JSI Program</w:t>
      </w:r>
      <w:r w:rsidR="005B0A85">
        <w:rPr>
          <w:lang w:val="en-GB"/>
        </w:rPr>
        <w:t>me</w:t>
      </w:r>
      <w:r w:rsidRPr="00CD2EEF">
        <w:rPr>
          <w:lang w:val="en-GB"/>
        </w:rPr>
        <w:t xml:space="preserve"> of Measurements is based on </w:t>
      </w:r>
      <w:r w:rsidR="00A726E8">
        <w:rPr>
          <w:lang w:val="en-GB"/>
        </w:rPr>
        <w:t>the</w:t>
      </w:r>
      <w:r w:rsidR="00E63423">
        <w:rPr>
          <w:lang w:val="en-GB"/>
        </w:rPr>
        <w:t xml:space="preserve"> SNSA</w:t>
      </w:r>
      <w:r w:rsidRPr="00CD2EEF">
        <w:rPr>
          <w:lang w:val="en-GB"/>
        </w:rPr>
        <w:t xml:space="preserve"> decision issued in 2000. The </w:t>
      </w:r>
      <w:r w:rsidR="00AB71FB">
        <w:rPr>
          <w:lang w:val="en-GB"/>
        </w:rPr>
        <w:t xml:space="preserve">programme </w:t>
      </w:r>
      <w:r w:rsidRPr="00CD2EEF">
        <w:rPr>
          <w:lang w:val="en-GB"/>
        </w:rPr>
        <w:t xml:space="preserve">was updated in 2013 and as such </w:t>
      </w:r>
      <w:r w:rsidR="001C329B">
        <w:rPr>
          <w:lang w:val="en-GB"/>
        </w:rPr>
        <w:t xml:space="preserve">is </w:t>
      </w:r>
      <w:r w:rsidRPr="00CD2EEF">
        <w:rPr>
          <w:lang w:val="en-GB"/>
        </w:rPr>
        <w:t xml:space="preserve">in line with the Rules JV10, Annex 5: </w:t>
      </w:r>
      <w:r w:rsidRPr="00A74F21">
        <w:rPr>
          <w:lang w:val="en-GB"/>
        </w:rPr>
        <w:t xml:space="preserve">Structure of the programme for operating monitoring of </w:t>
      </w:r>
      <w:r w:rsidR="001C329B" w:rsidRPr="00E054D5">
        <w:rPr>
          <w:lang w:val="en-GB"/>
        </w:rPr>
        <w:t xml:space="preserve">the </w:t>
      </w:r>
      <w:r w:rsidRPr="00A74F21">
        <w:rPr>
          <w:lang w:val="en-GB"/>
        </w:rPr>
        <w:t>radioactivity of a research reactor.</w:t>
      </w:r>
      <w:r w:rsidRPr="00CD2EEF">
        <w:rPr>
          <w:lang w:val="en-GB"/>
        </w:rPr>
        <w:t xml:space="preserve"> The </w:t>
      </w:r>
      <w:r w:rsidR="00AB71FB">
        <w:rPr>
          <w:lang w:val="en-GB"/>
        </w:rPr>
        <w:t xml:space="preserve">programme </w:t>
      </w:r>
      <w:r w:rsidRPr="00CD2EEF">
        <w:rPr>
          <w:lang w:val="en-GB"/>
        </w:rPr>
        <w:t>is harm</w:t>
      </w:r>
      <w:r w:rsidR="00837F00">
        <w:rPr>
          <w:lang w:val="en-GB"/>
        </w:rPr>
        <w:t>onis</w:t>
      </w:r>
      <w:r w:rsidRPr="00CD2EEF">
        <w:rPr>
          <w:lang w:val="en-GB"/>
        </w:rPr>
        <w:t>ed with the currently valid Rules JV10.</w:t>
      </w:r>
    </w:p>
    <w:p w14:paraId="0C98D991" w14:textId="6CD69DB3" w:rsidR="005248D4" w:rsidRPr="00CD2EEF" w:rsidRDefault="005248D4" w:rsidP="005A3C86">
      <w:pPr>
        <w:pStyle w:val="LPnavaden"/>
        <w:rPr>
          <w:lang w:val="en-GB"/>
        </w:rPr>
      </w:pPr>
      <w:r w:rsidRPr="00CD2EEF">
        <w:rPr>
          <w:lang w:val="en-GB"/>
        </w:rPr>
        <w:t>The author</w:t>
      </w:r>
      <w:r w:rsidR="00837F00">
        <w:rPr>
          <w:lang w:val="en-GB"/>
        </w:rPr>
        <w:t>ised</w:t>
      </w:r>
      <w:r w:rsidRPr="00CD2EEF">
        <w:rPr>
          <w:lang w:val="en-GB"/>
        </w:rPr>
        <w:t xml:space="preserve"> annual dose limit for members of the public from the RIC reference group given in </w:t>
      </w:r>
      <w:r w:rsidR="00A726E8">
        <w:rPr>
          <w:lang w:val="en-GB"/>
        </w:rPr>
        <w:t>the</w:t>
      </w:r>
      <w:r w:rsidR="00E63423">
        <w:rPr>
          <w:lang w:val="en-GB"/>
        </w:rPr>
        <w:t xml:space="preserve"> SNSA</w:t>
      </w:r>
      <w:r w:rsidRPr="00CD2EEF">
        <w:rPr>
          <w:lang w:val="en-GB"/>
        </w:rPr>
        <w:t xml:space="preserve"> decision from 1992 is 50 μSv. The calculated dose for </w:t>
      </w:r>
      <w:r w:rsidR="00D02241">
        <w:rPr>
          <w:lang w:val="en-GB"/>
        </w:rPr>
        <w:t>a</w:t>
      </w:r>
      <w:r w:rsidR="00D02241" w:rsidRPr="00CD2EEF">
        <w:rPr>
          <w:lang w:val="en-GB"/>
        </w:rPr>
        <w:t xml:space="preserve"> </w:t>
      </w:r>
      <w:r w:rsidRPr="00CD2EEF">
        <w:rPr>
          <w:lang w:val="en-GB"/>
        </w:rPr>
        <w:t xml:space="preserve">member of the public using data from monitoring of </w:t>
      </w:r>
      <w:r w:rsidRPr="009C28A2">
        <w:rPr>
          <w:lang w:val="en-GB"/>
        </w:rPr>
        <w:t>emissions and i</w:t>
      </w:r>
      <w:r w:rsidR="00755128" w:rsidRPr="009C28A2">
        <w:rPr>
          <w:lang w:val="en-GB"/>
        </w:rPr>
        <w:t>m</w:t>
      </w:r>
      <w:r w:rsidRPr="009C28A2">
        <w:rPr>
          <w:lang w:val="en-GB"/>
        </w:rPr>
        <w:t>issions</w:t>
      </w:r>
      <w:r w:rsidRPr="00CD2EEF">
        <w:rPr>
          <w:lang w:val="en-GB"/>
        </w:rPr>
        <w:t xml:space="preserve"> is negligible</w:t>
      </w:r>
      <w:r w:rsidR="00D02241">
        <w:rPr>
          <w:lang w:val="en-GB"/>
        </w:rPr>
        <w:t>,</w:t>
      </w:r>
      <w:r w:rsidRPr="00CD2EEF">
        <w:rPr>
          <w:lang w:val="en-GB"/>
        </w:rPr>
        <w:t xml:space="preserve"> as </w:t>
      </w:r>
      <w:r w:rsidR="00D02241">
        <w:rPr>
          <w:lang w:val="en-GB"/>
        </w:rPr>
        <w:t xml:space="preserve">is </w:t>
      </w:r>
      <w:r w:rsidRPr="00CD2EEF">
        <w:rPr>
          <w:lang w:val="en-GB"/>
        </w:rPr>
        <w:t>evident in the JSI report Environmental Monitoring of Radioactivity at the JSI Reactor Centre for 2021, Chapter 4.</w:t>
      </w:r>
    </w:p>
    <w:p w14:paraId="5EDF367D" w14:textId="30697CFC" w:rsidR="005248D4" w:rsidRPr="00CD2EEF" w:rsidRDefault="00D02241" w:rsidP="005A3C86">
      <w:pPr>
        <w:pStyle w:val="LPnavaden"/>
        <w:rPr>
          <w:lang w:val="en-GB"/>
        </w:rPr>
      </w:pPr>
      <w:r>
        <w:rPr>
          <w:lang w:val="en-GB"/>
        </w:rPr>
        <w:t>In</w:t>
      </w:r>
      <w:r w:rsidRPr="00CD2EEF">
        <w:rPr>
          <w:lang w:val="en-GB"/>
        </w:rPr>
        <w:t xml:space="preserve"> </w:t>
      </w:r>
      <w:r w:rsidR="005248D4" w:rsidRPr="00CD2EEF">
        <w:rPr>
          <w:lang w:val="en-GB"/>
        </w:rPr>
        <w:t xml:space="preserve">the inspection, </w:t>
      </w:r>
      <w:r w:rsidR="00A726E8">
        <w:rPr>
          <w:lang w:val="en-GB"/>
        </w:rPr>
        <w:t>the</w:t>
      </w:r>
      <w:r w:rsidR="00E63423">
        <w:rPr>
          <w:lang w:val="en-GB"/>
        </w:rPr>
        <w:t xml:space="preserve"> SNSA</w:t>
      </w:r>
      <w:r w:rsidR="005248D4" w:rsidRPr="00CD2EEF">
        <w:rPr>
          <w:lang w:val="en-GB"/>
        </w:rPr>
        <w:t xml:space="preserve"> inspected the results of measurements conducted in line with the </w:t>
      </w:r>
      <w:r w:rsidR="00B81422" w:rsidRPr="00CD2EEF">
        <w:rPr>
          <w:lang w:val="en-GB"/>
        </w:rPr>
        <w:t>above-mentioned</w:t>
      </w:r>
      <w:r w:rsidR="005248D4" w:rsidRPr="00CD2EEF">
        <w:rPr>
          <w:lang w:val="en-GB"/>
        </w:rPr>
        <w:t xml:space="preserve"> programme</w:t>
      </w:r>
      <w:r w:rsidR="005248D4" w:rsidRPr="00C42295">
        <w:rPr>
          <w:lang w:val="en-GB"/>
        </w:rPr>
        <w:t>. No</w:t>
      </w:r>
      <w:r w:rsidR="009A12F5">
        <w:rPr>
          <w:lang w:val="en-GB"/>
        </w:rPr>
        <w:t xml:space="preserve"> no</w:t>
      </w:r>
      <w:r w:rsidR="005248D4" w:rsidRPr="00C42295">
        <w:rPr>
          <w:lang w:val="en-GB"/>
        </w:rPr>
        <w:t xml:space="preserve">n-compliances related to the </w:t>
      </w:r>
      <w:r w:rsidR="00AB71FB" w:rsidRPr="00C42295">
        <w:rPr>
          <w:lang w:val="en-GB"/>
        </w:rPr>
        <w:t xml:space="preserve">programme </w:t>
      </w:r>
      <w:r w:rsidR="005248D4" w:rsidRPr="00C42295">
        <w:rPr>
          <w:lang w:val="en-GB"/>
        </w:rPr>
        <w:t>or related to the values measured were identified.</w:t>
      </w:r>
      <w:r w:rsidR="005248D4" w:rsidRPr="00CD2EEF">
        <w:rPr>
          <w:lang w:val="en-GB"/>
        </w:rPr>
        <w:t xml:space="preserve"> This was also noted in the JSI report mentioned above. The inspection did not have any comments on the report.</w:t>
      </w:r>
    </w:p>
    <w:p w14:paraId="343A36B2" w14:textId="3A73B2F5" w:rsidR="005248D4" w:rsidRPr="00CD2EEF" w:rsidRDefault="005248D4" w:rsidP="000B43D0">
      <w:pPr>
        <w:pStyle w:val="LPnavaden"/>
        <w:rPr>
          <w:lang w:val="en-GB"/>
        </w:rPr>
      </w:pPr>
      <w:r w:rsidRPr="00CD2EEF">
        <w:rPr>
          <w:lang w:val="en-GB"/>
        </w:rPr>
        <w:t xml:space="preserve">Article 20 of the Rules JV10 addresses </w:t>
      </w:r>
      <w:r w:rsidR="008C120E">
        <w:rPr>
          <w:lang w:val="en-GB"/>
        </w:rPr>
        <w:t xml:space="preserve">the </w:t>
      </w:r>
      <w:r w:rsidR="008C120E" w:rsidRPr="00CD2EEF">
        <w:rPr>
          <w:lang w:val="en-GB"/>
        </w:rPr>
        <w:t>perform</w:t>
      </w:r>
      <w:r w:rsidR="008C120E">
        <w:rPr>
          <w:lang w:val="en-GB"/>
        </w:rPr>
        <w:t>ance of</w:t>
      </w:r>
      <w:r w:rsidR="008C120E" w:rsidRPr="00CD2EEF">
        <w:rPr>
          <w:lang w:val="en-GB"/>
        </w:rPr>
        <w:t xml:space="preserve"> </w:t>
      </w:r>
      <w:r w:rsidRPr="00CD2EEF">
        <w:rPr>
          <w:lang w:val="en-GB"/>
        </w:rPr>
        <w:t>environmental monitoring of radioactivity in the vicinity of the radiation, nuclear</w:t>
      </w:r>
      <w:r w:rsidR="009A12F5">
        <w:rPr>
          <w:lang w:val="en-GB"/>
        </w:rPr>
        <w:t>,</w:t>
      </w:r>
      <w:r w:rsidRPr="00CD2EEF">
        <w:rPr>
          <w:lang w:val="en-GB"/>
        </w:rPr>
        <w:t xml:space="preserve"> or other installation</w:t>
      </w:r>
      <w:r w:rsidR="008C120E">
        <w:rPr>
          <w:lang w:val="en-GB"/>
        </w:rPr>
        <w:t>,</w:t>
      </w:r>
      <w:r w:rsidRPr="00CD2EEF">
        <w:rPr>
          <w:lang w:val="en-GB"/>
        </w:rPr>
        <w:t xml:space="preserve"> as well as measurements of </w:t>
      </w:r>
      <w:r w:rsidR="008C120E">
        <w:rPr>
          <w:lang w:val="en-GB"/>
        </w:rPr>
        <w:t xml:space="preserve">the </w:t>
      </w:r>
      <w:r w:rsidRPr="00CD2EEF">
        <w:rPr>
          <w:lang w:val="en-GB"/>
        </w:rPr>
        <w:t xml:space="preserve">emissions of radioactive discharges. At the same time, </w:t>
      </w:r>
      <w:r w:rsidR="008C120E">
        <w:rPr>
          <w:lang w:val="en-GB"/>
        </w:rPr>
        <w:t xml:space="preserve">the </w:t>
      </w:r>
      <w:r w:rsidRPr="00CD2EEF">
        <w:rPr>
          <w:lang w:val="en-GB"/>
        </w:rPr>
        <w:t>first indent of Article 33, of the Rules JV10</w:t>
      </w:r>
      <w:r w:rsidR="008C120E">
        <w:rPr>
          <w:lang w:val="en-GB"/>
        </w:rPr>
        <w:t>,</w:t>
      </w:r>
      <w:r w:rsidRPr="00CD2EEF">
        <w:rPr>
          <w:lang w:val="en-GB"/>
        </w:rPr>
        <w:t xml:space="preserve"> requires that a competent authority </w:t>
      </w:r>
      <w:r w:rsidR="008C120E">
        <w:rPr>
          <w:lang w:val="en-GB"/>
        </w:rPr>
        <w:t>ensure</w:t>
      </w:r>
      <w:r w:rsidR="008C120E" w:rsidRPr="00CD2EEF">
        <w:rPr>
          <w:lang w:val="en-GB"/>
        </w:rPr>
        <w:t xml:space="preserve"> </w:t>
      </w:r>
      <w:r w:rsidRPr="00CD2EEF">
        <w:rPr>
          <w:lang w:val="en-GB"/>
        </w:rPr>
        <w:t xml:space="preserve">independent measurements of </w:t>
      </w:r>
      <w:r w:rsidRPr="009C28A2">
        <w:rPr>
          <w:lang w:val="en-GB"/>
        </w:rPr>
        <w:t>emissions and imissions</w:t>
      </w:r>
      <w:r w:rsidRPr="00CD2EEF">
        <w:rPr>
          <w:lang w:val="en-GB"/>
        </w:rPr>
        <w:t xml:space="preserve">. These measurements should not be carried out by the same laboratory </w:t>
      </w:r>
      <w:r w:rsidR="00FF21A7">
        <w:rPr>
          <w:lang w:val="en-GB"/>
        </w:rPr>
        <w:t>that</w:t>
      </w:r>
      <w:r w:rsidR="00FF21A7" w:rsidRPr="00CD2EEF">
        <w:rPr>
          <w:lang w:val="en-GB"/>
        </w:rPr>
        <w:t xml:space="preserve"> </w:t>
      </w:r>
      <w:r w:rsidRPr="00CD2EEF">
        <w:rPr>
          <w:lang w:val="en-GB"/>
        </w:rPr>
        <w:t>performs the same measurements for the concerned operator. In 2021, independent measurements were conducted by a technical support organi</w:t>
      </w:r>
      <w:r w:rsidR="00E9756B">
        <w:rPr>
          <w:lang w:val="en-GB"/>
        </w:rPr>
        <w:t>sation</w:t>
      </w:r>
      <w:r w:rsidRPr="00CD2EEF">
        <w:rPr>
          <w:lang w:val="en-GB"/>
        </w:rPr>
        <w:t>, namely the IOS. The IOS laboratory conducted such independent measurements, namely gamma ray measurements using a sample taken from the air filter installed in the reactor chimney. The analysis is available in the JSI report mentioned</w:t>
      </w:r>
      <w:r w:rsidR="00FF21A7">
        <w:rPr>
          <w:lang w:val="en-GB"/>
        </w:rPr>
        <w:t xml:space="preserve"> above</w:t>
      </w:r>
      <w:r w:rsidRPr="00CD2EEF">
        <w:rPr>
          <w:lang w:val="en-GB"/>
        </w:rPr>
        <w:t xml:space="preserve">. </w:t>
      </w:r>
      <w:r w:rsidRPr="00CD2EEF">
        <w:rPr>
          <w:lang w:val="en-GB"/>
        </w:rPr>
        <w:lastRenderedPageBreak/>
        <w:t>Taking into account</w:t>
      </w:r>
      <w:r w:rsidR="00FF21A7">
        <w:rPr>
          <w:lang w:val="en-GB"/>
        </w:rPr>
        <w:t xml:space="preserve"> the</w:t>
      </w:r>
      <w:r w:rsidRPr="00CD2EEF">
        <w:rPr>
          <w:lang w:val="en-GB"/>
        </w:rPr>
        <w:t xml:space="preserve"> prescribed acceptance criteria</w:t>
      </w:r>
      <w:r w:rsidR="00FF21A7">
        <w:rPr>
          <w:lang w:val="en-GB"/>
        </w:rPr>
        <w:t>,</w:t>
      </w:r>
      <w:r w:rsidRPr="00CD2EEF">
        <w:rPr>
          <w:lang w:val="en-GB"/>
        </w:rPr>
        <w:t xml:space="preserve"> all results showed very good agreement. No </w:t>
      </w:r>
      <w:r w:rsidR="005D6E7B">
        <w:rPr>
          <w:lang w:val="en-GB"/>
        </w:rPr>
        <w:t>non-</w:t>
      </w:r>
      <w:r w:rsidR="005D6E7B" w:rsidRPr="00CD2EEF">
        <w:rPr>
          <w:lang w:val="en-GB"/>
        </w:rPr>
        <w:t xml:space="preserve">compliances </w:t>
      </w:r>
      <w:r w:rsidRPr="00CD2EEF">
        <w:rPr>
          <w:lang w:val="en-GB"/>
        </w:rPr>
        <w:t xml:space="preserve">were identified during </w:t>
      </w:r>
      <w:r w:rsidR="00A726E8">
        <w:rPr>
          <w:lang w:val="en-GB"/>
        </w:rPr>
        <w:t>the</w:t>
      </w:r>
      <w:r w:rsidR="00E63423">
        <w:rPr>
          <w:lang w:val="en-GB"/>
        </w:rPr>
        <w:t xml:space="preserve"> SNSA</w:t>
      </w:r>
      <w:r w:rsidRPr="00CD2EEF">
        <w:rPr>
          <w:lang w:val="en-GB"/>
        </w:rPr>
        <w:t xml:space="preserve"> inspection.</w:t>
      </w:r>
    </w:p>
    <w:p w14:paraId="385129F9" w14:textId="77777777" w:rsidR="005248D4" w:rsidRPr="00CD2EEF" w:rsidRDefault="005248D4" w:rsidP="0057789F">
      <w:pPr>
        <w:pStyle w:val="LPNaslov2"/>
        <w:rPr>
          <w:lang w:val="en-GB"/>
        </w:rPr>
      </w:pPr>
      <w:bookmarkStart w:id="263" w:name="_Toc74219346"/>
      <w:bookmarkStart w:id="264" w:name="_Toc126312007"/>
      <w:r w:rsidRPr="00CD2EEF">
        <w:rPr>
          <w:caps w:val="0"/>
          <w:lang w:val="en-GB"/>
        </w:rPr>
        <w:t>R</w:t>
      </w:r>
      <w:r w:rsidRPr="00CD2EEF">
        <w:rPr>
          <w:lang w:val="en-GB"/>
        </w:rPr>
        <w:t>ADIATION EXPOSURE OF THE POPULATION IN SLOVENIA</w:t>
      </w:r>
      <w:bookmarkEnd w:id="264"/>
      <w:r w:rsidRPr="00CD2EEF" w:rsidDel="000C5E8D">
        <w:rPr>
          <w:lang w:val="en-GB"/>
        </w:rPr>
        <w:t xml:space="preserve"> </w:t>
      </w:r>
      <w:bookmarkEnd w:id="263"/>
    </w:p>
    <w:p w14:paraId="1CC41119" w14:textId="12E881BA" w:rsidR="005248D4" w:rsidRPr="00CD2EEF" w:rsidRDefault="005248D4" w:rsidP="008F5FA1">
      <w:pPr>
        <w:pStyle w:val="LPnavaden"/>
        <w:rPr>
          <w:color w:val="2F5496"/>
          <w:lang w:val="en-GB"/>
        </w:rPr>
      </w:pPr>
      <w:r w:rsidRPr="00CD2EEF">
        <w:rPr>
          <w:color w:val="000000"/>
          <w:lang w:val="en-GB"/>
        </w:rPr>
        <w:t xml:space="preserve">Every person on Earth is exposed to natural and artificial radioactivity in the environment. A great </w:t>
      </w:r>
      <w:r w:rsidR="00EF2200">
        <w:rPr>
          <w:color w:val="000000"/>
          <w:lang w:val="en-GB"/>
        </w:rPr>
        <w:t>portion</w:t>
      </w:r>
      <w:r w:rsidR="00EF2200" w:rsidRPr="00CD2EEF">
        <w:rPr>
          <w:color w:val="000000"/>
          <w:lang w:val="en-GB"/>
        </w:rPr>
        <w:t xml:space="preserve"> </w:t>
      </w:r>
      <w:r w:rsidRPr="00CD2EEF">
        <w:rPr>
          <w:color w:val="000000"/>
          <w:lang w:val="en-GB"/>
        </w:rPr>
        <w:t xml:space="preserve">of the population receives radiation doses from radiological examinations in medicine, while only a small </w:t>
      </w:r>
      <w:r w:rsidR="00EF2200">
        <w:rPr>
          <w:color w:val="000000"/>
          <w:lang w:val="en-GB"/>
        </w:rPr>
        <w:t>portion</w:t>
      </w:r>
      <w:r w:rsidR="00EF2200" w:rsidRPr="00CD2EEF">
        <w:rPr>
          <w:color w:val="000000"/>
          <w:lang w:val="en-GB"/>
        </w:rPr>
        <w:t xml:space="preserve"> </w:t>
      </w:r>
      <w:r w:rsidRPr="00CD2EEF">
        <w:rPr>
          <w:color w:val="000000"/>
          <w:lang w:val="en-GB"/>
        </w:rPr>
        <w:t xml:space="preserve">of the population is exposed occupationally due to their work in radiation fields or with radiation sources. The term </w:t>
      </w:r>
      <w:r w:rsidR="00263D93">
        <w:rPr>
          <w:color w:val="000000"/>
          <w:lang w:val="en-GB"/>
        </w:rPr>
        <w:t>“</w:t>
      </w:r>
      <w:r w:rsidRPr="00CD2EEF">
        <w:rPr>
          <w:color w:val="000000"/>
          <w:lang w:val="en-GB"/>
        </w:rPr>
        <w:t>external radiation</w:t>
      </w:r>
      <w:r w:rsidR="00263D93">
        <w:rPr>
          <w:color w:val="000000"/>
          <w:lang w:val="en-GB"/>
        </w:rPr>
        <w:t>”</w:t>
      </w:r>
      <w:r w:rsidRPr="00CD2EEF">
        <w:rPr>
          <w:color w:val="000000"/>
          <w:lang w:val="en-GB"/>
        </w:rPr>
        <w:t xml:space="preserve"> means that the source of radiation is located outside the body. Internal radiation occurs when radioactive material enters the body by inhalation, the ingestion of food and water, or through the skin. The data on population exposure are presented below, while occupational exposures (due to artificial and natural sources) and medical exposures are presented in</w:t>
      </w:r>
      <w:r w:rsidRPr="00CD2EEF">
        <w:rPr>
          <w:lang w:val="en-GB"/>
        </w:rPr>
        <w:t xml:space="preserve"> </w:t>
      </w:r>
      <w:hyperlink w:anchor="ch4" w:history="1">
        <w:r w:rsidRPr="00CD2EEF">
          <w:rPr>
            <w:rStyle w:val="Hiperpovezava"/>
            <w:lang w:val="en-GB"/>
          </w:rPr>
          <w:t>Chapter 4</w:t>
        </w:r>
      </w:hyperlink>
      <w:r w:rsidRPr="00CD2EEF">
        <w:rPr>
          <w:color w:val="000000"/>
          <w:lang w:val="en-GB"/>
        </w:rPr>
        <w:t>.</w:t>
      </w:r>
    </w:p>
    <w:p w14:paraId="28D0A52E" w14:textId="77777777" w:rsidR="005248D4" w:rsidRPr="00CD2EEF" w:rsidRDefault="005248D4" w:rsidP="0057789F">
      <w:pPr>
        <w:pStyle w:val="LPNaslov3"/>
        <w:rPr>
          <w:lang w:val="en-GB"/>
        </w:rPr>
      </w:pPr>
      <w:bookmarkStart w:id="265" w:name="_Toc74219347"/>
      <w:bookmarkStart w:id="266" w:name="_Toc126312008"/>
      <w:r w:rsidRPr="00CD2EEF">
        <w:rPr>
          <w:lang w:val="en-GB"/>
        </w:rPr>
        <w:t>Exposure to Natural Radiation</w:t>
      </w:r>
      <w:bookmarkEnd w:id="265"/>
      <w:bookmarkEnd w:id="266"/>
    </w:p>
    <w:p w14:paraId="675D98EB" w14:textId="75BBB907" w:rsidR="005248D4" w:rsidRPr="00CD2EEF" w:rsidRDefault="005248D4" w:rsidP="008F5FA1">
      <w:pPr>
        <w:pStyle w:val="LPnavaden"/>
        <w:rPr>
          <w:lang w:val="en-GB"/>
        </w:rPr>
      </w:pPr>
      <w:r w:rsidRPr="00CD2EEF">
        <w:rPr>
          <w:lang w:val="en-GB"/>
        </w:rPr>
        <w:t>The average annual effective dose from natural sources received by a single individual on Earth is 2.4 mSv, varying from only 1 mSv and even exceeding 10 mSv at some locations. The average annual dose from natural radiation sources received by an average member of the public in Slovenia is approximately 2.5 to 2.8 mSv. Higher values are found in areas with higher concentrations of radon in living and working environments. Based on the existing data on external radiation and radon concentrations in dwellings and outdoors, it can be estimated that most of the radiation, approximately 50</w:t>
      </w:r>
      <w:r w:rsidR="00E30262">
        <w:rPr>
          <w:lang w:val="en-GB"/>
        </w:rPr>
        <w:t>%</w:t>
      </w:r>
      <w:r w:rsidRPr="00CD2EEF">
        <w:rPr>
          <w:lang w:val="en-GB"/>
        </w:rPr>
        <w:t>, comes from inhaling indoor radon and its progeny (1.2</w:t>
      </w:r>
      <w:r w:rsidR="008536B8">
        <w:rPr>
          <w:lang w:val="en-GB"/>
        </w:rPr>
        <w:t>–</w:t>
      </w:r>
      <w:r w:rsidRPr="00CD2EEF">
        <w:rPr>
          <w:lang w:val="en-GB"/>
        </w:rPr>
        <w:t>1.5 mSv per year) in residential buildings. The annual dose from the intake of radioactivity with food and water is approximately 0.4 mSv. The annual effective dose in Slovenia due to external radiation from the radioactivity of soil, building materials in dwellings, and cosmic radiation together is estimated to be from 0.8 to 1.1 mSv in Slovenia.</w:t>
      </w:r>
    </w:p>
    <w:p w14:paraId="0CC06CF4" w14:textId="3D873D9A" w:rsidR="005248D4" w:rsidRPr="00CD2EEF" w:rsidRDefault="004021C0" w:rsidP="0057789F">
      <w:pPr>
        <w:pStyle w:val="LPNaslov3"/>
        <w:rPr>
          <w:lang w:val="en-GB"/>
        </w:rPr>
      </w:pPr>
      <w:bookmarkStart w:id="267" w:name="_Ref512253842"/>
      <w:bookmarkStart w:id="268" w:name="_Toc74219348"/>
      <w:bookmarkStart w:id="269" w:name="ch342"/>
      <w:bookmarkStart w:id="270" w:name="_Hlk71893869"/>
      <w:bookmarkStart w:id="271" w:name="_Toc126312009"/>
      <w:r>
        <w:rPr>
          <w:lang w:val="en-GB"/>
        </w:rPr>
        <w:t xml:space="preserve">The </w:t>
      </w:r>
      <w:r w:rsidR="005248D4" w:rsidRPr="00CD2EEF">
        <w:rPr>
          <w:lang w:val="en-GB"/>
        </w:rPr>
        <w:t>Programme for the Systematic Inspection of Industrial Activities</w:t>
      </w:r>
      <w:bookmarkEnd w:id="267"/>
      <w:bookmarkEnd w:id="268"/>
      <w:bookmarkEnd w:id="271"/>
    </w:p>
    <w:bookmarkEnd w:id="269"/>
    <w:p w14:paraId="4D20909A" w14:textId="77777777" w:rsidR="005248D4" w:rsidRPr="00CD2EEF" w:rsidRDefault="005248D4" w:rsidP="006A5EFD">
      <w:pPr>
        <w:pStyle w:val="LPnavaden"/>
        <w:rPr>
          <w:lang w:val="en-GB"/>
        </w:rPr>
      </w:pPr>
      <w:r w:rsidRPr="00CD2EEF">
        <w:rPr>
          <w:lang w:val="en-GB"/>
        </w:rPr>
        <w:t>Systematic inspection of the working environment must be ensured in areas where there is an increased exposure of workers or the environment due to activities involving materials or waste with an increased content of naturally occurring radioactive materials (hereinafter: NORM) or where there is an increased presence of naturally occurring radioactive substances due to technological processing.</w:t>
      </w:r>
    </w:p>
    <w:p w14:paraId="7558341E" w14:textId="1499B403" w:rsidR="005248D4" w:rsidRPr="00CD2EEF" w:rsidRDefault="005248D4" w:rsidP="006A5EFD">
      <w:pPr>
        <w:pStyle w:val="LPnavaden"/>
        <w:rPr>
          <w:lang w:val="en-GB"/>
        </w:rPr>
      </w:pPr>
      <w:r w:rsidRPr="00CD2EEF">
        <w:rPr>
          <w:lang w:val="en-GB"/>
        </w:rPr>
        <w:t xml:space="preserve">The programme in 2021 consisted of measurements </w:t>
      </w:r>
      <w:r w:rsidRPr="00B6528E">
        <w:rPr>
          <w:lang w:val="en-GB"/>
        </w:rPr>
        <w:t>in organi</w:t>
      </w:r>
      <w:r w:rsidR="00E9756B" w:rsidRPr="00B6528E">
        <w:rPr>
          <w:lang w:val="en-GB"/>
        </w:rPr>
        <w:t>sation</w:t>
      </w:r>
      <w:r w:rsidRPr="00B6528E">
        <w:rPr>
          <w:lang w:val="en-GB"/>
        </w:rPr>
        <w:t xml:space="preserve">s </w:t>
      </w:r>
      <w:r w:rsidR="00A83461" w:rsidRPr="00B6528E">
        <w:rPr>
          <w:lang w:val="en-GB"/>
        </w:rPr>
        <w:t xml:space="preserve">that </w:t>
      </w:r>
      <w:r w:rsidRPr="00B6528E">
        <w:rPr>
          <w:lang w:val="en-GB"/>
        </w:rPr>
        <w:t>produce</w:t>
      </w:r>
      <w:r w:rsidRPr="00CD2EEF">
        <w:rPr>
          <w:lang w:val="en-GB"/>
        </w:rPr>
        <w:t xml:space="preserve"> thermal insulation or waterproofing finished products (FRAGMAT TIM d. o. o., Laško</w:t>
      </w:r>
      <w:r w:rsidR="00785FB7">
        <w:rPr>
          <w:lang w:val="en-GB"/>
        </w:rPr>
        <w:t>,</w:t>
      </w:r>
      <w:r w:rsidRPr="00CD2EEF">
        <w:rPr>
          <w:lang w:val="en-GB"/>
        </w:rPr>
        <w:t xml:space="preserve"> and ISOMAT d. o. o., Mežica) and in organi</w:t>
      </w:r>
      <w:r w:rsidR="00E9756B">
        <w:rPr>
          <w:lang w:val="en-GB"/>
        </w:rPr>
        <w:t>sation</w:t>
      </w:r>
      <w:r w:rsidRPr="00CD2EEF">
        <w:rPr>
          <w:lang w:val="en-GB"/>
        </w:rPr>
        <w:t>s</w:t>
      </w:r>
      <w:r w:rsidR="00785FB7">
        <w:rPr>
          <w:lang w:val="en-GB"/>
        </w:rPr>
        <w:t xml:space="preserve"> that</w:t>
      </w:r>
      <w:r w:rsidRPr="00CD2EEF">
        <w:rPr>
          <w:lang w:val="en-GB"/>
        </w:rPr>
        <w:t xml:space="preserve"> produce or use geothermal energy (</w:t>
      </w:r>
      <w:r w:rsidR="00785FB7">
        <w:rPr>
          <w:lang w:val="en-GB"/>
        </w:rPr>
        <w:t xml:space="preserve">the </w:t>
      </w:r>
      <w:r w:rsidRPr="00CD2EEF">
        <w:rPr>
          <w:lang w:val="en-GB"/>
        </w:rPr>
        <w:t>kindergarten Mavrica, Brežice</w:t>
      </w:r>
      <w:r w:rsidR="00785FB7">
        <w:rPr>
          <w:lang w:val="en-GB"/>
        </w:rPr>
        <w:t>,</w:t>
      </w:r>
      <w:r w:rsidRPr="00CD2EEF">
        <w:rPr>
          <w:lang w:val="en-GB"/>
        </w:rPr>
        <w:t xml:space="preserve"> and Ocean Orchids d. o. o., Dobrovnik). Radioactivity was estimated from </w:t>
      </w:r>
      <w:r w:rsidR="00785FB7">
        <w:rPr>
          <w:lang w:val="en-GB"/>
        </w:rPr>
        <w:t xml:space="preserve">the </w:t>
      </w:r>
      <w:r w:rsidRPr="00CD2EEF">
        <w:rPr>
          <w:lang w:val="en-GB"/>
        </w:rPr>
        <w:t>environmental dose equivalent H*(10))</w:t>
      </w:r>
      <w:r w:rsidR="00785FB7">
        <w:rPr>
          <w:lang w:val="en-GB"/>
        </w:rPr>
        <w:t>,</w:t>
      </w:r>
      <w:r w:rsidRPr="00CD2EEF">
        <w:rPr>
          <w:lang w:val="en-GB"/>
        </w:rPr>
        <w:t xml:space="preserve"> with calibrated hand-held meters, with spectrometric analyses of input raw materials and finished products</w:t>
      </w:r>
      <w:r w:rsidR="00785FB7">
        <w:rPr>
          <w:lang w:val="en-GB"/>
        </w:rPr>
        <w:t>,</w:t>
      </w:r>
      <w:r w:rsidRPr="00CD2EEF">
        <w:rPr>
          <w:lang w:val="en-GB"/>
        </w:rPr>
        <w:t xml:space="preserve"> and with measurements of radon concentrations in the buildings.</w:t>
      </w:r>
    </w:p>
    <w:p w14:paraId="53D44A60" w14:textId="58907E46" w:rsidR="005248D4" w:rsidRPr="00CD2EEF" w:rsidRDefault="005248D4" w:rsidP="008F5FA1">
      <w:pPr>
        <w:pStyle w:val="LPnavaden"/>
        <w:rPr>
          <w:lang w:val="en-GB"/>
        </w:rPr>
      </w:pPr>
      <w:r w:rsidRPr="00CD2EEF">
        <w:rPr>
          <w:lang w:val="en-GB"/>
        </w:rPr>
        <w:t xml:space="preserve">In Slovenia, radiation exposure from the natural background </w:t>
      </w:r>
      <w:r w:rsidR="00D239C0">
        <w:rPr>
          <w:lang w:val="en-GB"/>
        </w:rPr>
        <w:t xml:space="preserve">is </w:t>
      </w:r>
      <w:r w:rsidRPr="00CD2EEF">
        <w:rPr>
          <w:lang w:val="en-GB"/>
        </w:rPr>
        <w:t>estimated at 2.5</w:t>
      </w:r>
      <w:r w:rsidR="008536B8">
        <w:rPr>
          <w:lang w:val="en-GB"/>
        </w:rPr>
        <w:t>–</w:t>
      </w:r>
      <w:r w:rsidRPr="00CD2EEF">
        <w:rPr>
          <w:lang w:val="en-GB"/>
        </w:rPr>
        <w:t>2.8 mSv/year</w:t>
      </w:r>
      <w:r w:rsidR="00D239C0">
        <w:rPr>
          <w:lang w:val="en-GB"/>
        </w:rPr>
        <w:t>;</w:t>
      </w:r>
      <w:r w:rsidRPr="00CD2EEF">
        <w:rPr>
          <w:lang w:val="en-GB"/>
        </w:rPr>
        <w:t xml:space="preserve"> consequently, the additional exposure of workers in this case is negligible. In the kindergarten</w:t>
      </w:r>
      <w:r w:rsidR="00D239C0">
        <w:rPr>
          <w:lang w:val="en-GB"/>
        </w:rPr>
        <w:t xml:space="preserve"> of</w:t>
      </w:r>
      <w:r w:rsidRPr="00CD2EEF">
        <w:rPr>
          <w:lang w:val="en-GB"/>
        </w:rPr>
        <w:t xml:space="preserve"> Brežica and </w:t>
      </w:r>
      <w:r w:rsidR="00D239C0">
        <w:rPr>
          <w:lang w:val="en-GB"/>
        </w:rPr>
        <w:t xml:space="preserve">the </w:t>
      </w:r>
      <w:r w:rsidRPr="00CD2EEF">
        <w:rPr>
          <w:lang w:val="en-GB"/>
        </w:rPr>
        <w:t xml:space="preserve">company Ocean Orchids d.o.o., there were no direct sources of radiation in the area. Geothermal energy could lead to </w:t>
      </w:r>
      <w:r w:rsidR="00D239C0">
        <w:rPr>
          <w:lang w:val="en-GB"/>
        </w:rPr>
        <w:t xml:space="preserve">the </w:t>
      </w:r>
      <w:r w:rsidRPr="00CD2EEF">
        <w:rPr>
          <w:lang w:val="en-GB"/>
        </w:rPr>
        <w:t xml:space="preserve">accumulation of elevated levels of natural radionuclides on water filters or to increased radon concentrations </w:t>
      </w:r>
      <w:r w:rsidR="00547896">
        <w:rPr>
          <w:lang w:val="en-GB"/>
        </w:rPr>
        <w:t>on</w:t>
      </w:r>
      <w:r w:rsidR="00547896" w:rsidRPr="00CD2EEF">
        <w:rPr>
          <w:lang w:val="en-GB"/>
        </w:rPr>
        <w:t xml:space="preserve"> </w:t>
      </w:r>
      <w:r w:rsidR="00D239C0">
        <w:rPr>
          <w:lang w:val="en-GB"/>
        </w:rPr>
        <w:t>such</w:t>
      </w:r>
      <w:r w:rsidR="00D239C0" w:rsidRPr="00CD2EEF">
        <w:rPr>
          <w:lang w:val="en-GB"/>
        </w:rPr>
        <w:t xml:space="preserve"> </w:t>
      </w:r>
      <w:r w:rsidRPr="00CD2EEF">
        <w:rPr>
          <w:lang w:val="en-GB"/>
        </w:rPr>
        <w:t>premises. The measured and calculated activities were low, and employees would not receive</w:t>
      </w:r>
      <w:r w:rsidR="00547896">
        <w:rPr>
          <w:lang w:val="en-GB"/>
        </w:rPr>
        <w:t xml:space="preserve"> an</w:t>
      </w:r>
      <w:r w:rsidRPr="00CD2EEF">
        <w:rPr>
          <w:lang w:val="en-GB"/>
        </w:rPr>
        <w:t xml:space="preserve"> additional effective dose. In</w:t>
      </w:r>
      <w:r w:rsidR="008A1E6B">
        <w:rPr>
          <w:lang w:val="en-GB"/>
        </w:rPr>
        <w:t xml:space="preserve"> </w:t>
      </w:r>
      <w:r w:rsidRPr="00CD2EEF">
        <w:rPr>
          <w:lang w:val="en-GB"/>
        </w:rPr>
        <w:t>FRAGMAT TIM</w:t>
      </w:r>
      <w:r w:rsidR="00547896">
        <w:rPr>
          <w:lang w:val="en-GB"/>
        </w:rPr>
        <w:t>,</w:t>
      </w:r>
      <w:r w:rsidRPr="00CD2EEF">
        <w:rPr>
          <w:lang w:val="en-GB"/>
        </w:rPr>
        <w:t xml:space="preserve"> d. o. o.</w:t>
      </w:r>
      <w:r w:rsidR="00547896">
        <w:rPr>
          <w:lang w:val="en-GB"/>
        </w:rPr>
        <w:t>,</w:t>
      </w:r>
      <w:r w:rsidRPr="00CD2EEF">
        <w:rPr>
          <w:lang w:val="en-GB"/>
        </w:rPr>
        <w:t xml:space="preserve"> and ISOMAT</w:t>
      </w:r>
      <w:r w:rsidR="00547896">
        <w:rPr>
          <w:lang w:val="en-GB"/>
        </w:rPr>
        <w:t>,</w:t>
      </w:r>
      <w:r w:rsidRPr="00CD2EEF">
        <w:rPr>
          <w:lang w:val="en-GB"/>
        </w:rPr>
        <w:t xml:space="preserve"> d. o. o., there were no direct sources of radiation. </w:t>
      </w:r>
      <w:r w:rsidRPr="00CD2EEF">
        <w:rPr>
          <w:lang w:val="en-GB"/>
        </w:rPr>
        <w:lastRenderedPageBreak/>
        <w:t xml:space="preserve">Although a material that may have a high content of natural radionuclides is used, there was no exposure for the employees. The measured and calculated activities were low, and employees would not receive </w:t>
      </w:r>
      <w:r w:rsidR="00547896">
        <w:rPr>
          <w:lang w:val="en-GB"/>
        </w:rPr>
        <w:t xml:space="preserve">an </w:t>
      </w:r>
      <w:r w:rsidRPr="00CD2EEF">
        <w:rPr>
          <w:lang w:val="en-GB"/>
        </w:rPr>
        <w:t>additional effective dose.</w:t>
      </w:r>
    </w:p>
    <w:p w14:paraId="123618DF" w14:textId="67EAFE59" w:rsidR="005248D4" w:rsidRPr="00CD2EEF" w:rsidRDefault="005248D4" w:rsidP="0057789F">
      <w:pPr>
        <w:pStyle w:val="LPNaslov3"/>
        <w:rPr>
          <w:lang w:val="en-GB"/>
        </w:rPr>
      </w:pPr>
      <w:bookmarkStart w:id="272" w:name="ch343"/>
      <w:bookmarkStart w:id="273" w:name="_Toc126312010"/>
      <w:bookmarkEnd w:id="270"/>
      <w:r w:rsidRPr="00CD2EEF">
        <w:rPr>
          <w:lang w:val="en-GB"/>
        </w:rPr>
        <w:t xml:space="preserve">Programme of </w:t>
      </w:r>
      <w:r w:rsidR="002D5FFC">
        <w:rPr>
          <w:lang w:val="en-GB"/>
        </w:rPr>
        <w:t>S</w:t>
      </w:r>
      <w:r w:rsidRPr="00CD2EEF">
        <w:rPr>
          <w:lang w:val="en-GB"/>
        </w:rPr>
        <w:t xml:space="preserve">ystematic </w:t>
      </w:r>
      <w:r w:rsidR="002D5FFC">
        <w:rPr>
          <w:lang w:val="en-GB"/>
        </w:rPr>
        <w:t>S</w:t>
      </w:r>
      <w:r w:rsidRPr="00CD2EEF">
        <w:rPr>
          <w:lang w:val="en-GB"/>
        </w:rPr>
        <w:t xml:space="preserve">urveillance and </w:t>
      </w:r>
      <w:r w:rsidR="002D5FFC">
        <w:rPr>
          <w:lang w:val="en-GB"/>
        </w:rPr>
        <w:t>M</w:t>
      </w:r>
      <w:r w:rsidRPr="00CD2EEF">
        <w:rPr>
          <w:lang w:val="en-GB"/>
        </w:rPr>
        <w:t xml:space="preserve">easurements of </w:t>
      </w:r>
      <w:r w:rsidR="002D5FFC">
        <w:rPr>
          <w:lang w:val="en-GB"/>
        </w:rPr>
        <w:t>R</w:t>
      </w:r>
      <w:r w:rsidRPr="00CD2EEF">
        <w:rPr>
          <w:lang w:val="en-GB"/>
        </w:rPr>
        <w:t xml:space="preserve">adon in </w:t>
      </w:r>
      <w:r w:rsidR="002D5FFC">
        <w:rPr>
          <w:lang w:val="en-GB"/>
        </w:rPr>
        <w:t>W</w:t>
      </w:r>
      <w:r w:rsidRPr="00CD2EEF">
        <w:rPr>
          <w:lang w:val="en-GB"/>
        </w:rPr>
        <w:t xml:space="preserve">orking and </w:t>
      </w:r>
      <w:r w:rsidR="002D5FFC">
        <w:rPr>
          <w:lang w:val="en-GB"/>
        </w:rPr>
        <w:t>L</w:t>
      </w:r>
      <w:r w:rsidRPr="00CD2EEF">
        <w:rPr>
          <w:lang w:val="en-GB"/>
        </w:rPr>
        <w:t xml:space="preserve">iving </w:t>
      </w:r>
      <w:r w:rsidR="002D5FFC">
        <w:rPr>
          <w:lang w:val="en-GB"/>
        </w:rPr>
        <w:t>E</w:t>
      </w:r>
      <w:r w:rsidRPr="00CD2EEF">
        <w:rPr>
          <w:lang w:val="en-GB"/>
        </w:rPr>
        <w:t>nvironments</w:t>
      </w:r>
      <w:bookmarkEnd w:id="273"/>
    </w:p>
    <w:bookmarkEnd w:id="272"/>
    <w:p w14:paraId="4064EE3D" w14:textId="3A491B3F" w:rsidR="005248D4" w:rsidRPr="00CD2EEF" w:rsidRDefault="005248D4" w:rsidP="00780311">
      <w:pPr>
        <w:pStyle w:val="LPnavaden"/>
        <w:rPr>
          <w:lang w:val="en-GB"/>
        </w:rPr>
      </w:pPr>
      <w:r w:rsidRPr="00CD2EEF">
        <w:rPr>
          <w:lang w:val="en-GB"/>
        </w:rPr>
        <w:t>Radon is a natural radioactive gas. In most cases it is the dominant source of natural radiation in living and working environments. On average, it contributes more than half of the effective dose due to natural ionising sources. It penetrates buildings mainly from the soil through various openings, e.g. shafts, drains, crevices, and cracks. Radon induces approximately 10% of all lung cancers. This is the reason EU Directive EURATOM 2013/59 defines stricter rules for radon programmes, which are expected to reduce this share.</w:t>
      </w:r>
    </w:p>
    <w:p w14:paraId="7B148215" w14:textId="1B4B407A" w:rsidR="005248D4" w:rsidRPr="00CD2EEF" w:rsidRDefault="005248D4" w:rsidP="00780311">
      <w:pPr>
        <w:pStyle w:val="LPnavaden"/>
        <w:rPr>
          <w:lang w:val="en-GB"/>
        </w:rPr>
      </w:pPr>
      <w:r w:rsidRPr="00CD2EEF">
        <w:rPr>
          <w:lang w:val="en-GB"/>
        </w:rPr>
        <w:t xml:space="preserve">In line with EU Directive EURATOM 2013/59, the </w:t>
      </w:r>
      <w:r w:rsidRPr="00CD2EEF">
        <w:rPr>
          <w:rStyle w:val="LPnavadenposevnoZnak"/>
          <w:lang w:val="en-GB"/>
        </w:rPr>
        <w:t xml:space="preserve">Decree on the national radon programme </w:t>
      </w:r>
      <w:r w:rsidRPr="00CD2EEF">
        <w:rPr>
          <w:lang w:val="en-GB"/>
        </w:rPr>
        <w:t>(Official Gazette of the Republic of Slovenia, Nos. 18/18</w:t>
      </w:r>
      <w:r w:rsidR="006604E8">
        <w:rPr>
          <w:lang w:val="en-GB"/>
        </w:rPr>
        <w:t>,</w:t>
      </w:r>
      <w:r w:rsidRPr="00CD2EEF">
        <w:rPr>
          <w:lang w:val="en-GB"/>
        </w:rPr>
        <w:t xml:space="preserve"> 86/18</w:t>
      </w:r>
      <w:r w:rsidR="00EC2D45">
        <w:rPr>
          <w:lang w:val="en-GB"/>
        </w:rPr>
        <w:t>,</w:t>
      </w:r>
      <w:r w:rsidRPr="00CD2EEF">
        <w:rPr>
          <w:lang w:val="en-GB"/>
        </w:rPr>
        <w:t xml:space="preserve"> and 152/20) was adopted in 2018. Together with the ZVISJV-1, the Decree establishes the legislative framework for the systematic examination and measurement of radon. In comparison to previous years, more financial resources were dedicated to radon concentration measurements. The programme for taking measurements in schools and kindergartens was expanded and measurements in dwellings continued. The legislation sets a new type of approval for companies performing radon measurements. In order to obtain approval, accreditation is required in addition to permanently employed specialists in radon. In 2021, the SRPA issued an authorisation </w:t>
      </w:r>
      <w:r w:rsidRPr="00E054D5">
        <w:rPr>
          <w:lang w:val="en-GB"/>
        </w:rPr>
        <w:t xml:space="preserve">to </w:t>
      </w:r>
      <w:r w:rsidR="000132C6" w:rsidRPr="00E054D5">
        <w:rPr>
          <w:lang w:val="en-GB"/>
        </w:rPr>
        <w:t>the JSI</w:t>
      </w:r>
      <w:r w:rsidR="00F222BD" w:rsidRPr="00E054D5">
        <w:rPr>
          <w:lang w:val="en-GB"/>
        </w:rPr>
        <w:t>.</w:t>
      </w:r>
    </w:p>
    <w:p w14:paraId="5CCF5D5B" w14:textId="57BDE67A" w:rsidR="005248D4" w:rsidRPr="00CD2EEF" w:rsidRDefault="005248D4" w:rsidP="00780311">
      <w:pPr>
        <w:pStyle w:val="LPnavaden"/>
        <w:rPr>
          <w:lang w:val="en-GB"/>
        </w:rPr>
      </w:pPr>
      <w:r w:rsidRPr="00CD2EEF">
        <w:rPr>
          <w:lang w:val="en-GB"/>
        </w:rPr>
        <w:t>From January to November 2021, the IOS carried out measurements in various buildings for education, cultural, and healthcare activities. Different methods were used: 325 basic radon measurements using nuclear track detectors for determining average radon concentrations, 43 additional continuous measurements for weekly monitoring of the timing of radon progeny and radon, and 17 measurements of potential radon sources originating from soil, shafts, or openings into rooms. A total of 255 rooms were measured in 101 buildings. The average radon concentrations exceeded the reference level of 300 Bq/m</w:t>
      </w:r>
      <w:r w:rsidRPr="00CD2EEF">
        <w:rPr>
          <w:rStyle w:val="LPnadpisano"/>
          <w:rFonts w:eastAsiaTheme="majorEastAsia"/>
          <w:lang w:val="en-GB"/>
        </w:rPr>
        <w:t>3</w:t>
      </w:r>
      <w:r w:rsidRPr="00CD2EEF">
        <w:rPr>
          <w:lang w:val="en-GB"/>
        </w:rPr>
        <w:t xml:space="preserve"> in 61 buildings (60</w:t>
      </w:r>
      <w:r w:rsidR="00E30262">
        <w:rPr>
          <w:lang w:val="en-GB"/>
        </w:rPr>
        <w:t>%</w:t>
      </w:r>
      <w:r w:rsidRPr="00CD2EEF">
        <w:rPr>
          <w:lang w:val="en-GB"/>
        </w:rPr>
        <w:t>) and in 124 rooms (49</w:t>
      </w:r>
      <w:r w:rsidR="00E30262">
        <w:rPr>
          <w:lang w:val="en-GB"/>
        </w:rPr>
        <w:t>%</w:t>
      </w:r>
      <w:r w:rsidRPr="00CD2EEF">
        <w:rPr>
          <w:lang w:val="en-GB"/>
        </w:rPr>
        <w:t xml:space="preserve">). The value of 900 </w:t>
      </w:r>
      <w:bookmarkStart w:id="274" w:name="_Hlk42590143"/>
      <w:r w:rsidRPr="00CD2EEF">
        <w:rPr>
          <w:lang w:val="en-GB"/>
        </w:rPr>
        <w:t>Bq/m</w:t>
      </w:r>
      <w:r w:rsidRPr="00CD2EEF">
        <w:rPr>
          <w:rStyle w:val="LPnadpisano"/>
          <w:rFonts w:eastAsiaTheme="majorEastAsia"/>
          <w:lang w:val="en-GB"/>
        </w:rPr>
        <w:t>3</w:t>
      </w:r>
      <w:r w:rsidRPr="00CD2EEF">
        <w:rPr>
          <w:lang w:val="en-GB"/>
        </w:rPr>
        <w:t xml:space="preserve"> </w:t>
      </w:r>
      <w:bookmarkEnd w:id="274"/>
      <w:r w:rsidRPr="00CD2EEF">
        <w:rPr>
          <w:lang w:val="en-GB"/>
        </w:rPr>
        <w:t>was exceeded in 38 rooms (15</w:t>
      </w:r>
      <w:r w:rsidR="00E30262">
        <w:rPr>
          <w:lang w:val="en-GB"/>
        </w:rPr>
        <w:t>%</w:t>
      </w:r>
      <w:r w:rsidRPr="00CD2EEF">
        <w:rPr>
          <w:lang w:val="en-GB"/>
        </w:rPr>
        <w:t xml:space="preserve">). The effective doses received for staff and children were estimated on the basis of the measurement results and the occupancy time in these buildings. Out of a total of 131 estimated annual doses, none exceeded the threshold of 6 mSv for members of the public. The highest estimated dose was around 4.5 mSv in the lecture room of </w:t>
      </w:r>
      <w:r w:rsidR="00EC2D45" w:rsidRPr="00CD2EEF">
        <w:rPr>
          <w:lang w:val="en-GB"/>
        </w:rPr>
        <w:t xml:space="preserve">Nazarje </w:t>
      </w:r>
      <w:r w:rsidRPr="00CD2EEF">
        <w:rPr>
          <w:lang w:val="en-GB"/>
        </w:rPr>
        <w:t xml:space="preserve">Primary </w:t>
      </w:r>
      <w:r w:rsidR="00EC2D45">
        <w:rPr>
          <w:lang w:val="en-GB"/>
        </w:rPr>
        <w:t>S</w:t>
      </w:r>
      <w:r w:rsidRPr="00CD2EEF">
        <w:rPr>
          <w:lang w:val="en-GB"/>
        </w:rPr>
        <w:t>chool due to an average radon concentration of 2,300 Bq/m</w:t>
      </w:r>
      <w:r w:rsidRPr="00CD2EEF">
        <w:rPr>
          <w:vertAlign w:val="superscript"/>
          <w:lang w:val="en-GB"/>
        </w:rPr>
        <w:t>3</w:t>
      </w:r>
      <w:r w:rsidRPr="00CD2EEF">
        <w:rPr>
          <w:lang w:val="en-GB"/>
        </w:rPr>
        <w:t xml:space="preserve">. In 15 cases, the estimated annual doses were between 2 and 6 mSv, in 57 cases between 1 and 1.99 mSv, and in 59 cases less than 1 mSv. In </w:t>
      </w:r>
      <w:r w:rsidR="005828AF">
        <w:rPr>
          <w:lang w:val="en-GB"/>
        </w:rPr>
        <w:t xml:space="preserve">the </w:t>
      </w:r>
      <w:r w:rsidRPr="00CD2EEF">
        <w:rPr>
          <w:lang w:val="en-GB"/>
        </w:rPr>
        <w:t xml:space="preserve">majority of buildings with high radon concentrations measurements and protection measures are being continued. </w:t>
      </w:r>
    </w:p>
    <w:p w14:paraId="1A3D6479" w14:textId="36F50962" w:rsidR="005248D4" w:rsidRPr="00CD2EEF" w:rsidRDefault="005248D4" w:rsidP="00780311">
      <w:pPr>
        <w:pStyle w:val="LPnavaden"/>
        <w:rPr>
          <w:lang w:val="en-GB"/>
        </w:rPr>
      </w:pPr>
      <w:r w:rsidRPr="00CD2EEF">
        <w:rPr>
          <w:lang w:val="en-GB"/>
        </w:rPr>
        <w:t xml:space="preserve">In 2021, the SRPA conducted 9 in-depth inspections </w:t>
      </w:r>
      <w:r w:rsidR="00704576">
        <w:rPr>
          <w:lang w:val="en-GB"/>
        </w:rPr>
        <w:t>of</w:t>
      </w:r>
      <w:r w:rsidR="00704576" w:rsidRPr="00CD2EEF">
        <w:rPr>
          <w:lang w:val="en-GB"/>
        </w:rPr>
        <w:t xml:space="preserve"> </w:t>
      </w:r>
      <w:r w:rsidRPr="00CD2EEF">
        <w:rPr>
          <w:lang w:val="en-GB"/>
        </w:rPr>
        <w:t xml:space="preserve">public facilities with increased radon concentrations (Bogomirja Magajne Divača </w:t>
      </w:r>
      <w:r w:rsidR="00704576" w:rsidRPr="00CD2EEF">
        <w:rPr>
          <w:lang w:val="en-GB"/>
        </w:rPr>
        <w:t>Primary School</w:t>
      </w:r>
      <w:r w:rsidR="00704576" w:rsidRPr="00CD2EEF" w:rsidDel="00725B60">
        <w:rPr>
          <w:lang w:val="en-GB"/>
        </w:rPr>
        <w:t xml:space="preserve"> </w:t>
      </w:r>
      <w:r w:rsidRPr="00CD2EEF">
        <w:rPr>
          <w:lang w:val="en-GB"/>
        </w:rPr>
        <w:t xml:space="preserve">with </w:t>
      </w:r>
      <w:r w:rsidR="00704576">
        <w:rPr>
          <w:lang w:val="en-GB"/>
        </w:rPr>
        <w:t xml:space="preserve">a </w:t>
      </w:r>
      <w:r w:rsidRPr="00CD2EEF">
        <w:rPr>
          <w:lang w:val="en-GB"/>
        </w:rPr>
        <w:t>branch school in Senožeče, Medvode</w:t>
      </w:r>
      <w:r w:rsidR="00704576" w:rsidRPr="00704576">
        <w:rPr>
          <w:lang w:val="en-GB"/>
        </w:rPr>
        <w:t xml:space="preserve"> </w:t>
      </w:r>
      <w:r w:rsidR="00704576" w:rsidRPr="00CD2EEF">
        <w:rPr>
          <w:lang w:val="en-GB"/>
        </w:rPr>
        <w:t>Kindergarten</w:t>
      </w:r>
      <w:r w:rsidRPr="00CD2EEF">
        <w:rPr>
          <w:lang w:val="en-GB"/>
        </w:rPr>
        <w:t xml:space="preserve">, Sežana </w:t>
      </w:r>
      <w:r w:rsidR="00704576" w:rsidRPr="00CD2EEF">
        <w:rPr>
          <w:lang w:val="en-GB"/>
        </w:rPr>
        <w:t xml:space="preserve">Kindergarten </w:t>
      </w:r>
      <w:r w:rsidRPr="00CD2EEF">
        <w:rPr>
          <w:lang w:val="en-GB"/>
        </w:rPr>
        <w:t>with units</w:t>
      </w:r>
      <w:r w:rsidR="00704576">
        <w:rPr>
          <w:lang w:val="en-GB"/>
        </w:rPr>
        <w:t xml:space="preserve"> in</w:t>
      </w:r>
      <w:r w:rsidRPr="00CD2EEF">
        <w:rPr>
          <w:lang w:val="en-GB"/>
        </w:rPr>
        <w:t xml:space="preserve"> Komen, Senožeče</w:t>
      </w:r>
      <w:r w:rsidR="00704576">
        <w:rPr>
          <w:lang w:val="en-GB"/>
        </w:rPr>
        <w:t>,</w:t>
      </w:r>
      <w:r w:rsidRPr="00CD2EEF">
        <w:rPr>
          <w:lang w:val="en-GB"/>
        </w:rPr>
        <w:t xml:space="preserve"> and Lehte,</w:t>
      </w:r>
      <w:r w:rsidR="00704576">
        <w:rPr>
          <w:lang w:val="en-GB"/>
        </w:rPr>
        <w:t xml:space="preserve"> the</w:t>
      </w:r>
      <w:r w:rsidRPr="00CD2EEF">
        <w:rPr>
          <w:lang w:val="en-GB"/>
        </w:rPr>
        <w:t xml:space="preserve"> </w:t>
      </w:r>
      <w:r w:rsidR="00704576" w:rsidRPr="00CD2EEF">
        <w:rPr>
          <w:lang w:val="en-GB"/>
        </w:rPr>
        <w:t xml:space="preserve">Begunje </w:t>
      </w:r>
      <w:r w:rsidRPr="00CD2EEF">
        <w:rPr>
          <w:lang w:val="en-GB"/>
        </w:rPr>
        <w:t>branch school of Notranjski odred Cerknica</w:t>
      </w:r>
      <w:r w:rsidR="00704576" w:rsidRPr="00704576">
        <w:rPr>
          <w:lang w:val="en-GB"/>
        </w:rPr>
        <w:t xml:space="preserve"> </w:t>
      </w:r>
      <w:r w:rsidR="00704576" w:rsidRPr="00CD2EEF">
        <w:rPr>
          <w:lang w:val="en-GB"/>
        </w:rPr>
        <w:t xml:space="preserve">Primary </w:t>
      </w:r>
      <w:r w:rsidR="00704576">
        <w:rPr>
          <w:lang w:val="en-GB"/>
        </w:rPr>
        <w:t>S</w:t>
      </w:r>
      <w:r w:rsidR="00704576" w:rsidRPr="00CD2EEF">
        <w:rPr>
          <w:lang w:val="en-GB"/>
        </w:rPr>
        <w:t>chool</w:t>
      </w:r>
      <w:r w:rsidRPr="00CD2EEF">
        <w:rPr>
          <w:lang w:val="en-GB"/>
        </w:rPr>
        <w:t xml:space="preserve">, </w:t>
      </w:r>
      <w:r w:rsidR="00704576">
        <w:rPr>
          <w:lang w:val="en-GB"/>
        </w:rPr>
        <w:t xml:space="preserve">the </w:t>
      </w:r>
      <w:r w:rsidR="00704576" w:rsidRPr="00CD2EEF">
        <w:rPr>
          <w:lang w:val="en-GB"/>
        </w:rPr>
        <w:t xml:space="preserve">Ljubljana </w:t>
      </w:r>
      <w:r w:rsidRPr="00CD2EEF">
        <w:rPr>
          <w:lang w:val="en-GB"/>
        </w:rPr>
        <w:t xml:space="preserve">Health </w:t>
      </w:r>
      <w:r w:rsidR="00704576">
        <w:rPr>
          <w:lang w:val="en-GB"/>
        </w:rPr>
        <w:t>C</w:t>
      </w:r>
      <w:r w:rsidRPr="00CD2EEF">
        <w:rPr>
          <w:lang w:val="en-GB"/>
        </w:rPr>
        <w:t>entre</w:t>
      </w:r>
      <w:r w:rsidR="00704576">
        <w:rPr>
          <w:lang w:val="en-GB"/>
        </w:rPr>
        <w:t xml:space="preserve"> </w:t>
      </w:r>
      <w:r w:rsidRPr="00CD2EEF">
        <w:rPr>
          <w:lang w:val="en-GB"/>
        </w:rPr>
        <w:t xml:space="preserve">– </w:t>
      </w:r>
      <w:r w:rsidR="00704576" w:rsidRPr="00CD2EEF">
        <w:rPr>
          <w:lang w:val="en-GB"/>
        </w:rPr>
        <w:t xml:space="preserve">Šiška </w:t>
      </w:r>
      <w:r w:rsidRPr="00CD2EEF">
        <w:rPr>
          <w:lang w:val="en-GB"/>
        </w:rPr>
        <w:t>unit, Nazarje</w:t>
      </w:r>
      <w:r w:rsidR="00704576" w:rsidRPr="00704576">
        <w:rPr>
          <w:lang w:val="en-GB"/>
        </w:rPr>
        <w:t xml:space="preserve"> </w:t>
      </w:r>
      <w:r w:rsidR="00704576" w:rsidRPr="00CD2EEF">
        <w:rPr>
          <w:lang w:val="en-GB"/>
        </w:rPr>
        <w:t xml:space="preserve">Primary </w:t>
      </w:r>
      <w:r w:rsidR="00704576">
        <w:rPr>
          <w:lang w:val="en-GB"/>
        </w:rPr>
        <w:t>S</w:t>
      </w:r>
      <w:r w:rsidR="00704576" w:rsidRPr="00CD2EEF">
        <w:rPr>
          <w:lang w:val="en-GB"/>
        </w:rPr>
        <w:t>chool</w:t>
      </w:r>
      <w:r w:rsidRPr="00CD2EEF">
        <w:rPr>
          <w:lang w:val="en-GB"/>
        </w:rPr>
        <w:t>, Braslovče</w:t>
      </w:r>
      <w:r w:rsidR="00704576" w:rsidRPr="00704576">
        <w:rPr>
          <w:lang w:val="en-GB"/>
        </w:rPr>
        <w:t xml:space="preserve"> </w:t>
      </w:r>
      <w:r w:rsidR="00704576" w:rsidRPr="00CD2EEF">
        <w:rPr>
          <w:lang w:val="en-GB"/>
        </w:rPr>
        <w:t xml:space="preserve">Primary </w:t>
      </w:r>
      <w:r w:rsidR="00704576">
        <w:rPr>
          <w:lang w:val="en-GB"/>
        </w:rPr>
        <w:t>S</w:t>
      </w:r>
      <w:r w:rsidR="00704576" w:rsidRPr="00CD2EEF">
        <w:rPr>
          <w:lang w:val="en-GB"/>
        </w:rPr>
        <w:t>chool</w:t>
      </w:r>
      <w:r w:rsidRPr="00CD2EEF">
        <w:rPr>
          <w:lang w:val="en-GB"/>
        </w:rPr>
        <w:t xml:space="preserve"> with branch schools in Letuš and Gomilsko, </w:t>
      </w:r>
      <w:r w:rsidR="00704576">
        <w:rPr>
          <w:lang w:val="en-GB"/>
        </w:rPr>
        <w:t xml:space="preserve">the </w:t>
      </w:r>
      <w:r w:rsidRPr="00CD2EEF">
        <w:rPr>
          <w:lang w:val="en-GB"/>
        </w:rPr>
        <w:t xml:space="preserve">Zara Ljubljana clothing store, and Žužemberk </w:t>
      </w:r>
      <w:r w:rsidR="00704576" w:rsidRPr="00CD2EEF">
        <w:rPr>
          <w:lang w:val="en-GB"/>
        </w:rPr>
        <w:t xml:space="preserve">Primary </w:t>
      </w:r>
      <w:r w:rsidR="00704576">
        <w:rPr>
          <w:lang w:val="en-GB"/>
        </w:rPr>
        <w:t>S</w:t>
      </w:r>
      <w:r w:rsidR="00704576" w:rsidRPr="00CD2EEF">
        <w:rPr>
          <w:lang w:val="en-GB"/>
        </w:rPr>
        <w:t xml:space="preserve">chool </w:t>
      </w:r>
      <w:r w:rsidRPr="00CD2EEF">
        <w:rPr>
          <w:lang w:val="en-GB"/>
        </w:rPr>
        <w:t xml:space="preserve">with branch schools </w:t>
      </w:r>
      <w:r w:rsidR="00704576">
        <w:rPr>
          <w:lang w:val="en-GB"/>
        </w:rPr>
        <w:t xml:space="preserve">in </w:t>
      </w:r>
      <w:r w:rsidRPr="00CD2EEF">
        <w:rPr>
          <w:lang w:val="en-GB"/>
        </w:rPr>
        <w:t>Šmihel, Dvor</w:t>
      </w:r>
      <w:r w:rsidR="00704576">
        <w:rPr>
          <w:lang w:val="en-GB"/>
        </w:rPr>
        <w:t>,</w:t>
      </w:r>
      <w:r w:rsidRPr="00CD2EEF">
        <w:rPr>
          <w:lang w:val="en-GB"/>
        </w:rPr>
        <w:t xml:space="preserve"> and Ajdovec). The highest radon concentration – </w:t>
      </w:r>
      <w:r w:rsidR="002E670A">
        <w:rPr>
          <w:lang w:val="en-GB"/>
        </w:rPr>
        <w:t>approximately</w:t>
      </w:r>
      <w:r w:rsidR="002E670A" w:rsidRPr="00CD2EEF">
        <w:rPr>
          <w:lang w:val="en-GB"/>
        </w:rPr>
        <w:t xml:space="preserve"> </w:t>
      </w:r>
      <w:r w:rsidRPr="00CD2EEF">
        <w:rPr>
          <w:lang w:val="en-GB"/>
        </w:rPr>
        <w:t>4,100 Bq/m</w:t>
      </w:r>
      <w:r w:rsidRPr="00CD2EEF">
        <w:rPr>
          <w:rStyle w:val="LPnadpisano"/>
          <w:rFonts w:eastAsiaTheme="majorEastAsia"/>
          <w:lang w:val="en-GB"/>
        </w:rPr>
        <w:t>3</w:t>
      </w:r>
      <w:r w:rsidRPr="00CD2EEF">
        <w:rPr>
          <w:lang w:val="en-GB"/>
        </w:rPr>
        <w:t xml:space="preserve"> – was measured in the summer at the drinking water pumping station Dol near Stari trg on the Kolpa </w:t>
      </w:r>
      <w:r w:rsidR="002E670A">
        <w:rPr>
          <w:lang w:val="en-GB"/>
        </w:rPr>
        <w:t>R</w:t>
      </w:r>
      <w:r w:rsidRPr="00CD2EEF">
        <w:rPr>
          <w:lang w:val="en-GB"/>
        </w:rPr>
        <w:t>iver. Eight warnings with requests to reduce radon concentrations (</w:t>
      </w:r>
      <w:r w:rsidRPr="00CD2EEF">
        <w:rPr>
          <w:rStyle w:val="tlid-translation"/>
          <w:lang w:val="en-GB"/>
        </w:rPr>
        <w:t xml:space="preserve">ventilation, time limitation, remediation, </w:t>
      </w:r>
      <w:r w:rsidR="004C783B">
        <w:rPr>
          <w:rStyle w:val="tlid-translation"/>
          <w:lang w:val="en-GB"/>
        </w:rPr>
        <w:t xml:space="preserve">and </w:t>
      </w:r>
      <w:r w:rsidRPr="00CD2EEF">
        <w:rPr>
          <w:rStyle w:val="tlid-translation"/>
          <w:lang w:val="en-GB"/>
        </w:rPr>
        <w:t>additional and control measurements) were issued</w:t>
      </w:r>
      <w:r w:rsidRPr="00CD2EEF">
        <w:rPr>
          <w:lang w:val="en-GB"/>
        </w:rPr>
        <w:t>. Furthermore, 3 inspection orders were issued to Notransjki odred Cerknica</w:t>
      </w:r>
      <w:r w:rsidR="002E670A" w:rsidRPr="002E670A">
        <w:rPr>
          <w:lang w:val="en-GB"/>
        </w:rPr>
        <w:t xml:space="preserve"> </w:t>
      </w:r>
      <w:r w:rsidR="002E670A" w:rsidRPr="00CD2EEF">
        <w:rPr>
          <w:lang w:val="en-GB"/>
        </w:rPr>
        <w:t xml:space="preserve">Primary </w:t>
      </w:r>
      <w:r w:rsidR="002E670A">
        <w:rPr>
          <w:lang w:val="en-GB"/>
        </w:rPr>
        <w:t>S</w:t>
      </w:r>
      <w:r w:rsidR="002E670A" w:rsidRPr="00CD2EEF">
        <w:rPr>
          <w:lang w:val="en-GB"/>
        </w:rPr>
        <w:t>chool</w:t>
      </w:r>
      <w:r w:rsidRPr="00CD2EEF">
        <w:rPr>
          <w:lang w:val="en-GB"/>
        </w:rPr>
        <w:t xml:space="preserve">, </w:t>
      </w:r>
      <w:r w:rsidR="002E670A">
        <w:rPr>
          <w:lang w:val="en-GB"/>
        </w:rPr>
        <w:t xml:space="preserve">the </w:t>
      </w:r>
      <w:r w:rsidR="002E670A" w:rsidRPr="00CD2EEF">
        <w:rPr>
          <w:lang w:val="en-GB"/>
        </w:rPr>
        <w:t xml:space="preserve">Ljubljana </w:t>
      </w:r>
      <w:r w:rsidRPr="00CD2EEF">
        <w:rPr>
          <w:lang w:val="en-GB"/>
        </w:rPr>
        <w:t xml:space="preserve">Health </w:t>
      </w:r>
      <w:r w:rsidR="002E670A">
        <w:rPr>
          <w:lang w:val="en-GB"/>
        </w:rPr>
        <w:t>C</w:t>
      </w:r>
      <w:r w:rsidRPr="00CD2EEF">
        <w:rPr>
          <w:lang w:val="en-GB"/>
        </w:rPr>
        <w:t>entre</w:t>
      </w:r>
      <w:r w:rsidR="002E670A">
        <w:rPr>
          <w:lang w:val="en-GB"/>
        </w:rPr>
        <w:t>,</w:t>
      </w:r>
      <w:r w:rsidRPr="00CD2EEF">
        <w:rPr>
          <w:lang w:val="en-GB"/>
        </w:rPr>
        <w:t xml:space="preserve"> and Nazarje</w:t>
      </w:r>
      <w:r w:rsidR="002E670A" w:rsidRPr="002E670A">
        <w:rPr>
          <w:lang w:val="en-GB"/>
        </w:rPr>
        <w:t xml:space="preserve"> </w:t>
      </w:r>
      <w:r w:rsidR="002E670A" w:rsidRPr="00CD2EEF">
        <w:rPr>
          <w:lang w:val="en-GB"/>
        </w:rPr>
        <w:t xml:space="preserve">Primary </w:t>
      </w:r>
      <w:r w:rsidR="002E670A">
        <w:rPr>
          <w:lang w:val="en-GB"/>
        </w:rPr>
        <w:t>S</w:t>
      </w:r>
      <w:r w:rsidR="002E670A" w:rsidRPr="00CD2EEF">
        <w:rPr>
          <w:lang w:val="en-GB"/>
        </w:rPr>
        <w:t>chool</w:t>
      </w:r>
      <w:r w:rsidRPr="00CD2EEF">
        <w:rPr>
          <w:lang w:val="en-GB"/>
        </w:rPr>
        <w:t>. Additional and control measurements are continuing in most buildings.</w:t>
      </w:r>
    </w:p>
    <w:p w14:paraId="40442576" w14:textId="533C8BBC" w:rsidR="005248D4" w:rsidRPr="00CD2EEF" w:rsidRDefault="005248D4" w:rsidP="00780311">
      <w:pPr>
        <w:pStyle w:val="LPnavaden"/>
        <w:rPr>
          <w:lang w:val="en-GB"/>
        </w:rPr>
      </w:pPr>
      <w:r w:rsidRPr="00CD2EEF">
        <w:rPr>
          <w:lang w:val="en-GB"/>
        </w:rPr>
        <w:lastRenderedPageBreak/>
        <w:t>In 2021, 61 letters with information on measurement results and recommendations regarding appropriate measures (if needed) were sent to institutions where the IOS performed measurements according to the national programme for the systematic examination and measurement of radon.</w:t>
      </w:r>
    </w:p>
    <w:p w14:paraId="115DFFDA" w14:textId="750959F6" w:rsidR="005248D4" w:rsidRPr="00CD2EEF" w:rsidRDefault="005248D4" w:rsidP="00780311">
      <w:pPr>
        <w:pStyle w:val="LPnavaden"/>
        <w:rPr>
          <w:lang w:val="en-GB"/>
        </w:rPr>
      </w:pPr>
      <w:r w:rsidRPr="00CD2EEF">
        <w:rPr>
          <w:lang w:val="en-GB"/>
        </w:rPr>
        <w:t xml:space="preserve">The SRPA has financed the programme for the systematic examination and measurement of radon in dwellings in areas with </w:t>
      </w:r>
      <w:r w:rsidR="002C0511">
        <w:rPr>
          <w:lang w:val="en-GB"/>
        </w:rPr>
        <w:t xml:space="preserve">a </w:t>
      </w:r>
      <w:r w:rsidRPr="00CD2EEF">
        <w:rPr>
          <w:lang w:val="en-GB"/>
        </w:rPr>
        <w:t>higher radon concentration. In the scope of the programme, Radonova Laboratories AB performed 480 basic measurements using nuclear track detectors for assessing average monthly or bimonthly radon concentrations in 58 municipalities (Ankaran, Bloke, Bohinj, Borovnica, Brda, Brezovica, Celje, Cerknica, Črnomelj, Divača, Dobrepolje, Dolenjske Toplice, Gorenja vas</w:t>
      </w:r>
      <w:r w:rsidR="008342C3">
        <w:rPr>
          <w:lang w:val="en-GB"/>
        </w:rPr>
        <w:t xml:space="preserve"> – </w:t>
      </w:r>
      <w:r w:rsidRPr="00CD2EEF">
        <w:rPr>
          <w:lang w:val="en-GB"/>
        </w:rPr>
        <w:t>Poljane, Grosuplje, Hrpelje</w:t>
      </w:r>
      <w:r w:rsidR="008342C3">
        <w:rPr>
          <w:lang w:val="en-GB"/>
        </w:rPr>
        <w:t xml:space="preserve"> – </w:t>
      </w:r>
      <w:r w:rsidRPr="00CD2EEF">
        <w:rPr>
          <w:lang w:val="en-GB"/>
        </w:rPr>
        <w:t>Kozina, Idrija, Ig, Ilirska Bistrica, Ivančna Gorica, Jesenice, Kočevje, Komen, Kostanjevica na Krki, Ljubljana, Logatec, Log</w:t>
      </w:r>
      <w:r w:rsidR="008342C3">
        <w:rPr>
          <w:lang w:val="en-GB"/>
        </w:rPr>
        <w:t xml:space="preserve"> – </w:t>
      </w:r>
      <w:r w:rsidRPr="00CD2EEF">
        <w:rPr>
          <w:lang w:val="en-GB"/>
        </w:rPr>
        <w:t>Dragomer, Loška dolina, Loški Potok, Metlika, Mežica, Miren</w:t>
      </w:r>
      <w:r w:rsidR="008342C3">
        <w:rPr>
          <w:lang w:val="en-GB"/>
        </w:rPr>
        <w:t xml:space="preserve"> – </w:t>
      </w:r>
      <w:r w:rsidRPr="00CD2EEF">
        <w:rPr>
          <w:lang w:val="en-GB"/>
        </w:rPr>
        <w:t>Kostanjevica, Mirna Peč, Mokronog</w:t>
      </w:r>
      <w:r w:rsidR="008342C3">
        <w:rPr>
          <w:lang w:val="en-GB"/>
        </w:rPr>
        <w:t xml:space="preserve"> – </w:t>
      </w:r>
      <w:r w:rsidRPr="00CD2EEF">
        <w:rPr>
          <w:lang w:val="en-GB"/>
        </w:rPr>
        <w:t xml:space="preserve">Trebelno, Mozirje, Nova Gorica, Novo mesto, Osilnica, Pivka, Postojna, Radovljica, Ravne na Koroškem, Ribnica, Semič, Sežana, Slovenj Gradec, Sodražica, Straža, Šentjernej, Škofja Loka, Škofljica, Šoštanj, Tržič, Velike Lašče, </w:t>
      </w:r>
      <w:r w:rsidRPr="00E054D5">
        <w:rPr>
          <w:lang w:val="en-GB"/>
        </w:rPr>
        <w:t>Vrhnika, Vuzenica</w:t>
      </w:r>
      <w:r w:rsidR="002C0511" w:rsidRPr="00E054D5">
        <w:rPr>
          <w:lang w:val="en-GB"/>
        </w:rPr>
        <w:t>, and</w:t>
      </w:r>
      <w:r w:rsidRPr="00E054D5">
        <w:rPr>
          <w:lang w:val="en-GB"/>
        </w:rPr>
        <w:t xml:space="preserve"> Žužemberk). The</w:t>
      </w:r>
      <w:r w:rsidRPr="00CD2EEF">
        <w:rPr>
          <w:lang w:val="en-GB"/>
        </w:rPr>
        <w:t xml:space="preserve"> measurements were mostly performed in buildings at the ground floor level (in rooms such as living rooms or bedrooms). The measurements were performed mainly in the areas with higher radon concentrations defined by the Decree on the national radon programme and also in areas where additional measurements should be carried out. The average radon concentration exceeded the reference value of 300 Bq/m</w:t>
      </w:r>
      <w:r w:rsidRPr="00CD2EEF">
        <w:rPr>
          <w:vertAlign w:val="superscript"/>
          <w:lang w:val="en-GB"/>
        </w:rPr>
        <w:t>3</w:t>
      </w:r>
      <w:r w:rsidRPr="00CD2EEF">
        <w:rPr>
          <w:lang w:val="en-GB"/>
        </w:rPr>
        <w:t xml:space="preserve"> in 195 cases (41%). </w:t>
      </w:r>
      <w:r w:rsidR="00EF3E90">
        <w:rPr>
          <w:lang w:val="en-GB"/>
        </w:rPr>
        <w:t>O</w:t>
      </w:r>
      <w:r w:rsidRPr="00CD2EEF">
        <w:rPr>
          <w:lang w:val="en-GB"/>
        </w:rPr>
        <w:t>f these</w:t>
      </w:r>
      <w:r w:rsidR="00EF3E90">
        <w:rPr>
          <w:lang w:val="en-GB"/>
        </w:rPr>
        <w:t>, a</w:t>
      </w:r>
      <w:r w:rsidRPr="00CD2EEF">
        <w:rPr>
          <w:lang w:val="en-GB"/>
        </w:rPr>
        <w:t xml:space="preserve"> value of 900 Bq/m</w:t>
      </w:r>
      <w:r w:rsidRPr="00CD2EEF">
        <w:rPr>
          <w:vertAlign w:val="superscript"/>
          <w:lang w:val="en-GB"/>
        </w:rPr>
        <w:t>3</w:t>
      </w:r>
      <w:r w:rsidRPr="00CD2EEF">
        <w:rPr>
          <w:lang w:val="en-GB"/>
        </w:rPr>
        <w:t xml:space="preserve"> was exceeded in 83 cases (17%) and</w:t>
      </w:r>
      <w:r w:rsidR="008A1E6B">
        <w:rPr>
          <w:lang w:val="en-GB"/>
        </w:rPr>
        <w:t xml:space="preserve"> </w:t>
      </w:r>
      <w:r w:rsidR="00EF3E90">
        <w:rPr>
          <w:lang w:val="en-GB"/>
        </w:rPr>
        <w:t xml:space="preserve">a </w:t>
      </w:r>
      <w:r w:rsidRPr="00CD2EEF">
        <w:rPr>
          <w:lang w:val="en-GB"/>
        </w:rPr>
        <w:t>value of 2,000 Bq/m</w:t>
      </w:r>
      <w:r w:rsidRPr="00CD2EEF">
        <w:rPr>
          <w:vertAlign w:val="superscript"/>
          <w:lang w:val="en-GB"/>
        </w:rPr>
        <w:t>3</w:t>
      </w:r>
      <w:r w:rsidRPr="00CD2EEF">
        <w:rPr>
          <w:lang w:val="en-GB"/>
        </w:rPr>
        <w:t xml:space="preserve"> in 25 cases (5%). The highest radon concentration</w:t>
      </w:r>
      <w:r w:rsidR="00EF3E90">
        <w:rPr>
          <w:lang w:val="en-GB"/>
        </w:rPr>
        <w:t>, i.</w:t>
      </w:r>
      <w:r w:rsidR="00EF3E90" w:rsidRPr="00E054D5">
        <w:rPr>
          <w:lang w:val="en-GB"/>
        </w:rPr>
        <w:t>e.</w:t>
      </w:r>
      <w:r w:rsidRPr="00E054D5">
        <w:rPr>
          <w:lang w:val="en-GB"/>
        </w:rPr>
        <w:t xml:space="preserve"> 10</w:t>
      </w:r>
      <w:r w:rsidR="00EF3E90" w:rsidRPr="00E054D5">
        <w:rPr>
          <w:lang w:val="en-GB"/>
        </w:rPr>
        <w:t>,</w:t>
      </w:r>
      <w:r w:rsidRPr="00E054D5">
        <w:rPr>
          <w:lang w:val="en-GB"/>
        </w:rPr>
        <w:t>470 Bq/m</w:t>
      </w:r>
      <w:r w:rsidRPr="00E054D5">
        <w:rPr>
          <w:vertAlign w:val="superscript"/>
          <w:lang w:val="en-GB"/>
        </w:rPr>
        <w:t>3</w:t>
      </w:r>
      <w:r w:rsidR="00EF3E90" w:rsidRPr="00E054D5">
        <w:rPr>
          <w:lang w:val="en-GB"/>
        </w:rPr>
        <w:t xml:space="preserve">, </w:t>
      </w:r>
      <w:r w:rsidRPr="00E054D5">
        <w:rPr>
          <w:lang w:val="en-GB"/>
        </w:rPr>
        <w:t>and the second highest</w:t>
      </w:r>
      <w:r w:rsidR="00EF3E90" w:rsidRPr="00E054D5">
        <w:rPr>
          <w:lang w:val="en-GB"/>
        </w:rPr>
        <w:t>,</w:t>
      </w:r>
      <w:r w:rsidRPr="00E054D5">
        <w:rPr>
          <w:lang w:val="en-GB"/>
        </w:rPr>
        <w:t xml:space="preserve"> 6</w:t>
      </w:r>
      <w:r w:rsidR="00EF3E90" w:rsidRPr="00E054D5">
        <w:rPr>
          <w:lang w:val="en-GB"/>
        </w:rPr>
        <w:t>,</w:t>
      </w:r>
      <w:r w:rsidRPr="00E054D5">
        <w:rPr>
          <w:lang w:val="en-GB"/>
        </w:rPr>
        <w:t>430 Bq/m</w:t>
      </w:r>
      <w:r w:rsidRPr="00E054D5">
        <w:rPr>
          <w:vertAlign w:val="superscript"/>
          <w:lang w:val="en-GB"/>
        </w:rPr>
        <w:t>3</w:t>
      </w:r>
      <w:r w:rsidR="00EF3E90" w:rsidRPr="00E054D5">
        <w:rPr>
          <w:lang w:val="en-GB"/>
        </w:rPr>
        <w:t xml:space="preserve">, </w:t>
      </w:r>
      <w:r w:rsidRPr="00E054D5">
        <w:rPr>
          <w:lang w:val="en-GB"/>
        </w:rPr>
        <w:t xml:space="preserve">were measured in </w:t>
      </w:r>
      <w:r w:rsidR="00126635" w:rsidRPr="00E054D5">
        <w:rPr>
          <w:lang w:val="en-GB"/>
        </w:rPr>
        <w:t xml:space="preserve">the </w:t>
      </w:r>
      <w:r w:rsidRPr="00E054D5">
        <w:rPr>
          <w:lang w:val="en-GB"/>
        </w:rPr>
        <w:t>basement</w:t>
      </w:r>
      <w:r w:rsidR="00126635" w:rsidRPr="00E054D5">
        <w:rPr>
          <w:lang w:val="en-GB"/>
        </w:rPr>
        <w:t>s</w:t>
      </w:r>
      <w:r w:rsidRPr="00E054D5">
        <w:rPr>
          <w:lang w:val="en-GB"/>
        </w:rPr>
        <w:t xml:space="preserve"> of residen</w:t>
      </w:r>
      <w:r w:rsidRPr="00CD2EEF">
        <w:rPr>
          <w:lang w:val="en-GB"/>
        </w:rPr>
        <w:t>tial houses in Loška dolina and Logatec. In 47 cases, radon concentrations were between 200 and 299 Bq/m</w:t>
      </w:r>
      <w:r w:rsidRPr="00CD2EEF">
        <w:rPr>
          <w:vertAlign w:val="superscript"/>
          <w:lang w:val="en-GB"/>
        </w:rPr>
        <w:t>3</w:t>
      </w:r>
      <w:r w:rsidRPr="00CD2EEF">
        <w:rPr>
          <w:lang w:val="en-GB"/>
        </w:rPr>
        <w:t>, in 100 cases between 100 and 199 Bq/m</w:t>
      </w:r>
      <w:r w:rsidRPr="00CD2EEF">
        <w:rPr>
          <w:vertAlign w:val="superscript"/>
          <w:lang w:val="en-GB"/>
        </w:rPr>
        <w:t>3</w:t>
      </w:r>
      <w:r w:rsidRPr="00CD2EEF">
        <w:rPr>
          <w:lang w:val="en-GB"/>
        </w:rPr>
        <w:t>, and in 136 cases lower than 100 Bq/m</w:t>
      </w:r>
      <w:r w:rsidRPr="00CD2EEF">
        <w:rPr>
          <w:vertAlign w:val="superscript"/>
          <w:lang w:val="en-GB"/>
        </w:rPr>
        <w:t>3</w:t>
      </w:r>
      <w:r w:rsidRPr="00CD2EEF">
        <w:rPr>
          <w:lang w:val="en-GB"/>
        </w:rPr>
        <w:t>. The measurement contractor informed all members of the public in writing of the measurement results and, in the event of high measurement results, recommended that further measures be taken.</w:t>
      </w:r>
    </w:p>
    <w:p w14:paraId="5E2D1BD2" w14:textId="11D56259" w:rsidR="005248D4" w:rsidRPr="00CD2EEF" w:rsidRDefault="005248D4" w:rsidP="00780311">
      <w:pPr>
        <w:pStyle w:val="LPnavaden"/>
        <w:rPr>
          <w:lang w:val="en-GB"/>
        </w:rPr>
      </w:pPr>
      <w:r w:rsidRPr="00CD2EEF">
        <w:rPr>
          <w:lang w:val="en-GB"/>
        </w:rPr>
        <w:t>For many years, cooperation with school principals, teachers, journalists, and members of the public has been increasing. The SRPA provides them relevant information and lends</w:t>
      </w:r>
      <w:r w:rsidR="00126635">
        <w:rPr>
          <w:lang w:val="en-GB"/>
        </w:rPr>
        <w:t xml:space="preserve"> out</w:t>
      </w:r>
      <w:r w:rsidRPr="00CD2EEF">
        <w:rPr>
          <w:lang w:val="en-GB"/>
        </w:rPr>
        <w:t xml:space="preserve"> radon detectors for preliminary radon concentration measurements in the working or living environment. The SRPA purchased 56 such detectors between 2015 and 2018. Interested individuals, companies, or institutions can borrow radon detectors free of charge for a period of two months. Such measurements are not official but serve for a preliminary assessment of the average radon concentration on the premises and in facilities. In 2021, radon detectors were borrowed 73 times (78 in 2020, 117 in 2019, 24 in 2018, 17 in 2017, 8 in 2016, and 3 in 2015).</w:t>
      </w:r>
    </w:p>
    <w:p w14:paraId="03912807" w14:textId="422AAD54" w:rsidR="005248D4" w:rsidRPr="00CD2EEF" w:rsidRDefault="005248D4" w:rsidP="00780311">
      <w:pPr>
        <w:pStyle w:val="LPnavaden"/>
        <w:rPr>
          <w:lang w:val="en-GB"/>
        </w:rPr>
      </w:pPr>
      <w:r w:rsidRPr="00CD2EEF">
        <w:rPr>
          <w:lang w:val="en-GB"/>
        </w:rPr>
        <w:t xml:space="preserve">In 2021, the development of the </w:t>
      </w:r>
      <w:r w:rsidRPr="00CD2EEF">
        <w:rPr>
          <w:i/>
          <w:iCs/>
          <w:lang w:val="en-GB"/>
        </w:rPr>
        <w:t>Register of Radon Measurements</w:t>
      </w:r>
      <w:r w:rsidRPr="00CD2EEF">
        <w:rPr>
          <w:lang w:val="en-GB"/>
        </w:rPr>
        <w:t xml:space="preserve"> continued. All measurement performers are to report all measured results to the Register, which </w:t>
      </w:r>
      <w:r w:rsidR="00132B1E" w:rsidRPr="00CD2EEF">
        <w:rPr>
          <w:lang w:val="en-GB"/>
        </w:rPr>
        <w:t xml:space="preserve">in the future </w:t>
      </w:r>
      <w:r w:rsidRPr="00CD2EEF">
        <w:rPr>
          <w:lang w:val="en-GB"/>
        </w:rPr>
        <w:t>will contribute to the comprehensive evaluation of radon exposure in Slovenia.</w:t>
      </w:r>
    </w:p>
    <w:p w14:paraId="72B934C2" w14:textId="71C7FBB4" w:rsidR="005248D4" w:rsidRPr="00CD2EEF" w:rsidRDefault="005248D4" w:rsidP="00780311">
      <w:pPr>
        <w:pStyle w:val="LPnavaden"/>
        <w:rPr>
          <w:b/>
          <w:color w:val="0070C0"/>
          <w:lang w:val="en-GB"/>
        </w:rPr>
      </w:pPr>
      <w:r w:rsidRPr="00CD2EEF">
        <w:rPr>
          <w:b/>
          <w:color w:val="0070C0"/>
          <w:lang w:val="en-GB"/>
        </w:rPr>
        <w:t xml:space="preserve">Measurements of </w:t>
      </w:r>
      <w:r w:rsidR="00717416">
        <w:rPr>
          <w:b/>
          <w:color w:val="0070C0"/>
          <w:lang w:val="en-GB"/>
        </w:rPr>
        <w:t>G</w:t>
      </w:r>
      <w:r w:rsidRPr="00CD2EEF">
        <w:rPr>
          <w:b/>
          <w:color w:val="0070C0"/>
          <w:lang w:val="en-GB"/>
        </w:rPr>
        <w:t xml:space="preserve">ross </w:t>
      </w:r>
      <w:r w:rsidR="00717416">
        <w:rPr>
          <w:b/>
          <w:color w:val="0070C0"/>
          <w:lang w:val="en-GB"/>
        </w:rPr>
        <w:t>A</w:t>
      </w:r>
      <w:r w:rsidRPr="00CD2EEF">
        <w:rPr>
          <w:b/>
          <w:color w:val="0070C0"/>
          <w:lang w:val="en-GB"/>
        </w:rPr>
        <w:t xml:space="preserve">lpha and </w:t>
      </w:r>
      <w:r w:rsidR="00717416">
        <w:rPr>
          <w:b/>
          <w:color w:val="0070C0"/>
          <w:lang w:val="en-GB"/>
        </w:rPr>
        <w:t>G</w:t>
      </w:r>
      <w:r w:rsidRPr="00CD2EEF">
        <w:rPr>
          <w:b/>
          <w:color w:val="0070C0"/>
          <w:lang w:val="en-GB"/>
        </w:rPr>
        <w:t xml:space="preserve">ross </w:t>
      </w:r>
      <w:r w:rsidR="00717416">
        <w:rPr>
          <w:b/>
          <w:color w:val="0070C0"/>
          <w:lang w:val="en-GB"/>
        </w:rPr>
        <w:t>B</w:t>
      </w:r>
      <w:r w:rsidRPr="00CD2EEF">
        <w:rPr>
          <w:b/>
          <w:color w:val="0070C0"/>
          <w:lang w:val="en-GB"/>
        </w:rPr>
        <w:t xml:space="preserve">eta </w:t>
      </w:r>
      <w:r w:rsidR="00717416">
        <w:rPr>
          <w:b/>
          <w:color w:val="0070C0"/>
          <w:lang w:val="en-GB"/>
        </w:rPr>
        <w:t>A</w:t>
      </w:r>
      <w:r w:rsidRPr="00CD2EEF">
        <w:rPr>
          <w:b/>
          <w:color w:val="0070C0"/>
          <w:lang w:val="en-GB"/>
        </w:rPr>
        <w:t xml:space="preserve">ctivities in </w:t>
      </w:r>
      <w:r w:rsidR="00717416">
        <w:rPr>
          <w:b/>
          <w:color w:val="0070C0"/>
          <w:lang w:val="en-GB"/>
        </w:rPr>
        <w:t>D</w:t>
      </w:r>
      <w:r w:rsidRPr="00CD2EEF">
        <w:rPr>
          <w:b/>
          <w:color w:val="0070C0"/>
          <w:lang w:val="en-GB"/>
        </w:rPr>
        <w:t xml:space="preserve">rinking </w:t>
      </w:r>
      <w:r w:rsidR="00717416">
        <w:rPr>
          <w:b/>
          <w:color w:val="0070C0"/>
          <w:lang w:val="en-GB"/>
        </w:rPr>
        <w:t>W</w:t>
      </w:r>
      <w:r w:rsidRPr="00CD2EEF">
        <w:rPr>
          <w:b/>
          <w:color w:val="0070C0"/>
          <w:lang w:val="en-GB"/>
        </w:rPr>
        <w:t>ater</w:t>
      </w:r>
    </w:p>
    <w:p w14:paraId="4629FABA" w14:textId="77777777" w:rsidR="005248D4" w:rsidRPr="00CD2EEF" w:rsidRDefault="005248D4" w:rsidP="00780311">
      <w:pPr>
        <w:pStyle w:val="LPnavaden"/>
        <w:rPr>
          <w:lang w:val="en-GB"/>
        </w:rPr>
      </w:pPr>
      <w:r w:rsidRPr="00CD2EEF">
        <w:rPr>
          <w:lang w:val="en-GB"/>
        </w:rPr>
        <w:t>In 2021, the SRPA continued to finance the measurement of gross alpha and gross beta activities in the drinking water of Slovenia. The measurements were performed by the JSI. Altogether, 160 samples were analysed from water supply systems. The sampling covered the entire area of Slovenia, while in 2021 greater emphasis was placed on the sampling of smaller water supply systems. The gross alpha concentration values were up to 0.14 Bq/kg, with an average value of 0.024 Bq/kg. The values for gross beta concentrations were up to 0.31 Bq/kg, with an average value of 0.06 Bq/kg. The parametric value of the beta concentration (1 Bq/kg) was not exceeded. Gross alpha and gross beta concentrations were similar to the values in 2020.</w:t>
      </w:r>
    </w:p>
    <w:p w14:paraId="53847BF9" w14:textId="7C337AFE" w:rsidR="005248D4" w:rsidRPr="00CD2EEF" w:rsidRDefault="005248D4" w:rsidP="00EB61BC">
      <w:pPr>
        <w:pStyle w:val="LPVirienojni"/>
        <w:rPr>
          <w:lang w:val="en-GB"/>
        </w:rPr>
      </w:pPr>
      <w:r w:rsidRPr="00CD2EEF">
        <w:rPr>
          <w:lang w:val="en-GB"/>
        </w:rPr>
        <w:t>Reference: [</w:t>
      </w:r>
      <w:hyperlink w:anchor="r15" w:history="1">
        <w:r w:rsidRPr="00CD2EEF">
          <w:rPr>
            <w:rStyle w:val="Hiperpovezava"/>
            <w:lang w:val="en-GB"/>
          </w:rPr>
          <w:t>15</w:t>
        </w:r>
      </w:hyperlink>
      <w:r w:rsidRPr="00CD2EEF">
        <w:rPr>
          <w:lang w:val="en-GB"/>
        </w:rPr>
        <w:t>]</w:t>
      </w:r>
    </w:p>
    <w:p w14:paraId="1C94E776" w14:textId="65A85847" w:rsidR="005248D4" w:rsidRPr="00CD2EEF" w:rsidRDefault="005248D4" w:rsidP="00EB61BC">
      <w:pPr>
        <w:pStyle w:val="LPNaslov3"/>
        <w:rPr>
          <w:lang w:val="en-GB"/>
        </w:rPr>
      </w:pPr>
      <w:bookmarkStart w:id="275" w:name="_Toc126312011"/>
      <w:r w:rsidRPr="00CD2EEF">
        <w:rPr>
          <w:lang w:val="en-GB"/>
        </w:rPr>
        <w:lastRenderedPageBreak/>
        <w:t>Radiation Exposure of the Population Due to Human Activities</w:t>
      </w:r>
      <w:bookmarkEnd w:id="275"/>
    </w:p>
    <w:p w14:paraId="178051D7" w14:textId="54BE39AD" w:rsidR="005248D4" w:rsidRPr="00CD2EEF" w:rsidRDefault="005248D4" w:rsidP="006A5EFD">
      <w:pPr>
        <w:pStyle w:val="LPnavaden"/>
        <w:rPr>
          <w:lang w:val="en-GB"/>
        </w:rPr>
      </w:pPr>
      <w:bookmarkStart w:id="276" w:name="_Toc74219415"/>
      <w:r w:rsidRPr="00CD2EEF">
        <w:rPr>
          <w:lang w:val="en-GB"/>
        </w:rPr>
        <w:t xml:space="preserve">Higher radiation doses due to the normal operation of nuclear and radiation facilities are usually only received by the local population. The exposures of groups of the population that are a consequence of radioactive discharges from these facilities are described in </w:t>
      </w:r>
      <w:hyperlink w:anchor="ch33" w:history="1">
        <w:r w:rsidRPr="00CD2EEF">
          <w:rPr>
            <w:rStyle w:val="Hiperpovezava"/>
            <w:lang w:val="en-GB"/>
          </w:rPr>
          <w:t>Chapter 3.3</w:t>
        </w:r>
      </w:hyperlink>
      <w:r w:rsidRPr="00CD2EEF">
        <w:rPr>
          <w:u w:color="096DFF"/>
          <w:lang w:val="en-GB"/>
        </w:rPr>
        <w:t xml:space="preserve">. </w:t>
      </w:r>
      <w:hyperlink w:anchor="t08" w:history="1">
        <w:r w:rsidRPr="00CD2EEF">
          <w:rPr>
            <w:rStyle w:val="Hiperpovezava"/>
            <w:lang w:val="en-GB"/>
          </w:rPr>
          <w:t>Table 8</w:t>
        </w:r>
      </w:hyperlink>
      <w:r w:rsidRPr="00CD2EEF">
        <w:rPr>
          <w:lang w:val="en-GB"/>
        </w:rPr>
        <w:t xml:space="preserve">, </w:t>
      </w:r>
      <w:r w:rsidR="009A1526">
        <w:rPr>
          <w:lang w:val="en-GB"/>
        </w:rPr>
        <w:t xml:space="preserve">presents </w:t>
      </w:r>
      <w:r w:rsidRPr="00CD2EEF">
        <w:rPr>
          <w:lang w:val="en-GB"/>
        </w:rPr>
        <w:t xml:space="preserve">the annual individual doses </w:t>
      </w:r>
      <w:r w:rsidR="009A1526">
        <w:rPr>
          <w:lang w:val="en-GB"/>
        </w:rPr>
        <w:t>of</w:t>
      </w:r>
      <w:r w:rsidRPr="00CD2EEF">
        <w:rPr>
          <w:lang w:val="en-GB"/>
        </w:rPr>
        <w:t xml:space="preserve"> maximally exposed adults from the reference groups for all objects in consideration. For comparison, the average annual dose received by individuals originating from global radioactive contamination of the environment (nuclear tests and the Chernobyl accident) is also shown. The highest exposures of individuals are recorded in the surroundings of the former uranium mine in Žirovski Vrh and are estimated at a few percent of the natural exposure in Slovenia. </w:t>
      </w:r>
      <w:r w:rsidR="00C23E8B">
        <w:rPr>
          <w:lang w:val="en-GB"/>
        </w:rPr>
        <w:t>The h</w:t>
      </w:r>
      <w:r w:rsidRPr="00CD2EEF">
        <w:rPr>
          <w:lang w:val="en-GB"/>
        </w:rPr>
        <w:t xml:space="preserve">igher values in comparison to 2019, when the effective dose received by an adult member of the public was estimated at 71 μSv/year, were only a consequence of compliance with the new methodology, which is in accordance with the newly valid safety report for the Jazbec and Boršt disposal sites and with the instructions from the </w:t>
      </w:r>
      <w:r w:rsidRPr="00E201F1">
        <w:rPr>
          <w:i/>
          <w:iCs/>
          <w:lang w:val="en-GB"/>
        </w:rPr>
        <w:t>R</w:t>
      </w:r>
      <w:r w:rsidRPr="00CD2EEF">
        <w:rPr>
          <w:i/>
          <w:iCs/>
          <w:lang w:val="en-GB"/>
        </w:rPr>
        <w:t>ules on radioactivity monitoring</w:t>
      </w:r>
      <w:r w:rsidRPr="00CD2EEF">
        <w:rPr>
          <w:lang w:val="en-GB"/>
        </w:rPr>
        <w:t xml:space="preserve">. In no case did the radiation exposure of individuals from the public exceed the regulatory limits. </w:t>
      </w:r>
    </w:p>
    <w:p w14:paraId="30D072E2" w14:textId="65534E54" w:rsidR="005248D4" w:rsidRPr="00CD2EEF" w:rsidRDefault="008B7E7C" w:rsidP="008B7E7C">
      <w:pPr>
        <w:pStyle w:val="LPnaslovpreglednica"/>
        <w:rPr>
          <w:lang w:val="en-GB"/>
        </w:rPr>
      </w:pPr>
      <w:bookmarkStart w:id="277" w:name="_Toc126309915"/>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00BE0188" w:rsidRPr="00CD2EEF">
        <w:rPr>
          <w:lang w:val="en-GB"/>
        </w:rPr>
        <w:t>8</w:t>
      </w:r>
      <w:r w:rsidR="00366B6D" w:rsidRPr="00CD2EEF">
        <w:rPr>
          <w:lang w:val="en-GB"/>
        </w:rPr>
        <w:fldChar w:fldCharType="end"/>
      </w:r>
      <w:r w:rsidR="005248D4" w:rsidRPr="00CD2EEF">
        <w:rPr>
          <w:lang w:val="en-GB"/>
        </w:rPr>
        <w:t>: Exposures of adult individuals from the reference population group</w:t>
      </w:r>
      <w:bookmarkEnd w:id="277"/>
      <w:r w:rsidR="005248D4" w:rsidRPr="00CD2EEF" w:rsidDel="00B559FE">
        <w:rPr>
          <w:lang w:val="en-GB"/>
        </w:rPr>
        <w:t xml:space="preserve"> </w:t>
      </w:r>
      <w:bookmarkEnd w:id="276"/>
    </w:p>
    <w:tbl>
      <w:tblPr>
        <w:tblW w:w="768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020" w:firstRow="1" w:lastRow="0" w:firstColumn="0" w:lastColumn="0" w:noHBand="0" w:noVBand="0"/>
      </w:tblPr>
      <w:tblGrid>
        <w:gridCol w:w="3685"/>
        <w:gridCol w:w="2014"/>
        <w:gridCol w:w="1985"/>
      </w:tblGrid>
      <w:tr w:rsidR="005248D4" w:rsidRPr="00CD2EEF" w14:paraId="39B7DDDC" w14:textId="77777777" w:rsidTr="00764574">
        <w:trPr>
          <w:trHeight w:val="106"/>
        </w:trPr>
        <w:tc>
          <w:tcPr>
            <w:tcW w:w="3685" w:type="dxa"/>
            <w:shd w:val="clear" w:color="auto" w:fill="5B9BD5" w:themeFill="accent1"/>
            <w:vAlign w:val="center"/>
          </w:tcPr>
          <w:p w14:paraId="47D41068" w14:textId="77777777" w:rsidR="005248D4" w:rsidRPr="00CD2EEF" w:rsidRDefault="005248D4" w:rsidP="00764574">
            <w:pPr>
              <w:pStyle w:val="LPpreglednicaglavasredina"/>
              <w:rPr>
                <w:lang w:val="en-GB"/>
              </w:rPr>
            </w:pPr>
            <w:bookmarkStart w:id="278" w:name="t08"/>
            <w:r w:rsidRPr="00CD2EEF">
              <w:rPr>
                <w:lang w:val="en-GB"/>
              </w:rPr>
              <w:t>Source of radiation</w:t>
            </w:r>
          </w:p>
        </w:tc>
        <w:tc>
          <w:tcPr>
            <w:tcW w:w="2014" w:type="dxa"/>
            <w:shd w:val="clear" w:color="auto" w:fill="5B9BD5" w:themeFill="accent1"/>
            <w:vAlign w:val="center"/>
          </w:tcPr>
          <w:p w14:paraId="2D864A7C" w14:textId="77777777" w:rsidR="005248D4" w:rsidRPr="00CD2EEF" w:rsidRDefault="005248D4" w:rsidP="00764574">
            <w:pPr>
              <w:pStyle w:val="LPpreglednicaglavasredina"/>
              <w:rPr>
                <w:lang w:val="en-GB"/>
              </w:rPr>
            </w:pPr>
            <w:r w:rsidRPr="00CD2EEF">
              <w:rPr>
                <w:lang w:val="en-GB"/>
              </w:rPr>
              <w:t>Annual dose [mSv]</w:t>
            </w:r>
          </w:p>
        </w:tc>
        <w:tc>
          <w:tcPr>
            <w:tcW w:w="1985" w:type="dxa"/>
            <w:shd w:val="clear" w:color="auto" w:fill="5B9BD5" w:themeFill="accent1"/>
            <w:vAlign w:val="center"/>
          </w:tcPr>
          <w:p w14:paraId="13E455AF" w14:textId="77777777" w:rsidR="005248D4" w:rsidRPr="00CD2EEF" w:rsidRDefault="005248D4" w:rsidP="00764574">
            <w:pPr>
              <w:pStyle w:val="LPpreglednicaglavasredina"/>
              <w:rPr>
                <w:lang w:val="en-GB"/>
              </w:rPr>
            </w:pPr>
            <w:r w:rsidRPr="00CD2EEF">
              <w:rPr>
                <w:lang w:val="en-GB"/>
              </w:rPr>
              <w:t>Regulatory dose limit [mSv]</w:t>
            </w:r>
          </w:p>
        </w:tc>
      </w:tr>
      <w:tr w:rsidR="005248D4" w:rsidRPr="00CD2EEF" w14:paraId="29FC452C" w14:textId="77777777" w:rsidTr="00764574">
        <w:trPr>
          <w:trHeight w:val="106"/>
        </w:trPr>
        <w:tc>
          <w:tcPr>
            <w:tcW w:w="3685" w:type="dxa"/>
          </w:tcPr>
          <w:p w14:paraId="5DC71F1B" w14:textId="20B780EF" w:rsidR="005248D4" w:rsidRPr="00CD2EEF" w:rsidRDefault="005248D4" w:rsidP="00764574">
            <w:pPr>
              <w:pStyle w:val="LPpreglednicatelo"/>
              <w:rPr>
                <w:lang w:val="en-GB"/>
              </w:rPr>
            </w:pPr>
            <w:r w:rsidRPr="00CD2EEF">
              <w:rPr>
                <w:lang w:val="en-GB"/>
              </w:rPr>
              <w:t xml:space="preserve">Žirovski </w:t>
            </w:r>
            <w:r w:rsidR="00795EB3">
              <w:rPr>
                <w:lang w:val="en-GB"/>
              </w:rPr>
              <w:t>V</w:t>
            </w:r>
            <w:r w:rsidRPr="00CD2EEF">
              <w:rPr>
                <w:lang w:val="en-GB"/>
              </w:rPr>
              <w:t>rh Uranium Mine</w:t>
            </w:r>
          </w:p>
        </w:tc>
        <w:tc>
          <w:tcPr>
            <w:tcW w:w="2014" w:type="dxa"/>
          </w:tcPr>
          <w:p w14:paraId="3B013503" w14:textId="77777777" w:rsidR="005248D4" w:rsidRPr="00CD2EEF" w:rsidRDefault="005248D4" w:rsidP="00764574">
            <w:pPr>
              <w:pStyle w:val="LPpreglednicatelo"/>
              <w:rPr>
                <w:lang w:val="en-GB"/>
              </w:rPr>
            </w:pPr>
            <w:r w:rsidRPr="00CD2EEF">
              <w:rPr>
                <w:lang w:val="en-GB"/>
              </w:rPr>
              <w:t>0.124</w:t>
            </w:r>
          </w:p>
        </w:tc>
        <w:tc>
          <w:tcPr>
            <w:tcW w:w="1985" w:type="dxa"/>
          </w:tcPr>
          <w:p w14:paraId="385B84A3" w14:textId="77777777" w:rsidR="005248D4" w:rsidRPr="00CD2EEF" w:rsidRDefault="005248D4" w:rsidP="00764574">
            <w:pPr>
              <w:pStyle w:val="LPpreglednicatelo"/>
              <w:rPr>
                <w:lang w:val="en-GB"/>
              </w:rPr>
            </w:pPr>
            <w:r w:rsidRPr="00CD2EEF">
              <w:rPr>
                <w:lang w:val="en-GB"/>
              </w:rPr>
              <w:t>**0.300</w:t>
            </w:r>
          </w:p>
        </w:tc>
      </w:tr>
      <w:tr w:rsidR="005248D4" w:rsidRPr="00CD2EEF" w14:paraId="1A94B9F2" w14:textId="77777777" w:rsidTr="00764574">
        <w:trPr>
          <w:trHeight w:val="106"/>
        </w:trPr>
        <w:tc>
          <w:tcPr>
            <w:tcW w:w="3685" w:type="dxa"/>
          </w:tcPr>
          <w:p w14:paraId="4DF6684C" w14:textId="77777777" w:rsidR="005248D4" w:rsidRPr="00CD2EEF" w:rsidRDefault="005248D4" w:rsidP="00764574">
            <w:pPr>
              <w:pStyle w:val="LPpreglednicatelo"/>
              <w:rPr>
                <w:lang w:val="en-GB"/>
              </w:rPr>
            </w:pPr>
            <w:r w:rsidRPr="00CD2EEF">
              <w:rPr>
                <w:lang w:val="en-GB"/>
              </w:rPr>
              <w:t>Chernobyl and nuclear tests</w:t>
            </w:r>
          </w:p>
        </w:tc>
        <w:tc>
          <w:tcPr>
            <w:tcW w:w="2014" w:type="dxa"/>
          </w:tcPr>
          <w:p w14:paraId="010C181C" w14:textId="77777777" w:rsidR="005248D4" w:rsidRPr="00CD2EEF" w:rsidRDefault="005248D4" w:rsidP="00764574">
            <w:pPr>
              <w:pStyle w:val="LPpreglednicatelo"/>
              <w:rPr>
                <w:lang w:val="en-GB"/>
              </w:rPr>
            </w:pPr>
            <w:r w:rsidRPr="00CD2EEF">
              <w:rPr>
                <w:lang w:val="en-GB"/>
              </w:rPr>
              <w:t>0.004–0.007</w:t>
            </w:r>
          </w:p>
        </w:tc>
        <w:tc>
          <w:tcPr>
            <w:tcW w:w="1985" w:type="dxa"/>
          </w:tcPr>
          <w:p w14:paraId="48059E3F" w14:textId="77777777" w:rsidR="005248D4" w:rsidRPr="00CD2EEF" w:rsidRDefault="005248D4" w:rsidP="00764574">
            <w:pPr>
              <w:pStyle w:val="LPpreglednicatelo"/>
              <w:rPr>
                <w:lang w:val="en-GB"/>
              </w:rPr>
            </w:pPr>
            <w:r w:rsidRPr="00CD2EEF">
              <w:rPr>
                <w:lang w:val="en-GB"/>
              </w:rPr>
              <w:t>/</w:t>
            </w:r>
          </w:p>
        </w:tc>
      </w:tr>
      <w:tr w:rsidR="005248D4" w:rsidRPr="00CD2EEF" w14:paraId="32F6D5F6" w14:textId="77777777" w:rsidTr="00764574">
        <w:trPr>
          <w:trHeight w:val="106"/>
        </w:trPr>
        <w:tc>
          <w:tcPr>
            <w:tcW w:w="3685" w:type="dxa"/>
          </w:tcPr>
          <w:p w14:paraId="56AE3CCC" w14:textId="3ADA178F" w:rsidR="005248D4" w:rsidRPr="00CD2EEF" w:rsidRDefault="00C5169D" w:rsidP="00764574">
            <w:pPr>
              <w:pStyle w:val="LPpreglednicatelo"/>
              <w:rPr>
                <w:lang w:val="en-GB"/>
              </w:rPr>
            </w:pPr>
            <w:r>
              <w:rPr>
                <w:lang w:val="en-GB"/>
              </w:rPr>
              <w:t>Krško NPP</w:t>
            </w:r>
          </w:p>
        </w:tc>
        <w:tc>
          <w:tcPr>
            <w:tcW w:w="2014" w:type="dxa"/>
          </w:tcPr>
          <w:p w14:paraId="755F4DAD" w14:textId="77777777" w:rsidR="005248D4" w:rsidRPr="00CD2EEF" w:rsidRDefault="005248D4" w:rsidP="00764574">
            <w:pPr>
              <w:pStyle w:val="LPpreglednicatelo"/>
              <w:rPr>
                <w:lang w:val="en-GB"/>
              </w:rPr>
            </w:pPr>
            <w:r w:rsidRPr="00CD2EEF">
              <w:rPr>
                <w:lang w:val="en-GB"/>
              </w:rPr>
              <w:t>&lt;*0.00018</w:t>
            </w:r>
          </w:p>
        </w:tc>
        <w:tc>
          <w:tcPr>
            <w:tcW w:w="1985" w:type="dxa"/>
          </w:tcPr>
          <w:p w14:paraId="6433D171" w14:textId="77777777" w:rsidR="005248D4" w:rsidRPr="00CD2EEF" w:rsidRDefault="005248D4" w:rsidP="00764574">
            <w:pPr>
              <w:pStyle w:val="LPpreglednicatelo"/>
              <w:rPr>
                <w:lang w:val="en-GB"/>
              </w:rPr>
            </w:pPr>
            <w:r w:rsidRPr="00CD2EEF">
              <w:rPr>
                <w:lang w:val="en-GB"/>
              </w:rPr>
              <w:t>***0.050</w:t>
            </w:r>
          </w:p>
        </w:tc>
      </w:tr>
      <w:tr w:rsidR="005248D4" w:rsidRPr="00CD2EEF" w14:paraId="22559BC5" w14:textId="77777777" w:rsidTr="00764574">
        <w:trPr>
          <w:trHeight w:val="106"/>
        </w:trPr>
        <w:tc>
          <w:tcPr>
            <w:tcW w:w="3685" w:type="dxa"/>
          </w:tcPr>
          <w:p w14:paraId="427B0626" w14:textId="77777777" w:rsidR="005248D4" w:rsidRPr="00CD2EEF" w:rsidRDefault="005248D4" w:rsidP="00764574">
            <w:pPr>
              <w:pStyle w:val="LPpreglednicatelo"/>
              <w:rPr>
                <w:lang w:val="en-GB"/>
              </w:rPr>
            </w:pPr>
            <w:r w:rsidRPr="00CD2EEF">
              <w:rPr>
                <w:lang w:val="en-GB"/>
              </w:rPr>
              <w:t>TRIGA Mark II Research Reactor</w:t>
            </w:r>
          </w:p>
        </w:tc>
        <w:tc>
          <w:tcPr>
            <w:tcW w:w="2014" w:type="dxa"/>
          </w:tcPr>
          <w:p w14:paraId="04A7BA19" w14:textId="77777777" w:rsidR="005248D4" w:rsidRPr="00CD2EEF" w:rsidRDefault="005248D4" w:rsidP="00764574">
            <w:pPr>
              <w:pStyle w:val="LPpreglednicatelo"/>
              <w:rPr>
                <w:lang w:val="en-GB"/>
              </w:rPr>
            </w:pPr>
            <w:r w:rsidRPr="00CD2EEF">
              <w:rPr>
                <w:lang w:val="en-GB"/>
              </w:rPr>
              <w:t>0.0006</w:t>
            </w:r>
          </w:p>
        </w:tc>
        <w:tc>
          <w:tcPr>
            <w:tcW w:w="1985" w:type="dxa"/>
          </w:tcPr>
          <w:p w14:paraId="319AFFD7" w14:textId="77777777" w:rsidR="005248D4" w:rsidRPr="00CD2EEF" w:rsidRDefault="005248D4" w:rsidP="00764574">
            <w:pPr>
              <w:pStyle w:val="LPpreglednicatelo"/>
              <w:rPr>
                <w:lang w:val="en-GB"/>
              </w:rPr>
            </w:pPr>
            <w:r w:rsidRPr="00CD2EEF">
              <w:rPr>
                <w:lang w:val="en-GB"/>
              </w:rPr>
              <w:t>0.050</w:t>
            </w:r>
          </w:p>
        </w:tc>
      </w:tr>
      <w:tr w:rsidR="005248D4" w:rsidRPr="00CD2EEF" w14:paraId="383FBA49" w14:textId="77777777" w:rsidTr="00764574">
        <w:trPr>
          <w:trHeight w:val="118"/>
        </w:trPr>
        <w:tc>
          <w:tcPr>
            <w:tcW w:w="3685" w:type="dxa"/>
          </w:tcPr>
          <w:p w14:paraId="4945A50A" w14:textId="77777777" w:rsidR="005248D4" w:rsidRPr="00CD2EEF" w:rsidRDefault="005248D4" w:rsidP="00764574">
            <w:pPr>
              <w:pStyle w:val="LPpreglednicatelo"/>
              <w:rPr>
                <w:lang w:val="en-GB"/>
              </w:rPr>
            </w:pPr>
            <w:r w:rsidRPr="00CD2EEF">
              <w:rPr>
                <w:lang w:val="en-GB"/>
              </w:rPr>
              <w:t>The Central Storage for Radioactive Waste</w:t>
            </w:r>
          </w:p>
        </w:tc>
        <w:tc>
          <w:tcPr>
            <w:tcW w:w="2014" w:type="dxa"/>
          </w:tcPr>
          <w:p w14:paraId="0FD94D9F" w14:textId="77777777" w:rsidR="005248D4" w:rsidRPr="00CD2EEF" w:rsidRDefault="005248D4" w:rsidP="00764574">
            <w:pPr>
              <w:pStyle w:val="LPpreglednicatelo"/>
              <w:rPr>
                <w:lang w:val="en-GB"/>
              </w:rPr>
            </w:pPr>
            <w:r w:rsidRPr="00CD2EEF">
              <w:rPr>
                <w:lang w:val="en-GB"/>
              </w:rPr>
              <w:t>0.002</w:t>
            </w:r>
          </w:p>
        </w:tc>
        <w:tc>
          <w:tcPr>
            <w:tcW w:w="1985" w:type="dxa"/>
          </w:tcPr>
          <w:p w14:paraId="1E839033" w14:textId="77777777" w:rsidR="005248D4" w:rsidRPr="00CD2EEF" w:rsidRDefault="005248D4" w:rsidP="00764574">
            <w:pPr>
              <w:pStyle w:val="LPpreglednicatelo"/>
              <w:rPr>
                <w:lang w:val="en-GB"/>
              </w:rPr>
            </w:pPr>
            <w:r w:rsidRPr="00CD2EEF">
              <w:rPr>
                <w:lang w:val="en-GB"/>
              </w:rPr>
              <w:t>0.100</w:t>
            </w:r>
          </w:p>
        </w:tc>
      </w:tr>
      <w:tr w:rsidR="005248D4" w:rsidRPr="00CD2EEF" w14:paraId="12D5047F" w14:textId="77777777" w:rsidTr="00764574">
        <w:trPr>
          <w:trHeight w:val="118"/>
        </w:trPr>
        <w:tc>
          <w:tcPr>
            <w:tcW w:w="3685" w:type="dxa"/>
          </w:tcPr>
          <w:p w14:paraId="7FDA607A" w14:textId="77777777" w:rsidR="005248D4" w:rsidRPr="00CD2EEF" w:rsidRDefault="005248D4" w:rsidP="00764574">
            <w:pPr>
              <w:pStyle w:val="LPpreglednicatelo"/>
              <w:rPr>
                <w:lang w:val="en-GB"/>
              </w:rPr>
            </w:pPr>
            <w:r w:rsidRPr="00CD2EEF">
              <w:rPr>
                <w:lang w:val="en-GB"/>
              </w:rPr>
              <w:t xml:space="preserve">Natural radiation sources (average) </w:t>
            </w:r>
          </w:p>
        </w:tc>
        <w:tc>
          <w:tcPr>
            <w:tcW w:w="2014" w:type="dxa"/>
          </w:tcPr>
          <w:p w14:paraId="77B41FFA" w14:textId="5BC68E68" w:rsidR="005248D4" w:rsidRPr="00CD2EEF" w:rsidRDefault="005248D4" w:rsidP="00764574">
            <w:pPr>
              <w:pStyle w:val="LPpreglednicatelo"/>
              <w:rPr>
                <w:lang w:val="en-GB"/>
              </w:rPr>
            </w:pPr>
            <w:r w:rsidRPr="00CD2EEF">
              <w:rPr>
                <w:lang w:val="en-GB"/>
              </w:rPr>
              <w:t>2.5</w:t>
            </w:r>
            <w:r w:rsidR="008536B8">
              <w:rPr>
                <w:lang w:val="en-GB"/>
              </w:rPr>
              <w:t>–</w:t>
            </w:r>
            <w:r w:rsidRPr="00CD2EEF">
              <w:rPr>
                <w:lang w:val="en-GB"/>
              </w:rPr>
              <w:t>2.8</w:t>
            </w:r>
          </w:p>
        </w:tc>
        <w:tc>
          <w:tcPr>
            <w:tcW w:w="1985" w:type="dxa"/>
          </w:tcPr>
          <w:p w14:paraId="543BBD2B" w14:textId="77777777" w:rsidR="005248D4" w:rsidRPr="00CD2EEF" w:rsidRDefault="005248D4" w:rsidP="00764574">
            <w:pPr>
              <w:pStyle w:val="LPpreglednicatelo"/>
              <w:rPr>
                <w:lang w:val="en-GB"/>
              </w:rPr>
            </w:pPr>
          </w:p>
        </w:tc>
      </w:tr>
    </w:tbl>
    <w:bookmarkEnd w:id="278"/>
    <w:p w14:paraId="111A48DE" w14:textId="4EAF3429" w:rsidR="005248D4" w:rsidRPr="00CD2EEF" w:rsidRDefault="005248D4" w:rsidP="008F5FA1">
      <w:pPr>
        <w:pStyle w:val="LPnavadenpomanjan8pt"/>
        <w:rPr>
          <w:lang w:val="en-GB"/>
        </w:rPr>
      </w:pPr>
      <w:r w:rsidRPr="00CD2EEF">
        <w:rPr>
          <w:lang w:val="en-GB"/>
        </w:rPr>
        <w:t xml:space="preserve">* Estimated value for different population groups, radioactivity monitoring in the vicinity of </w:t>
      </w:r>
      <w:r w:rsidR="001B146F">
        <w:rPr>
          <w:lang w:val="en-GB"/>
        </w:rPr>
        <w:t>the Krško NPP</w:t>
      </w:r>
      <w:r w:rsidRPr="00CD2EEF" w:rsidDel="004C3A99">
        <w:rPr>
          <w:lang w:val="en-GB"/>
        </w:rPr>
        <w:t xml:space="preserve"> </w:t>
      </w:r>
      <w:r w:rsidRPr="00CD2EEF">
        <w:rPr>
          <w:lang w:val="en-GB"/>
        </w:rPr>
        <w:t>2021.</w:t>
      </w:r>
    </w:p>
    <w:p w14:paraId="386A2020" w14:textId="77777777" w:rsidR="005248D4" w:rsidRPr="00CD2EEF" w:rsidRDefault="005248D4" w:rsidP="008F5FA1">
      <w:pPr>
        <w:pStyle w:val="LPnavadenpomanjan8pt"/>
        <w:rPr>
          <w:lang w:val="en-GB"/>
        </w:rPr>
      </w:pPr>
      <w:r w:rsidRPr="00CD2EEF">
        <w:rPr>
          <w:lang w:val="en-GB"/>
        </w:rPr>
        <w:t xml:space="preserve">** Restriction due to the consequences of mining in the Žirovski Vrh Uranium Mine (both the mine and the two Jazbec and Boršt disposal sites). </w:t>
      </w:r>
    </w:p>
    <w:p w14:paraId="5A5F3D4C" w14:textId="77777777" w:rsidR="005248D4" w:rsidRPr="00CD2EEF" w:rsidRDefault="005248D4" w:rsidP="008F5FA1">
      <w:pPr>
        <w:pStyle w:val="LPnavadenpomanjan8pt"/>
        <w:rPr>
          <w:lang w:val="en-GB"/>
        </w:rPr>
      </w:pPr>
      <w:r w:rsidRPr="00CD2EEF">
        <w:rPr>
          <w:lang w:val="en-GB"/>
        </w:rPr>
        <w:t>***Due to radioactive discharges.</w:t>
      </w:r>
    </w:p>
    <w:p w14:paraId="12BF6600" w14:textId="3B0E701F" w:rsidR="005248D4" w:rsidRPr="00CD2EEF" w:rsidRDefault="005248D4" w:rsidP="00EB61BC">
      <w:pPr>
        <w:pStyle w:val="LPVirienojni"/>
        <w:rPr>
          <w:lang w:val="en-GB"/>
        </w:rPr>
      </w:pPr>
      <w:r w:rsidRPr="00CD2EEF">
        <w:rPr>
          <w:lang w:val="en-GB"/>
        </w:rPr>
        <w:t>References: [</w:t>
      </w:r>
      <w:hyperlink w:anchor="r19" w:history="1">
        <w:r w:rsidRPr="00CD2EEF">
          <w:rPr>
            <w:rStyle w:val="Hiperpovezava"/>
            <w:lang w:val="en-GB"/>
          </w:rPr>
          <w:t>19</w:t>
        </w:r>
      </w:hyperlink>
      <w:r w:rsidRPr="00CD2EEF">
        <w:rPr>
          <w:lang w:val="en-GB"/>
        </w:rPr>
        <w:t>],</w:t>
      </w:r>
      <w:r w:rsidRPr="00CD2EEF">
        <w:rPr>
          <w:rStyle w:val="LPnavadenZnak"/>
          <w:sz w:val="20"/>
          <w:szCs w:val="24"/>
          <w:lang w:val="en-GB"/>
        </w:rPr>
        <w:t xml:space="preserve"> </w:t>
      </w:r>
      <w:r w:rsidRPr="00CD2EEF">
        <w:rPr>
          <w:lang w:val="en-GB"/>
        </w:rPr>
        <w:t>[</w:t>
      </w:r>
      <w:hyperlink w:anchor="r20" w:history="1">
        <w:r w:rsidRPr="00CD2EEF">
          <w:rPr>
            <w:rStyle w:val="Hiperpovezava"/>
            <w:lang w:val="en-GB"/>
          </w:rPr>
          <w:t>20</w:t>
        </w:r>
      </w:hyperlink>
      <w:r w:rsidRPr="00CD2EEF">
        <w:rPr>
          <w:lang w:val="en-GB"/>
        </w:rPr>
        <w:t>]</w:t>
      </w:r>
      <w:r w:rsidRPr="00CD2EEF">
        <w:rPr>
          <w:rStyle w:val="LPnavadenZnak"/>
          <w:sz w:val="20"/>
          <w:szCs w:val="24"/>
          <w:lang w:val="en-GB"/>
        </w:rPr>
        <w:t>,</w:t>
      </w:r>
      <w:r w:rsidRPr="00CD2EEF">
        <w:rPr>
          <w:lang w:val="en-GB"/>
        </w:rPr>
        <w:t xml:space="preserve"> [</w:t>
      </w:r>
      <w:hyperlink w:anchor="r21" w:history="1">
        <w:r w:rsidRPr="00CD2EEF">
          <w:rPr>
            <w:rStyle w:val="Hiperpovezava"/>
            <w:lang w:val="en-GB"/>
          </w:rPr>
          <w:t>21</w:t>
        </w:r>
      </w:hyperlink>
      <w:r w:rsidRPr="00CD2EEF">
        <w:rPr>
          <w:lang w:val="en-GB"/>
        </w:rPr>
        <w:t>], [</w:t>
      </w:r>
      <w:hyperlink w:anchor="r22" w:history="1">
        <w:r w:rsidRPr="00CD2EEF">
          <w:rPr>
            <w:rStyle w:val="Hiperpovezava"/>
            <w:lang w:val="en-GB"/>
          </w:rPr>
          <w:t>22</w:t>
        </w:r>
      </w:hyperlink>
      <w:r w:rsidRPr="00CD2EEF">
        <w:rPr>
          <w:lang w:val="en-GB"/>
        </w:rPr>
        <w:t>], [</w:t>
      </w:r>
      <w:hyperlink w:anchor="r23" w:history="1">
        <w:r w:rsidRPr="00CD2EEF">
          <w:rPr>
            <w:rStyle w:val="Hiperpovezava"/>
            <w:lang w:val="en-GB"/>
          </w:rPr>
          <w:t>23</w:t>
        </w:r>
      </w:hyperlink>
      <w:r w:rsidRPr="00CD2EEF">
        <w:rPr>
          <w:lang w:val="en-GB"/>
        </w:rPr>
        <w:t xml:space="preserve">] </w:t>
      </w:r>
    </w:p>
    <w:p w14:paraId="53B8DC39" w14:textId="77777777" w:rsidR="005248D4" w:rsidRPr="00CD2EEF" w:rsidRDefault="005248D4" w:rsidP="008F5FA1">
      <w:pPr>
        <w:pStyle w:val="LPviri"/>
        <w:rPr>
          <w:lang w:val="en-GB"/>
        </w:rPr>
      </w:pPr>
    </w:p>
    <w:p w14:paraId="2276AED6" w14:textId="28F6F049" w:rsidR="005248D4" w:rsidRPr="00CD2EEF" w:rsidRDefault="005248D4" w:rsidP="00593BA8">
      <w:pPr>
        <w:pStyle w:val="LPNaslov1"/>
        <w:rPr>
          <w:lang w:val="en-GB" w:eastAsia="en-US"/>
        </w:rPr>
      </w:pPr>
      <w:bookmarkStart w:id="279" w:name="ch4"/>
      <w:bookmarkStart w:id="280" w:name="_Toc126312012"/>
      <w:r w:rsidRPr="00CD2EEF">
        <w:rPr>
          <w:lang w:val="en-GB" w:eastAsia="en-US"/>
        </w:rPr>
        <w:lastRenderedPageBreak/>
        <w:t>RADIATION PROTECTION OF EXPOSED WORKERS</w:t>
      </w:r>
      <w:bookmarkEnd w:id="280"/>
    </w:p>
    <w:bookmarkEnd w:id="279"/>
    <w:p w14:paraId="3E1E0D20" w14:textId="333DAF5D" w:rsidR="005248D4" w:rsidRPr="00CD2EEF" w:rsidRDefault="005248D4" w:rsidP="006075E5">
      <w:pPr>
        <w:pStyle w:val="LPnavaden"/>
        <w:rPr>
          <w:lang w:val="en-GB"/>
        </w:rPr>
      </w:pPr>
      <w:r w:rsidRPr="00CD2EEF">
        <w:rPr>
          <w:lang w:val="en-GB"/>
        </w:rPr>
        <w:t xml:space="preserve">Due to occupational exposure, individuals can receive substantial doses of ionising radiation. Therefore, organisations that carry out radiation practices should optimise work activities to decrease the dose of ionising radiation to a level </w:t>
      </w:r>
      <w:r w:rsidR="00263D93">
        <w:rPr>
          <w:i/>
          <w:iCs/>
          <w:lang w:val="en-GB"/>
        </w:rPr>
        <w:t>“</w:t>
      </w:r>
      <w:r w:rsidRPr="00CD2EEF">
        <w:rPr>
          <w:i/>
          <w:iCs/>
          <w:lang w:val="en-GB"/>
        </w:rPr>
        <w:t>As Low As Reasonably Achievable</w:t>
      </w:r>
      <w:r w:rsidR="00263D93">
        <w:rPr>
          <w:i/>
          <w:iCs/>
          <w:lang w:val="en-GB"/>
        </w:rPr>
        <w:t>”</w:t>
      </w:r>
      <w:r w:rsidRPr="00CD2EEF">
        <w:rPr>
          <w:lang w:val="en-GB"/>
        </w:rPr>
        <w:t xml:space="preserve"> (ALARA). Exposed workers must take part in regular medical surveillance programmes and receive adequate training. Persons carrying out a radiation practice have to ensure that the received dose of ionising radiation is assessed for every worker performing specific activities.</w:t>
      </w:r>
    </w:p>
    <w:p w14:paraId="21EA661C" w14:textId="77777777" w:rsidR="005248D4" w:rsidRPr="00CD2EEF" w:rsidRDefault="005248D4" w:rsidP="006075E5">
      <w:pPr>
        <w:pStyle w:val="LPnavaden"/>
        <w:rPr>
          <w:lang w:val="en-GB"/>
        </w:rPr>
      </w:pPr>
      <w:r w:rsidRPr="00CD2EEF">
        <w:rPr>
          <w:lang w:val="en-GB"/>
        </w:rPr>
        <w:t>The SRPA manages the Central Records of Personal Doses (CRPD). All approved dosimetry services report monthly to the CRPD on the external exposure of all exposed workers and annually or semi-annually for internal exposures to radon.</w:t>
      </w:r>
    </w:p>
    <w:p w14:paraId="385BFFB6" w14:textId="1B95FDAD" w:rsidR="005248D4" w:rsidRPr="00CD2EEF" w:rsidRDefault="005248D4" w:rsidP="006075E5">
      <w:pPr>
        <w:pStyle w:val="LPnavaden"/>
        <w:rPr>
          <w:lang w:val="en-GB"/>
        </w:rPr>
      </w:pPr>
      <w:r w:rsidRPr="00CD2EEF">
        <w:rPr>
          <w:lang w:val="en-GB"/>
        </w:rPr>
        <w:t>The approved dosimetry services for 2021 were the IOS,</w:t>
      </w:r>
      <w:r w:rsidR="000132C6">
        <w:rPr>
          <w:lang w:val="en-GB"/>
        </w:rPr>
        <w:t xml:space="preserve"> the</w:t>
      </w:r>
      <w:r w:rsidRPr="00CD2EEF">
        <w:rPr>
          <w:lang w:val="en-GB"/>
        </w:rPr>
        <w:t xml:space="preserve"> JSI, and </w:t>
      </w:r>
      <w:r w:rsidR="00C5169D">
        <w:rPr>
          <w:lang w:val="en-GB"/>
        </w:rPr>
        <w:t>the Krško NPP</w:t>
      </w:r>
      <w:r w:rsidRPr="00CD2EEF">
        <w:rPr>
          <w:lang w:val="en-GB"/>
        </w:rPr>
        <w:t xml:space="preserve">. The IOS was approved for the assessment of radon exposure in mines and Karst caves. Currently, 19,450 persons have a record in the CRPD, including those who have ceased to work with sources of ionising radiation. </w:t>
      </w:r>
      <w:r w:rsidR="001B146F">
        <w:rPr>
          <w:lang w:val="en-GB"/>
        </w:rPr>
        <w:t>The Krško NPP</w:t>
      </w:r>
      <w:r w:rsidRPr="00CD2EEF">
        <w:rPr>
          <w:lang w:val="en-GB"/>
        </w:rPr>
        <w:t xml:space="preserve"> performed individual dosimetry for 433 plant personnel and 900 external workers, who received an average dose</w:t>
      </w:r>
      <w:r w:rsidRPr="00CD2EEF">
        <w:rPr>
          <w:rStyle w:val="Sprotnaopomba-sklic"/>
          <w:lang w:val="en-GB"/>
        </w:rPr>
        <w:footnoteReference w:id="2"/>
      </w:r>
      <w:r w:rsidRPr="00CD2EEF">
        <w:rPr>
          <w:lang w:val="en-GB"/>
        </w:rPr>
        <w:t xml:space="preserve"> of 0.91 mSv of ionising radiation. As for other work sectors, workers in nuclear medicine received the highest average annual effective dose of 0.52 mSv from external </w:t>
      </w:r>
      <w:r w:rsidRPr="00E054D5">
        <w:rPr>
          <w:lang w:val="en-GB"/>
        </w:rPr>
        <w:t>radiation, while employees in medicine and veterinary medicine received an average of 0</w:t>
      </w:r>
      <w:r w:rsidR="00BE2578" w:rsidRPr="00E054D5">
        <w:rPr>
          <w:lang w:val="en-GB"/>
        </w:rPr>
        <w:t>.</w:t>
      </w:r>
      <w:r w:rsidRPr="00E054D5">
        <w:rPr>
          <w:lang w:val="en-GB"/>
        </w:rPr>
        <w:t>18 mSv. Workers in industry received an average annual effective dose of 0.30 mSv, of which the maximum received</w:t>
      </w:r>
      <w:r w:rsidRPr="00CD2EEF">
        <w:rPr>
          <w:lang w:val="en-GB"/>
        </w:rPr>
        <w:t xml:space="preserve"> effective dose for workers performing industrial radiography was 0.49 mSv.</w:t>
      </w:r>
    </w:p>
    <w:p w14:paraId="3C6DC428" w14:textId="5E64E4AE" w:rsidR="005248D4" w:rsidRPr="00CD2EEF" w:rsidRDefault="005248D4" w:rsidP="006075E5">
      <w:pPr>
        <w:pStyle w:val="LPnavaden"/>
        <w:rPr>
          <w:lang w:val="en-GB"/>
        </w:rPr>
      </w:pPr>
      <w:r w:rsidRPr="00CD2EEF">
        <w:rPr>
          <w:lang w:val="en-GB"/>
        </w:rPr>
        <w:t xml:space="preserve">In 2021, the highest collective dose from external radiation was received by workers at </w:t>
      </w:r>
      <w:r w:rsidR="001B146F">
        <w:rPr>
          <w:lang w:val="en-GB"/>
        </w:rPr>
        <w:t>the Krško NPP</w:t>
      </w:r>
      <w:r w:rsidRPr="00CD2EEF">
        <w:rPr>
          <w:lang w:val="en-GB"/>
        </w:rPr>
        <w:t xml:space="preserve"> (925 man-mSv), followed by workers in the medical and veterinary sector (265 man-mSv) workers in industry (44 man-mSv), and workers in other activities (38 man-mSv).</w:t>
      </w:r>
    </w:p>
    <w:p w14:paraId="5A0B009B" w14:textId="2B047474" w:rsidR="005248D4" w:rsidRPr="00CD2EEF" w:rsidRDefault="005248D4" w:rsidP="006075E5">
      <w:pPr>
        <w:pStyle w:val="LPnavaden"/>
        <w:rPr>
          <w:lang w:val="en-GB"/>
        </w:rPr>
      </w:pPr>
      <w:r w:rsidRPr="00CD2EEF">
        <w:rPr>
          <w:lang w:val="en-GB"/>
        </w:rPr>
        <w:t xml:space="preserve">Since 2010, the CRPD has included personal doses received by employees of Slovenian companies when performing radiation activities abroad. High individual doses from external radiation are received by workers who carry out maintenance work at nuclear power plants abroad, and who are also involved in work at </w:t>
      </w:r>
      <w:r w:rsidR="001B146F">
        <w:rPr>
          <w:lang w:val="en-GB"/>
        </w:rPr>
        <w:t>the Krško NPP</w:t>
      </w:r>
      <w:r w:rsidRPr="00CD2EEF">
        <w:rPr>
          <w:lang w:val="en-GB"/>
        </w:rPr>
        <w:t xml:space="preserve"> and industrial radiography. It is important that for these workers</w:t>
      </w:r>
      <w:r w:rsidR="00BC255D">
        <w:rPr>
          <w:lang w:val="en-GB"/>
        </w:rPr>
        <w:t xml:space="preserve"> that</w:t>
      </w:r>
      <w:r w:rsidRPr="00CD2EEF">
        <w:rPr>
          <w:lang w:val="en-GB"/>
        </w:rPr>
        <w:t xml:space="preserve"> contributions from all activities </w:t>
      </w:r>
      <w:r w:rsidR="00B44FF3">
        <w:rPr>
          <w:lang w:val="en-GB"/>
        </w:rPr>
        <w:t>be</w:t>
      </w:r>
      <w:r w:rsidR="00B44FF3" w:rsidRPr="00CD2EEF">
        <w:rPr>
          <w:lang w:val="en-GB"/>
        </w:rPr>
        <w:t xml:space="preserve"> </w:t>
      </w:r>
      <w:r w:rsidRPr="00CD2EEF">
        <w:rPr>
          <w:lang w:val="en-GB"/>
        </w:rPr>
        <w:t xml:space="preserve">taken into account in the calculation of the annual individual dose. In 2021, </w:t>
      </w:r>
      <w:r w:rsidRPr="005B7ADF">
        <w:rPr>
          <w:lang w:val="en-GB"/>
        </w:rPr>
        <w:t xml:space="preserve">due to </w:t>
      </w:r>
      <w:r w:rsidR="009320DA" w:rsidRPr="005B7ADF">
        <w:rPr>
          <w:lang w:val="en-GB"/>
        </w:rPr>
        <w:t xml:space="preserve">the </w:t>
      </w:r>
      <w:r w:rsidR="001829DD" w:rsidRPr="005B7ADF">
        <w:rPr>
          <w:lang w:val="en-GB"/>
        </w:rPr>
        <w:t>Covid</w:t>
      </w:r>
      <w:r w:rsidRPr="005B7ADF">
        <w:rPr>
          <w:lang w:val="en-GB"/>
        </w:rPr>
        <w:t>-19</w:t>
      </w:r>
      <w:r w:rsidR="009320DA" w:rsidRPr="005B7ADF">
        <w:rPr>
          <w:lang w:val="en-GB"/>
        </w:rPr>
        <w:t xml:space="preserve"> epidemic</w:t>
      </w:r>
      <w:r w:rsidRPr="005B7ADF">
        <w:rPr>
          <w:lang w:val="en-GB"/>
        </w:rPr>
        <w:t>, only</w:t>
      </w:r>
      <w:r w:rsidRPr="00CD2EEF">
        <w:rPr>
          <w:lang w:val="en-GB"/>
        </w:rPr>
        <w:t xml:space="preserve"> one person performed work involving exposure to ionising radiation, both in Slovenia and abroad, and received a total annual effective dose of 3.17 mSv.</w:t>
      </w:r>
    </w:p>
    <w:p w14:paraId="73231E7C" w14:textId="3EEB73E9" w:rsidR="005248D4" w:rsidRPr="00E054D5" w:rsidRDefault="005248D4" w:rsidP="006075E5">
      <w:pPr>
        <w:pStyle w:val="LPnavaden"/>
        <w:rPr>
          <w:lang w:val="en-GB"/>
        </w:rPr>
      </w:pPr>
      <w:r w:rsidRPr="00CD2EEF">
        <w:rPr>
          <w:lang w:val="en-GB"/>
        </w:rPr>
        <w:t xml:space="preserve">The highest doses are received by workers exposed to radon and its progeny. In 2021, 2 </w:t>
      </w:r>
      <w:r w:rsidR="00857E6B" w:rsidRPr="00E054D5">
        <w:rPr>
          <w:lang w:val="en-GB"/>
        </w:rPr>
        <w:t xml:space="preserve">tourism </w:t>
      </w:r>
      <w:r w:rsidRPr="00E054D5">
        <w:rPr>
          <w:lang w:val="en-GB"/>
        </w:rPr>
        <w:t>workers out of 102 received a dose between 15 and 20 mSv, 10 workers received a dose between 10 and 15 mSv, 22 workers received a dose between 5 and 10 mSv</w:t>
      </w:r>
      <w:r w:rsidR="007F0B84" w:rsidRPr="00E054D5">
        <w:rPr>
          <w:lang w:val="en-GB"/>
        </w:rPr>
        <w:t>,</w:t>
      </w:r>
      <w:r w:rsidRPr="00E054D5">
        <w:rPr>
          <w:lang w:val="en-GB"/>
        </w:rPr>
        <w:t xml:space="preserve"> and 51 workers received a dose between 1 and 5 mSv and 17 workers below 1 mSv. The highest individual dose was 18.9 mSv. The collective dose was 445 man-mSv, with an average dose of 4.4 mSv. The collective dose and the average individual dose are lower than in the pre-epidemic period (1</w:t>
      </w:r>
      <w:r w:rsidR="00E946DA" w:rsidRPr="00E054D5">
        <w:rPr>
          <w:lang w:val="en-GB"/>
        </w:rPr>
        <w:t>,</w:t>
      </w:r>
      <w:r w:rsidRPr="00E054D5">
        <w:rPr>
          <w:lang w:val="en-GB"/>
        </w:rPr>
        <w:t xml:space="preserve">135 </w:t>
      </w:r>
      <w:r w:rsidR="00A82726" w:rsidRPr="00E054D5">
        <w:rPr>
          <w:lang w:val="en-GB"/>
        </w:rPr>
        <w:t>man-</w:t>
      </w:r>
      <w:r w:rsidRPr="00E054D5">
        <w:rPr>
          <w:lang w:val="en-GB"/>
        </w:rPr>
        <w:t>mSv and 6</w:t>
      </w:r>
      <w:r w:rsidR="00A909A2" w:rsidRPr="00E054D5">
        <w:rPr>
          <w:lang w:val="en-GB"/>
        </w:rPr>
        <w:t>.</w:t>
      </w:r>
      <w:r w:rsidRPr="00E054D5">
        <w:rPr>
          <w:lang w:val="en-GB"/>
        </w:rPr>
        <w:t xml:space="preserve">7 mSv for 2019), but higher than in 2020 (191 </w:t>
      </w:r>
      <w:r w:rsidR="00A82726" w:rsidRPr="00E054D5">
        <w:rPr>
          <w:lang w:val="en-GB"/>
        </w:rPr>
        <w:t>man-</w:t>
      </w:r>
      <w:r w:rsidRPr="00E054D5">
        <w:rPr>
          <w:lang w:val="en-GB"/>
        </w:rPr>
        <w:t xml:space="preserve">mSv and 2.7 mSv). </w:t>
      </w:r>
      <w:r w:rsidR="00857E6B" w:rsidRPr="00E054D5">
        <w:rPr>
          <w:lang w:val="en-GB"/>
        </w:rPr>
        <w:t xml:space="preserve">Tourism </w:t>
      </w:r>
      <w:r w:rsidRPr="00E054D5">
        <w:rPr>
          <w:lang w:val="en-GB"/>
        </w:rPr>
        <w:t xml:space="preserve">workers in </w:t>
      </w:r>
      <w:r w:rsidR="00FF787A" w:rsidRPr="00E054D5">
        <w:rPr>
          <w:lang w:val="en-GB"/>
        </w:rPr>
        <w:t>K</w:t>
      </w:r>
      <w:r w:rsidRPr="00E054D5">
        <w:rPr>
          <w:lang w:val="en-GB"/>
        </w:rPr>
        <w:t>arst caves are the most exposed group of workers in Slovenia.</w:t>
      </w:r>
    </w:p>
    <w:p w14:paraId="255575A2" w14:textId="69CA7BE5" w:rsidR="005248D4" w:rsidRPr="00CD2EEF" w:rsidRDefault="005248D4" w:rsidP="006075E5">
      <w:pPr>
        <w:pStyle w:val="LPnavaden"/>
        <w:rPr>
          <w:lang w:val="en-GB"/>
        </w:rPr>
      </w:pPr>
      <w:r w:rsidRPr="00E054D5">
        <w:rPr>
          <w:lang w:val="en-GB"/>
        </w:rPr>
        <w:t xml:space="preserve">The findings of a study (Institute of Occupational Safety, No. LMSAR-100/2005-PJ, 2005) on the exposure of individuals in Karst caves, financed by the SRPA, show that the doses of </w:t>
      </w:r>
      <w:r w:rsidR="00857E6B" w:rsidRPr="00E054D5">
        <w:rPr>
          <w:lang w:val="en-GB"/>
        </w:rPr>
        <w:t>tourism</w:t>
      </w:r>
      <w:r w:rsidR="00857E6B" w:rsidRPr="00CD2EEF">
        <w:rPr>
          <w:lang w:val="en-GB"/>
        </w:rPr>
        <w:t xml:space="preserve"> </w:t>
      </w:r>
      <w:r w:rsidRPr="00CD2EEF">
        <w:rPr>
          <w:lang w:val="en-GB"/>
        </w:rPr>
        <w:t>workers in Karst caves due to radon exposure, assessed according to the ICRP (</w:t>
      </w:r>
      <w:r w:rsidRPr="00CD2EEF">
        <w:rPr>
          <w:rStyle w:val="LPnavadenposevnoZnak"/>
          <w:lang w:val="en-GB"/>
        </w:rPr>
        <w:t>International Commission for Radiation Protection</w:t>
      </w:r>
      <w:r w:rsidRPr="00CD2EEF">
        <w:rPr>
          <w:lang w:val="en-GB"/>
        </w:rPr>
        <w:t xml:space="preserve">) 65 model, are underestimated. Due to the high unattached fraction </w:t>
      </w:r>
      <w:r w:rsidRPr="00CD2EEF">
        <w:rPr>
          <w:lang w:val="en-GB"/>
        </w:rPr>
        <w:lastRenderedPageBreak/>
        <w:t>of radon progeny in the atmosphere of Karst caves, the ICRP 32 model should be used and an approximately two-times higher dose factor should be taken into account. Therefore, the received doses from radon and its progeny are assessed according to the ICRP 32 model in this report. The doses calculated in such a manner are thus twice as high as those calculated according to the ICRP 65 model.</w:t>
      </w:r>
    </w:p>
    <w:p w14:paraId="5A8E819F" w14:textId="77777777" w:rsidR="005248D4" w:rsidRPr="00CD2EEF" w:rsidRDefault="005248D4" w:rsidP="006075E5">
      <w:pPr>
        <w:pStyle w:val="LPnavaden"/>
        <w:rPr>
          <w:lang w:val="en-GB"/>
        </w:rPr>
      </w:pPr>
      <w:r w:rsidRPr="00CD2EEF">
        <w:rPr>
          <w:lang w:val="en-GB"/>
        </w:rPr>
        <w:t>At the Žirovski Vrh Uranium Mine, 8 workers received a collective dose of 0.62 man-mSv, whereas the average individual dose was 0.08 mSv.</w:t>
      </w:r>
    </w:p>
    <w:p w14:paraId="280F8C53" w14:textId="170365A2" w:rsidR="005248D4" w:rsidRPr="00CD2EEF" w:rsidRDefault="005248D4" w:rsidP="006075E5">
      <w:pPr>
        <w:pStyle w:val="LPnavaden"/>
        <w:rPr>
          <w:lang w:val="en-GB"/>
        </w:rPr>
      </w:pPr>
      <w:r w:rsidRPr="00CD2EEF">
        <w:rPr>
          <w:lang w:val="en-GB"/>
        </w:rPr>
        <w:t xml:space="preserve">The distribution of workers in different work sectors by received dose interval (mSv) is shown in </w:t>
      </w:r>
      <w:hyperlink w:anchor="t09" w:history="1">
        <w:r w:rsidRPr="00CD2EEF">
          <w:rPr>
            <w:rStyle w:val="Hiperpovezava"/>
            <w:lang w:val="en-GB"/>
          </w:rPr>
          <w:t>Table 9</w:t>
        </w:r>
      </w:hyperlink>
      <w:r w:rsidRPr="00CD2EEF">
        <w:rPr>
          <w:lang w:val="en-GB"/>
        </w:rPr>
        <w:t>.</w:t>
      </w:r>
    </w:p>
    <w:p w14:paraId="778724A4" w14:textId="35F12410" w:rsidR="005248D4" w:rsidRPr="00CD2EEF" w:rsidRDefault="00BE0188" w:rsidP="00BE0188">
      <w:pPr>
        <w:pStyle w:val="LPnaslovpreglednica"/>
        <w:rPr>
          <w:lang w:val="en-GB"/>
        </w:rPr>
      </w:pPr>
      <w:bookmarkStart w:id="281" w:name="_Toc46257303"/>
      <w:bookmarkStart w:id="282" w:name="_Toc47694746"/>
      <w:bookmarkStart w:id="283" w:name="_Toc84321466"/>
      <w:bookmarkStart w:id="284" w:name="_Toc126309916"/>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Pr="00CD2EEF">
        <w:rPr>
          <w:lang w:val="en-GB"/>
        </w:rPr>
        <w:t>9</w:t>
      </w:r>
      <w:r w:rsidR="00366B6D" w:rsidRPr="00CD2EEF">
        <w:rPr>
          <w:lang w:val="en-GB"/>
        </w:rPr>
        <w:fldChar w:fldCharType="end"/>
      </w:r>
      <w:r w:rsidR="005248D4" w:rsidRPr="00CD2EEF">
        <w:rPr>
          <w:lang w:val="en-GB"/>
        </w:rPr>
        <w:t>: The number of workers in different work sectors by dose interval (mSv)</w:t>
      </w:r>
      <w:bookmarkEnd w:id="281"/>
      <w:bookmarkEnd w:id="282"/>
      <w:bookmarkEnd w:id="283"/>
      <w:bookmarkEnd w:id="284"/>
    </w:p>
    <w:tbl>
      <w:tblPr>
        <w:tblW w:w="964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1225"/>
        <w:gridCol w:w="644"/>
        <w:gridCol w:w="1128"/>
        <w:gridCol w:w="920"/>
        <w:gridCol w:w="1004"/>
        <w:gridCol w:w="1075"/>
        <w:gridCol w:w="1088"/>
        <w:gridCol w:w="1101"/>
        <w:gridCol w:w="723"/>
        <w:gridCol w:w="736"/>
      </w:tblGrid>
      <w:tr w:rsidR="005248D4" w:rsidRPr="00CD2EEF" w14:paraId="791DEAB7" w14:textId="77777777" w:rsidTr="001D242C">
        <w:tc>
          <w:tcPr>
            <w:tcW w:w="1225" w:type="dxa"/>
            <w:shd w:val="clear" w:color="auto" w:fill="5B9BD5" w:themeFill="accent1"/>
          </w:tcPr>
          <w:p w14:paraId="16959547" w14:textId="77777777" w:rsidR="005248D4" w:rsidRPr="00CD2EEF" w:rsidRDefault="005248D4" w:rsidP="001D242C">
            <w:pPr>
              <w:pStyle w:val="LPpreglednicaglavasredina"/>
              <w:rPr>
                <w:color w:val="auto"/>
                <w:sz w:val="18"/>
                <w:lang w:val="en-GB"/>
              </w:rPr>
            </w:pPr>
            <w:bookmarkStart w:id="285" w:name="t09"/>
            <w:r w:rsidRPr="00CD2EEF">
              <w:rPr>
                <w:color w:val="auto"/>
                <w:lang w:val="en-GB"/>
              </w:rPr>
              <w:t>Sector</w:t>
            </w:r>
          </w:p>
        </w:tc>
        <w:tc>
          <w:tcPr>
            <w:tcW w:w="644" w:type="dxa"/>
            <w:shd w:val="clear" w:color="auto" w:fill="5B9BD5" w:themeFill="accent1"/>
          </w:tcPr>
          <w:p w14:paraId="038C7547" w14:textId="77777777" w:rsidR="005248D4" w:rsidRPr="00CD2EEF" w:rsidRDefault="005248D4" w:rsidP="001D242C">
            <w:pPr>
              <w:pStyle w:val="LPpreglednicaglavasredina"/>
              <w:rPr>
                <w:color w:val="auto"/>
                <w:sz w:val="18"/>
                <w:lang w:val="en-GB"/>
              </w:rPr>
            </w:pPr>
            <w:r w:rsidRPr="00CD2EEF">
              <w:rPr>
                <w:color w:val="auto"/>
                <w:sz w:val="18"/>
                <w:lang w:val="en-GB"/>
              </w:rPr>
              <w:t>0–ND</w:t>
            </w:r>
          </w:p>
        </w:tc>
        <w:tc>
          <w:tcPr>
            <w:tcW w:w="1128" w:type="dxa"/>
            <w:shd w:val="clear" w:color="auto" w:fill="5B9BD5" w:themeFill="accent1"/>
          </w:tcPr>
          <w:p w14:paraId="3E7BC5E9" w14:textId="77777777" w:rsidR="005248D4" w:rsidRPr="00CD2EEF" w:rsidRDefault="005248D4" w:rsidP="001D242C">
            <w:pPr>
              <w:pStyle w:val="LPpreglednicaglavasredina"/>
              <w:rPr>
                <w:color w:val="auto"/>
                <w:sz w:val="18"/>
                <w:lang w:val="en-GB"/>
              </w:rPr>
            </w:pPr>
            <w:r w:rsidRPr="00CD2EEF">
              <w:rPr>
                <w:color w:val="auto"/>
                <w:sz w:val="18"/>
                <w:lang w:val="en-GB"/>
              </w:rPr>
              <w:t>ND ≤ E &lt; 1</w:t>
            </w:r>
          </w:p>
        </w:tc>
        <w:tc>
          <w:tcPr>
            <w:tcW w:w="920" w:type="dxa"/>
            <w:shd w:val="clear" w:color="auto" w:fill="5B9BD5" w:themeFill="accent1"/>
          </w:tcPr>
          <w:p w14:paraId="2D64606D" w14:textId="77777777" w:rsidR="005248D4" w:rsidRPr="00CD2EEF" w:rsidRDefault="005248D4" w:rsidP="001D242C">
            <w:pPr>
              <w:pStyle w:val="LPpreglednicaglavasredina"/>
              <w:rPr>
                <w:color w:val="auto"/>
                <w:sz w:val="18"/>
                <w:lang w:val="en-GB"/>
              </w:rPr>
            </w:pPr>
            <w:r w:rsidRPr="00CD2EEF">
              <w:rPr>
                <w:color w:val="auto"/>
                <w:sz w:val="18"/>
                <w:lang w:val="en-GB"/>
              </w:rPr>
              <w:t>1 ≤ E &lt; 5</w:t>
            </w:r>
          </w:p>
        </w:tc>
        <w:tc>
          <w:tcPr>
            <w:tcW w:w="1004" w:type="dxa"/>
            <w:shd w:val="clear" w:color="auto" w:fill="5B9BD5" w:themeFill="accent1"/>
          </w:tcPr>
          <w:p w14:paraId="7ED3F4D5" w14:textId="77777777" w:rsidR="005248D4" w:rsidRPr="00CD2EEF" w:rsidRDefault="005248D4" w:rsidP="001D242C">
            <w:pPr>
              <w:pStyle w:val="LPpreglednicaglavasredina"/>
              <w:rPr>
                <w:color w:val="auto"/>
                <w:sz w:val="18"/>
                <w:lang w:val="en-GB"/>
              </w:rPr>
            </w:pPr>
            <w:r w:rsidRPr="00CD2EEF">
              <w:rPr>
                <w:color w:val="auto"/>
                <w:sz w:val="18"/>
                <w:lang w:val="en-GB"/>
              </w:rPr>
              <w:t>5 ≤ E &lt; 10</w:t>
            </w:r>
          </w:p>
        </w:tc>
        <w:tc>
          <w:tcPr>
            <w:tcW w:w="1075" w:type="dxa"/>
            <w:shd w:val="clear" w:color="auto" w:fill="5B9BD5" w:themeFill="accent1"/>
          </w:tcPr>
          <w:p w14:paraId="24649B46" w14:textId="77777777" w:rsidR="005248D4" w:rsidRPr="00CD2EEF" w:rsidRDefault="005248D4" w:rsidP="001D242C">
            <w:pPr>
              <w:pStyle w:val="LPpreglednicaglavasredina"/>
              <w:rPr>
                <w:color w:val="auto"/>
                <w:sz w:val="18"/>
                <w:lang w:val="en-GB"/>
              </w:rPr>
            </w:pPr>
            <w:r w:rsidRPr="00CD2EEF">
              <w:rPr>
                <w:color w:val="auto"/>
                <w:sz w:val="18"/>
                <w:lang w:val="en-GB"/>
              </w:rPr>
              <w:t>10 ≤ E &lt; 15</w:t>
            </w:r>
          </w:p>
        </w:tc>
        <w:tc>
          <w:tcPr>
            <w:tcW w:w="1088" w:type="dxa"/>
            <w:shd w:val="clear" w:color="auto" w:fill="5B9BD5" w:themeFill="accent1"/>
          </w:tcPr>
          <w:p w14:paraId="42A584B3" w14:textId="77777777" w:rsidR="005248D4" w:rsidRPr="00CD2EEF" w:rsidRDefault="005248D4" w:rsidP="001D242C">
            <w:pPr>
              <w:pStyle w:val="LPpreglednicaglavasredina"/>
              <w:rPr>
                <w:color w:val="auto"/>
                <w:sz w:val="18"/>
                <w:lang w:val="en-GB"/>
              </w:rPr>
            </w:pPr>
            <w:r w:rsidRPr="00CD2EEF">
              <w:rPr>
                <w:color w:val="auto"/>
                <w:sz w:val="18"/>
                <w:lang w:val="en-GB"/>
              </w:rPr>
              <w:t>15 ≤ E &lt; 20</w:t>
            </w:r>
          </w:p>
        </w:tc>
        <w:tc>
          <w:tcPr>
            <w:tcW w:w="1101" w:type="dxa"/>
            <w:shd w:val="clear" w:color="auto" w:fill="5B9BD5" w:themeFill="accent1"/>
          </w:tcPr>
          <w:p w14:paraId="62E0B0AD" w14:textId="77777777" w:rsidR="005248D4" w:rsidRPr="00CD2EEF" w:rsidRDefault="005248D4" w:rsidP="001D242C">
            <w:pPr>
              <w:pStyle w:val="LPpreglednicaglavasredina"/>
              <w:rPr>
                <w:color w:val="auto"/>
                <w:sz w:val="18"/>
                <w:lang w:val="en-GB"/>
              </w:rPr>
            </w:pPr>
            <w:r w:rsidRPr="00CD2EEF">
              <w:rPr>
                <w:color w:val="auto"/>
                <w:sz w:val="18"/>
                <w:lang w:val="en-GB"/>
              </w:rPr>
              <w:t>20 ≤ E &lt; 30</w:t>
            </w:r>
          </w:p>
        </w:tc>
        <w:tc>
          <w:tcPr>
            <w:tcW w:w="723" w:type="dxa"/>
            <w:shd w:val="clear" w:color="auto" w:fill="5B9BD5" w:themeFill="accent1"/>
          </w:tcPr>
          <w:p w14:paraId="60E6BB08" w14:textId="77777777" w:rsidR="005248D4" w:rsidRPr="00CD2EEF" w:rsidRDefault="005248D4" w:rsidP="001D242C">
            <w:pPr>
              <w:pStyle w:val="LPpreglednicaglavasredina"/>
              <w:rPr>
                <w:color w:val="auto"/>
                <w:sz w:val="18"/>
                <w:lang w:val="en-GB"/>
              </w:rPr>
            </w:pPr>
            <w:r w:rsidRPr="00CD2EEF">
              <w:rPr>
                <w:color w:val="auto"/>
                <w:sz w:val="18"/>
                <w:lang w:val="en-GB"/>
              </w:rPr>
              <w:t>E ≥ 30</w:t>
            </w:r>
          </w:p>
        </w:tc>
        <w:tc>
          <w:tcPr>
            <w:tcW w:w="736" w:type="dxa"/>
            <w:shd w:val="clear" w:color="auto" w:fill="5B9BD5" w:themeFill="accent1"/>
          </w:tcPr>
          <w:p w14:paraId="0EA2081D" w14:textId="77777777" w:rsidR="005248D4" w:rsidRPr="00CD2EEF" w:rsidRDefault="005248D4" w:rsidP="001D242C">
            <w:pPr>
              <w:pStyle w:val="LPpreglednicaglavasredina"/>
              <w:rPr>
                <w:color w:val="auto"/>
                <w:sz w:val="18"/>
                <w:lang w:val="en-GB"/>
              </w:rPr>
            </w:pPr>
            <w:r w:rsidRPr="00CD2EEF">
              <w:rPr>
                <w:color w:val="auto"/>
                <w:sz w:val="18"/>
                <w:lang w:val="en-GB"/>
              </w:rPr>
              <w:t>Total</w:t>
            </w:r>
          </w:p>
        </w:tc>
      </w:tr>
      <w:tr w:rsidR="005248D4" w:rsidRPr="00CD2EEF" w14:paraId="09BEF6E1" w14:textId="77777777" w:rsidTr="001D242C">
        <w:tc>
          <w:tcPr>
            <w:tcW w:w="1225" w:type="dxa"/>
          </w:tcPr>
          <w:p w14:paraId="0BC278CD" w14:textId="25DC6293" w:rsidR="005248D4" w:rsidRPr="00CD2EEF" w:rsidRDefault="00C5169D" w:rsidP="001D242C">
            <w:pPr>
              <w:pStyle w:val="LP-preglednicatelosredina"/>
              <w:rPr>
                <w:lang w:val="en-GB"/>
              </w:rPr>
            </w:pPr>
            <w:r>
              <w:rPr>
                <w:lang w:val="en-GB"/>
              </w:rPr>
              <w:t>Krško NPP</w:t>
            </w:r>
          </w:p>
        </w:tc>
        <w:tc>
          <w:tcPr>
            <w:tcW w:w="644" w:type="dxa"/>
            <w:vAlign w:val="bottom"/>
          </w:tcPr>
          <w:p w14:paraId="3EA10FF0" w14:textId="77777777" w:rsidR="005248D4" w:rsidRPr="00CD2EEF" w:rsidRDefault="005248D4" w:rsidP="001D242C">
            <w:pPr>
              <w:pStyle w:val="LP-preglednicatelosredina"/>
              <w:rPr>
                <w:lang w:val="en-GB"/>
              </w:rPr>
            </w:pPr>
            <w:r w:rsidRPr="00CD2EEF">
              <w:rPr>
                <w:lang w:val="en-GB"/>
              </w:rPr>
              <w:t>319</w:t>
            </w:r>
          </w:p>
        </w:tc>
        <w:tc>
          <w:tcPr>
            <w:tcW w:w="1128" w:type="dxa"/>
            <w:vAlign w:val="bottom"/>
          </w:tcPr>
          <w:p w14:paraId="43ED3E42" w14:textId="77777777" w:rsidR="005248D4" w:rsidRPr="00CD2EEF" w:rsidRDefault="005248D4" w:rsidP="001D242C">
            <w:pPr>
              <w:pStyle w:val="LP-preglednicatelosredina"/>
              <w:rPr>
                <w:lang w:val="en-GB"/>
              </w:rPr>
            </w:pPr>
            <w:r w:rsidRPr="00CD2EEF">
              <w:rPr>
                <w:lang w:val="en-GB"/>
              </w:rPr>
              <w:t>724</w:t>
            </w:r>
          </w:p>
        </w:tc>
        <w:tc>
          <w:tcPr>
            <w:tcW w:w="920" w:type="dxa"/>
            <w:vAlign w:val="bottom"/>
          </w:tcPr>
          <w:p w14:paraId="7F7A3C2B" w14:textId="77777777" w:rsidR="005248D4" w:rsidRPr="00CD2EEF" w:rsidRDefault="005248D4" w:rsidP="001D242C">
            <w:pPr>
              <w:pStyle w:val="LP-preglednicatelosredina"/>
              <w:rPr>
                <w:lang w:val="en-GB"/>
              </w:rPr>
            </w:pPr>
            <w:r w:rsidRPr="00CD2EEF">
              <w:rPr>
                <w:lang w:val="en-GB"/>
              </w:rPr>
              <w:t>268</w:t>
            </w:r>
          </w:p>
        </w:tc>
        <w:tc>
          <w:tcPr>
            <w:tcW w:w="1004" w:type="dxa"/>
            <w:vAlign w:val="bottom"/>
          </w:tcPr>
          <w:p w14:paraId="0F6347CB" w14:textId="77777777" w:rsidR="005248D4" w:rsidRPr="00CD2EEF" w:rsidRDefault="005248D4" w:rsidP="001D242C">
            <w:pPr>
              <w:pStyle w:val="LP-preglednicatelosredina"/>
              <w:rPr>
                <w:lang w:val="en-GB"/>
              </w:rPr>
            </w:pPr>
            <w:r w:rsidRPr="00CD2EEF">
              <w:rPr>
                <w:lang w:val="en-GB"/>
              </w:rPr>
              <w:t>22</w:t>
            </w:r>
          </w:p>
        </w:tc>
        <w:tc>
          <w:tcPr>
            <w:tcW w:w="1075" w:type="dxa"/>
            <w:vAlign w:val="bottom"/>
          </w:tcPr>
          <w:p w14:paraId="6EC5E81F" w14:textId="77777777" w:rsidR="005248D4" w:rsidRPr="00CD2EEF" w:rsidRDefault="005248D4" w:rsidP="001D242C">
            <w:pPr>
              <w:pStyle w:val="LP-preglednicatelosredina"/>
              <w:rPr>
                <w:lang w:val="en-GB"/>
              </w:rPr>
            </w:pPr>
            <w:r w:rsidRPr="00CD2EEF">
              <w:rPr>
                <w:lang w:val="en-GB"/>
              </w:rPr>
              <w:t>0</w:t>
            </w:r>
          </w:p>
        </w:tc>
        <w:tc>
          <w:tcPr>
            <w:tcW w:w="1088" w:type="dxa"/>
            <w:vAlign w:val="bottom"/>
          </w:tcPr>
          <w:p w14:paraId="3966E200" w14:textId="77777777" w:rsidR="005248D4" w:rsidRPr="00CD2EEF" w:rsidRDefault="005248D4" w:rsidP="001D242C">
            <w:pPr>
              <w:pStyle w:val="LP-preglednicatelosredina"/>
              <w:rPr>
                <w:lang w:val="en-GB"/>
              </w:rPr>
            </w:pPr>
            <w:r w:rsidRPr="00CD2EEF">
              <w:rPr>
                <w:lang w:val="en-GB"/>
              </w:rPr>
              <w:t>0</w:t>
            </w:r>
          </w:p>
        </w:tc>
        <w:tc>
          <w:tcPr>
            <w:tcW w:w="1101" w:type="dxa"/>
            <w:vAlign w:val="bottom"/>
          </w:tcPr>
          <w:p w14:paraId="3AF8F3D7" w14:textId="77777777" w:rsidR="005248D4" w:rsidRPr="00CD2EEF" w:rsidRDefault="005248D4" w:rsidP="001D242C">
            <w:pPr>
              <w:pStyle w:val="LP-preglednicatelosredina"/>
              <w:rPr>
                <w:lang w:val="en-GB"/>
              </w:rPr>
            </w:pPr>
            <w:r w:rsidRPr="00CD2EEF">
              <w:rPr>
                <w:lang w:val="en-GB"/>
              </w:rPr>
              <w:t>0</w:t>
            </w:r>
          </w:p>
        </w:tc>
        <w:tc>
          <w:tcPr>
            <w:tcW w:w="723" w:type="dxa"/>
            <w:vAlign w:val="bottom"/>
          </w:tcPr>
          <w:p w14:paraId="7BAF50C6" w14:textId="77777777" w:rsidR="005248D4" w:rsidRPr="00CD2EEF" w:rsidRDefault="005248D4" w:rsidP="001D242C">
            <w:pPr>
              <w:pStyle w:val="LP-preglednicatelosredina"/>
              <w:rPr>
                <w:lang w:val="en-GB"/>
              </w:rPr>
            </w:pPr>
            <w:r w:rsidRPr="00CD2EEF">
              <w:rPr>
                <w:lang w:val="en-GB"/>
              </w:rPr>
              <w:t>0</w:t>
            </w:r>
          </w:p>
        </w:tc>
        <w:tc>
          <w:tcPr>
            <w:tcW w:w="736" w:type="dxa"/>
            <w:vAlign w:val="bottom"/>
          </w:tcPr>
          <w:p w14:paraId="0FBABBB0" w14:textId="77777777" w:rsidR="005248D4" w:rsidRPr="00CD2EEF" w:rsidRDefault="005248D4" w:rsidP="001D242C">
            <w:pPr>
              <w:pStyle w:val="LP-preglednicatelosredina"/>
              <w:rPr>
                <w:lang w:val="en-GB"/>
              </w:rPr>
            </w:pPr>
            <w:r w:rsidRPr="00CD2EEF">
              <w:rPr>
                <w:lang w:val="en-GB"/>
              </w:rPr>
              <w:t>1,333</w:t>
            </w:r>
          </w:p>
        </w:tc>
      </w:tr>
      <w:tr w:rsidR="005248D4" w:rsidRPr="00CD2EEF" w14:paraId="0855E20C" w14:textId="77777777" w:rsidTr="001D242C">
        <w:tc>
          <w:tcPr>
            <w:tcW w:w="1225" w:type="dxa"/>
          </w:tcPr>
          <w:p w14:paraId="7E11C218" w14:textId="77777777" w:rsidR="005248D4" w:rsidRPr="00CD2EEF" w:rsidRDefault="005248D4" w:rsidP="001D242C">
            <w:pPr>
              <w:pStyle w:val="LP-preglednicatelosredina"/>
              <w:rPr>
                <w:lang w:val="en-GB"/>
              </w:rPr>
            </w:pPr>
            <w:r w:rsidRPr="00CD2EEF">
              <w:rPr>
                <w:lang w:val="en-GB"/>
              </w:rPr>
              <w:t>Industry</w:t>
            </w:r>
          </w:p>
        </w:tc>
        <w:tc>
          <w:tcPr>
            <w:tcW w:w="644" w:type="dxa"/>
            <w:vAlign w:val="bottom"/>
          </w:tcPr>
          <w:p w14:paraId="0A5000F1" w14:textId="77777777" w:rsidR="005248D4" w:rsidRPr="00CD2EEF" w:rsidRDefault="005248D4" w:rsidP="001D242C">
            <w:pPr>
              <w:pStyle w:val="LP-preglednicatelosredina"/>
              <w:rPr>
                <w:lang w:val="en-GB"/>
              </w:rPr>
            </w:pPr>
            <w:r w:rsidRPr="00CD2EEF">
              <w:rPr>
                <w:lang w:val="en-GB"/>
              </w:rPr>
              <w:t>520</w:t>
            </w:r>
          </w:p>
        </w:tc>
        <w:tc>
          <w:tcPr>
            <w:tcW w:w="1128" w:type="dxa"/>
            <w:vAlign w:val="bottom"/>
          </w:tcPr>
          <w:p w14:paraId="3A40D885" w14:textId="77777777" w:rsidR="005248D4" w:rsidRPr="00CD2EEF" w:rsidRDefault="005248D4" w:rsidP="001D242C">
            <w:pPr>
              <w:pStyle w:val="LP-preglednicatelosredina"/>
              <w:rPr>
                <w:lang w:val="en-GB"/>
              </w:rPr>
            </w:pPr>
            <w:r w:rsidRPr="00CD2EEF">
              <w:rPr>
                <w:lang w:val="en-GB"/>
              </w:rPr>
              <w:t>135</w:t>
            </w:r>
          </w:p>
        </w:tc>
        <w:tc>
          <w:tcPr>
            <w:tcW w:w="920" w:type="dxa"/>
            <w:vAlign w:val="bottom"/>
          </w:tcPr>
          <w:p w14:paraId="64BF3E48" w14:textId="77777777" w:rsidR="005248D4" w:rsidRPr="00CD2EEF" w:rsidRDefault="005248D4" w:rsidP="001D242C">
            <w:pPr>
              <w:pStyle w:val="LP-preglednicatelosredina"/>
              <w:rPr>
                <w:lang w:val="en-GB"/>
              </w:rPr>
            </w:pPr>
            <w:r w:rsidRPr="00CD2EEF">
              <w:rPr>
                <w:lang w:val="en-GB"/>
              </w:rPr>
              <w:t>13</w:t>
            </w:r>
          </w:p>
        </w:tc>
        <w:tc>
          <w:tcPr>
            <w:tcW w:w="1004" w:type="dxa"/>
            <w:vAlign w:val="bottom"/>
          </w:tcPr>
          <w:p w14:paraId="17C53370" w14:textId="77777777" w:rsidR="005248D4" w:rsidRPr="00CD2EEF" w:rsidRDefault="005248D4" w:rsidP="001D242C">
            <w:pPr>
              <w:pStyle w:val="LP-preglednicatelosredina"/>
              <w:rPr>
                <w:lang w:val="en-GB"/>
              </w:rPr>
            </w:pPr>
            <w:r w:rsidRPr="00CD2EEF">
              <w:rPr>
                <w:lang w:val="en-GB"/>
              </w:rPr>
              <w:t>0</w:t>
            </w:r>
          </w:p>
        </w:tc>
        <w:tc>
          <w:tcPr>
            <w:tcW w:w="1075" w:type="dxa"/>
            <w:vAlign w:val="bottom"/>
          </w:tcPr>
          <w:p w14:paraId="03531D04" w14:textId="77777777" w:rsidR="005248D4" w:rsidRPr="00CD2EEF" w:rsidRDefault="005248D4" w:rsidP="001D242C">
            <w:pPr>
              <w:pStyle w:val="LP-preglednicatelosredina"/>
              <w:rPr>
                <w:lang w:val="en-GB"/>
              </w:rPr>
            </w:pPr>
            <w:r w:rsidRPr="00CD2EEF">
              <w:rPr>
                <w:lang w:val="en-GB"/>
              </w:rPr>
              <w:t>0</w:t>
            </w:r>
          </w:p>
        </w:tc>
        <w:tc>
          <w:tcPr>
            <w:tcW w:w="1088" w:type="dxa"/>
            <w:vAlign w:val="bottom"/>
          </w:tcPr>
          <w:p w14:paraId="268CE750" w14:textId="77777777" w:rsidR="005248D4" w:rsidRPr="00CD2EEF" w:rsidRDefault="005248D4" w:rsidP="001D242C">
            <w:pPr>
              <w:pStyle w:val="LP-preglednicatelosredina"/>
              <w:rPr>
                <w:lang w:val="en-GB"/>
              </w:rPr>
            </w:pPr>
            <w:r w:rsidRPr="00CD2EEF">
              <w:rPr>
                <w:lang w:val="en-GB"/>
              </w:rPr>
              <w:t>0</w:t>
            </w:r>
          </w:p>
        </w:tc>
        <w:tc>
          <w:tcPr>
            <w:tcW w:w="1101" w:type="dxa"/>
            <w:vAlign w:val="bottom"/>
          </w:tcPr>
          <w:p w14:paraId="0692BF23" w14:textId="77777777" w:rsidR="005248D4" w:rsidRPr="00CD2EEF" w:rsidRDefault="005248D4" w:rsidP="001D242C">
            <w:pPr>
              <w:pStyle w:val="LP-preglednicatelosredina"/>
              <w:rPr>
                <w:lang w:val="en-GB"/>
              </w:rPr>
            </w:pPr>
            <w:r w:rsidRPr="00CD2EEF">
              <w:rPr>
                <w:lang w:val="en-GB"/>
              </w:rPr>
              <w:t>0</w:t>
            </w:r>
          </w:p>
        </w:tc>
        <w:tc>
          <w:tcPr>
            <w:tcW w:w="723" w:type="dxa"/>
            <w:vAlign w:val="bottom"/>
          </w:tcPr>
          <w:p w14:paraId="46BB4861" w14:textId="77777777" w:rsidR="005248D4" w:rsidRPr="00CD2EEF" w:rsidRDefault="005248D4" w:rsidP="001D242C">
            <w:pPr>
              <w:pStyle w:val="LP-preglednicatelosredina"/>
              <w:rPr>
                <w:lang w:val="en-GB"/>
              </w:rPr>
            </w:pPr>
            <w:r w:rsidRPr="00CD2EEF">
              <w:rPr>
                <w:lang w:val="en-GB"/>
              </w:rPr>
              <w:t>0</w:t>
            </w:r>
          </w:p>
        </w:tc>
        <w:tc>
          <w:tcPr>
            <w:tcW w:w="736" w:type="dxa"/>
            <w:vAlign w:val="bottom"/>
          </w:tcPr>
          <w:p w14:paraId="19D48097" w14:textId="77777777" w:rsidR="005248D4" w:rsidRPr="00CD2EEF" w:rsidRDefault="005248D4" w:rsidP="001D242C">
            <w:pPr>
              <w:pStyle w:val="LP-preglednicatelosredina"/>
              <w:rPr>
                <w:lang w:val="en-GB"/>
              </w:rPr>
            </w:pPr>
            <w:r w:rsidRPr="00CD2EEF">
              <w:rPr>
                <w:lang w:val="en-GB"/>
              </w:rPr>
              <w:t>668</w:t>
            </w:r>
          </w:p>
        </w:tc>
      </w:tr>
      <w:tr w:rsidR="005248D4" w:rsidRPr="00CD2EEF" w14:paraId="75693779" w14:textId="77777777" w:rsidTr="001D242C">
        <w:tc>
          <w:tcPr>
            <w:tcW w:w="1225" w:type="dxa"/>
          </w:tcPr>
          <w:p w14:paraId="61CD9AE2" w14:textId="77777777" w:rsidR="005248D4" w:rsidRPr="00CD2EEF" w:rsidRDefault="005248D4" w:rsidP="001D242C">
            <w:pPr>
              <w:pStyle w:val="LP-preglednicatelosredina"/>
              <w:rPr>
                <w:lang w:val="en-GB"/>
              </w:rPr>
            </w:pPr>
            <w:r w:rsidRPr="00CD2EEF">
              <w:rPr>
                <w:lang w:val="en-GB"/>
              </w:rPr>
              <w:t>Medicine and veterinary medicine</w:t>
            </w:r>
          </w:p>
        </w:tc>
        <w:tc>
          <w:tcPr>
            <w:tcW w:w="644" w:type="dxa"/>
            <w:vAlign w:val="bottom"/>
          </w:tcPr>
          <w:p w14:paraId="27BBB69B" w14:textId="77777777" w:rsidR="005248D4" w:rsidRPr="00CD2EEF" w:rsidRDefault="005248D4" w:rsidP="001D242C">
            <w:pPr>
              <w:pStyle w:val="LP-preglednicatelosredina"/>
              <w:rPr>
                <w:lang w:val="en-GB"/>
              </w:rPr>
            </w:pPr>
            <w:r w:rsidRPr="00CD2EEF">
              <w:rPr>
                <w:lang w:val="en-GB"/>
              </w:rPr>
              <w:t>3,327</w:t>
            </w:r>
          </w:p>
        </w:tc>
        <w:tc>
          <w:tcPr>
            <w:tcW w:w="1128" w:type="dxa"/>
            <w:vAlign w:val="bottom"/>
          </w:tcPr>
          <w:p w14:paraId="67591E5D" w14:textId="77777777" w:rsidR="005248D4" w:rsidRPr="00CD2EEF" w:rsidRDefault="005248D4" w:rsidP="001D242C">
            <w:pPr>
              <w:pStyle w:val="LP-preglednicatelosredina"/>
              <w:rPr>
                <w:lang w:val="en-GB"/>
              </w:rPr>
            </w:pPr>
            <w:r w:rsidRPr="00CD2EEF">
              <w:rPr>
                <w:lang w:val="en-GB"/>
              </w:rPr>
              <w:t>1,439</w:t>
            </w:r>
          </w:p>
        </w:tc>
        <w:tc>
          <w:tcPr>
            <w:tcW w:w="920" w:type="dxa"/>
            <w:vAlign w:val="bottom"/>
          </w:tcPr>
          <w:p w14:paraId="60EECF9E" w14:textId="77777777" w:rsidR="005248D4" w:rsidRPr="00CD2EEF" w:rsidRDefault="005248D4" w:rsidP="001D242C">
            <w:pPr>
              <w:pStyle w:val="LP-preglednicatelosredina"/>
              <w:rPr>
                <w:lang w:val="en-GB"/>
              </w:rPr>
            </w:pPr>
            <w:r w:rsidRPr="00CD2EEF">
              <w:rPr>
                <w:lang w:val="en-GB"/>
              </w:rPr>
              <w:t>34</w:t>
            </w:r>
          </w:p>
        </w:tc>
        <w:tc>
          <w:tcPr>
            <w:tcW w:w="1004" w:type="dxa"/>
            <w:vAlign w:val="bottom"/>
          </w:tcPr>
          <w:p w14:paraId="449FC793" w14:textId="77777777" w:rsidR="005248D4" w:rsidRPr="00CD2EEF" w:rsidRDefault="005248D4" w:rsidP="001D242C">
            <w:pPr>
              <w:pStyle w:val="LP-preglednicatelosredina"/>
              <w:rPr>
                <w:lang w:val="en-GB"/>
              </w:rPr>
            </w:pPr>
            <w:r w:rsidRPr="00CD2EEF">
              <w:rPr>
                <w:lang w:val="en-GB"/>
              </w:rPr>
              <w:t>1</w:t>
            </w:r>
          </w:p>
        </w:tc>
        <w:tc>
          <w:tcPr>
            <w:tcW w:w="1075" w:type="dxa"/>
            <w:vAlign w:val="bottom"/>
          </w:tcPr>
          <w:p w14:paraId="40B830D0" w14:textId="77777777" w:rsidR="005248D4" w:rsidRPr="00CD2EEF" w:rsidRDefault="005248D4" w:rsidP="001D242C">
            <w:pPr>
              <w:pStyle w:val="LP-preglednicatelosredina"/>
              <w:rPr>
                <w:lang w:val="en-GB"/>
              </w:rPr>
            </w:pPr>
            <w:r w:rsidRPr="00CD2EEF">
              <w:rPr>
                <w:lang w:val="en-GB"/>
              </w:rPr>
              <w:t>0</w:t>
            </w:r>
          </w:p>
        </w:tc>
        <w:tc>
          <w:tcPr>
            <w:tcW w:w="1088" w:type="dxa"/>
            <w:vAlign w:val="bottom"/>
          </w:tcPr>
          <w:p w14:paraId="7535704E" w14:textId="77777777" w:rsidR="005248D4" w:rsidRPr="00CD2EEF" w:rsidRDefault="005248D4" w:rsidP="001D242C">
            <w:pPr>
              <w:pStyle w:val="LP-preglednicatelosredina"/>
              <w:rPr>
                <w:lang w:val="en-GB"/>
              </w:rPr>
            </w:pPr>
            <w:r w:rsidRPr="00CD2EEF">
              <w:rPr>
                <w:lang w:val="en-GB"/>
              </w:rPr>
              <w:t>0</w:t>
            </w:r>
          </w:p>
        </w:tc>
        <w:tc>
          <w:tcPr>
            <w:tcW w:w="1101" w:type="dxa"/>
            <w:vAlign w:val="bottom"/>
          </w:tcPr>
          <w:p w14:paraId="1E224AE3" w14:textId="77777777" w:rsidR="005248D4" w:rsidRPr="00CD2EEF" w:rsidRDefault="005248D4" w:rsidP="001D242C">
            <w:pPr>
              <w:pStyle w:val="LP-preglednicatelosredina"/>
              <w:rPr>
                <w:lang w:val="en-GB"/>
              </w:rPr>
            </w:pPr>
            <w:r w:rsidRPr="00CD2EEF">
              <w:rPr>
                <w:lang w:val="en-GB"/>
              </w:rPr>
              <w:t>0</w:t>
            </w:r>
          </w:p>
        </w:tc>
        <w:tc>
          <w:tcPr>
            <w:tcW w:w="723" w:type="dxa"/>
            <w:vAlign w:val="bottom"/>
          </w:tcPr>
          <w:p w14:paraId="249FA555" w14:textId="77777777" w:rsidR="005248D4" w:rsidRPr="00CD2EEF" w:rsidRDefault="005248D4" w:rsidP="001D242C">
            <w:pPr>
              <w:pStyle w:val="LP-preglednicatelosredina"/>
              <w:rPr>
                <w:lang w:val="en-GB"/>
              </w:rPr>
            </w:pPr>
            <w:r w:rsidRPr="00CD2EEF">
              <w:rPr>
                <w:lang w:val="en-GB"/>
              </w:rPr>
              <w:t>0</w:t>
            </w:r>
          </w:p>
        </w:tc>
        <w:tc>
          <w:tcPr>
            <w:tcW w:w="736" w:type="dxa"/>
            <w:vAlign w:val="bottom"/>
          </w:tcPr>
          <w:p w14:paraId="1B967091" w14:textId="77777777" w:rsidR="005248D4" w:rsidRPr="00CD2EEF" w:rsidRDefault="005248D4" w:rsidP="001D242C">
            <w:pPr>
              <w:pStyle w:val="LP-preglednicatelosredina"/>
              <w:rPr>
                <w:lang w:val="en-GB"/>
              </w:rPr>
            </w:pPr>
            <w:r w:rsidRPr="00CD2EEF">
              <w:rPr>
                <w:lang w:val="en-GB"/>
              </w:rPr>
              <w:t>4,801</w:t>
            </w:r>
          </w:p>
        </w:tc>
      </w:tr>
      <w:tr w:rsidR="005248D4" w:rsidRPr="00CD2EEF" w14:paraId="66CDDB25" w14:textId="77777777" w:rsidTr="001D242C">
        <w:tc>
          <w:tcPr>
            <w:tcW w:w="1225" w:type="dxa"/>
          </w:tcPr>
          <w:p w14:paraId="60822420" w14:textId="77777777" w:rsidR="005248D4" w:rsidRPr="00CD2EEF" w:rsidRDefault="005248D4" w:rsidP="001D242C">
            <w:pPr>
              <w:pStyle w:val="LP-preglednicatelosredina"/>
              <w:rPr>
                <w:lang w:val="en-GB"/>
              </w:rPr>
            </w:pPr>
            <w:r w:rsidRPr="00CD2EEF">
              <w:rPr>
                <w:lang w:val="en-GB"/>
              </w:rPr>
              <w:t>Other</w:t>
            </w:r>
          </w:p>
        </w:tc>
        <w:tc>
          <w:tcPr>
            <w:tcW w:w="644" w:type="dxa"/>
            <w:vAlign w:val="bottom"/>
          </w:tcPr>
          <w:p w14:paraId="7BB0D389" w14:textId="77777777" w:rsidR="005248D4" w:rsidRPr="00CD2EEF" w:rsidRDefault="005248D4" w:rsidP="001D242C">
            <w:pPr>
              <w:pStyle w:val="LP-preglednicatelosredina"/>
              <w:rPr>
                <w:lang w:val="en-GB"/>
              </w:rPr>
            </w:pPr>
            <w:r w:rsidRPr="00CD2EEF">
              <w:rPr>
                <w:lang w:val="en-GB"/>
              </w:rPr>
              <w:t>1,573</w:t>
            </w:r>
          </w:p>
        </w:tc>
        <w:tc>
          <w:tcPr>
            <w:tcW w:w="1128" w:type="dxa"/>
            <w:vAlign w:val="bottom"/>
          </w:tcPr>
          <w:p w14:paraId="49B02EE6" w14:textId="77777777" w:rsidR="005248D4" w:rsidRPr="00CD2EEF" w:rsidRDefault="005248D4" w:rsidP="001D242C">
            <w:pPr>
              <w:pStyle w:val="LP-preglednicatelosredina"/>
              <w:rPr>
                <w:lang w:val="en-GB"/>
              </w:rPr>
            </w:pPr>
            <w:r w:rsidRPr="00CD2EEF">
              <w:rPr>
                <w:lang w:val="en-GB"/>
              </w:rPr>
              <w:t>393</w:t>
            </w:r>
          </w:p>
        </w:tc>
        <w:tc>
          <w:tcPr>
            <w:tcW w:w="920" w:type="dxa"/>
            <w:vAlign w:val="bottom"/>
          </w:tcPr>
          <w:p w14:paraId="0703F869" w14:textId="77777777" w:rsidR="005248D4" w:rsidRPr="00CD2EEF" w:rsidRDefault="005248D4" w:rsidP="001D242C">
            <w:pPr>
              <w:pStyle w:val="LP-preglednicatelosredina"/>
              <w:rPr>
                <w:lang w:val="en-GB"/>
              </w:rPr>
            </w:pPr>
            <w:r w:rsidRPr="00CD2EEF">
              <w:rPr>
                <w:lang w:val="en-GB"/>
              </w:rPr>
              <w:t>2</w:t>
            </w:r>
          </w:p>
        </w:tc>
        <w:tc>
          <w:tcPr>
            <w:tcW w:w="1004" w:type="dxa"/>
            <w:vAlign w:val="bottom"/>
          </w:tcPr>
          <w:p w14:paraId="3E5D993B" w14:textId="77777777" w:rsidR="005248D4" w:rsidRPr="00CD2EEF" w:rsidRDefault="005248D4" w:rsidP="001D242C">
            <w:pPr>
              <w:pStyle w:val="LP-preglednicatelosredina"/>
              <w:rPr>
                <w:lang w:val="en-GB"/>
              </w:rPr>
            </w:pPr>
            <w:r w:rsidRPr="00CD2EEF">
              <w:rPr>
                <w:lang w:val="en-GB"/>
              </w:rPr>
              <w:t>0</w:t>
            </w:r>
          </w:p>
        </w:tc>
        <w:tc>
          <w:tcPr>
            <w:tcW w:w="1075" w:type="dxa"/>
            <w:vAlign w:val="bottom"/>
          </w:tcPr>
          <w:p w14:paraId="27CC320B" w14:textId="77777777" w:rsidR="005248D4" w:rsidRPr="00CD2EEF" w:rsidRDefault="005248D4" w:rsidP="001D242C">
            <w:pPr>
              <w:pStyle w:val="LP-preglednicatelosredina"/>
              <w:rPr>
                <w:lang w:val="en-GB"/>
              </w:rPr>
            </w:pPr>
            <w:r w:rsidRPr="00CD2EEF">
              <w:rPr>
                <w:lang w:val="en-GB"/>
              </w:rPr>
              <w:t>0</w:t>
            </w:r>
          </w:p>
        </w:tc>
        <w:tc>
          <w:tcPr>
            <w:tcW w:w="1088" w:type="dxa"/>
            <w:vAlign w:val="bottom"/>
          </w:tcPr>
          <w:p w14:paraId="5FA8A005" w14:textId="77777777" w:rsidR="005248D4" w:rsidRPr="00CD2EEF" w:rsidRDefault="005248D4" w:rsidP="001D242C">
            <w:pPr>
              <w:pStyle w:val="LP-preglednicatelosredina"/>
              <w:rPr>
                <w:lang w:val="en-GB"/>
              </w:rPr>
            </w:pPr>
            <w:r w:rsidRPr="00CD2EEF">
              <w:rPr>
                <w:lang w:val="en-GB"/>
              </w:rPr>
              <w:t>0</w:t>
            </w:r>
          </w:p>
        </w:tc>
        <w:tc>
          <w:tcPr>
            <w:tcW w:w="1101" w:type="dxa"/>
            <w:vAlign w:val="bottom"/>
          </w:tcPr>
          <w:p w14:paraId="630FB95B" w14:textId="77777777" w:rsidR="005248D4" w:rsidRPr="00CD2EEF" w:rsidRDefault="005248D4" w:rsidP="001D242C">
            <w:pPr>
              <w:pStyle w:val="LP-preglednicatelosredina"/>
              <w:rPr>
                <w:lang w:val="en-GB"/>
              </w:rPr>
            </w:pPr>
            <w:r w:rsidRPr="00CD2EEF">
              <w:rPr>
                <w:lang w:val="en-GB"/>
              </w:rPr>
              <w:t>0</w:t>
            </w:r>
          </w:p>
        </w:tc>
        <w:tc>
          <w:tcPr>
            <w:tcW w:w="723" w:type="dxa"/>
            <w:vAlign w:val="bottom"/>
          </w:tcPr>
          <w:p w14:paraId="6D46B438" w14:textId="77777777" w:rsidR="005248D4" w:rsidRPr="00CD2EEF" w:rsidRDefault="005248D4" w:rsidP="001D242C">
            <w:pPr>
              <w:pStyle w:val="LP-preglednicatelosredina"/>
              <w:rPr>
                <w:lang w:val="en-GB"/>
              </w:rPr>
            </w:pPr>
            <w:r w:rsidRPr="00CD2EEF">
              <w:rPr>
                <w:lang w:val="en-GB"/>
              </w:rPr>
              <w:t>0</w:t>
            </w:r>
          </w:p>
        </w:tc>
        <w:tc>
          <w:tcPr>
            <w:tcW w:w="736" w:type="dxa"/>
            <w:vAlign w:val="bottom"/>
          </w:tcPr>
          <w:p w14:paraId="4C7CB238" w14:textId="77777777" w:rsidR="005248D4" w:rsidRPr="00CD2EEF" w:rsidRDefault="005248D4" w:rsidP="001D242C">
            <w:pPr>
              <w:pStyle w:val="LP-preglednicatelosredina"/>
              <w:rPr>
                <w:lang w:val="en-GB"/>
              </w:rPr>
            </w:pPr>
            <w:r w:rsidRPr="00CD2EEF">
              <w:rPr>
                <w:lang w:val="en-GB"/>
              </w:rPr>
              <w:t>1,968</w:t>
            </w:r>
          </w:p>
        </w:tc>
      </w:tr>
      <w:tr w:rsidR="005248D4" w:rsidRPr="00CD2EEF" w14:paraId="1D3DCC3E" w14:textId="77777777" w:rsidTr="001D242C">
        <w:tc>
          <w:tcPr>
            <w:tcW w:w="1225" w:type="dxa"/>
          </w:tcPr>
          <w:p w14:paraId="025CFB41" w14:textId="77777777" w:rsidR="005248D4" w:rsidRPr="00CD2EEF" w:rsidRDefault="005248D4" w:rsidP="001D242C">
            <w:pPr>
              <w:pStyle w:val="LP-preglednicatelosredina"/>
              <w:rPr>
                <w:lang w:val="en-GB"/>
              </w:rPr>
            </w:pPr>
            <w:r w:rsidRPr="00CD2EEF">
              <w:rPr>
                <w:lang w:val="en-GB"/>
              </w:rPr>
              <w:t>Radon</w:t>
            </w:r>
          </w:p>
        </w:tc>
        <w:tc>
          <w:tcPr>
            <w:tcW w:w="644" w:type="dxa"/>
            <w:vAlign w:val="bottom"/>
          </w:tcPr>
          <w:p w14:paraId="441F93CD" w14:textId="77777777" w:rsidR="005248D4" w:rsidRPr="00CD2EEF" w:rsidRDefault="005248D4" w:rsidP="001D242C">
            <w:pPr>
              <w:pStyle w:val="LP-preglednicatelosredina"/>
              <w:rPr>
                <w:lang w:val="en-GB"/>
              </w:rPr>
            </w:pPr>
            <w:r w:rsidRPr="00CD2EEF">
              <w:rPr>
                <w:lang w:val="en-GB"/>
              </w:rPr>
              <w:t>0</w:t>
            </w:r>
          </w:p>
        </w:tc>
        <w:tc>
          <w:tcPr>
            <w:tcW w:w="1128" w:type="dxa"/>
            <w:vAlign w:val="bottom"/>
          </w:tcPr>
          <w:p w14:paraId="0A75F93E" w14:textId="77777777" w:rsidR="005248D4" w:rsidRPr="00CD2EEF" w:rsidRDefault="005248D4" w:rsidP="001D242C">
            <w:pPr>
              <w:pStyle w:val="LP-preglednicatelosredina"/>
              <w:rPr>
                <w:lang w:val="en-GB"/>
              </w:rPr>
            </w:pPr>
            <w:r w:rsidRPr="00CD2EEF">
              <w:rPr>
                <w:lang w:val="en-GB"/>
              </w:rPr>
              <w:t>25</w:t>
            </w:r>
          </w:p>
        </w:tc>
        <w:tc>
          <w:tcPr>
            <w:tcW w:w="920" w:type="dxa"/>
            <w:vAlign w:val="bottom"/>
          </w:tcPr>
          <w:p w14:paraId="6AE77ADD" w14:textId="77777777" w:rsidR="005248D4" w:rsidRPr="00CD2EEF" w:rsidRDefault="005248D4" w:rsidP="001D242C">
            <w:pPr>
              <w:pStyle w:val="LP-preglednicatelosredina"/>
              <w:rPr>
                <w:lang w:val="en-GB"/>
              </w:rPr>
            </w:pPr>
            <w:r w:rsidRPr="00CD2EEF">
              <w:rPr>
                <w:lang w:val="en-GB"/>
              </w:rPr>
              <w:t>51</w:t>
            </w:r>
          </w:p>
        </w:tc>
        <w:tc>
          <w:tcPr>
            <w:tcW w:w="1004" w:type="dxa"/>
            <w:vAlign w:val="bottom"/>
          </w:tcPr>
          <w:p w14:paraId="4D616B18" w14:textId="77777777" w:rsidR="005248D4" w:rsidRPr="00CD2EEF" w:rsidRDefault="005248D4" w:rsidP="001D242C">
            <w:pPr>
              <w:pStyle w:val="LP-preglednicatelosredina"/>
              <w:rPr>
                <w:lang w:val="en-GB"/>
              </w:rPr>
            </w:pPr>
            <w:r w:rsidRPr="00CD2EEF">
              <w:rPr>
                <w:lang w:val="en-GB"/>
              </w:rPr>
              <w:t>22</w:t>
            </w:r>
          </w:p>
        </w:tc>
        <w:tc>
          <w:tcPr>
            <w:tcW w:w="1075" w:type="dxa"/>
            <w:vAlign w:val="bottom"/>
          </w:tcPr>
          <w:p w14:paraId="2D564678" w14:textId="77777777" w:rsidR="005248D4" w:rsidRPr="00CD2EEF" w:rsidRDefault="005248D4" w:rsidP="001D242C">
            <w:pPr>
              <w:pStyle w:val="LP-preglednicatelosredina"/>
              <w:rPr>
                <w:lang w:val="en-GB"/>
              </w:rPr>
            </w:pPr>
            <w:r w:rsidRPr="00CD2EEF">
              <w:rPr>
                <w:lang w:val="en-GB"/>
              </w:rPr>
              <w:t>10</w:t>
            </w:r>
          </w:p>
        </w:tc>
        <w:tc>
          <w:tcPr>
            <w:tcW w:w="1088" w:type="dxa"/>
            <w:vAlign w:val="bottom"/>
          </w:tcPr>
          <w:p w14:paraId="61DA3FC2" w14:textId="77777777" w:rsidR="005248D4" w:rsidRPr="00CD2EEF" w:rsidRDefault="005248D4" w:rsidP="001D242C">
            <w:pPr>
              <w:pStyle w:val="LP-preglednicatelosredina"/>
              <w:rPr>
                <w:lang w:val="en-GB"/>
              </w:rPr>
            </w:pPr>
            <w:r w:rsidRPr="00CD2EEF">
              <w:rPr>
                <w:lang w:val="en-GB"/>
              </w:rPr>
              <w:t>2</w:t>
            </w:r>
          </w:p>
        </w:tc>
        <w:tc>
          <w:tcPr>
            <w:tcW w:w="1101" w:type="dxa"/>
            <w:vAlign w:val="bottom"/>
          </w:tcPr>
          <w:p w14:paraId="0CCCF156" w14:textId="77777777" w:rsidR="005248D4" w:rsidRPr="00CD2EEF" w:rsidRDefault="005248D4" w:rsidP="001D242C">
            <w:pPr>
              <w:pStyle w:val="LP-preglednicatelosredina"/>
              <w:rPr>
                <w:lang w:val="en-GB"/>
              </w:rPr>
            </w:pPr>
            <w:r w:rsidRPr="00CD2EEF">
              <w:rPr>
                <w:lang w:val="en-GB"/>
              </w:rPr>
              <w:t>0</w:t>
            </w:r>
          </w:p>
        </w:tc>
        <w:tc>
          <w:tcPr>
            <w:tcW w:w="723" w:type="dxa"/>
            <w:vAlign w:val="bottom"/>
          </w:tcPr>
          <w:p w14:paraId="2D532D63" w14:textId="77777777" w:rsidR="005248D4" w:rsidRPr="00CD2EEF" w:rsidRDefault="005248D4" w:rsidP="001D242C">
            <w:pPr>
              <w:pStyle w:val="LP-preglednicatelosredina"/>
              <w:rPr>
                <w:lang w:val="en-GB"/>
              </w:rPr>
            </w:pPr>
            <w:r w:rsidRPr="00CD2EEF">
              <w:rPr>
                <w:lang w:val="en-GB"/>
              </w:rPr>
              <w:t>0</w:t>
            </w:r>
          </w:p>
        </w:tc>
        <w:tc>
          <w:tcPr>
            <w:tcW w:w="736" w:type="dxa"/>
            <w:vAlign w:val="bottom"/>
          </w:tcPr>
          <w:p w14:paraId="6B00EAD5" w14:textId="77777777" w:rsidR="005248D4" w:rsidRPr="00CD2EEF" w:rsidRDefault="005248D4" w:rsidP="001D242C">
            <w:pPr>
              <w:pStyle w:val="LP-preglednicatelosredina"/>
              <w:rPr>
                <w:lang w:val="en-GB"/>
              </w:rPr>
            </w:pPr>
            <w:r w:rsidRPr="00CD2EEF">
              <w:rPr>
                <w:lang w:val="en-GB"/>
              </w:rPr>
              <w:t>110</w:t>
            </w:r>
          </w:p>
        </w:tc>
      </w:tr>
      <w:tr w:rsidR="005248D4" w:rsidRPr="00CD2EEF" w14:paraId="3934FD4E" w14:textId="77777777" w:rsidTr="001D242C">
        <w:tc>
          <w:tcPr>
            <w:tcW w:w="1225" w:type="dxa"/>
          </w:tcPr>
          <w:p w14:paraId="66D11880" w14:textId="77777777" w:rsidR="005248D4" w:rsidRPr="00CD2EEF" w:rsidRDefault="005248D4" w:rsidP="001D242C">
            <w:pPr>
              <w:pStyle w:val="LP-preglednicatelosredina"/>
              <w:rPr>
                <w:lang w:val="en-GB"/>
              </w:rPr>
            </w:pPr>
            <w:r w:rsidRPr="00CD2EEF">
              <w:rPr>
                <w:lang w:val="en-GB"/>
              </w:rPr>
              <w:t>Abroad</w:t>
            </w:r>
          </w:p>
        </w:tc>
        <w:tc>
          <w:tcPr>
            <w:tcW w:w="644" w:type="dxa"/>
            <w:vAlign w:val="bottom"/>
          </w:tcPr>
          <w:p w14:paraId="7EA5C641" w14:textId="77777777" w:rsidR="005248D4" w:rsidRPr="00CD2EEF" w:rsidRDefault="005248D4" w:rsidP="001D242C">
            <w:pPr>
              <w:pStyle w:val="LP-preglednicatelosredina"/>
              <w:rPr>
                <w:lang w:val="en-GB"/>
              </w:rPr>
            </w:pPr>
            <w:r w:rsidRPr="00CD2EEF">
              <w:rPr>
                <w:lang w:val="en-GB"/>
              </w:rPr>
              <w:t>0</w:t>
            </w:r>
          </w:p>
        </w:tc>
        <w:tc>
          <w:tcPr>
            <w:tcW w:w="1128" w:type="dxa"/>
            <w:vAlign w:val="bottom"/>
          </w:tcPr>
          <w:p w14:paraId="38B3B110" w14:textId="77777777" w:rsidR="005248D4" w:rsidRPr="00CD2EEF" w:rsidRDefault="005248D4" w:rsidP="001D242C">
            <w:pPr>
              <w:pStyle w:val="LP-preglednicatelosredina"/>
              <w:rPr>
                <w:lang w:val="en-GB"/>
              </w:rPr>
            </w:pPr>
            <w:r w:rsidRPr="00CD2EEF">
              <w:rPr>
                <w:lang w:val="en-GB"/>
              </w:rPr>
              <w:t>0</w:t>
            </w:r>
          </w:p>
        </w:tc>
        <w:tc>
          <w:tcPr>
            <w:tcW w:w="920" w:type="dxa"/>
            <w:vAlign w:val="bottom"/>
          </w:tcPr>
          <w:p w14:paraId="609C799E" w14:textId="77777777" w:rsidR="005248D4" w:rsidRPr="00CD2EEF" w:rsidRDefault="005248D4" w:rsidP="001D242C">
            <w:pPr>
              <w:pStyle w:val="LP-preglednicatelosredina"/>
              <w:rPr>
                <w:lang w:val="en-GB"/>
              </w:rPr>
            </w:pPr>
            <w:r w:rsidRPr="00CD2EEF">
              <w:rPr>
                <w:lang w:val="en-GB"/>
              </w:rPr>
              <w:t>1</w:t>
            </w:r>
          </w:p>
        </w:tc>
        <w:tc>
          <w:tcPr>
            <w:tcW w:w="1004" w:type="dxa"/>
            <w:vAlign w:val="bottom"/>
          </w:tcPr>
          <w:p w14:paraId="6DF29530" w14:textId="77777777" w:rsidR="005248D4" w:rsidRPr="00CD2EEF" w:rsidRDefault="005248D4" w:rsidP="001D242C">
            <w:pPr>
              <w:pStyle w:val="LP-preglednicatelosredina"/>
              <w:rPr>
                <w:lang w:val="en-GB"/>
              </w:rPr>
            </w:pPr>
            <w:r w:rsidRPr="00CD2EEF">
              <w:rPr>
                <w:lang w:val="en-GB"/>
              </w:rPr>
              <w:t>0</w:t>
            </w:r>
          </w:p>
        </w:tc>
        <w:tc>
          <w:tcPr>
            <w:tcW w:w="1075" w:type="dxa"/>
            <w:vAlign w:val="bottom"/>
          </w:tcPr>
          <w:p w14:paraId="0E5236C5" w14:textId="77777777" w:rsidR="005248D4" w:rsidRPr="00CD2EEF" w:rsidRDefault="005248D4" w:rsidP="001D242C">
            <w:pPr>
              <w:pStyle w:val="LP-preglednicatelosredina"/>
              <w:rPr>
                <w:lang w:val="en-GB"/>
              </w:rPr>
            </w:pPr>
            <w:r w:rsidRPr="00CD2EEF">
              <w:rPr>
                <w:lang w:val="en-GB"/>
              </w:rPr>
              <w:t>0</w:t>
            </w:r>
          </w:p>
        </w:tc>
        <w:tc>
          <w:tcPr>
            <w:tcW w:w="1088" w:type="dxa"/>
            <w:vAlign w:val="bottom"/>
          </w:tcPr>
          <w:p w14:paraId="030BDF70" w14:textId="77777777" w:rsidR="005248D4" w:rsidRPr="00CD2EEF" w:rsidRDefault="005248D4" w:rsidP="001D242C">
            <w:pPr>
              <w:pStyle w:val="LP-preglednicatelosredina"/>
              <w:rPr>
                <w:lang w:val="en-GB"/>
              </w:rPr>
            </w:pPr>
            <w:r w:rsidRPr="00CD2EEF">
              <w:rPr>
                <w:lang w:val="en-GB"/>
              </w:rPr>
              <w:t>0</w:t>
            </w:r>
          </w:p>
        </w:tc>
        <w:tc>
          <w:tcPr>
            <w:tcW w:w="1101" w:type="dxa"/>
            <w:vAlign w:val="bottom"/>
          </w:tcPr>
          <w:p w14:paraId="7987842E" w14:textId="77777777" w:rsidR="005248D4" w:rsidRPr="00CD2EEF" w:rsidRDefault="005248D4" w:rsidP="001D242C">
            <w:pPr>
              <w:pStyle w:val="LP-preglednicatelosredina"/>
              <w:rPr>
                <w:lang w:val="en-GB"/>
              </w:rPr>
            </w:pPr>
            <w:r w:rsidRPr="00CD2EEF">
              <w:rPr>
                <w:lang w:val="en-GB"/>
              </w:rPr>
              <w:t>0</w:t>
            </w:r>
          </w:p>
        </w:tc>
        <w:tc>
          <w:tcPr>
            <w:tcW w:w="723" w:type="dxa"/>
            <w:vAlign w:val="bottom"/>
          </w:tcPr>
          <w:p w14:paraId="5EE6D744" w14:textId="77777777" w:rsidR="005248D4" w:rsidRPr="00CD2EEF" w:rsidRDefault="005248D4" w:rsidP="001D242C">
            <w:pPr>
              <w:pStyle w:val="LP-preglednicatelosredina"/>
              <w:rPr>
                <w:lang w:val="en-GB"/>
              </w:rPr>
            </w:pPr>
            <w:r w:rsidRPr="00CD2EEF">
              <w:rPr>
                <w:lang w:val="en-GB"/>
              </w:rPr>
              <w:t>0</w:t>
            </w:r>
          </w:p>
        </w:tc>
        <w:tc>
          <w:tcPr>
            <w:tcW w:w="736" w:type="dxa"/>
            <w:vAlign w:val="bottom"/>
          </w:tcPr>
          <w:p w14:paraId="58DD3487" w14:textId="77777777" w:rsidR="005248D4" w:rsidRPr="00CD2EEF" w:rsidRDefault="005248D4" w:rsidP="001D242C">
            <w:pPr>
              <w:pStyle w:val="LP-preglednicatelosredina"/>
              <w:rPr>
                <w:lang w:val="en-GB"/>
              </w:rPr>
            </w:pPr>
            <w:r w:rsidRPr="00CD2EEF">
              <w:rPr>
                <w:lang w:val="en-GB"/>
              </w:rPr>
              <w:t>1</w:t>
            </w:r>
          </w:p>
        </w:tc>
      </w:tr>
      <w:tr w:rsidR="005248D4" w:rsidRPr="00CD2EEF" w14:paraId="6341EFBC" w14:textId="77777777" w:rsidTr="001D242C">
        <w:tc>
          <w:tcPr>
            <w:tcW w:w="1225" w:type="dxa"/>
            <w:shd w:val="clear" w:color="auto" w:fill="5B9BD5" w:themeFill="accent1"/>
          </w:tcPr>
          <w:p w14:paraId="40E66025" w14:textId="77777777" w:rsidR="005248D4" w:rsidRPr="00CD2EEF" w:rsidRDefault="005248D4" w:rsidP="001D242C">
            <w:pPr>
              <w:pStyle w:val="LPpreglednicaglavasredina"/>
              <w:rPr>
                <w:color w:val="auto"/>
                <w:lang w:val="en-GB"/>
              </w:rPr>
            </w:pPr>
            <w:r w:rsidRPr="00CD2EEF">
              <w:rPr>
                <w:color w:val="auto"/>
                <w:lang w:val="en-GB"/>
              </w:rPr>
              <w:t>Total</w:t>
            </w:r>
          </w:p>
        </w:tc>
        <w:tc>
          <w:tcPr>
            <w:tcW w:w="644" w:type="dxa"/>
            <w:shd w:val="clear" w:color="auto" w:fill="5B9BD5" w:themeFill="accent1"/>
            <w:vAlign w:val="bottom"/>
          </w:tcPr>
          <w:p w14:paraId="610337DE" w14:textId="77777777" w:rsidR="005248D4" w:rsidRPr="00CD2EEF" w:rsidRDefault="005248D4" w:rsidP="001D242C">
            <w:pPr>
              <w:pStyle w:val="LPpreglednicaglavasredina"/>
              <w:rPr>
                <w:color w:val="auto"/>
                <w:lang w:val="en-GB"/>
              </w:rPr>
            </w:pPr>
            <w:r w:rsidRPr="00CD2EEF">
              <w:rPr>
                <w:color w:val="auto"/>
                <w:lang w:val="en-GB"/>
              </w:rPr>
              <w:t>5,739</w:t>
            </w:r>
          </w:p>
        </w:tc>
        <w:tc>
          <w:tcPr>
            <w:tcW w:w="1128" w:type="dxa"/>
            <w:shd w:val="clear" w:color="auto" w:fill="5B9BD5" w:themeFill="accent1"/>
            <w:vAlign w:val="bottom"/>
          </w:tcPr>
          <w:p w14:paraId="538323FA" w14:textId="77777777" w:rsidR="005248D4" w:rsidRPr="00CD2EEF" w:rsidRDefault="005248D4" w:rsidP="001D242C">
            <w:pPr>
              <w:pStyle w:val="LPpreglednicaglavasredina"/>
              <w:rPr>
                <w:color w:val="auto"/>
                <w:lang w:val="en-GB"/>
              </w:rPr>
            </w:pPr>
            <w:r w:rsidRPr="00CD2EEF">
              <w:rPr>
                <w:color w:val="auto"/>
                <w:lang w:val="en-GB"/>
              </w:rPr>
              <w:t>2,716</w:t>
            </w:r>
          </w:p>
        </w:tc>
        <w:tc>
          <w:tcPr>
            <w:tcW w:w="920" w:type="dxa"/>
            <w:shd w:val="clear" w:color="auto" w:fill="5B9BD5" w:themeFill="accent1"/>
            <w:vAlign w:val="bottom"/>
          </w:tcPr>
          <w:p w14:paraId="69080FF9" w14:textId="77777777" w:rsidR="005248D4" w:rsidRPr="00CD2EEF" w:rsidRDefault="005248D4" w:rsidP="001D242C">
            <w:pPr>
              <w:pStyle w:val="LPpreglednicaglavasredina"/>
              <w:rPr>
                <w:color w:val="auto"/>
                <w:lang w:val="en-GB"/>
              </w:rPr>
            </w:pPr>
            <w:r w:rsidRPr="00CD2EEF">
              <w:rPr>
                <w:color w:val="auto"/>
                <w:lang w:val="en-GB"/>
              </w:rPr>
              <w:t>369</w:t>
            </w:r>
          </w:p>
        </w:tc>
        <w:tc>
          <w:tcPr>
            <w:tcW w:w="1004" w:type="dxa"/>
            <w:shd w:val="clear" w:color="auto" w:fill="5B9BD5" w:themeFill="accent1"/>
            <w:vAlign w:val="bottom"/>
          </w:tcPr>
          <w:p w14:paraId="7559C1B5" w14:textId="77777777" w:rsidR="005248D4" w:rsidRPr="00CD2EEF" w:rsidRDefault="005248D4" w:rsidP="001D242C">
            <w:pPr>
              <w:pStyle w:val="LPpreglednicaglavasredina"/>
              <w:rPr>
                <w:color w:val="auto"/>
                <w:lang w:val="en-GB"/>
              </w:rPr>
            </w:pPr>
            <w:r w:rsidRPr="00CD2EEF">
              <w:rPr>
                <w:color w:val="auto"/>
                <w:lang w:val="en-GB"/>
              </w:rPr>
              <w:t>45</w:t>
            </w:r>
          </w:p>
        </w:tc>
        <w:tc>
          <w:tcPr>
            <w:tcW w:w="1075" w:type="dxa"/>
            <w:shd w:val="clear" w:color="auto" w:fill="5B9BD5" w:themeFill="accent1"/>
            <w:vAlign w:val="bottom"/>
          </w:tcPr>
          <w:p w14:paraId="0F693F6F" w14:textId="77777777" w:rsidR="005248D4" w:rsidRPr="00CD2EEF" w:rsidRDefault="005248D4" w:rsidP="001D242C">
            <w:pPr>
              <w:pStyle w:val="LPpreglednicaglavasredina"/>
              <w:rPr>
                <w:color w:val="auto"/>
                <w:lang w:val="en-GB"/>
              </w:rPr>
            </w:pPr>
            <w:r w:rsidRPr="00CD2EEF">
              <w:rPr>
                <w:color w:val="auto"/>
                <w:lang w:val="en-GB"/>
              </w:rPr>
              <w:t>10</w:t>
            </w:r>
          </w:p>
        </w:tc>
        <w:tc>
          <w:tcPr>
            <w:tcW w:w="1088" w:type="dxa"/>
            <w:shd w:val="clear" w:color="auto" w:fill="5B9BD5" w:themeFill="accent1"/>
            <w:vAlign w:val="bottom"/>
          </w:tcPr>
          <w:p w14:paraId="53B33068" w14:textId="77777777" w:rsidR="005248D4" w:rsidRPr="00CD2EEF" w:rsidRDefault="005248D4" w:rsidP="001D242C">
            <w:pPr>
              <w:pStyle w:val="LPpreglednicaglavasredina"/>
              <w:rPr>
                <w:color w:val="auto"/>
                <w:lang w:val="en-GB"/>
              </w:rPr>
            </w:pPr>
            <w:r w:rsidRPr="00CD2EEF">
              <w:rPr>
                <w:color w:val="auto"/>
                <w:lang w:val="en-GB"/>
              </w:rPr>
              <w:t>2</w:t>
            </w:r>
          </w:p>
        </w:tc>
        <w:tc>
          <w:tcPr>
            <w:tcW w:w="1101" w:type="dxa"/>
            <w:shd w:val="clear" w:color="auto" w:fill="5B9BD5" w:themeFill="accent1"/>
            <w:vAlign w:val="bottom"/>
          </w:tcPr>
          <w:p w14:paraId="1C54F0A2" w14:textId="77777777" w:rsidR="005248D4" w:rsidRPr="00CD2EEF" w:rsidRDefault="005248D4" w:rsidP="001D242C">
            <w:pPr>
              <w:pStyle w:val="LPpreglednicaglavasredina"/>
              <w:rPr>
                <w:color w:val="auto"/>
                <w:lang w:val="en-GB"/>
              </w:rPr>
            </w:pPr>
            <w:r w:rsidRPr="00CD2EEF">
              <w:rPr>
                <w:color w:val="auto"/>
                <w:lang w:val="en-GB"/>
              </w:rPr>
              <w:t>0</w:t>
            </w:r>
          </w:p>
        </w:tc>
        <w:tc>
          <w:tcPr>
            <w:tcW w:w="723" w:type="dxa"/>
            <w:shd w:val="clear" w:color="auto" w:fill="5B9BD5" w:themeFill="accent1"/>
            <w:vAlign w:val="bottom"/>
          </w:tcPr>
          <w:p w14:paraId="01A02B15" w14:textId="77777777" w:rsidR="005248D4" w:rsidRPr="00CD2EEF" w:rsidRDefault="005248D4" w:rsidP="001D242C">
            <w:pPr>
              <w:pStyle w:val="LPpreglednicaglavasredina"/>
              <w:rPr>
                <w:color w:val="auto"/>
                <w:lang w:val="en-GB"/>
              </w:rPr>
            </w:pPr>
            <w:r w:rsidRPr="00CD2EEF">
              <w:rPr>
                <w:color w:val="auto"/>
                <w:lang w:val="en-GB"/>
              </w:rPr>
              <w:t>0</w:t>
            </w:r>
          </w:p>
        </w:tc>
        <w:tc>
          <w:tcPr>
            <w:tcW w:w="736" w:type="dxa"/>
            <w:shd w:val="clear" w:color="auto" w:fill="5B9BD5" w:themeFill="accent1"/>
            <w:vAlign w:val="bottom"/>
          </w:tcPr>
          <w:p w14:paraId="78A168E4" w14:textId="77777777" w:rsidR="005248D4" w:rsidRPr="00CD2EEF" w:rsidRDefault="005248D4" w:rsidP="001D242C">
            <w:pPr>
              <w:pStyle w:val="LPpreglednicaglavasredina"/>
              <w:rPr>
                <w:color w:val="auto"/>
                <w:lang w:val="en-GB"/>
              </w:rPr>
            </w:pPr>
            <w:r w:rsidRPr="00CD2EEF">
              <w:rPr>
                <w:color w:val="auto"/>
                <w:lang w:val="en-GB"/>
              </w:rPr>
              <w:t>8,881</w:t>
            </w:r>
          </w:p>
        </w:tc>
      </w:tr>
    </w:tbl>
    <w:bookmarkEnd w:id="285"/>
    <w:p w14:paraId="7396DCE1" w14:textId="77777777" w:rsidR="005248D4" w:rsidRPr="00CD2EEF" w:rsidRDefault="005248D4" w:rsidP="00BE52F3">
      <w:pPr>
        <w:pStyle w:val="LPnavadenpomanjan"/>
        <w:rPr>
          <w:b/>
          <w:lang w:val="en-GB"/>
        </w:rPr>
      </w:pPr>
      <w:r w:rsidRPr="00CD2EEF">
        <w:rPr>
          <w:lang w:val="en-GB"/>
        </w:rPr>
        <w:t xml:space="preserve">ND – detection level </w:t>
      </w:r>
    </w:p>
    <w:p w14:paraId="2F718EE4" w14:textId="6471E47C" w:rsidR="005248D4" w:rsidRPr="00CD2EEF" w:rsidRDefault="005248D4" w:rsidP="00BE0188">
      <w:pPr>
        <w:pStyle w:val="LPnavadenpomanjan"/>
        <w:rPr>
          <w:lang w:val="en-GB"/>
        </w:rPr>
      </w:pPr>
      <w:r w:rsidRPr="00CD2EEF">
        <w:rPr>
          <w:lang w:val="en-GB"/>
        </w:rPr>
        <w:t>E – effective dose in mSv received by an exposed worker</w:t>
      </w:r>
    </w:p>
    <w:p w14:paraId="00574AFB" w14:textId="77777777" w:rsidR="00BE0188" w:rsidRPr="00CD2EEF" w:rsidRDefault="00BE0188" w:rsidP="00BE0188">
      <w:pPr>
        <w:pStyle w:val="LPnavaden"/>
        <w:rPr>
          <w:lang w:val="en-GB" w:eastAsia="sl-SI"/>
        </w:rPr>
      </w:pPr>
    </w:p>
    <w:p w14:paraId="32837B80" w14:textId="77777777" w:rsidR="005248D4" w:rsidRPr="00CD2EEF" w:rsidRDefault="005248D4" w:rsidP="006075E5">
      <w:pPr>
        <w:pStyle w:val="LPnavaden"/>
        <w:rPr>
          <w:rStyle w:val="LPnavadenkrepko"/>
          <w:lang w:val="en-GB"/>
        </w:rPr>
      </w:pPr>
      <w:r w:rsidRPr="00CD2EEF">
        <w:rPr>
          <w:rStyle w:val="LPnavadenkrepko"/>
          <w:lang w:val="en-GB"/>
        </w:rPr>
        <w:t>Training of exposed workers using sources of radiation</w:t>
      </w:r>
    </w:p>
    <w:p w14:paraId="79259997" w14:textId="2299C5DD" w:rsidR="005248D4" w:rsidRPr="00897FD2" w:rsidRDefault="005248D4" w:rsidP="006075E5">
      <w:pPr>
        <w:pStyle w:val="LPnavaden"/>
        <w:rPr>
          <w:lang w:val="en-GB"/>
        </w:rPr>
      </w:pPr>
      <w:r w:rsidRPr="00CD2EEF">
        <w:rPr>
          <w:lang w:val="en-GB"/>
        </w:rPr>
        <w:t xml:space="preserve">Training in radiation protection for workers using sources of radiation is </w:t>
      </w:r>
      <w:r w:rsidR="00C15BFF">
        <w:rPr>
          <w:lang w:val="en-GB"/>
        </w:rPr>
        <w:t xml:space="preserve">carried out </w:t>
      </w:r>
      <w:r w:rsidRPr="00CD2EEF">
        <w:rPr>
          <w:lang w:val="en-GB"/>
        </w:rPr>
        <w:t>in accordance with regulations. Minor deficiencies were found regarding the timely updat</w:t>
      </w:r>
      <w:r w:rsidR="00C15BFF">
        <w:rPr>
          <w:lang w:val="en-GB"/>
        </w:rPr>
        <w:t>ing</w:t>
      </w:r>
      <w:r w:rsidRPr="00CD2EEF">
        <w:rPr>
          <w:lang w:val="en-GB"/>
        </w:rPr>
        <w:t xml:space="preserve"> of knowledge and skills in the field of ionising radiation protection and regarding unsuitable training certificates. Training, refresher courses, and tests were carried out by the approved technical support organisations, namely </w:t>
      </w:r>
      <w:r w:rsidR="00D32A12">
        <w:rPr>
          <w:lang w:val="en-GB"/>
        </w:rPr>
        <w:t xml:space="preserve">the </w:t>
      </w:r>
      <w:r w:rsidRPr="00CD2EEF">
        <w:rPr>
          <w:lang w:val="en-GB"/>
        </w:rPr>
        <w:t xml:space="preserve">IOS, and the </w:t>
      </w:r>
      <w:r w:rsidRPr="003A4664">
        <w:rPr>
          <w:lang w:val="en-GB"/>
        </w:rPr>
        <w:t>JSI</w:t>
      </w:r>
      <w:r w:rsidRPr="00CD2EEF">
        <w:rPr>
          <w:lang w:val="en-GB"/>
        </w:rPr>
        <w:t xml:space="preserve">. The training of </w:t>
      </w:r>
      <w:r w:rsidR="001B146F">
        <w:rPr>
          <w:lang w:val="en-GB"/>
        </w:rPr>
        <w:t>the Krško NPP</w:t>
      </w:r>
      <w:r w:rsidR="00F21D56">
        <w:rPr>
          <w:lang w:val="en-GB"/>
        </w:rPr>
        <w:t>’</w:t>
      </w:r>
      <w:r w:rsidRPr="00CD2EEF">
        <w:rPr>
          <w:lang w:val="en-GB"/>
        </w:rPr>
        <w:t xml:space="preserve">s external workers is carried out by </w:t>
      </w:r>
      <w:r w:rsidR="00997102">
        <w:rPr>
          <w:lang w:val="en-GB"/>
        </w:rPr>
        <w:t xml:space="preserve">the </w:t>
      </w:r>
      <w:r w:rsidRPr="00CD2EEF">
        <w:rPr>
          <w:lang w:val="en-GB"/>
        </w:rPr>
        <w:t xml:space="preserve">NPP in cooperation with </w:t>
      </w:r>
      <w:r w:rsidR="0025427B" w:rsidRPr="00897FD2">
        <w:rPr>
          <w:lang w:val="en-GB"/>
        </w:rPr>
        <w:t>the JSI</w:t>
      </w:r>
      <w:r w:rsidRPr="00897FD2">
        <w:rPr>
          <w:lang w:val="en-GB"/>
        </w:rPr>
        <w:t>. In 2021, a total of 3,034 participants attended courses on ionising radiation protection.</w:t>
      </w:r>
    </w:p>
    <w:p w14:paraId="3282299F" w14:textId="77777777" w:rsidR="005248D4" w:rsidRPr="00897FD2" w:rsidRDefault="005248D4" w:rsidP="006075E5">
      <w:pPr>
        <w:pStyle w:val="LPnavaden"/>
        <w:rPr>
          <w:rStyle w:val="LPnavadenkrepko"/>
          <w:lang w:val="en-GB"/>
        </w:rPr>
      </w:pPr>
      <w:r w:rsidRPr="00897FD2">
        <w:rPr>
          <w:rStyle w:val="LPnavadenkrepko"/>
          <w:lang w:val="en-GB"/>
        </w:rPr>
        <w:t>Targeted medical surveillance</w:t>
      </w:r>
    </w:p>
    <w:p w14:paraId="468384AA" w14:textId="77777777" w:rsidR="005248D4" w:rsidRPr="00897FD2" w:rsidRDefault="005248D4" w:rsidP="006075E5">
      <w:pPr>
        <w:pStyle w:val="LPnavaden"/>
        <w:rPr>
          <w:lang w:val="en-GB" w:eastAsia="sl-SI"/>
        </w:rPr>
      </w:pPr>
      <w:r w:rsidRPr="00897FD2">
        <w:rPr>
          <w:lang w:val="en-GB" w:eastAsia="sl-SI"/>
        </w:rPr>
        <w:t>Medical surveillance of radiation workers was performed by physicians from five approved institutions:</w:t>
      </w:r>
    </w:p>
    <w:p w14:paraId="3E8547AC" w14:textId="77777777" w:rsidR="005248D4" w:rsidRPr="00897FD2" w:rsidRDefault="005248D4" w:rsidP="006075E5">
      <w:pPr>
        <w:pStyle w:val="LPalineje"/>
        <w:rPr>
          <w:lang w:val="en-GB" w:eastAsia="sl-SI"/>
        </w:rPr>
      </w:pPr>
      <w:r w:rsidRPr="00897FD2">
        <w:rPr>
          <w:lang w:val="en-GB" w:eastAsia="sl-SI"/>
        </w:rPr>
        <w:t>The Clinical Institute of Occupational, Traffic and Sports Medicine, Ljubljana;</w:t>
      </w:r>
    </w:p>
    <w:p w14:paraId="1A1B6A21" w14:textId="7903AAD4" w:rsidR="005248D4" w:rsidRPr="00B73FE6" w:rsidRDefault="005248D4" w:rsidP="006075E5">
      <w:pPr>
        <w:pStyle w:val="LPalineje"/>
        <w:rPr>
          <w:lang w:val="de-AT" w:eastAsia="sl-SI"/>
        </w:rPr>
      </w:pPr>
      <w:r w:rsidRPr="00B73FE6">
        <w:rPr>
          <w:lang w:val="de-AT" w:eastAsia="sl-SI"/>
        </w:rPr>
        <w:t>IOS, d.</w:t>
      </w:r>
      <w:r w:rsidR="00897FD2" w:rsidRPr="00B73FE6">
        <w:rPr>
          <w:lang w:val="de-AT" w:eastAsia="sl-SI"/>
        </w:rPr>
        <w:t> </w:t>
      </w:r>
      <w:r w:rsidRPr="00B73FE6">
        <w:rPr>
          <w:lang w:val="de-AT" w:eastAsia="sl-SI"/>
        </w:rPr>
        <w:t>o.</w:t>
      </w:r>
      <w:r w:rsidR="00897FD2" w:rsidRPr="00B73FE6">
        <w:rPr>
          <w:lang w:val="de-AT" w:eastAsia="sl-SI"/>
        </w:rPr>
        <w:t> </w:t>
      </w:r>
      <w:r w:rsidRPr="00B73FE6">
        <w:rPr>
          <w:lang w:val="de-AT" w:eastAsia="sl-SI"/>
        </w:rPr>
        <w:t>o., Ljubljana;</w:t>
      </w:r>
    </w:p>
    <w:p w14:paraId="28C322E5" w14:textId="77777777" w:rsidR="005248D4" w:rsidRPr="00B73FE6" w:rsidRDefault="005248D4" w:rsidP="006075E5">
      <w:pPr>
        <w:pStyle w:val="LPalineje"/>
        <w:rPr>
          <w:lang w:val="de-AT" w:eastAsia="sl-SI"/>
        </w:rPr>
      </w:pPr>
      <w:r w:rsidRPr="00B73FE6">
        <w:rPr>
          <w:lang w:val="de-AT" w:eastAsia="sl-SI"/>
        </w:rPr>
        <w:t xml:space="preserve">Aristotel, </w:t>
      </w:r>
      <w:r w:rsidRPr="00B73FE6">
        <w:rPr>
          <w:lang w:val="de-AT"/>
        </w:rPr>
        <w:t>d.o.o.</w:t>
      </w:r>
      <w:r w:rsidRPr="00B73FE6">
        <w:rPr>
          <w:lang w:val="de-AT" w:eastAsia="sl-SI"/>
        </w:rPr>
        <w:t>, Krško;</w:t>
      </w:r>
    </w:p>
    <w:p w14:paraId="611E79CA" w14:textId="77777777" w:rsidR="005248D4" w:rsidRPr="00CD2EEF" w:rsidRDefault="005248D4" w:rsidP="006075E5">
      <w:pPr>
        <w:pStyle w:val="LPalineje"/>
        <w:rPr>
          <w:lang w:val="en-GB" w:eastAsia="sl-SI"/>
        </w:rPr>
      </w:pPr>
      <w:r w:rsidRPr="00CD2EEF">
        <w:rPr>
          <w:lang w:val="en-GB" w:eastAsia="sl-SI"/>
        </w:rPr>
        <w:t>The Krško Health Centre; and</w:t>
      </w:r>
    </w:p>
    <w:p w14:paraId="693328FA" w14:textId="77777777" w:rsidR="005248D4" w:rsidRPr="00CD2EEF" w:rsidRDefault="005248D4" w:rsidP="006075E5">
      <w:pPr>
        <w:pStyle w:val="LPalineje"/>
        <w:rPr>
          <w:lang w:val="en-GB" w:eastAsia="sl-SI"/>
        </w:rPr>
      </w:pPr>
      <w:r w:rsidRPr="00CD2EEF">
        <w:rPr>
          <w:lang w:val="en-GB" w:eastAsia="sl-SI"/>
        </w:rPr>
        <w:t>The Ljubljana Health Centre.</w:t>
      </w:r>
    </w:p>
    <w:p w14:paraId="6AB7DC8E" w14:textId="1CBD8A38" w:rsidR="005248D4" w:rsidRPr="00CD2EEF" w:rsidRDefault="005248D4" w:rsidP="006075E5">
      <w:pPr>
        <w:pStyle w:val="LPnavaden"/>
        <w:rPr>
          <w:lang w:val="en-GB" w:eastAsia="sl-SI"/>
        </w:rPr>
      </w:pPr>
      <w:r w:rsidRPr="00CD2EEF">
        <w:rPr>
          <w:lang w:val="en-GB" w:eastAsia="sl-SI"/>
        </w:rPr>
        <w:t xml:space="preserve">Altogether, 3,605 medical examinations were carried out. Of the examined workers, 3,134 completely fulfilled the requirements for working with sources of ionising radiation, whereas 397 fulfilled the requirements with limitations, 37 candidates temporarily did not fulfil the requirements, </w:t>
      </w:r>
      <w:r w:rsidRPr="00CD2EEF">
        <w:rPr>
          <w:lang w:val="en-GB" w:eastAsia="sl-SI"/>
        </w:rPr>
        <w:lastRenderedPageBreak/>
        <w:t>and 8 did not fulfil the requirements, 1 worker did not fulfil the requirements and other work was proposed for him. In 28 cases an evaluation was not possible.</w:t>
      </w:r>
    </w:p>
    <w:p w14:paraId="2A951658" w14:textId="42A7F452" w:rsidR="005248D4" w:rsidRPr="00CD2EEF" w:rsidRDefault="005248D4" w:rsidP="00BE52F3">
      <w:pPr>
        <w:pStyle w:val="LPVirienojni"/>
        <w:rPr>
          <w:lang w:val="en-GB"/>
        </w:rPr>
      </w:pPr>
      <w:bookmarkStart w:id="286" w:name="_Hlk82612349"/>
      <w:r w:rsidRPr="00CD2EEF">
        <w:rPr>
          <w:lang w:val="en-GB"/>
        </w:rPr>
        <w:t>Reference: [</w:t>
      </w:r>
      <w:hyperlink w:anchor="r15" w:history="1">
        <w:r w:rsidRPr="00CD2EEF">
          <w:rPr>
            <w:rStyle w:val="Hiperpovezava"/>
            <w:lang w:val="en-GB"/>
          </w:rPr>
          <w:t>15</w:t>
        </w:r>
      </w:hyperlink>
      <w:r w:rsidRPr="00CD2EEF">
        <w:rPr>
          <w:lang w:val="en-GB"/>
        </w:rPr>
        <w:t>]</w:t>
      </w:r>
    </w:p>
    <w:p w14:paraId="45B581BA" w14:textId="77777777" w:rsidR="00793B61" w:rsidRPr="00CD2EEF" w:rsidRDefault="00793B61" w:rsidP="00760A91">
      <w:pPr>
        <w:pStyle w:val="LPNaslov1"/>
        <w:rPr>
          <w:lang w:val="en-GB"/>
        </w:rPr>
      </w:pPr>
      <w:bookmarkStart w:id="287" w:name="_Izpostavljenost_pacientov_pri_1"/>
      <w:bookmarkStart w:id="288" w:name="_Toc46257211"/>
      <w:bookmarkStart w:id="289" w:name="_Toc47694654"/>
      <w:bookmarkStart w:id="290" w:name="_Toc511976542"/>
      <w:bookmarkStart w:id="291" w:name="_Toc452641906"/>
      <w:bookmarkStart w:id="292" w:name="_Toc480786919"/>
      <w:bookmarkStart w:id="293" w:name="_Toc483815825"/>
      <w:bookmarkStart w:id="294" w:name="_Toc515358309"/>
      <w:bookmarkStart w:id="295" w:name="_Toc6999445"/>
      <w:bookmarkStart w:id="296" w:name="_Toc11923404"/>
      <w:bookmarkStart w:id="297" w:name="_Toc126312013"/>
      <w:bookmarkEnd w:id="286"/>
      <w:bookmarkEnd w:id="287"/>
      <w:r w:rsidRPr="00CD2EEF">
        <w:rPr>
          <w:lang w:val="en-GB"/>
        </w:rPr>
        <w:lastRenderedPageBreak/>
        <w:t>EXPOSURE DUE TO MEDICAL USE OF IONISING RADIATION</w:t>
      </w:r>
      <w:bookmarkEnd w:id="288"/>
      <w:bookmarkEnd w:id="289"/>
      <w:bookmarkEnd w:id="297"/>
    </w:p>
    <w:bookmarkEnd w:id="290"/>
    <w:p w14:paraId="5F3EA4F2" w14:textId="479ADD7F" w:rsidR="00793B61" w:rsidRPr="00CD2EEF" w:rsidRDefault="00793B61" w:rsidP="00760A91">
      <w:pPr>
        <w:pStyle w:val="LPnavaden"/>
        <w:rPr>
          <w:lang w:val="en-GB"/>
        </w:rPr>
      </w:pPr>
      <w:r w:rsidRPr="00CD2EEF">
        <w:rPr>
          <w:lang w:val="en-GB"/>
        </w:rPr>
        <w:t xml:space="preserve">The use of ionising radiation in medicine is the main contributor to population exposure due to the use of artificial sources of ionising radiation. Slovenia assessed the contribution to the total dose received by patients in diagnostic procedures in medicine in 2010 and 2011 within the framework of the </w:t>
      </w:r>
      <w:r w:rsidRPr="00CD2EEF">
        <w:rPr>
          <w:rStyle w:val="LPnavadenposevnoZnak"/>
          <w:lang w:val="en-GB"/>
        </w:rPr>
        <w:t>Dose DataMed2</w:t>
      </w:r>
      <w:r w:rsidRPr="00CD2EEF">
        <w:rPr>
          <w:lang w:val="en-GB"/>
        </w:rPr>
        <w:t xml:space="preserve"> project, which was carried out under the framework of the European Commission. The results of the study show</w:t>
      </w:r>
      <w:r w:rsidR="001140E3">
        <w:rPr>
          <w:lang w:val="en-GB"/>
        </w:rPr>
        <w:t>ed</w:t>
      </w:r>
      <w:r w:rsidRPr="00CD2EEF">
        <w:rPr>
          <w:lang w:val="en-GB"/>
        </w:rPr>
        <w:t xml:space="preserve"> that the average inhabitant of Slovenia receives approximately 0.7 mSv per year from medical procedures. The most important contribution comes from </w:t>
      </w:r>
      <w:r w:rsidRPr="00EE5C35">
        <w:rPr>
          <w:lang w:val="en-GB"/>
        </w:rPr>
        <w:t>Computed Tomography</w:t>
      </w:r>
      <w:r w:rsidRPr="00CD2EEF">
        <w:rPr>
          <w:lang w:val="en-GB"/>
        </w:rPr>
        <w:t xml:space="preserve"> (CT), which contributes approximately 60% of the total dose. Classic X-ray diagnostics contribute approximately 20%, while interventional procedures and examinations in nuclear medicine contribute approximately 10%. The results show that the exposure of the population in Slovenia is slightly below the European average, which is 1 mSv per year per capita.</w:t>
      </w:r>
    </w:p>
    <w:p w14:paraId="014AB2BB" w14:textId="6FB06279" w:rsidR="00793B61" w:rsidRPr="00CD2EEF" w:rsidRDefault="00793B61" w:rsidP="00760A91">
      <w:pPr>
        <w:pStyle w:val="LPnavaden"/>
        <w:rPr>
          <w:lang w:val="en-GB"/>
        </w:rPr>
      </w:pPr>
      <w:r w:rsidRPr="00CD2EEF">
        <w:rPr>
          <w:lang w:val="en-GB"/>
        </w:rPr>
        <w:t xml:space="preserve">Due to the increasing role of X-ray diagnostics in modern medicine and on the basis of trends in other developed countries, a further increase in the exposure of the population is expected due to medical use of ionising radiation. Therefore, the SRPA carries out activities to improve the application of the principles of justification and optimisation, with particular attention devoted to examinations with computed tomography and interventional procedures. The key activities for the optimisation of radiological procedures are described in </w:t>
      </w:r>
      <w:hyperlink w:anchor="ch51" w:history="1">
        <w:r w:rsidRPr="00CD2EEF">
          <w:rPr>
            <w:rStyle w:val="Hiperpovezava"/>
            <w:lang w:val="en-GB"/>
          </w:rPr>
          <w:t>Chapter 5.1</w:t>
        </w:r>
      </w:hyperlink>
      <w:r w:rsidRPr="00CD2EEF">
        <w:rPr>
          <w:lang w:val="en-GB"/>
        </w:rPr>
        <w:t>, on patient exposure.</w:t>
      </w:r>
    </w:p>
    <w:p w14:paraId="29B7691B" w14:textId="6BA0CEBB" w:rsidR="00793B61" w:rsidRPr="00CD2EEF" w:rsidRDefault="00793B61" w:rsidP="00760A91">
      <w:pPr>
        <w:pStyle w:val="LPnavaden"/>
        <w:rPr>
          <w:lang w:val="en-GB"/>
        </w:rPr>
      </w:pPr>
      <w:r w:rsidRPr="00CD2EEF">
        <w:rPr>
          <w:lang w:val="en-GB"/>
        </w:rPr>
        <w:t>The second fundamental principle of the use of ionising radiation in medicine is the principle of justification. Numerous international studies have shown that 30% or more of diagnostic radiological procedures may be unjustified or inappropriate. This leads to the unnecessary exposure of patients and at the same time represents an additional economic burden on the healthcare system. The implementation of this principle has therefore increasingly been considered in recent years. The most appropriate solution seems to be the use of the referral criteria, especially in conjunction with an electronic ordering system and digital systems for clinical support when referring patients. Unfortunately, the referral criteria and the mentioned support systems are not yet established in Slovenia. In order to assess the implementation level of this principle in practice, in November 2016, the SRPA carried out systematic monitoring at five Slovenian healthcare institutions within the framework of a coordinated action by the competent administrative authorities of many European countries. The findings show that at least in the case of procedures resulting in the largest doses (</w:t>
      </w:r>
      <w:r w:rsidR="001C1A3E" w:rsidRPr="00F93068">
        <w:rPr>
          <w:lang w:val="en-GB"/>
        </w:rPr>
        <w:t>computed</w:t>
      </w:r>
      <w:r w:rsidR="001C1A3E" w:rsidRPr="00CD2EEF">
        <w:rPr>
          <w:lang w:val="en-GB"/>
        </w:rPr>
        <w:t xml:space="preserve"> </w:t>
      </w:r>
      <w:r w:rsidRPr="00CD2EEF">
        <w:rPr>
          <w:lang w:val="en-GB"/>
        </w:rPr>
        <w:t xml:space="preserve">tomography imaging and intervention procedures), all referrals are examined by doctors qualified to bear clinical responsibility for the radiological procedure. This provides a good basis for ensuring the justification for referral, but unfortunately the inadequate clinical information provided by the referring doctors is often a serious obstacle to better implementation. These deficiencies should be eliminated by more complete fulfilment of referrals and/or by the use of a unified health information system, </w:t>
      </w:r>
      <w:r w:rsidR="00C326F1">
        <w:rPr>
          <w:lang w:val="en-GB"/>
        </w:rPr>
        <w:t>such as</w:t>
      </w:r>
      <w:r w:rsidR="00C326F1" w:rsidRPr="00CD2EEF">
        <w:rPr>
          <w:lang w:val="en-GB"/>
        </w:rPr>
        <w:t xml:space="preserve"> </w:t>
      </w:r>
      <w:r w:rsidR="00C326F1">
        <w:rPr>
          <w:lang w:val="en-GB"/>
        </w:rPr>
        <w:t xml:space="preserve">is </w:t>
      </w:r>
      <w:r w:rsidRPr="00CD2EEF">
        <w:rPr>
          <w:lang w:val="en-GB"/>
        </w:rPr>
        <w:t>already in use in other European regions and countries.</w:t>
      </w:r>
    </w:p>
    <w:p w14:paraId="7C47FAFC" w14:textId="420597E4" w:rsidR="00793B61" w:rsidRPr="00CD2EEF" w:rsidRDefault="00793B61" w:rsidP="00760A91">
      <w:pPr>
        <w:pStyle w:val="LPnavaden"/>
        <w:rPr>
          <w:lang w:val="en-GB"/>
        </w:rPr>
      </w:pPr>
      <w:r w:rsidRPr="00CD2EEF">
        <w:rPr>
          <w:lang w:val="en-GB"/>
        </w:rPr>
        <w:t xml:space="preserve">In 2020, Slovenia </w:t>
      </w:r>
      <w:r w:rsidR="00732E58">
        <w:rPr>
          <w:lang w:val="en-GB"/>
        </w:rPr>
        <w:t>was</w:t>
      </w:r>
      <w:r w:rsidRPr="00CD2EEF">
        <w:rPr>
          <w:lang w:val="en-GB"/>
        </w:rPr>
        <w:t xml:space="preserve"> selected to participate in the </w:t>
      </w:r>
      <w:r w:rsidR="00263D93">
        <w:rPr>
          <w:i/>
          <w:iCs/>
          <w:lang w:val="en-GB"/>
        </w:rPr>
        <w:t>“</w:t>
      </w:r>
      <w:r w:rsidRPr="00CD2EEF">
        <w:rPr>
          <w:i/>
          <w:iCs/>
          <w:lang w:val="en-GB"/>
        </w:rPr>
        <w:t>European coordinated action on improving justification of computed tomography</w:t>
      </w:r>
      <w:r w:rsidR="00263D93">
        <w:rPr>
          <w:i/>
          <w:iCs/>
          <w:lang w:val="en-GB"/>
        </w:rPr>
        <w:t>”</w:t>
      </w:r>
      <w:r w:rsidRPr="00CD2EEF">
        <w:rPr>
          <w:lang w:val="en-GB"/>
        </w:rPr>
        <w:t xml:space="preserve"> (EU-JUST-CT) project, which aims to assess the justification of referrals for CT scans. For this purpose, the SRPA will collect data on referrals for all CT examinations performed in Slovenia during the selected period and a specially trained team of radiologists, selected in cooperation between the European Association of Radiologists and the Slovenian Association of Radiologists, will evaluate their justification according to a prepared methodology.</w:t>
      </w:r>
    </w:p>
    <w:p w14:paraId="70749A81" w14:textId="77777777" w:rsidR="00793B61" w:rsidRPr="00CD2EEF" w:rsidRDefault="00793B61" w:rsidP="00760A91">
      <w:pPr>
        <w:keepNext/>
        <w:numPr>
          <w:ilvl w:val="1"/>
          <w:numId w:val="2"/>
        </w:numPr>
        <w:spacing w:before="320" w:after="240"/>
        <w:outlineLvl w:val="1"/>
        <w:rPr>
          <w:rFonts w:ascii="Garamond" w:hAnsi="Garamond"/>
          <w:b/>
          <w:caps/>
          <w:color w:val="0070C0"/>
          <w:sz w:val="32"/>
          <w:szCs w:val="20"/>
          <w:lang w:val="en-GB"/>
        </w:rPr>
      </w:pPr>
      <w:bookmarkStart w:id="298" w:name="_Toc46257212"/>
      <w:bookmarkStart w:id="299" w:name="_Toc47694655"/>
      <w:bookmarkStart w:id="300" w:name="_Toc84321637"/>
      <w:bookmarkStart w:id="301" w:name="_Hlk43372711"/>
      <w:bookmarkStart w:id="302" w:name="ch51"/>
      <w:bookmarkStart w:id="303" w:name="_Toc126312014"/>
      <w:bookmarkEnd w:id="291"/>
      <w:bookmarkEnd w:id="292"/>
      <w:bookmarkEnd w:id="293"/>
      <w:bookmarkEnd w:id="294"/>
      <w:bookmarkEnd w:id="295"/>
      <w:bookmarkEnd w:id="296"/>
      <w:r w:rsidRPr="00CD2EEF">
        <w:rPr>
          <w:rFonts w:ascii="Garamond" w:hAnsi="Garamond"/>
          <w:b/>
          <w:caps/>
          <w:color w:val="0070C0"/>
          <w:sz w:val="32"/>
          <w:szCs w:val="20"/>
          <w:lang w:val="en-GB"/>
        </w:rPr>
        <w:lastRenderedPageBreak/>
        <w:t>DIAGNOSTIC REFERENCE LEVELS</w:t>
      </w:r>
      <w:bookmarkEnd w:id="298"/>
      <w:bookmarkEnd w:id="299"/>
      <w:bookmarkEnd w:id="300"/>
      <w:bookmarkEnd w:id="303"/>
    </w:p>
    <w:p w14:paraId="44584052" w14:textId="1327D206" w:rsidR="00793B61" w:rsidRPr="00CD2EEF" w:rsidRDefault="00793B61" w:rsidP="00760A91">
      <w:pPr>
        <w:pStyle w:val="LPnavaden"/>
        <w:rPr>
          <w:lang w:val="en-GB"/>
        </w:rPr>
      </w:pPr>
      <w:bookmarkStart w:id="304" w:name="_IZPOSTAVLJENOST_PACIENTOV_PRI"/>
      <w:bookmarkEnd w:id="301"/>
      <w:bookmarkEnd w:id="302"/>
      <w:bookmarkEnd w:id="304"/>
      <w:r w:rsidRPr="00CD2EEF">
        <w:rPr>
          <w:lang w:val="en-GB"/>
        </w:rPr>
        <w:t>X-ray examinations implemented in accordance with good radiological practice provide a radiogram that contains all the information necessary for a correct diagnosis at the lowest exposure to patients. In 1996, the ICRP introduced the concept of the Dose Response Rate (DRR) in order to promote the optimisation of radiological procedures. The level of patients</w:t>
      </w:r>
      <w:r w:rsidR="00F21D56">
        <w:rPr>
          <w:lang w:val="en-GB"/>
        </w:rPr>
        <w:t>’</w:t>
      </w:r>
      <w:r w:rsidRPr="00CD2EEF">
        <w:rPr>
          <w:lang w:val="en-GB"/>
        </w:rPr>
        <w:t xml:space="preserve"> exposure during an individual examination in each radiology department or when using a single X-ray device can be assessed by comparing the average exposure in such department or due to an X-ray device to a DRR value obtained on the basis of the relevant regional or local data.</w:t>
      </w:r>
    </w:p>
    <w:p w14:paraId="08A87491" w14:textId="79B0EDD8" w:rsidR="00793B61" w:rsidRPr="00CD2EEF" w:rsidRDefault="00793B61" w:rsidP="00760A91">
      <w:pPr>
        <w:pStyle w:val="LPnavaden"/>
        <w:rPr>
          <w:lang w:val="en-GB"/>
        </w:rPr>
      </w:pPr>
      <w:r w:rsidRPr="00CD2EEF">
        <w:rPr>
          <w:lang w:val="en-GB"/>
        </w:rPr>
        <w:t xml:space="preserve">The use of a DRR is more efficient when national DRR values are applied. Thus, based on the data collected on the exposure of patients undergoing X-ray examinations, </w:t>
      </w:r>
      <w:r w:rsidRPr="003D095F">
        <w:rPr>
          <w:lang w:val="en-GB"/>
        </w:rPr>
        <w:t xml:space="preserve">in 2019 the official DRR values </w:t>
      </w:r>
      <w:r w:rsidR="00117F38" w:rsidRPr="003D095F">
        <w:rPr>
          <w:lang w:val="en-GB"/>
        </w:rPr>
        <w:t xml:space="preserve">in Slovenia </w:t>
      </w:r>
      <w:r w:rsidRPr="003D095F">
        <w:rPr>
          <w:lang w:val="en-GB"/>
        </w:rPr>
        <w:t>for 29 X-ray examinations were presented.</w:t>
      </w:r>
      <w:r w:rsidRPr="00CD2EEF">
        <w:rPr>
          <w:lang w:val="en-GB"/>
        </w:rPr>
        <w:t xml:space="preserve"> Due to changes in technology and professional guidance, it is necessary to regularly review the DRR. Institutions performing radiological procedures must evaluate these data at least every five years. At the same time, these data provide a good overview of the state of the optimisation of radiological procedures in Slovenia. Updated DRRs are published on the SRPA website. Users can compare these reference values with the typical exposures of their patients. In addition, Slovenia continues to participate in IAEA projects (RER-9-147 and RER-6-038) regarding the radiation protection of patients in radiological procedures and quality improvement in such procedures. The two projects were concluded at the end of 2021.</w:t>
      </w:r>
    </w:p>
    <w:p w14:paraId="418C8BEF" w14:textId="2C854933" w:rsidR="00793B61" w:rsidRPr="00CD2EEF" w:rsidRDefault="00793B61" w:rsidP="00760A91">
      <w:pPr>
        <w:pStyle w:val="LPnavaden"/>
        <w:rPr>
          <w:lang w:val="en-GB"/>
        </w:rPr>
      </w:pPr>
      <w:r w:rsidRPr="00CD2EEF">
        <w:rPr>
          <w:lang w:val="en-GB"/>
        </w:rPr>
        <w:t xml:space="preserve">The use of the DRR enables the identification of X-ray devices where the average exposure of patients considerably exceeds the expected values. Focusing on the optimisation of the procedures carried out using these X-ray devices leads to the improvement of radiological practice and reduces patient exposures. The level of exposure regarding a specific X-ray device is compared to the national DRR in the process of issuing a license to carry out a radiation practice and for the use of a radiation source in medicine. If the average patient exposure for a specific examination exceeds the DRR, the SRPA requires that optimisation of </w:t>
      </w:r>
      <w:r w:rsidR="0044144A">
        <w:rPr>
          <w:lang w:val="en-GB"/>
        </w:rPr>
        <w:t xml:space="preserve">the </w:t>
      </w:r>
      <w:r w:rsidRPr="00CD2EEF">
        <w:rPr>
          <w:lang w:val="en-GB"/>
        </w:rPr>
        <w:t xml:space="preserve">procedure protocols </w:t>
      </w:r>
      <w:r w:rsidR="0044144A">
        <w:rPr>
          <w:lang w:val="en-GB"/>
        </w:rPr>
        <w:t>be carried out</w:t>
      </w:r>
      <w:r w:rsidRPr="00CD2EEF">
        <w:rPr>
          <w:lang w:val="en-GB"/>
        </w:rPr>
        <w:t>. This process is important for all radiological procedures</w:t>
      </w:r>
      <w:r w:rsidR="00C73396">
        <w:rPr>
          <w:lang w:val="en-GB"/>
        </w:rPr>
        <w:t>,</w:t>
      </w:r>
      <w:r w:rsidRPr="00CD2EEF">
        <w:rPr>
          <w:lang w:val="en-GB"/>
        </w:rPr>
        <w:t xml:space="preserve"> with special attention devoted to procedures involving high patient exposures, foremost interventional procedures and computed tomography. These two types of radiological procedures contribute about 70% of the total exposure due to medical use of ionising radiation. The SRPA thus started activities for extensive systematic and automatic data collection for all patients. Such data will enable better and more detailed optimisation and assessment of the exposure of the population with respect to sex and age. In 2020, the SRPA funded the continuation of automatic data collection. At the end of 2021, about 60% of all CT devices in Slovenia, including mammography under the DORA programme (</w:t>
      </w:r>
      <w:r w:rsidR="00E11E0C">
        <w:rPr>
          <w:lang w:val="en-GB"/>
        </w:rPr>
        <w:t>the n</w:t>
      </w:r>
      <w:r w:rsidRPr="00CD2EEF">
        <w:rPr>
          <w:lang w:val="en-GB"/>
        </w:rPr>
        <w:t xml:space="preserve">ational breast cancer screening programme) and many other X-ray machines, were already covered by the automatic patient exposure data collection system, which, in addition to determining the average dose for standard examinations, also allows monitoring of other parameters, such as the width of the distribution, the gender or age distribution, etc. The data collected are anonymised and contain information on the sex and age of the patient, as well as all of the parameters necessary for dose estimation. The data will, </w:t>
      </w:r>
      <w:r w:rsidR="00720881" w:rsidRPr="00F93068">
        <w:rPr>
          <w:i/>
          <w:iCs/>
          <w:lang w:val="en-GB"/>
        </w:rPr>
        <w:t>inter alia</w:t>
      </w:r>
      <w:r w:rsidRPr="00CD2EEF">
        <w:rPr>
          <w:lang w:val="en-GB"/>
        </w:rPr>
        <w:t xml:space="preserve">, enable the establishment of diagnostic reference levels for paediatric patients and for a number of procedures for which DRRs have not been established thus far. This exposure tracking is not intended for individual dose assessment of radiological procedures for a single patient. In fact, any patient or his or her legal representative can obtain information on the dose received as a result of a radiological procedure from the physician responsible for the radiological procedure. </w:t>
      </w:r>
    </w:p>
    <w:p w14:paraId="47E11E93" w14:textId="77777777" w:rsidR="00793B61" w:rsidRPr="00CD2EEF" w:rsidRDefault="00793B61" w:rsidP="00760A91">
      <w:pPr>
        <w:pStyle w:val="LPnavaden"/>
        <w:rPr>
          <w:lang w:val="en-GB"/>
        </w:rPr>
      </w:pPr>
      <w:r w:rsidRPr="00CD2EEF">
        <w:rPr>
          <w:lang w:val="en-GB"/>
        </w:rPr>
        <w:t xml:space="preserve">In nuclear medicine, rather than the DRR, the recommended activities of the administered radioisotope are used. Due to the small number of departments of nuclear medicine in Slovenia, developing national values is not sensible, so international recommendations, mainly the recommendations of the European Association of Nuclear Medicine, are applied instead, taking </w:t>
      </w:r>
      <w:r w:rsidRPr="00CD2EEF">
        <w:rPr>
          <w:lang w:val="en-GB"/>
        </w:rPr>
        <w:lastRenderedPageBreak/>
        <w:t xml:space="preserve">into account the technical characteristics of each imaging device. The SRPA checks the typical amounts of administered activity when approving programmes for radiological procedures. In addition, in 2011 systematic reviews of the typical values of the administered activity for all major examinations in all seven nuclear medicine departments were also conducted within the framework of the </w:t>
      </w:r>
      <w:r w:rsidRPr="00CD2EEF">
        <w:rPr>
          <w:i/>
          <w:iCs/>
          <w:lang w:val="en-GB"/>
        </w:rPr>
        <w:t>Dose DataMed2</w:t>
      </w:r>
      <w:r w:rsidRPr="00CD2EEF">
        <w:rPr>
          <w:lang w:val="en-GB"/>
        </w:rPr>
        <w:t xml:space="preserve"> project.</w:t>
      </w:r>
    </w:p>
    <w:p w14:paraId="225EC392" w14:textId="245582DD" w:rsidR="00793B61" w:rsidRPr="00CD2EEF" w:rsidRDefault="00793B61" w:rsidP="00760A91">
      <w:pPr>
        <w:pStyle w:val="LPviri"/>
        <w:rPr>
          <w:lang w:val="en-GB"/>
        </w:rPr>
      </w:pPr>
      <w:r w:rsidRPr="00CD2EEF">
        <w:rPr>
          <w:lang w:val="en-GB"/>
        </w:rPr>
        <w:t>Reference: [</w:t>
      </w:r>
      <w:hyperlink w:anchor="r15" w:history="1">
        <w:r w:rsidRPr="00CD2EEF">
          <w:rPr>
            <w:rStyle w:val="Hiperpovezava"/>
            <w:lang w:val="en-GB"/>
          </w:rPr>
          <w:t>15</w:t>
        </w:r>
      </w:hyperlink>
      <w:r w:rsidRPr="00CD2EEF">
        <w:rPr>
          <w:lang w:val="en-GB"/>
        </w:rPr>
        <w:t>]</w:t>
      </w:r>
    </w:p>
    <w:p w14:paraId="27CAB41C" w14:textId="77777777" w:rsidR="00FA3624" w:rsidRPr="00CD2EEF" w:rsidRDefault="00FA3624" w:rsidP="0047170F">
      <w:pPr>
        <w:pStyle w:val="LPNaslov1"/>
        <w:rPr>
          <w:lang w:val="en-GB"/>
        </w:rPr>
      </w:pPr>
      <w:bookmarkStart w:id="305" w:name="_Toc14414253"/>
      <w:bookmarkStart w:id="306" w:name="_Toc46257213"/>
      <w:bookmarkStart w:id="307" w:name="_Toc47694656"/>
      <w:bookmarkStart w:id="308" w:name="_Toc126312015"/>
      <w:r w:rsidRPr="00CD2EEF">
        <w:rPr>
          <w:lang w:val="en-GB"/>
        </w:rPr>
        <w:lastRenderedPageBreak/>
        <w:t>MANAGEMENT OF RADIOACTIVE WASTE AND IRRADIATED FUEL</w:t>
      </w:r>
      <w:bookmarkEnd w:id="305"/>
      <w:bookmarkEnd w:id="306"/>
      <w:bookmarkEnd w:id="307"/>
      <w:bookmarkEnd w:id="308"/>
    </w:p>
    <w:p w14:paraId="266C50B1" w14:textId="00F37EBC" w:rsidR="00FA3624" w:rsidRPr="00CD2EEF" w:rsidRDefault="00FA3624" w:rsidP="0047170F">
      <w:pPr>
        <w:pStyle w:val="LPnavaden"/>
        <w:rPr>
          <w:lang w:val="en-GB"/>
        </w:rPr>
      </w:pPr>
      <w:r w:rsidRPr="00CD2EEF">
        <w:rPr>
          <w:lang w:val="en-GB"/>
        </w:rPr>
        <w:t xml:space="preserve">In Slovenia, the greatest amount of low- and intermediate-level radioactive waste (over 95%) is generated from the operations of </w:t>
      </w:r>
      <w:r w:rsidR="001B146F">
        <w:rPr>
          <w:lang w:val="en-GB"/>
        </w:rPr>
        <w:t>the Krško NPP</w:t>
      </w:r>
      <w:r w:rsidRPr="00CD2EEF">
        <w:rPr>
          <w:lang w:val="en-GB"/>
        </w:rPr>
        <w:t xml:space="preserve">. The rest is produced in medicine, industry, and research activities. High-Level Radioactive Waste (HLW) will be produced from the decommissioning of the Spent Nuclear Fuel (SNF) from </w:t>
      </w:r>
      <w:r w:rsidR="001B146F">
        <w:rPr>
          <w:lang w:val="en-GB"/>
        </w:rPr>
        <w:t>the Krško NPP</w:t>
      </w:r>
      <w:r w:rsidRPr="00CD2EEF">
        <w:rPr>
          <w:lang w:val="en-GB"/>
        </w:rPr>
        <w:t xml:space="preserve">, and in the event of the possible reprocessing of spent fuel from </w:t>
      </w:r>
      <w:r w:rsidR="001B146F">
        <w:rPr>
          <w:lang w:val="en-GB"/>
        </w:rPr>
        <w:t>the Krško NPP</w:t>
      </w:r>
      <w:r w:rsidRPr="00CD2EEF">
        <w:rPr>
          <w:lang w:val="en-GB"/>
        </w:rPr>
        <w:t xml:space="preserve"> and the TRIGA Mark II Research Reactor. A special category of waste is sealed radioactive sources, which are out of use and had been used by small holders; they </w:t>
      </w:r>
      <w:r w:rsidR="001A3A4E">
        <w:rPr>
          <w:lang w:val="en-GB"/>
        </w:rPr>
        <w:t>are</w:t>
      </w:r>
      <w:r w:rsidRPr="00CD2EEF">
        <w:rPr>
          <w:lang w:val="en-GB"/>
        </w:rPr>
        <w:t xml:space="preserve"> stored in the CSRW.</w:t>
      </w:r>
    </w:p>
    <w:p w14:paraId="24606AD2" w14:textId="77777777" w:rsidR="00FA3624" w:rsidRPr="00CD2EEF" w:rsidRDefault="00FA3624" w:rsidP="0047170F">
      <w:pPr>
        <w:pStyle w:val="LPNaslov2"/>
        <w:rPr>
          <w:lang w:val="en-GB"/>
        </w:rPr>
      </w:pPr>
      <w:bookmarkStart w:id="309" w:name="_Toc330386717"/>
      <w:bookmarkStart w:id="310" w:name="_Toc361922572"/>
      <w:bookmarkStart w:id="311" w:name="_Toc393286032"/>
      <w:bookmarkStart w:id="312" w:name="_Toc424886223"/>
      <w:bookmarkStart w:id="313" w:name="_Toc487454821"/>
      <w:bookmarkStart w:id="314" w:name="_Toc14414254"/>
      <w:bookmarkStart w:id="315" w:name="_Toc46257214"/>
      <w:bookmarkStart w:id="316" w:name="_Toc47694657"/>
      <w:bookmarkStart w:id="317" w:name="_Toc126312016"/>
      <w:r w:rsidRPr="00CD2EEF">
        <w:rPr>
          <w:lang w:val="en-GB"/>
        </w:rPr>
        <w:t>IRRADIATED FUEL AND RADIOACTIVE WASTE AT THE KRŠKO NPP</w:t>
      </w:r>
      <w:bookmarkEnd w:id="309"/>
      <w:bookmarkEnd w:id="310"/>
      <w:bookmarkEnd w:id="311"/>
      <w:bookmarkEnd w:id="312"/>
      <w:bookmarkEnd w:id="313"/>
      <w:bookmarkEnd w:id="314"/>
      <w:bookmarkEnd w:id="315"/>
      <w:bookmarkEnd w:id="316"/>
      <w:bookmarkEnd w:id="317"/>
      <w:r w:rsidRPr="00CD2EEF">
        <w:rPr>
          <w:lang w:val="en-GB"/>
        </w:rPr>
        <w:t xml:space="preserve"> </w:t>
      </w:r>
    </w:p>
    <w:p w14:paraId="21EECFEF" w14:textId="77777777" w:rsidR="00FA3624" w:rsidRPr="00CD2EEF" w:rsidRDefault="00FA3624" w:rsidP="0047170F">
      <w:pPr>
        <w:pStyle w:val="LPNaslov3"/>
        <w:rPr>
          <w:lang w:val="en-GB"/>
        </w:rPr>
      </w:pPr>
      <w:bookmarkStart w:id="318" w:name="_Toc14414255"/>
      <w:bookmarkStart w:id="319" w:name="_Toc46257215"/>
      <w:bookmarkStart w:id="320" w:name="_Toc47694658"/>
      <w:bookmarkStart w:id="321" w:name="_Toc126312017"/>
      <w:r w:rsidRPr="00CD2EEF">
        <w:rPr>
          <w:lang w:val="en-GB"/>
        </w:rPr>
        <w:t>Management of Low- and Intermediate-Level Waste</w:t>
      </w:r>
      <w:bookmarkEnd w:id="318"/>
      <w:bookmarkEnd w:id="319"/>
      <w:bookmarkEnd w:id="320"/>
      <w:bookmarkEnd w:id="321"/>
      <w:r w:rsidRPr="00CD2EEF">
        <w:rPr>
          <w:lang w:val="en-GB"/>
        </w:rPr>
        <w:t xml:space="preserve"> </w:t>
      </w:r>
    </w:p>
    <w:p w14:paraId="61ABCEE7" w14:textId="77777777" w:rsidR="00FA3624" w:rsidRPr="00CD2EEF" w:rsidRDefault="00FA3624" w:rsidP="0047170F">
      <w:pPr>
        <w:pStyle w:val="LPnavaden"/>
        <w:rPr>
          <w:lang w:val="en-GB"/>
        </w:rPr>
      </w:pPr>
      <w:r w:rsidRPr="00CD2EEF">
        <w:rPr>
          <w:lang w:val="en-GB"/>
        </w:rPr>
        <w:t>The total volume of waste accumulated by the end of 2021 amounted to 2,333 m</w:t>
      </w:r>
      <w:r w:rsidRPr="00CD2EEF">
        <w:rPr>
          <w:rStyle w:val="LPnadpisano"/>
          <w:lang w:val="en-GB"/>
        </w:rPr>
        <w:t>3</w:t>
      </w:r>
      <w:r w:rsidRPr="00CD2EEF">
        <w:rPr>
          <w:lang w:val="en-GB"/>
        </w:rPr>
        <w:t>, with the total gamma and alpha activity of the stored waste amounting to 18.5 TBq and 26.9 GBq, respectively. In 2021, the equivalent of 245 standard drums containing solid waste and 32 tube-type-containers (TTC) were produced, with a total beta-gamma and alpha activity of 4.16 GBq and 3.05 MBq, respectively.</w:t>
      </w:r>
    </w:p>
    <w:p w14:paraId="172D4DE9" w14:textId="107C6128" w:rsidR="00FA3624" w:rsidRPr="00CD2EEF" w:rsidRDefault="00447204" w:rsidP="0047170F">
      <w:pPr>
        <w:pStyle w:val="LPnavaden"/>
        <w:rPr>
          <w:lang w:val="en-GB"/>
        </w:rPr>
      </w:pPr>
      <w:hyperlink w:anchor="fig26" w:history="1">
        <w:r w:rsidR="00FA3624" w:rsidRPr="00CD2EEF">
          <w:rPr>
            <w:rStyle w:val="Hiperpovezava"/>
            <w:lang w:val="en-GB"/>
          </w:rPr>
          <w:t>Figure 26</w:t>
        </w:r>
      </w:hyperlink>
      <w:r w:rsidR="00FA3624" w:rsidRPr="00CD2EEF">
        <w:rPr>
          <w:lang w:val="en-GB"/>
        </w:rPr>
        <w:t xml:space="preserve"> shows the accumulation of low- and intermediate-level radioactive waste in </w:t>
      </w:r>
      <w:r w:rsidR="001B146F">
        <w:rPr>
          <w:lang w:val="en-GB"/>
        </w:rPr>
        <w:t>the Krško NPP</w:t>
      </w:r>
      <w:r w:rsidR="00FA3624" w:rsidRPr="00CD2EEF">
        <w:rPr>
          <w:lang w:val="en-GB"/>
        </w:rPr>
        <w:t xml:space="preserve"> storage. Periodic volume reductions, which are a consequence of compression, super-compaction, incineration, and melting, are shown. After 1995, the accumulated waste volume was reduced as a result of a new in-drum drying system (IDDS) for evaporator concentrate and spent ion exchange resins.</w:t>
      </w:r>
    </w:p>
    <w:p w14:paraId="40129CE4" w14:textId="77777777" w:rsidR="00FA3624" w:rsidRPr="00CD2EEF" w:rsidRDefault="00FA3624" w:rsidP="0047170F">
      <w:pPr>
        <w:pStyle w:val="LPnavaden"/>
        <w:rPr>
          <w:lang w:val="en-GB"/>
        </w:rPr>
      </w:pPr>
      <w:bookmarkStart w:id="322" w:name="fig26"/>
      <w:bookmarkStart w:id="323" w:name="_Hlk116029207"/>
      <w:r w:rsidRPr="00CD2EEF">
        <w:rPr>
          <w:noProof/>
          <w:lang w:val="en-GB"/>
        </w:rPr>
        <w:drawing>
          <wp:inline distT="0" distB="0" distL="0" distR="0" wp14:anchorId="45066DA4" wp14:editId="60095844">
            <wp:extent cx="5506446" cy="3490623"/>
            <wp:effectExtent l="0" t="0" r="0" b="0"/>
            <wp:docPr id="53" name="Slika 53" descr="graphical introduction of NPP radioactive waste accumulation sinc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graphical introduction of NPP radioactive waste accumulation since 1982"/>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517943" cy="3497911"/>
                    </a:xfrm>
                    <a:prstGeom prst="rect">
                      <a:avLst/>
                    </a:prstGeom>
                    <a:noFill/>
                    <a:ln>
                      <a:noFill/>
                    </a:ln>
                  </pic:spPr>
                </pic:pic>
              </a:graphicData>
            </a:graphic>
          </wp:inline>
        </w:drawing>
      </w:r>
    </w:p>
    <w:p w14:paraId="2519A7FA" w14:textId="50FF4BF0" w:rsidR="00FA3624" w:rsidRPr="00CD2EEF" w:rsidRDefault="00BE0188" w:rsidP="00BE0188">
      <w:pPr>
        <w:pStyle w:val="LPnaslovslika"/>
        <w:rPr>
          <w:lang w:val="en-GB"/>
        </w:rPr>
      </w:pPr>
      <w:bookmarkStart w:id="324" w:name="_Toc126309905"/>
      <w:bookmarkEnd w:id="322"/>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Pr="00CD2EEF">
        <w:rPr>
          <w:lang w:val="en-GB"/>
        </w:rPr>
        <w:t>26</w:t>
      </w:r>
      <w:r w:rsidR="00366B6D" w:rsidRPr="00CD2EEF">
        <w:rPr>
          <w:lang w:val="en-GB"/>
        </w:rPr>
        <w:fldChar w:fldCharType="end"/>
      </w:r>
      <w:r w:rsidR="00FA3624" w:rsidRPr="00CD2EEF">
        <w:rPr>
          <w:lang w:val="en-GB"/>
        </w:rPr>
        <w:t xml:space="preserve">: The accumulation of low- and intermediate-level radioactive waste in </w:t>
      </w:r>
      <w:r w:rsidR="001B146F">
        <w:rPr>
          <w:lang w:val="en-GB"/>
        </w:rPr>
        <w:t>the Krško NPP</w:t>
      </w:r>
      <w:r w:rsidR="00FA3624" w:rsidRPr="00CD2EEF">
        <w:rPr>
          <w:lang w:val="en-GB"/>
        </w:rPr>
        <w:t xml:space="preserve"> storage</w:t>
      </w:r>
      <w:bookmarkEnd w:id="324"/>
      <w:r w:rsidR="00FA3624" w:rsidRPr="00CD2EEF">
        <w:rPr>
          <w:lang w:val="en-GB"/>
        </w:rPr>
        <w:t xml:space="preserve"> </w:t>
      </w:r>
    </w:p>
    <w:p w14:paraId="644DF0CB" w14:textId="5733ED12" w:rsidR="00FA3624" w:rsidRPr="00CD2EEF" w:rsidRDefault="00FA3624" w:rsidP="0047170F">
      <w:pPr>
        <w:pStyle w:val="LPnavaden"/>
        <w:rPr>
          <w:lang w:val="en-GB"/>
        </w:rPr>
      </w:pPr>
      <w:r w:rsidRPr="00CD2EEF">
        <w:rPr>
          <w:lang w:val="en-GB"/>
        </w:rPr>
        <w:lastRenderedPageBreak/>
        <w:t xml:space="preserve">In 2018, </w:t>
      </w:r>
      <w:r w:rsidR="001B146F">
        <w:rPr>
          <w:lang w:val="en-GB"/>
        </w:rPr>
        <w:t>the Krško NPP</w:t>
      </w:r>
      <w:r w:rsidRPr="00CD2EEF">
        <w:rPr>
          <w:lang w:val="en-GB"/>
        </w:rPr>
        <w:t xml:space="preserve"> built a facility for manipulating equipment and shipments of radioactive cargo (WMB – Waste Manipulation Building) and</w:t>
      </w:r>
      <w:r w:rsidR="008A1E6B">
        <w:rPr>
          <w:lang w:val="en-GB"/>
        </w:rPr>
        <w:t xml:space="preserve"> </w:t>
      </w:r>
      <w:r w:rsidRPr="00CD2EEF">
        <w:rPr>
          <w:lang w:val="en-GB"/>
        </w:rPr>
        <w:t>thus</w:t>
      </w:r>
      <w:r w:rsidR="008A1E6B">
        <w:rPr>
          <w:lang w:val="en-GB"/>
        </w:rPr>
        <w:t xml:space="preserve"> </w:t>
      </w:r>
      <w:r w:rsidRPr="00CD2EEF">
        <w:rPr>
          <w:lang w:val="en-GB"/>
        </w:rPr>
        <w:t>eased the problems caused by delays in the construction of a Low- and Intermediate-Level Radioactive Waste (LILW) repository. The new structure enabled the removal of the measuring equipment and the super-compactor from the temporary storage. Waste packages for storage or incineration are being prepared in the new building.</w:t>
      </w:r>
    </w:p>
    <w:p w14:paraId="1D1B86D2" w14:textId="77777777" w:rsidR="00FA3624" w:rsidRPr="00CD2EEF" w:rsidRDefault="00FA3624" w:rsidP="0047170F">
      <w:pPr>
        <w:pStyle w:val="LPnavaden"/>
        <w:rPr>
          <w:lang w:val="en-GB"/>
        </w:rPr>
      </w:pPr>
      <w:r w:rsidRPr="00CD2EEF">
        <w:rPr>
          <w:lang w:val="en-GB"/>
        </w:rPr>
        <w:t>Radioactive waste for incineration and melting is being temporarily transferred to the Decontamination Building due to a lack of space in the storage facility near the super-compactor. At the end of the year 2021, 167 packages of compressible waste and 96 packages of other waste were stored in the new WMB building. Furthermore, 53 packages of dried secondary spent resins (BR) and 371 packages of compressible waste awaiting further treatment were temporarily stored in the Decontamination Building.</w:t>
      </w:r>
    </w:p>
    <w:p w14:paraId="440FEF6B" w14:textId="77777777" w:rsidR="00FA3624" w:rsidRPr="00CD2EEF" w:rsidRDefault="00FA3624" w:rsidP="0047170F">
      <w:pPr>
        <w:pStyle w:val="LPNaslov3"/>
        <w:rPr>
          <w:lang w:val="en-GB"/>
        </w:rPr>
      </w:pPr>
      <w:bookmarkStart w:id="325" w:name="_Toc487454823"/>
      <w:bookmarkStart w:id="326" w:name="_Toc14414256"/>
      <w:bookmarkStart w:id="327" w:name="_Toc46257216"/>
      <w:bookmarkStart w:id="328" w:name="_Toc47694659"/>
      <w:bookmarkStart w:id="329" w:name="_Toc126312018"/>
      <w:bookmarkEnd w:id="323"/>
      <w:r w:rsidRPr="00CD2EEF">
        <w:rPr>
          <w:lang w:val="en-GB"/>
        </w:rPr>
        <w:t>Management of Spent Fuel</w:t>
      </w:r>
      <w:bookmarkEnd w:id="325"/>
      <w:bookmarkEnd w:id="326"/>
      <w:bookmarkEnd w:id="327"/>
      <w:bookmarkEnd w:id="328"/>
      <w:bookmarkEnd w:id="329"/>
    </w:p>
    <w:p w14:paraId="3260C080" w14:textId="6DB6BDF0" w:rsidR="00FA3624" w:rsidRPr="00CD2EEF" w:rsidRDefault="00FA3624" w:rsidP="0047170F">
      <w:pPr>
        <w:pStyle w:val="LPnavaden"/>
        <w:rPr>
          <w:lang w:val="en-GB"/>
        </w:rPr>
      </w:pPr>
      <w:r w:rsidRPr="00CD2EEF">
        <w:rPr>
          <w:lang w:val="en-GB"/>
        </w:rPr>
        <w:t xml:space="preserve">All spent fuel in </w:t>
      </w:r>
      <w:r w:rsidR="001B146F">
        <w:rPr>
          <w:lang w:val="en-GB"/>
        </w:rPr>
        <w:t>the Krško NPP</w:t>
      </w:r>
      <w:r w:rsidRPr="00CD2EEF">
        <w:rPr>
          <w:lang w:val="en-GB"/>
        </w:rPr>
        <w:t xml:space="preserve"> is stored in the spent fuel pool with 1,694 cells. In </w:t>
      </w:r>
      <w:r w:rsidRPr="00CD2EEF">
        <w:rPr>
          <w:rFonts w:eastAsia="MS Mincho"/>
          <w:lang w:val="en-GB"/>
        </w:rPr>
        <w:t xml:space="preserve">spring </w:t>
      </w:r>
      <w:r w:rsidRPr="00CD2EEF">
        <w:rPr>
          <w:lang w:val="en-GB"/>
        </w:rPr>
        <w:t>20</w:t>
      </w:r>
      <w:r w:rsidRPr="00CD2EEF">
        <w:rPr>
          <w:rFonts w:eastAsia="MS Mincho"/>
          <w:lang w:val="en-GB"/>
        </w:rPr>
        <w:t>21</w:t>
      </w:r>
      <w:r w:rsidRPr="00CD2EEF">
        <w:rPr>
          <w:lang w:val="en-GB"/>
        </w:rPr>
        <w:t xml:space="preserve">, a regular outage took place, with the shipment of 56 elements of fresh fuel to </w:t>
      </w:r>
      <w:r w:rsidR="001B146F">
        <w:rPr>
          <w:lang w:val="en-GB"/>
        </w:rPr>
        <w:t>the Krško NPP</w:t>
      </w:r>
      <w:r w:rsidRPr="00CD2EEF">
        <w:rPr>
          <w:lang w:val="en-GB"/>
        </w:rPr>
        <w:t xml:space="preserve"> </w:t>
      </w:r>
      <w:r w:rsidRPr="00CD2EEF">
        <w:rPr>
          <w:rFonts w:eastAsia="MS Mincho"/>
          <w:lang w:val="en-GB"/>
        </w:rPr>
        <w:t>already at the end of 2020</w:t>
      </w:r>
      <w:r w:rsidRPr="00CD2EEF">
        <w:rPr>
          <w:lang w:val="en-GB"/>
        </w:rPr>
        <w:t>. At the end of 20</w:t>
      </w:r>
      <w:r w:rsidRPr="00CD2EEF">
        <w:rPr>
          <w:rFonts w:eastAsia="MS Mincho"/>
          <w:lang w:val="en-GB"/>
        </w:rPr>
        <w:t>21</w:t>
      </w:r>
      <w:r w:rsidRPr="00CD2EEF">
        <w:rPr>
          <w:lang w:val="en-GB"/>
        </w:rPr>
        <w:t>, a total of 1,3</w:t>
      </w:r>
      <w:r w:rsidRPr="00CD2EEF">
        <w:rPr>
          <w:rFonts w:eastAsia="MS Mincho"/>
          <w:lang w:val="en-GB"/>
        </w:rPr>
        <w:t>79</w:t>
      </w:r>
      <w:r w:rsidRPr="00CD2EEF">
        <w:rPr>
          <w:lang w:val="en-GB"/>
        </w:rPr>
        <w:t xml:space="preserve"> fuel elements were stored in the spent fuel pool, including two special containers with fuel rods and a fission cell from 2017. The number of annually spent fuel assemblies and the total number of such elements in the pool are shown in </w:t>
      </w:r>
      <w:hyperlink w:anchor="fig27" w:history="1">
        <w:r w:rsidRPr="00CD2EEF">
          <w:rPr>
            <w:rStyle w:val="Hiperpovezava"/>
            <w:lang w:val="en-GB"/>
          </w:rPr>
          <w:t>Figure 27</w:t>
        </w:r>
      </w:hyperlink>
      <w:r w:rsidRPr="00CD2EEF">
        <w:rPr>
          <w:lang w:val="en-GB"/>
        </w:rPr>
        <w:t>.</w:t>
      </w:r>
    </w:p>
    <w:p w14:paraId="44C5C62B" w14:textId="77777777" w:rsidR="00FA3624" w:rsidRPr="00CD2EEF" w:rsidRDefault="00FA3624" w:rsidP="0047170F">
      <w:pPr>
        <w:pStyle w:val="LPnavaden"/>
        <w:rPr>
          <w:lang w:val="en-GB"/>
        </w:rPr>
      </w:pPr>
      <w:bookmarkStart w:id="330" w:name="fig27"/>
      <w:r w:rsidRPr="00CD2EEF">
        <w:rPr>
          <w:noProof/>
          <w:lang w:val="en-GB"/>
        </w:rPr>
        <w:drawing>
          <wp:inline distT="0" distB="0" distL="0" distR="0" wp14:anchorId="4BC0CD83" wp14:editId="07C94C5C">
            <wp:extent cx="5676265" cy="2713939"/>
            <wp:effectExtent l="0" t="0" r="635" b="10795"/>
            <wp:docPr id="54" name="Grafikon 54" descr="graphical introduction of spent fuel assemblies in NPP pool since 1983">
              <a:extLst xmlns:a="http://schemas.openxmlformats.org/drawingml/2006/main">
                <a:ext uri="{FF2B5EF4-FFF2-40B4-BE49-F238E27FC236}">
                  <a16:creationId xmlns:a16="http://schemas.microsoft.com/office/drawing/2014/main" id="{9B8F572C-E164-4CF2-BD5C-FD77D1FA1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502706" w14:textId="515970A9" w:rsidR="00FA3624" w:rsidRPr="00CD2EEF" w:rsidRDefault="00BE0188" w:rsidP="00BE0188">
      <w:pPr>
        <w:pStyle w:val="LPnaslovslika"/>
        <w:rPr>
          <w:lang w:val="en-GB"/>
        </w:rPr>
      </w:pPr>
      <w:bookmarkStart w:id="331" w:name="_Toc126309906"/>
      <w:bookmarkEnd w:id="330"/>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Pr="00CD2EEF">
        <w:rPr>
          <w:lang w:val="en-GB"/>
        </w:rPr>
        <w:t>27</w:t>
      </w:r>
      <w:r w:rsidR="00366B6D" w:rsidRPr="00CD2EEF">
        <w:rPr>
          <w:lang w:val="en-GB"/>
        </w:rPr>
        <w:fldChar w:fldCharType="end"/>
      </w:r>
      <w:r w:rsidR="00FA3624" w:rsidRPr="00CD2EEF">
        <w:rPr>
          <w:lang w:val="en-GB"/>
        </w:rPr>
        <w:t xml:space="preserve">: The number of annually spent fuel assemblies and the total number of such elements in the pool of </w:t>
      </w:r>
      <w:r w:rsidR="001B146F">
        <w:rPr>
          <w:lang w:val="en-GB"/>
        </w:rPr>
        <w:t>the Krško NPP</w:t>
      </w:r>
      <w:bookmarkEnd w:id="331"/>
    </w:p>
    <w:p w14:paraId="07F6155B" w14:textId="6CD8BF80" w:rsidR="00FA3624" w:rsidRPr="00CD2EEF" w:rsidRDefault="00FA3624" w:rsidP="0047170F">
      <w:pPr>
        <w:pStyle w:val="LPNaslov2"/>
        <w:rPr>
          <w:lang w:val="en-GB"/>
        </w:rPr>
      </w:pPr>
      <w:bookmarkStart w:id="332" w:name="_Toc487454824"/>
      <w:bookmarkStart w:id="333" w:name="_Toc14414257"/>
      <w:bookmarkStart w:id="334" w:name="_Toc46257217"/>
      <w:bookmarkStart w:id="335" w:name="_Toc47694660"/>
      <w:bookmarkStart w:id="336" w:name="_Toc126312019"/>
      <w:r w:rsidRPr="00CD2EEF">
        <w:rPr>
          <w:lang w:val="en-GB"/>
        </w:rPr>
        <w:t>RADIOACTIVE WASTE AT THE JOŽEF STEFAN INSTITUTE</w:t>
      </w:r>
      <w:bookmarkEnd w:id="332"/>
      <w:bookmarkEnd w:id="333"/>
      <w:bookmarkEnd w:id="334"/>
      <w:bookmarkEnd w:id="335"/>
      <w:bookmarkEnd w:id="336"/>
    </w:p>
    <w:p w14:paraId="069E076C" w14:textId="523793A6" w:rsidR="00FA3624" w:rsidRPr="00CD2EEF" w:rsidRDefault="00FA3624" w:rsidP="0029095F">
      <w:pPr>
        <w:pStyle w:val="LPnavaden"/>
        <w:rPr>
          <w:lang w:val="en-GB"/>
        </w:rPr>
      </w:pPr>
      <w:r w:rsidRPr="00CD2EEF">
        <w:rPr>
          <w:lang w:val="en-GB"/>
        </w:rPr>
        <w:t xml:space="preserve">Approximately 40 litres of spent ion exchange resins, 200 litres of activated or contaminated experimental and protective equipment, and 100 litres of aluminium irradiation containers are produced annually during the operation of the reactor, as well as from the work in the hot cell and controlled areas of the Department of Environmental Sciences. The Radiation Protection Unit of the Institute collects spent radioactive material in the temporary storage in the hot cell facility. After repacking, treatment (compression), and detailed characterisation, the material is declared </w:t>
      </w:r>
      <w:r w:rsidRPr="00CD2EEF">
        <w:rPr>
          <w:lang w:val="en-GB"/>
        </w:rPr>
        <w:lastRenderedPageBreak/>
        <w:t>radioactive waste. The JSI annually produces up to 2 drums (&lt; 0.5 m</w:t>
      </w:r>
      <w:r w:rsidRPr="00CD2EEF">
        <w:rPr>
          <w:rStyle w:val="LPnadpisano"/>
          <w:rFonts w:eastAsiaTheme="majorEastAsia"/>
          <w:lang w:val="en-GB"/>
        </w:rPr>
        <w:t>3</w:t>
      </w:r>
      <w:r w:rsidRPr="00CD2EEF">
        <w:rPr>
          <w:lang w:val="en-GB"/>
        </w:rPr>
        <w:t xml:space="preserve">) of solid radioactive waste. No radioactive waste </w:t>
      </w:r>
      <w:r w:rsidR="00C63858">
        <w:rPr>
          <w:lang w:val="en-GB"/>
        </w:rPr>
        <w:t>was</w:t>
      </w:r>
      <w:r w:rsidRPr="00CD2EEF">
        <w:rPr>
          <w:lang w:val="en-GB"/>
        </w:rPr>
        <w:t xml:space="preserve"> transferred to the CSRW in 2021.</w:t>
      </w:r>
    </w:p>
    <w:p w14:paraId="778F7905" w14:textId="392834C7" w:rsidR="00FA3624" w:rsidRPr="00CD2EEF" w:rsidRDefault="00FA3624" w:rsidP="0029095F">
      <w:pPr>
        <w:pStyle w:val="LPnavaden"/>
        <w:rPr>
          <w:lang w:val="en-GB"/>
        </w:rPr>
      </w:pPr>
      <w:r w:rsidRPr="00CD2EEF">
        <w:rPr>
          <w:lang w:val="en-GB"/>
        </w:rPr>
        <w:t>Equipment, tools, packaging, or other materials (waste protective plastics, irradiated samples, and other substances) in the controlled area are also monitored. These objects may be cleared if they meet the requirements as to the maximum permitted activity or surface contamination.</w:t>
      </w:r>
    </w:p>
    <w:p w14:paraId="5622BD43" w14:textId="77777777" w:rsidR="00FA3624" w:rsidRPr="00CD2EEF" w:rsidRDefault="00FA3624" w:rsidP="00EB7F18">
      <w:pPr>
        <w:pStyle w:val="LPNaslov2"/>
        <w:rPr>
          <w:lang w:val="en-GB"/>
        </w:rPr>
      </w:pPr>
      <w:bookmarkStart w:id="337" w:name="_Toc84321643"/>
      <w:bookmarkStart w:id="338" w:name="_Toc126312020"/>
      <w:r w:rsidRPr="00CD2EEF">
        <w:rPr>
          <w:lang w:val="en-GB"/>
        </w:rPr>
        <w:t>RADIOACTIVE WASTE IN MEDICINE</w:t>
      </w:r>
      <w:bookmarkEnd w:id="337"/>
      <w:bookmarkEnd w:id="338"/>
    </w:p>
    <w:p w14:paraId="0DC38457" w14:textId="77777777" w:rsidR="00FA3624" w:rsidRPr="00CD2EEF" w:rsidRDefault="00FA3624" w:rsidP="00EB7F18">
      <w:pPr>
        <w:pStyle w:val="LPnavaden"/>
        <w:rPr>
          <w:lang w:val="en-GB"/>
        </w:rPr>
      </w:pPr>
      <w:r w:rsidRPr="00CD2EEF">
        <w:rPr>
          <w:lang w:val="en-GB"/>
        </w:rPr>
        <w:t>The Institute of Oncology in Ljubljana has appropriate holding tanks to decrease the activity of waste liquids through decay. The tanks are emptied every four months after approved radiation protection experts carry out preliminary measurements of specific activities. Adequate temporary storage of radioactive waste has also been arranged in the new building of the Institute of Oncology. The Clinic for Nuclear Medicine at the University Medical Centre in Ljubljana has not built a system for holding liquid waste, but, according to IAEA doctrine, such systems are not considered to be justified due to the minimal influence the liquid waste has on the health of the population and the environment. In other hospitals in Slovenia only daily treatments are applied and thus systems for holding liquid waste are not necessary.</w:t>
      </w:r>
    </w:p>
    <w:p w14:paraId="20B8BEA5" w14:textId="77777777" w:rsidR="00FA3624" w:rsidRPr="00CD2EEF" w:rsidRDefault="00FA3624" w:rsidP="00EB7F18">
      <w:pPr>
        <w:pStyle w:val="LPnavaden"/>
        <w:rPr>
          <w:lang w:val="en-GB"/>
        </w:rPr>
      </w:pPr>
      <w:r w:rsidRPr="00CD2EEF">
        <w:rPr>
          <w:lang w:val="en-GB"/>
        </w:rPr>
        <w:t>Disused sealed radioactive sources are returned to the producer or transferred to the Agency for Radwaste Management. Radioactive waste with short-lived radionuclides is stored in a special storage facility until clearance levels are reached and then disposed of as normal waste.</w:t>
      </w:r>
    </w:p>
    <w:p w14:paraId="6A768CE4" w14:textId="55E32B7B" w:rsidR="00FA3624" w:rsidRPr="00CD2EEF" w:rsidRDefault="00FA3624" w:rsidP="00EB7F18">
      <w:pPr>
        <w:pStyle w:val="LPVirienojni"/>
        <w:rPr>
          <w:lang w:val="en-GB"/>
        </w:rPr>
      </w:pPr>
      <w:r w:rsidRPr="00CD2EEF">
        <w:rPr>
          <w:lang w:val="en-GB"/>
        </w:rPr>
        <w:t>Reference: [</w:t>
      </w:r>
      <w:hyperlink w:anchor="r15" w:history="1">
        <w:r w:rsidRPr="00CD2EEF">
          <w:rPr>
            <w:rStyle w:val="Hiperpovezava"/>
            <w:lang w:val="en-GB"/>
          </w:rPr>
          <w:t>15</w:t>
        </w:r>
      </w:hyperlink>
      <w:r w:rsidRPr="00CD2EEF">
        <w:rPr>
          <w:lang w:val="en-GB"/>
        </w:rPr>
        <w:t>]</w:t>
      </w:r>
    </w:p>
    <w:p w14:paraId="6107F592" w14:textId="77777777" w:rsidR="00FA3624" w:rsidRPr="00CD2EEF" w:rsidRDefault="00FA3624" w:rsidP="002874C9">
      <w:pPr>
        <w:pStyle w:val="LPNaslov2"/>
        <w:rPr>
          <w:lang w:val="en-GB"/>
        </w:rPr>
      </w:pPr>
      <w:bookmarkStart w:id="339" w:name="_Toc14414259"/>
      <w:bookmarkStart w:id="340" w:name="_Toc46257219"/>
      <w:bookmarkStart w:id="341" w:name="_Toc47694662"/>
      <w:bookmarkStart w:id="342" w:name="ch64"/>
      <w:bookmarkStart w:id="343" w:name="_Toc126312021"/>
      <w:r w:rsidRPr="00CD2EEF">
        <w:rPr>
          <w:lang w:val="en-GB"/>
        </w:rPr>
        <w:t>THE COMMERCIAL PUBLIC SERVICE OF RADIOACTIVE WASTE MANAGEMENT</w:t>
      </w:r>
      <w:bookmarkEnd w:id="339"/>
      <w:bookmarkEnd w:id="340"/>
      <w:bookmarkEnd w:id="341"/>
      <w:bookmarkEnd w:id="343"/>
    </w:p>
    <w:p w14:paraId="0964CDB7" w14:textId="46218F9C" w:rsidR="00FA3624" w:rsidRPr="00CD2EEF" w:rsidRDefault="00FA3624" w:rsidP="00EB7F18">
      <w:pPr>
        <w:pStyle w:val="LPNaslov3"/>
        <w:rPr>
          <w:lang w:val="en-GB"/>
        </w:rPr>
      </w:pPr>
      <w:bookmarkStart w:id="344" w:name="_Toc14414260"/>
      <w:bookmarkStart w:id="345" w:name="_Toc46257220"/>
      <w:bookmarkStart w:id="346" w:name="_Toc47694663"/>
      <w:bookmarkStart w:id="347" w:name="_Toc126312022"/>
      <w:bookmarkEnd w:id="342"/>
      <w:r w:rsidRPr="00CD2EEF">
        <w:rPr>
          <w:lang w:val="en-GB"/>
        </w:rPr>
        <w:t xml:space="preserve">Radioactive </w:t>
      </w:r>
      <w:r w:rsidR="002D5FFC">
        <w:rPr>
          <w:lang w:val="en-GB"/>
        </w:rPr>
        <w:t>W</w:t>
      </w:r>
      <w:r w:rsidRPr="00CD2EEF">
        <w:rPr>
          <w:lang w:val="en-GB"/>
        </w:rPr>
        <w:t xml:space="preserve">aste that is </w:t>
      </w:r>
      <w:r w:rsidR="002D5FFC">
        <w:rPr>
          <w:lang w:val="en-GB"/>
        </w:rPr>
        <w:t>N</w:t>
      </w:r>
      <w:r w:rsidRPr="00CD2EEF">
        <w:rPr>
          <w:lang w:val="en-GB"/>
        </w:rPr>
        <w:t xml:space="preserve">ot </w:t>
      </w:r>
      <w:r w:rsidR="002D5FFC">
        <w:rPr>
          <w:lang w:val="en-GB"/>
        </w:rPr>
        <w:t>W</w:t>
      </w:r>
      <w:r w:rsidRPr="00CD2EEF">
        <w:rPr>
          <w:lang w:val="en-GB"/>
        </w:rPr>
        <w:t xml:space="preserve">aste from </w:t>
      </w:r>
      <w:r w:rsidR="002D5FFC">
        <w:rPr>
          <w:lang w:val="en-GB"/>
        </w:rPr>
        <w:t>N</w:t>
      </w:r>
      <w:r w:rsidRPr="00CD2EEF">
        <w:rPr>
          <w:lang w:val="en-GB"/>
        </w:rPr>
        <w:t xml:space="preserve">uclear </w:t>
      </w:r>
      <w:r w:rsidR="002D5FFC">
        <w:rPr>
          <w:lang w:val="en-GB"/>
        </w:rPr>
        <w:t>F</w:t>
      </w:r>
      <w:r w:rsidRPr="00CD2EEF">
        <w:rPr>
          <w:lang w:val="en-GB"/>
        </w:rPr>
        <w:t xml:space="preserve">acilities for </w:t>
      </w:r>
      <w:r w:rsidR="002D5FFC">
        <w:rPr>
          <w:lang w:val="en-GB"/>
        </w:rPr>
        <w:t>E</w:t>
      </w:r>
      <w:r w:rsidRPr="00CD2EEF">
        <w:rPr>
          <w:lang w:val="en-GB"/>
        </w:rPr>
        <w:t xml:space="preserve">nergy </w:t>
      </w:r>
      <w:r w:rsidR="002D5FFC">
        <w:rPr>
          <w:lang w:val="en-GB"/>
        </w:rPr>
        <w:t>P</w:t>
      </w:r>
      <w:r w:rsidRPr="00CD2EEF">
        <w:rPr>
          <w:lang w:val="en-GB"/>
        </w:rPr>
        <w:t>roduction (</w:t>
      </w:r>
      <w:r w:rsidR="002D5FFC">
        <w:rPr>
          <w:lang w:val="en-GB"/>
        </w:rPr>
        <w:t>i</w:t>
      </w:r>
      <w:r w:rsidRPr="00432C74">
        <w:rPr>
          <w:lang w:val="en-GB"/>
        </w:rPr>
        <w:t>.</w:t>
      </w:r>
      <w:r w:rsidR="002D5FFC">
        <w:rPr>
          <w:lang w:val="en-GB"/>
        </w:rPr>
        <w:t>e</w:t>
      </w:r>
      <w:r w:rsidRPr="00432C74">
        <w:rPr>
          <w:lang w:val="en-GB"/>
        </w:rPr>
        <w:t xml:space="preserve">. </w:t>
      </w:r>
      <w:r w:rsidR="002D5FFC">
        <w:rPr>
          <w:lang w:val="en-GB"/>
        </w:rPr>
        <w:t>I</w:t>
      </w:r>
      <w:r w:rsidRPr="00432C74">
        <w:rPr>
          <w:lang w:val="en-GB"/>
        </w:rPr>
        <w:t>nstitutional</w:t>
      </w:r>
      <w:r w:rsidRPr="00CD2EEF">
        <w:rPr>
          <w:lang w:val="en-GB"/>
        </w:rPr>
        <w:t xml:space="preserve"> </w:t>
      </w:r>
      <w:r w:rsidR="002D5FFC">
        <w:rPr>
          <w:lang w:val="en-GB"/>
        </w:rPr>
        <w:t>R</w:t>
      </w:r>
      <w:r w:rsidRPr="00CD2EEF">
        <w:rPr>
          <w:lang w:val="en-GB"/>
        </w:rPr>
        <w:t xml:space="preserve">adioactive </w:t>
      </w:r>
      <w:r w:rsidR="002D5FFC">
        <w:rPr>
          <w:lang w:val="en-GB"/>
        </w:rPr>
        <w:t>W</w:t>
      </w:r>
      <w:r w:rsidRPr="00CD2EEF">
        <w:rPr>
          <w:lang w:val="en-GB"/>
        </w:rPr>
        <w:t xml:space="preserve">aste from </w:t>
      </w:r>
      <w:r w:rsidR="002D5FFC">
        <w:rPr>
          <w:lang w:val="en-GB"/>
        </w:rPr>
        <w:t>S</w:t>
      </w:r>
      <w:r w:rsidRPr="00CD2EEF">
        <w:rPr>
          <w:lang w:val="en-GB"/>
        </w:rPr>
        <w:t xml:space="preserve">mall </w:t>
      </w:r>
      <w:r w:rsidR="002D5FFC">
        <w:rPr>
          <w:lang w:val="en-GB"/>
        </w:rPr>
        <w:t>P</w:t>
      </w:r>
      <w:r w:rsidRPr="00CD2EEF">
        <w:rPr>
          <w:lang w:val="en-GB"/>
        </w:rPr>
        <w:t>roducers)</w:t>
      </w:r>
      <w:bookmarkEnd w:id="344"/>
      <w:bookmarkEnd w:id="345"/>
      <w:bookmarkEnd w:id="346"/>
      <w:bookmarkEnd w:id="347"/>
    </w:p>
    <w:p w14:paraId="7B3499A1" w14:textId="77777777" w:rsidR="00FA3624" w:rsidRPr="00CD2EEF" w:rsidRDefault="00FA3624" w:rsidP="00522F0F">
      <w:pPr>
        <w:pStyle w:val="LPnavaden"/>
        <w:rPr>
          <w:lang w:val="en-GB"/>
        </w:rPr>
      </w:pPr>
      <w:r w:rsidRPr="00CD2EEF">
        <w:rPr>
          <w:lang w:val="en-GB"/>
        </w:rPr>
        <w:t>The ARAO is responsible for providing the public service of radioactive waste management.</w:t>
      </w:r>
    </w:p>
    <w:p w14:paraId="2BF69F83" w14:textId="58C8B708" w:rsidR="00FA3624" w:rsidRPr="00CD2EEF" w:rsidRDefault="00FA3624" w:rsidP="00522F0F">
      <w:pPr>
        <w:pStyle w:val="LPnavaden"/>
        <w:rPr>
          <w:lang w:val="en-GB"/>
        </w:rPr>
      </w:pPr>
      <w:r w:rsidRPr="00CD2EEF">
        <w:rPr>
          <w:lang w:val="en-GB"/>
        </w:rPr>
        <w:t xml:space="preserve">Within the public service of the management of radioactive waste from small producers, in 2021 the ARAO ensured the regular and uninterrupted collection of radioactive waste at its place of origin, its transport, treatment, and preparation for storage and disposal, and management of the Central Storage Facility, as described in </w:t>
      </w:r>
      <w:hyperlink w:anchor="ch213" w:history="1">
        <w:r w:rsidRPr="00CD2EEF">
          <w:rPr>
            <w:rStyle w:val="Hiperpovezava"/>
            <w:lang w:val="en-GB"/>
          </w:rPr>
          <w:t>Chapter 2.1.3</w:t>
        </w:r>
      </w:hyperlink>
      <w:r w:rsidRPr="00CD2EEF">
        <w:rPr>
          <w:lang w:val="en-GB"/>
        </w:rPr>
        <w:t xml:space="preserve">. The ARAO is also the operator of the national infrastructure facility, </w:t>
      </w:r>
      <w:r w:rsidR="004763D5">
        <w:rPr>
          <w:lang w:val="en-GB"/>
        </w:rPr>
        <w:t xml:space="preserve">the </w:t>
      </w:r>
      <w:r w:rsidRPr="00CD2EEF">
        <w:rPr>
          <w:lang w:val="en-GB"/>
        </w:rPr>
        <w:t>CSRW.</w:t>
      </w:r>
    </w:p>
    <w:p w14:paraId="2F523F54" w14:textId="77777777" w:rsidR="00FA3624" w:rsidRPr="00CD2EEF" w:rsidRDefault="00FA3624" w:rsidP="00522F0F">
      <w:pPr>
        <w:pStyle w:val="LPnavaden"/>
        <w:rPr>
          <w:lang w:val="en-GB"/>
        </w:rPr>
      </w:pPr>
      <w:r w:rsidRPr="00CD2EEF">
        <w:rPr>
          <w:lang w:val="en-GB"/>
        </w:rPr>
        <w:t>For processing radioactive waste, the ARAO can independently use the premises of the hot cell facility that is part of the TRIGA Mark II Research Reactor at the JSI.</w:t>
      </w:r>
    </w:p>
    <w:p w14:paraId="01545216" w14:textId="77777777" w:rsidR="00FA3624" w:rsidRPr="00CD2EEF" w:rsidRDefault="00FA3624" w:rsidP="00522F0F">
      <w:pPr>
        <w:pStyle w:val="LPnavaden"/>
        <w:rPr>
          <w:lang w:val="en-GB"/>
        </w:rPr>
      </w:pPr>
      <w:r w:rsidRPr="00CD2EEF">
        <w:rPr>
          <w:lang w:val="en-GB"/>
        </w:rPr>
        <w:t>In 2021, the ARAO accepted 100 packages of radioactive waste from different producers, namely 10 packages of solid waste, 13 packages of sealed radiation sources, and 77 packages of ionisation smoke detectors. The total volume of the stored radioactive waste was 1.9 m</w:t>
      </w:r>
      <w:r w:rsidRPr="00CD2EEF">
        <w:rPr>
          <w:rStyle w:val="LPnadpisano"/>
          <w:lang w:val="en-GB"/>
        </w:rPr>
        <w:t>3</w:t>
      </w:r>
      <w:r w:rsidRPr="00CD2EEF">
        <w:rPr>
          <w:lang w:val="en-GB"/>
        </w:rPr>
        <w:t>. As of the end of 2021, there were 673 packages stored, as follows:</w:t>
      </w:r>
    </w:p>
    <w:p w14:paraId="1ADDBDEE" w14:textId="77777777" w:rsidR="00FA3624" w:rsidRPr="00CD2EEF" w:rsidRDefault="00FA3624" w:rsidP="00522F0F">
      <w:pPr>
        <w:pStyle w:val="LPalineje"/>
        <w:rPr>
          <w:lang w:val="en-GB"/>
        </w:rPr>
      </w:pPr>
      <w:r w:rsidRPr="00CD2EEF">
        <w:rPr>
          <w:lang w:val="en-GB"/>
        </w:rPr>
        <w:t>433 packages of solid radioactive waste (sorted according to compressibility, combustibility, shape, and size),</w:t>
      </w:r>
    </w:p>
    <w:p w14:paraId="47CC262F" w14:textId="205FB33C" w:rsidR="00FA3624" w:rsidRPr="00CD2EEF" w:rsidRDefault="00FA3624" w:rsidP="00522F0F">
      <w:pPr>
        <w:pStyle w:val="LPalineje"/>
        <w:rPr>
          <w:lang w:val="en-GB"/>
        </w:rPr>
      </w:pPr>
      <w:r w:rsidRPr="00CD2EEF">
        <w:rPr>
          <w:lang w:val="en-GB"/>
        </w:rPr>
        <w:t>164 packages of sealed radiation sources</w:t>
      </w:r>
      <w:r w:rsidR="009129D9">
        <w:rPr>
          <w:lang w:val="en-GB"/>
        </w:rPr>
        <w:t>,</w:t>
      </w:r>
      <w:r w:rsidRPr="00CD2EEF">
        <w:rPr>
          <w:lang w:val="en-GB"/>
        </w:rPr>
        <w:t xml:space="preserve"> and</w:t>
      </w:r>
    </w:p>
    <w:p w14:paraId="7DE1AC6E" w14:textId="42AFEBF9" w:rsidR="00FA3624" w:rsidRPr="00CD2EEF" w:rsidRDefault="00FA3624" w:rsidP="00522F0F">
      <w:pPr>
        <w:pStyle w:val="LPalineje"/>
        <w:rPr>
          <w:lang w:val="en-GB"/>
        </w:rPr>
      </w:pPr>
      <w:r w:rsidRPr="00CD2EEF">
        <w:rPr>
          <w:lang w:val="en-GB"/>
        </w:rPr>
        <w:t>76 packages of ionisation smoke detectors.</w:t>
      </w:r>
    </w:p>
    <w:p w14:paraId="55A0E7E7" w14:textId="77777777" w:rsidR="00FA3624" w:rsidRPr="00CD2EEF" w:rsidRDefault="00FA3624" w:rsidP="0047170F">
      <w:pPr>
        <w:pStyle w:val="LPnavaden"/>
        <w:rPr>
          <w:lang w:val="en-GB"/>
        </w:rPr>
      </w:pPr>
      <w:r w:rsidRPr="00CD2EEF">
        <w:rPr>
          <w:lang w:val="en-GB"/>
        </w:rPr>
        <w:lastRenderedPageBreak/>
        <w:t>The total activity of the 88.4 m</w:t>
      </w:r>
      <w:r w:rsidRPr="00CD2EEF">
        <w:rPr>
          <w:rStyle w:val="LPnadpisano"/>
          <w:lang w:val="en-GB"/>
        </w:rPr>
        <w:t>3</w:t>
      </w:r>
      <w:r w:rsidRPr="00CD2EEF">
        <w:rPr>
          <w:lang w:val="en-GB"/>
        </w:rPr>
        <w:t xml:space="preserve"> of stored radioactive waste as of the end of 2021 was estimated to be 3.2 TBq, with a total weight of 49.5 tons.</w:t>
      </w:r>
    </w:p>
    <w:p w14:paraId="18ED7125" w14:textId="77777777" w:rsidR="00FA3624" w:rsidRPr="00CD2EEF" w:rsidRDefault="00FA3624" w:rsidP="0047170F">
      <w:pPr>
        <w:pStyle w:val="LPnavaden"/>
        <w:rPr>
          <w:lang w:val="en-GB"/>
        </w:rPr>
      </w:pPr>
      <w:r w:rsidRPr="00CD2EEF">
        <w:rPr>
          <w:lang w:val="en-GB"/>
        </w:rPr>
        <w:t>The ARAO carries out the treatment and preparation of Radioactive Waste (RW) in a form suitable for storage in the CSRW. The purpose of the treatment is to achieve the criteria for safe storage as well as a reduction in the volume that the waste occupies in the CSRW.</w:t>
      </w:r>
    </w:p>
    <w:p w14:paraId="681A6551" w14:textId="54F1C22D" w:rsidR="00FA3624" w:rsidRPr="00CD2EEF" w:rsidRDefault="00FA3624" w:rsidP="0047170F">
      <w:pPr>
        <w:pStyle w:val="LPnavaden"/>
        <w:rPr>
          <w:lang w:val="en-GB"/>
        </w:rPr>
      </w:pPr>
      <w:r w:rsidRPr="00CD2EEF">
        <w:rPr>
          <w:lang w:val="en-GB"/>
        </w:rPr>
        <w:t xml:space="preserve">Utilisation of </w:t>
      </w:r>
      <w:r w:rsidR="009B5AA6">
        <w:rPr>
          <w:lang w:val="en-GB"/>
        </w:rPr>
        <w:t xml:space="preserve">the </w:t>
      </w:r>
      <w:r w:rsidRPr="00CD2EEF">
        <w:rPr>
          <w:lang w:val="en-GB"/>
        </w:rPr>
        <w:t xml:space="preserve">storage space in the CSRW is about 80%. One of the effective methods for reducing the volume of RW is to disassemble devices that contain sealed radiation sources. By disassembling these devices, radioactive sources of radiation are separated from other parts of devices that are normally non-radioactive. The encapsulation of the sealed radiation sources following </w:t>
      </w:r>
      <w:r w:rsidRPr="004763D5">
        <w:rPr>
          <w:lang w:val="en-GB"/>
        </w:rPr>
        <w:t>dismantling reduces</w:t>
      </w:r>
      <w:r w:rsidRPr="00CD2EEF">
        <w:rPr>
          <w:lang w:val="en-GB"/>
        </w:rPr>
        <w:t xml:space="preserve"> the risk of potential contamination that may occur due to the leakage of radiation sources. It also avoids the damage, corrosion, and degradation of devices, which after a certain storage period can lead to a situation wherein the devices can no longer be safely dismantled. The RW treatments are expected to have a positive effect due to the better properties of the RW, thus enabling safer storage, and at the same time the RW takes up less volume in the CSRW. Thus, despite the new acceptance of RW into storage, the amount of stored RW at the end of 2021 did not increase compared to December 2020. </w:t>
      </w:r>
    </w:p>
    <w:p w14:paraId="57ADBC33" w14:textId="5F5DBFDE" w:rsidR="00FA3624" w:rsidRPr="00CD2EEF" w:rsidRDefault="00FA3624" w:rsidP="0047170F">
      <w:pPr>
        <w:pStyle w:val="LPnavaden"/>
        <w:rPr>
          <w:lang w:val="en-GB"/>
        </w:rPr>
      </w:pPr>
      <w:r w:rsidRPr="00CD2EEF">
        <w:rPr>
          <w:lang w:val="en-GB"/>
        </w:rPr>
        <w:t xml:space="preserve">In 2021, </w:t>
      </w:r>
      <w:r w:rsidR="003F7670">
        <w:rPr>
          <w:lang w:val="en-GB"/>
        </w:rPr>
        <w:t xml:space="preserve">the </w:t>
      </w:r>
      <w:r w:rsidRPr="00CD2EEF">
        <w:rPr>
          <w:lang w:val="en-GB"/>
        </w:rPr>
        <w:t xml:space="preserve">ARAO </w:t>
      </w:r>
      <w:r w:rsidR="00EF045B">
        <w:rPr>
          <w:lang w:val="en-GB"/>
        </w:rPr>
        <w:t>obtained</w:t>
      </w:r>
      <w:r w:rsidR="00EF045B" w:rsidRPr="00CD2EEF">
        <w:rPr>
          <w:lang w:val="en-GB"/>
        </w:rPr>
        <w:t xml:space="preserve"> </w:t>
      </w:r>
      <w:r w:rsidRPr="00CD2EEF">
        <w:rPr>
          <w:lang w:val="en-GB"/>
        </w:rPr>
        <w:t xml:space="preserve">permission for </w:t>
      </w:r>
      <w:r w:rsidR="00EF045B">
        <w:rPr>
          <w:lang w:val="en-GB"/>
        </w:rPr>
        <w:t xml:space="preserve">the </w:t>
      </w:r>
      <w:r w:rsidRPr="00CD2EEF">
        <w:rPr>
          <w:lang w:val="en-GB"/>
        </w:rPr>
        <w:t xml:space="preserve">clearance of waste, which thus met the conditions </w:t>
      </w:r>
      <w:r w:rsidRPr="002D5FFC">
        <w:rPr>
          <w:lang w:val="en-GB"/>
        </w:rPr>
        <w:t xml:space="preserve">for </w:t>
      </w:r>
      <w:r w:rsidR="00EF045B" w:rsidRPr="002D5FFC">
        <w:rPr>
          <w:lang w:val="en-GB"/>
        </w:rPr>
        <w:t xml:space="preserve">the </w:t>
      </w:r>
      <w:r w:rsidRPr="002D5FFC">
        <w:rPr>
          <w:lang w:val="en-GB"/>
        </w:rPr>
        <w:t xml:space="preserve">clearance </w:t>
      </w:r>
      <w:r w:rsidR="00EF045B" w:rsidRPr="002D5FFC">
        <w:rPr>
          <w:lang w:val="en-GB"/>
        </w:rPr>
        <w:t xml:space="preserve">of </w:t>
      </w:r>
      <w:r w:rsidRPr="002D5FFC">
        <w:rPr>
          <w:lang w:val="en-GB"/>
        </w:rPr>
        <w:t>radioactive</w:t>
      </w:r>
      <w:r w:rsidRPr="00CD2EEF">
        <w:rPr>
          <w:lang w:val="en-GB"/>
        </w:rPr>
        <w:t xml:space="preserve"> material. The total amount of material </w:t>
      </w:r>
      <w:r w:rsidR="00EF045B">
        <w:rPr>
          <w:lang w:val="en-GB"/>
        </w:rPr>
        <w:t>to</w:t>
      </w:r>
      <w:r w:rsidR="00EF045B" w:rsidRPr="00CD2EEF">
        <w:rPr>
          <w:lang w:val="en-GB"/>
        </w:rPr>
        <w:t xml:space="preserve"> </w:t>
      </w:r>
      <w:r w:rsidRPr="00CD2EEF">
        <w:rPr>
          <w:lang w:val="en-GB"/>
        </w:rPr>
        <w:t xml:space="preserve">which </w:t>
      </w:r>
      <w:r w:rsidR="00EF045B">
        <w:rPr>
          <w:lang w:val="en-GB"/>
        </w:rPr>
        <w:t xml:space="preserve">the </w:t>
      </w:r>
      <w:r w:rsidRPr="00CD2EEF">
        <w:rPr>
          <w:lang w:val="en-GB"/>
        </w:rPr>
        <w:t xml:space="preserve">clearance procedure was applied was 1.6 tonnes. This freed up an additional </w:t>
      </w:r>
      <w:r w:rsidR="00EF045B" w:rsidRPr="00CD2EEF">
        <w:rPr>
          <w:lang w:val="en-GB"/>
        </w:rPr>
        <w:t>1.8 m</w:t>
      </w:r>
      <w:r w:rsidR="00EF045B" w:rsidRPr="00CD2EEF">
        <w:rPr>
          <w:rStyle w:val="LPnadpisano"/>
          <w:lang w:val="en-GB"/>
        </w:rPr>
        <w:t>3</w:t>
      </w:r>
      <w:r w:rsidR="00EF045B" w:rsidRPr="00CD2EEF">
        <w:rPr>
          <w:lang w:val="en-GB"/>
        </w:rPr>
        <w:t xml:space="preserve"> </w:t>
      </w:r>
      <w:r w:rsidR="00EF045B">
        <w:rPr>
          <w:lang w:val="en-GB"/>
        </w:rPr>
        <w:t xml:space="preserve">of </w:t>
      </w:r>
      <w:r w:rsidRPr="00CD2EEF">
        <w:rPr>
          <w:lang w:val="en-GB"/>
        </w:rPr>
        <w:t>space in the CSRW. The material was handed over to author</w:t>
      </w:r>
      <w:r w:rsidR="00837F00">
        <w:rPr>
          <w:lang w:val="en-GB"/>
        </w:rPr>
        <w:t>ised</w:t>
      </w:r>
      <w:r w:rsidRPr="00CD2EEF">
        <w:rPr>
          <w:lang w:val="en-GB"/>
        </w:rPr>
        <w:t xml:space="preserve"> collectors of secondary raw materials and of waste generated during construction works.</w:t>
      </w:r>
    </w:p>
    <w:p w14:paraId="3F19E052" w14:textId="27D10A4E" w:rsidR="00FA3624" w:rsidRPr="00CD2EEF" w:rsidRDefault="00DF0CB4" w:rsidP="0047170F">
      <w:pPr>
        <w:pStyle w:val="LPnavaden"/>
        <w:rPr>
          <w:lang w:val="en-GB"/>
        </w:rPr>
      </w:pPr>
      <w:r>
        <w:rPr>
          <w:lang w:val="en-GB"/>
        </w:rPr>
        <w:t>In order t</w:t>
      </w:r>
      <w:r w:rsidR="00FA3624" w:rsidRPr="00CD2EEF">
        <w:rPr>
          <w:lang w:val="en-GB"/>
        </w:rPr>
        <w:t xml:space="preserve">o reduce the volume of RW in the CSRW and to provide storage space, 2,080 ionisation smoke detectors in two dangerous goods transports were taken </w:t>
      </w:r>
      <w:r w:rsidR="00AB616D">
        <w:rPr>
          <w:lang w:val="en-GB"/>
        </w:rPr>
        <w:t>for</w:t>
      </w:r>
      <w:r w:rsidR="00AB616D" w:rsidRPr="00CD2EEF">
        <w:rPr>
          <w:lang w:val="en-GB"/>
        </w:rPr>
        <w:t xml:space="preserve"> </w:t>
      </w:r>
      <w:r w:rsidR="00FA3624" w:rsidRPr="00CD2EEF">
        <w:rPr>
          <w:lang w:val="en-GB"/>
        </w:rPr>
        <w:t>recycling abroad, where they will also remain.</w:t>
      </w:r>
    </w:p>
    <w:p w14:paraId="5EBF83ED" w14:textId="204C4BD4" w:rsidR="00FA3624" w:rsidRPr="00CD2EEF" w:rsidRDefault="00FA3624" w:rsidP="00A440B1">
      <w:pPr>
        <w:pStyle w:val="LPNaslov3"/>
        <w:rPr>
          <w:lang w:val="en-GB"/>
        </w:rPr>
      </w:pPr>
      <w:bookmarkStart w:id="348" w:name="_Toc126312023"/>
      <w:r w:rsidRPr="00CD2EEF">
        <w:rPr>
          <w:lang w:val="en-GB"/>
        </w:rPr>
        <w:t xml:space="preserve">The </w:t>
      </w:r>
      <w:r w:rsidR="00EE5C35">
        <w:rPr>
          <w:lang w:val="en-GB"/>
        </w:rPr>
        <w:t>M</w:t>
      </w:r>
      <w:r w:rsidRPr="00CD2EEF">
        <w:rPr>
          <w:lang w:val="en-GB"/>
        </w:rPr>
        <w:t xml:space="preserve">anagement, </w:t>
      </w:r>
      <w:r w:rsidR="00EE5C35">
        <w:rPr>
          <w:lang w:val="en-GB"/>
        </w:rPr>
        <w:t>L</w:t>
      </w:r>
      <w:r w:rsidRPr="00CD2EEF">
        <w:rPr>
          <w:lang w:val="en-GB"/>
        </w:rPr>
        <w:t xml:space="preserve">ong-term </w:t>
      </w:r>
      <w:r w:rsidR="00EE5C35">
        <w:rPr>
          <w:lang w:val="en-GB"/>
        </w:rPr>
        <w:t>C</w:t>
      </w:r>
      <w:r w:rsidRPr="00CD2EEF">
        <w:rPr>
          <w:lang w:val="en-GB"/>
        </w:rPr>
        <w:t xml:space="preserve">ontrol, and </w:t>
      </w:r>
      <w:r w:rsidR="00EE5C35">
        <w:rPr>
          <w:lang w:val="en-GB"/>
        </w:rPr>
        <w:t>M</w:t>
      </w:r>
      <w:r w:rsidRPr="00CD2EEF">
        <w:rPr>
          <w:lang w:val="en-GB"/>
        </w:rPr>
        <w:t xml:space="preserve">aintenance of the Jazbec </w:t>
      </w:r>
      <w:r w:rsidR="00EE5C35">
        <w:rPr>
          <w:lang w:val="en-GB"/>
        </w:rPr>
        <w:t>M</w:t>
      </w:r>
      <w:r w:rsidRPr="00CD2EEF">
        <w:rPr>
          <w:lang w:val="en-GB"/>
        </w:rPr>
        <w:t xml:space="preserve">ine </w:t>
      </w:r>
      <w:r w:rsidR="00EE5C35">
        <w:rPr>
          <w:lang w:val="en-GB"/>
        </w:rPr>
        <w:t>T</w:t>
      </w:r>
      <w:r w:rsidRPr="00CD2EEF">
        <w:rPr>
          <w:lang w:val="en-GB"/>
        </w:rPr>
        <w:t xml:space="preserve">ailings </w:t>
      </w:r>
      <w:r w:rsidR="00EE5C35">
        <w:rPr>
          <w:lang w:val="en-GB"/>
        </w:rPr>
        <w:t>D</w:t>
      </w:r>
      <w:r w:rsidRPr="00CD2EEF">
        <w:rPr>
          <w:lang w:val="en-GB"/>
        </w:rPr>
        <w:t xml:space="preserve">isposal </w:t>
      </w:r>
      <w:r w:rsidR="00EE5C35">
        <w:rPr>
          <w:lang w:val="en-GB"/>
        </w:rPr>
        <w:t>S</w:t>
      </w:r>
      <w:r w:rsidRPr="00CD2EEF">
        <w:rPr>
          <w:lang w:val="en-GB"/>
        </w:rPr>
        <w:t>ite</w:t>
      </w:r>
      <w:bookmarkEnd w:id="348"/>
    </w:p>
    <w:p w14:paraId="743508A4" w14:textId="2A05B731" w:rsidR="00FA3624" w:rsidRPr="00CD2EEF" w:rsidRDefault="00FA3624" w:rsidP="0047170F">
      <w:pPr>
        <w:pStyle w:val="LPnavaden"/>
        <w:rPr>
          <w:lang w:val="en-GB"/>
        </w:rPr>
      </w:pPr>
      <w:r w:rsidRPr="00CD2EEF">
        <w:rPr>
          <w:lang w:val="en-GB"/>
        </w:rPr>
        <w:t>In 2021, the ARAO ensured the monitoring of the Jazbec mine tailings disposal site, which included safety fences and warning signs, access routes, drainage ditches for the drainage of surface water, the condition of the cover, and the technical monitoring facilities (piezometers, geodetic points, inclinometers). The situation is appropriate. Maintenance work in 2021 consisted of mowing the grass on the entire surface within the protective fence of the Jazbec disposal site, and the removal of the undergrowth on the outside and inside of the fence. Repairs to the disposal site fence, its support posts</w:t>
      </w:r>
      <w:r w:rsidR="009B4862">
        <w:rPr>
          <w:lang w:val="en-GB"/>
        </w:rPr>
        <w:t>,</w:t>
      </w:r>
      <w:r w:rsidRPr="00CD2EEF">
        <w:rPr>
          <w:lang w:val="en-GB"/>
        </w:rPr>
        <w:t xml:space="preserve"> and a stone fold on the retaining wall of one of the inflow structures were carried out.</w:t>
      </w:r>
      <w:r w:rsidR="008A1E6B">
        <w:rPr>
          <w:lang w:val="en-GB"/>
        </w:rPr>
        <w:t xml:space="preserve"> </w:t>
      </w:r>
      <w:r w:rsidRPr="00CD2EEF">
        <w:rPr>
          <w:lang w:val="en-GB"/>
        </w:rPr>
        <w:t xml:space="preserve">The cleaning of the two largest reservoirs at the diversion of the Jazbec Stream into </w:t>
      </w:r>
      <w:r w:rsidRPr="00880783">
        <w:rPr>
          <w:lang w:val="en-GB"/>
        </w:rPr>
        <w:t>Brdarčkova grapa was</w:t>
      </w:r>
      <w:r w:rsidRPr="00CD2EEF">
        <w:rPr>
          <w:lang w:val="en-GB"/>
        </w:rPr>
        <w:t xml:space="preserve"> carried out. No other maintenance work was required.</w:t>
      </w:r>
    </w:p>
    <w:p w14:paraId="21A08293" w14:textId="3F671853" w:rsidR="00FA3624" w:rsidRPr="00CD2EEF" w:rsidRDefault="00FA3624" w:rsidP="0047170F">
      <w:pPr>
        <w:pStyle w:val="LPnavaden"/>
        <w:rPr>
          <w:rStyle w:val="LPposevno"/>
          <w:i w:val="0"/>
          <w:lang w:val="en-GB"/>
        </w:rPr>
      </w:pPr>
      <w:r w:rsidRPr="00CD2EEF">
        <w:rPr>
          <w:lang w:val="en-GB"/>
        </w:rPr>
        <w:t>The Safety Report for the Jazbec mine tailings disposal site provides for long-term monitoring and maintenance. Monitoring during the long-term control period is carried out in order to detect any changes in the repository. This includes radiological, physical-chemical, and geodetic measurements. The results of radiological monitoring in 2021 are comparable with the results from previous years, which proves that the condition of the Jazbec mine tailings disposal site is stable after closure and that the safety functions achieved through the environmental rehabilitation of the area are being maintained.</w:t>
      </w:r>
    </w:p>
    <w:p w14:paraId="25BE03DE" w14:textId="77777777" w:rsidR="00FA3624" w:rsidRPr="00CD2EEF" w:rsidRDefault="00FA3624" w:rsidP="00A440B1">
      <w:pPr>
        <w:pStyle w:val="LPNaslov3"/>
        <w:rPr>
          <w:lang w:val="en-GB"/>
        </w:rPr>
      </w:pPr>
      <w:bookmarkStart w:id="349" w:name="ch643"/>
      <w:bookmarkStart w:id="350" w:name="_Toc126312024"/>
      <w:r w:rsidRPr="00CD2EEF">
        <w:rPr>
          <w:lang w:val="en-GB"/>
        </w:rPr>
        <w:t>Disposal of Radioactive Waste</w:t>
      </w:r>
      <w:bookmarkEnd w:id="350"/>
      <w:r w:rsidRPr="00CD2EEF">
        <w:rPr>
          <w:lang w:val="en-GB"/>
        </w:rPr>
        <w:t xml:space="preserve"> </w:t>
      </w:r>
    </w:p>
    <w:bookmarkEnd w:id="349"/>
    <w:p w14:paraId="05A7138D" w14:textId="374D0040" w:rsidR="00FA3624" w:rsidRPr="00CD2EEF" w:rsidRDefault="00FA3624" w:rsidP="0047170F">
      <w:pPr>
        <w:pStyle w:val="LPnavaden"/>
        <w:rPr>
          <w:lang w:val="en-GB"/>
        </w:rPr>
      </w:pPr>
      <w:r w:rsidRPr="00CD2EEF">
        <w:rPr>
          <w:lang w:val="en-GB"/>
        </w:rPr>
        <w:t xml:space="preserve">In 2021, work on activities related to the preparation of the documentation necessary to obtain approvals and permissions for the LILW repository continued on the project documentation, </w:t>
      </w:r>
      <w:r w:rsidR="00200868">
        <w:rPr>
          <w:lang w:val="en-GB"/>
        </w:rPr>
        <w:lastRenderedPageBreak/>
        <w:t>regarding which</w:t>
      </w:r>
      <w:r w:rsidR="00200868" w:rsidRPr="00CD2EEF">
        <w:rPr>
          <w:lang w:val="en-GB"/>
        </w:rPr>
        <w:t xml:space="preserve"> </w:t>
      </w:r>
      <w:r w:rsidRPr="00CD2EEF">
        <w:rPr>
          <w:lang w:val="en-GB"/>
        </w:rPr>
        <w:t xml:space="preserve">the revision of the project for obtaining a building permit was completed and the project for </w:t>
      </w:r>
      <w:r w:rsidR="00200868">
        <w:rPr>
          <w:lang w:val="en-GB"/>
        </w:rPr>
        <w:t xml:space="preserve">the </w:t>
      </w:r>
      <w:r w:rsidRPr="00CD2EEF">
        <w:rPr>
          <w:lang w:val="en-GB"/>
        </w:rPr>
        <w:t xml:space="preserve">implementation </w:t>
      </w:r>
      <w:r w:rsidR="00200868">
        <w:rPr>
          <w:lang w:val="en-GB"/>
        </w:rPr>
        <w:t>of</w:t>
      </w:r>
      <w:r w:rsidR="00200868" w:rsidRPr="00CD2EEF">
        <w:rPr>
          <w:lang w:val="en-GB"/>
        </w:rPr>
        <w:t xml:space="preserve"> </w:t>
      </w:r>
      <w:r w:rsidRPr="00CD2EEF">
        <w:rPr>
          <w:lang w:val="en-GB"/>
        </w:rPr>
        <w:t xml:space="preserve">the technical work required for the tender for the construction contractor for the LILW repository was prepared. Also, the work on other documentation was carried out, </w:t>
      </w:r>
      <w:r w:rsidR="00715587">
        <w:rPr>
          <w:lang w:val="en-GB"/>
        </w:rPr>
        <w:t>regarding which</w:t>
      </w:r>
      <w:r w:rsidR="00715587" w:rsidRPr="00CD2EEF">
        <w:rPr>
          <w:lang w:val="en-GB"/>
        </w:rPr>
        <w:t xml:space="preserve"> </w:t>
      </w:r>
      <w:r w:rsidRPr="00CD2EEF">
        <w:rPr>
          <w:lang w:val="en-GB"/>
        </w:rPr>
        <w:t xml:space="preserve">the final form for the Safety Report for the LILW repository and the environmental protection consent for the LILW repository were issued. In December 2021, the Government of the Republic of Slovenia decided to designate the LILW repository as a state infrastructure facility. </w:t>
      </w:r>
    </w:p>
    <w:p w14:paraId="75A5A8AA" w14:textId="0B725108" w:rsidR="00FA3624" w:rsidRPr="00CD2EEF" w:rsidRDefault="00FA3624" w:rsidP="0047170F">
      <w:pPr>
        <w:pStyle w:val="LPnavaden"/>
        <w:rPr>
          <w:lang w:val="en-GB"/>
        </w:rPr>
      </w:pPr>
      <w:r w:rsidRPr="00CD2EEF">
        <w:rPr>
          <w:lang w:val="en-GB"/>
        </w:rPr>
        <w:t>The preparation of the location for the LILW repository</w:t>
      </w:r>
      <w:r w:rsidR="00FF141D">
        <w:rPr>
          <w:lang w:val="en-GB"/>
        </w:rPr>
        <w:t xml:space="preserve"> in</w:t>
      </w:r>
      <w:r w:rsidRPr="00CD2EEF">
        <w:rPr>
          <w:lang w:val="en-GB"/>
        </w:rPr>
        <w:t xml:space="preserve"> Vrbina in Krško was regulated based on the National Spatial Plan. In 2020, the rights were acquired regarding most of the land, while in 2021, the </w:t>
      </w:r>
      <w:r w:rsidRPr="002D5FFC">
        <w:rPr>
          <w:lang w:val="en-GB"/>
        </w:rPr>
        <w:t>conclusion of servitude contracts,</w:t>
      </w:r>
      <w:r w:rsidRPr="00CD2EEF">
        <w:rPr>
          <w:lang w:val="en-GB"/>
        </w:rPr>
        <w:t xml:space="preserve"> which were not concluded in 2020, continued. In 2020, an agreement on the use of water land under the management of the Directorate of the Republic of Slovenia for Water for four plots of land was obtained, and in early 2021, the signature on the agreement on the use of water land was verified. The right to build </w:t>
      </w:r>
      <w:r w:rsidR="00FF141D">
        <w:rPr>
          <w:lang w:val="en-GB"/>
        </w:rPr>
        <w:t>regarding</w:t>
      </w:r>
      <w:r w:rsidR="00FF141D" w:rsidRPr="00CD2EEF">
        <w:rPr>
          <w:lang w:val="en-GB"/>
        </w:rPr>
        <w:t xml:space="preserve"> </w:t>
      </w:r>
      <w:r w:rsidRPr="00CD2EEF">
        <w:rPr>
          <w:lang w:val="en-GB"/>
        </w:rPr>
        <w:t>the lands managed by the Slovenian Water Agency was arranged.</w:t>
      </w:r>
      <w:r w:rsidR="008A1E6B">
        <w:rPr>
          <w:lang w:val="en-GB"/>
        </w:rPr>
        <w:t xml:space="preserve"> </w:t>
      </w:r>
    </w:p>
    <w:p w14:paraId="6F44748C" w14:textId="6E2AC37D" w:rsidR="00FA3624" w:rsidRPr="00CD2EEF" w:rsidRDefault="00FA3624" w:rsidP="0047170F">
      <w:pPr>
        <w:pStyle w:val="LPnavaden"/>
        <w:rPr>
          <w:lang w:val="en-GB"/>
        </w:rPr>
      </w:pPr>
      <w:r w:rsidRPr="00CD2EEF">
        <w:rPr>
          <w:lang w:val="en-GB"/>
        </w:rPr>
        <w:t xml:space="preserve">Most of the required field research for the LILW repository has already been carried out in recent years. However, research data </w:t>
      </w:r>
      <w:r w:rsidR="007227E2">
        <w:rPr>
          <w:lang w:val="en-GB"/>
        </w:rPr>
        <w:t>that</w:t>
      </w:r>
      <w:r w:rsidR="007227E2" w:rsidRPr="00CD2EEF">
        <w:rPr>
          <w:lang w:val="en-GB"/>
        </w:rPr>
        <w:t xml:space="preserve"> </w:t>
      </w:r>
      <w:r w:rsidRPr="00CD2EEF">
        <w:rPr>
          <w:lang w:val="en-GB"/>
        </w:rPr>
        <w:t xml:space="preserve">will be used in </w:t>
      </w:r>
      <w:r w:rsidR="007227E2">
        <w:rPr>
          <w:lang w:val="en-GB"/>
        </w:rPr>
        <w:t xml:space="preserve">the </w:t>
      </w:r>
      <w:r w:rsidRPr="00CD2EEF">
        <w:rPr>
          <w:lang w:val="en-GB"/>
        </w:rPr>
        <w:t>upgrad</w:t>
      </w:r>
      <w:r w:rsidR="007227E2">
        <w:rPr>
          <w:lang w:val="en-GB"/>
        </w:rPr>
        <w:t>ing</w:t>
      </w:r>
      <w:r w:rsidRPr="00CD2EEF">
        <w:rPr>
          <w:lang w:val="en-GB"/>
        </w:rPr>
        <w:t xml:space="preserve"> of</w:t>
      </w:r>
      <w:r w:rsidR="007227E2">
        <w:rPr>
          <w:lang w:val="en-GB"/>
        </w:rPr>
        <w:t xml:space="preserve"> the</w:t>
      </w:r>
      <w:r w:rsidRPr="00CD2EEF">
        <w:rPr>
          <w:lang w:val="en-GB"/>
        </w:rPr>
        <w:t xml:space="preserve"> hydraulic, hydrological, and geological models of the wider area of the LILW repository site </w:t>
      </w:r>
      <w:r w:rsidR="007227E2">
        <w:rPr>
          <w:lang w:val="en-GB"/>
        </w:rPr>
        <w:t>are</w:t>
      </w:r>
      <w:r w:rsidR="007227E2" w:rsidRPr="00CD2EEF">
        <w:rPr>
          <w:lang w:val="en-GB"/>
        </w:rPr>
        <w:t xml:space="preserve"> </w:t>
      </w:r>
      <w:r w:rsidRPr="00CD2EEF">
        <w:rPr>
          <w:lang w:val="en-GB"/>
        </w:rPr>
        <w:t>still being obtained.</w:t>
      </w:r>
    </w:p>
    <w:p w14:paraId="30380331" w14:textId="687C66AE" w:rsidR="00FA3624" w:rsidRPr="00CD2EEF" w:rsidRDefault="00FA3624" w:rsidP="0047170F">
      <w:pPr>
        <w:pStyle w:val="LPnavaden"/>
        <w:rPr>
          <w:lang w:val="en-GB"/>
        </w:rPr>
      </w:pPr>
      <w:r w:rsidRPr="00CD2EEF">
        <w:rPr>
          <w:lang w:val="en-GB"/>
        </w:rPr>
        <w:t xml:space="preserve">Work related to the preparation of project and other documentation, </w:t>
      </w:r>
      <w:r w:rsidR="00755A1A">
        <w:rPr>
          <w:lang w:val="en-GB"/>
        </w:rPr>
        <w:t xml:space="preserve">and </w:t>
      </w:r>
      <w:r w:rsidRPr="00CD2EEF">
        <w:rPr>
          <w:lang w:val="en-GB"/>
        </w:rPr>
        <w:t xml:space="preserve">consulting services in the field of design and construction continued; in September 2021, </w:t>
      </w:r>
      <w:r w:rsidR="00755A1A">
        <w:rPr>
          <w:lang w:val="en-GB"/>
        </w:rPr>
        <w:t>a</w:t>
      </w:r>
      <w:r w:rsidR="00755A1A" w:rsidRPr="00CD2EEF">
        <w:rPr>
          <w:lang w:val="en-GB"/>
        </w:rPr>
        <w:t xml:space="preserve"> </w:t>
      </w:r>
      <w:r w:rsidRPr="00CD2EEF">
        <w:rPr>
          <w:lang w:val="en-GB"/>
        </w:rPr>
        <w:t xml:space="preserve">supplement to the leading folder of the Project for obtaining a building permit (repository facilities and infrastructure facilities) and </w:t>
      </w:r>
      <w:r w:rsidRPr="002D5FFC">
        <w:rPr>
          <w:lang w:val="en-GB"/>
        </w:rPr>
        <w:t xml:space="preserve">Project for </w:t>
      </w:r>
      <w:r w:rsidR="002D5FFC" w:rsidRPr="002D5FFC">
        <w:rPr>
          <w:lang w:val="en-GB"/>
        </w:rPr>
        <w:t>construction</w:t>
      </w:r>
      <w:r w:rsidR="002D5FFC" w:rsidRPr="00CD2EEF">
        <w:rPr>
          <w:lang w:val="en-GB"/>
        </w:rPr>
        <w:t xml:space="preserve"> </w:t>
      </w:r>
      <w:r w:rsidR="00780327">
        <w:rPr>
          <w:lang w:val="en-GB"/>
        </w:rPr>
        <w:t>were</w:t>
      </w:r>
      <w:r w:rsidR="00780327" w:rsidRPr="00CD2EEF">
        <w:rPr>
          <w:lang w:val="en-GB"/>
        </w:rPr>
        <w:t xml:space="preserve"> </w:t>
      </w:r>
      <w:r w:rsidRPr="00CD2EEF">
        <w:rPr>
          <w:lang w:val="en-GB"/>
        </w:rPr>
        <w:t xml:space="preserve">prepared and then submitted in final form in November 2021. In February 2021, a tender for the construction of the LILW repository for phase I was published, and in November 2021, a tender for phase II was published. In August 2021, the Minister of Infrastructure adopted a decision on the approval of the investment </w:t>
      </w:r>
      <w:r w:rsidR="00AB71FB">
        <w:rPr>
          <w:lang w:val="en-GB"/>
        </w:rPr>
        <w:t xml:space="preserve">programme </w:t>
      </w:r>
      <w:r w:rsidRPr="00CD2EEF">
        <w:rPr>
          <w:lang w:val="en-GB"/>
        </w:rPr>
        <w:t xml:space="preserve">for the LILW repository </w:t>
      </w:r>
      <w:r w:rsidR="007438F5">
        <w:rPr>
          <w:lang w:val="en-GB"/>
        </w:rPr>
        <w:t xml:space="preserve">in </w:t>
      </w:r>
      <w:r w:rsidRPr="00CD2EEF">
        <w:rPr>
          <w:lang w:val="en-GB"/>
        </w:rPr>
        <w:t>Vrbina, Krško (rev. E, July 2021), where the value of the investment was confirmed and approved and its inclusion in the plan of development program</w:t>
      </w:r>
      <w:r w:rsidR="00DD2FF9">
        <w:rPr>
          <w:lang w:val="en-GB"/>
        </w:rPr>
        <w:t>me</w:t>
      </w:r>
      <w:r w:rsidRPr="00CD2EEF">
        <w:rPr>
          <w:lang w:val="en-GB"/>
        </w:rPr>
        <w:t>s in the Republic of Slovenia was determined.</w:t>
      </w:r>
    </w:p>
    <w:p w14:paraId="6FDF2AAA" w14:textId="4BC9E301" w:rsidR="00FA3624" w:rsidRPr="00CD2EEF" w:rsidRDefault="00FA3624" w:rsidP="0047170F">
      <w:pPr>
        <w:pStyle w:val="LPnavaden"/>
        <w:rPr>
          <w:lang w:val="en-GB"/>
        </w:rPr>
      </w:pPr>
      <w:r w:rsidRPr="00CD2EEF">
        <w:rPr>
          <w:lang w:val="en-GB"/>
        </w:rPr>
        <w:t xml:space="preserve">Activities related to the project </w:t>
      </w:r>
      <w:r w:rsidR="0069275D">
        <w:rPr>
          <w:lang w:val="en-GB"/>
        </w:rPr>
        <w:t>for the</w:t>
      </w:r>
      <w:r w:rsidR="0069275D" w:rsidRPr="00CD2EEF">
        <w:rPr>
          <w:lang w:val="en-GB"/>
        </w:rPr>
        <w:t xml:space="preserve"> </w:t>
      </w:r>
      <w:r w:rsidRPr="00CD2EEF">
        <w:rPr>
          <w:lang w:val="en-GB"/>
        </w:rPr>
        <w:t xml:space="preserve">preparation of safety analyses and waste acceptance criteria continued, </w:t>
      </w:r>
      <w:r w:rsidR="002E7001">
        <w:rPr>
          <w:lang w:val="en-GB"/>
        </w:rPr>
        <w:t xml:space="preserve">and </w:t>
      </w:r>
      <w:r w:rsidRPr="00CD2EEF">
        <w:rPr>
          <w:lang w:val="en-GB"/>
        </w:rPr>
        <w:t xml:space="preserve">the Implementation Plan for 2021 was prepared and revised. Within the framework of the multi-phase project </w:t>
      </w:r>
      <w:r w:rsidR="00263D93">
        <w:rPr>
          <w:lang w:val="en-GB"/>
        </w:rPr>
        <w:t>“</w:t>
      </w:r>
      <w:r w:rsidRPr="00CD2EEF">
        <w:rPr>
          <w:rStyle w:val="LPnavadenposevnoZnak"/>
          <w:lang w:val="en-GB"/>
        </w:rPr>
        <w:t>Safety Analysis (SA) and Waste Acceptance Criteria (WAC) for the Preparation of a Low- and Intermediate-Level Waste Repository in Slovenia</w:t>
      </w:r>
      <w:r w:rsidR="00263D93">
        <w:rPr>
          <w:lang w:val="en-GB"/>
        </w:rPr>
        <w:t>”</w:t>
      </w:r>
      <w:r w:rsidRPr="00CD2EEF">
        <w:rPr>
          <w:lang w:val="en-GB"/>
        </w:rPr>
        <w:t xml:space="preserve">, work on the safety analyses and the development of acceptance criteria continued for the phase of the acquisition of the building permit and the preparation of the Safety Report. At the end of 2021, </w:t>
      </w:r>
      <w:bookmarkStart w:id="351" w:name="_Hlk115622161"/>
      <w:r w:rsidRPr="00CD2EEF">
        <w:rPr>
          <w:lang w:val="en-GB"/>
        </w:rPr>
        <w:t xml:space="preserve">discussions with </w:t>
      </w:r>
      <w:bookmarkEnd w:id="351"/>
      <w:r w:rsidR="001B146F">
        <w:rPr>
          <w:lang w:val="en-GB"/>
        </w:rPr>
        <w:t>the Krško NPP</w:t>
      </w:r>
      <w:r w:rsidRPr="00CD2EEF">
        <w:rPr>
          <w:lang w:val="en-GB"/>
        </w:rPr>
        <w:t xml:space="preserve"> about the processes before LILW disposal and the criteria</w:t>
      </w:r>
      <w:r w:rsidR="00490A21">
        <w:rPr>
          <w:lang w:val="en-GB"/>
        </w:rPr>
        <w:t xml:space="preserve"> therefor</w:t>
      </w:r>
      <w:r w:rsidRPr="00CD2EEF">
        <w:rPr>
          <w:lang w:val="en-GB"/>
        </w:rPr>
        <w:t xml:space="preserve">, as well as the acceptance of waste from </w:t>
      </w:r>
      <w:r w:rsidR="001B146F">
        <w:rPr>
          <w:lang w:val="en-GB"/>
        </w:rPr>
        <w:t>the Krško NPP</w:t>
      </w:r>
      <w:r w:rsidRPr="00CD2EEF">
        <w:rPr>
          <w:lang w:val="en-GB"/>
        </w:rPr>
        <w:t>, began. The safety report was being prepared in the years 2019, 2020</w:t>
      </w:r>
      <w:r w:rsidR="005265AE">
        <w:rPr>
          <w:lang w:val="en-GB"/>
        </w:rPr>
        <w:t>,</w:t>
      </w:r>
      <w:r w:rsidRPr="00CD2EEF">
        <w:rPr>
          <w:lang w:val="en-GB"/>
        </w:rPr>
        <w:t xml:space="preserve"> and 2021, and at the beginning of 2021 a positive opinion from the author</w:t>
      </w:r>
      <w:r w:rsidR="00837F00">
        <w:rPr>
          <w:lang w:val="en-GB"/>
        </w:rPr>
        <w:t>ised</w:t>
      </w:r>
      <w:r w:rsidRPr="00CD2EEF">
        <w:rPr>
          <w:lang w:val="en-GB"/>
        </w:rPr>
        <w:t xml:space="preserve"> nuclear and radiation safety expert on the Safety Report and on the Project Bases for the construction phase was obtained. The completed final Safety Report with all reference documentation was submitted to </w:t>
      </w:r>
      <w:r w:rsidR="00A726E8">
        <w:rPr>
          <w:lang w:val="en-GB"/>
        </w:rPr>
        <w:t>the</w:t>
      </w:r>
      <w:r w:rsidR="00E63423">
        <w:rPr>
          <w:lang w:val="en-GB"/>
        </w:rPr>
        <w:t xml:space="preserve"> SNSA</w:t>
      </w:r>
      <w:r w:rsidRPr="00CD2EEF">
        <w:rPr>
          <w:lang w:val="en-GB"/>
        </w:rPr>
        <w:t xml:space="preserve"> in November 2021.</w:t>
      </w:r>
    </w:p>
    <w:p w14:paraId="5F74C0FB" w14:textId="73EDD259" w:rsidR="00FA3624" w:rsidRPr="00CD2EEF" w:rsidRDefault="00FA3624" w:rsidP="0047170F">
      <w:pPr>
        <w:pStyle w:val="LPnavaden"/>
        <w:rPr>
          <w:lang w:val="en-GB"/>
        </w:rPr>
      </w:pPr>
      <w:r w:rsidRPr="00CD2EEF">
        <w:rPr>
          <w:lang w:val="en-GB"/>
        </w:rPr>
        <w:t>In 2021, work on cross-border assessment activities continued. Answers to Croatia</w:t>
      </w:r>
      <w:r w:rsidR="00F21D56">
        <w:rPr>
          <w:lang w:val="en-GB"/>
        </w:rPr>
        <w:t>’</w:t>
      </w:r>
      <w:r w:rsidRPr="00CD2EEF">
        <w:rPr>
          <w:lang w:val="en-GB"/>
        </w:rPr>
        <w:t xml:space="preserve">s additional questions, coordinated with </w:t>
      </w:r>
      <w:r w:rsidR="00A726E8">
        <w:rPr>
          <w:lang w:val="en-GB"/>
        </w:rPr>
        <w:t>the</w:t>
      </w:r>
      <w:r w:rsidR="00E63423">
        <w:rPr>
          <w:lang w:val="en-GB"/>
        </w:rPr>
        <w:t xml:space="preserve"> SNSA</w:t>
      </w:r>
      <w:r w:rsidRPr="00CD2EEF">
        <w:rPr>
          <w:lang w:val="en-GB"/>
        </w:rPr>
        <w:t xml:space="preserve">, were prepared in February 2021 and forwarded to Croatia in March. In May 2021, the Ministry of the Environment </w:t>
      </w:r>
      <w:r w:rsidRPr="00F36E29">
        <w:rPr>
          <w:lang w:val="en-GB"/>
        </w:rPr>
        <w:t xml:space="preserve">and Spatial Planning (MESP) received a letter from Croatia for </w:t>
      </w:r>
      <w:r w:rsidR="00482061" w:rsidRPr="00F36E29">
        <w:rPr>
          <w:lang w:val="en-GB"/>
        </w:rPr>
        <w:t xml:space="preserve">an </w:t>
      </w:r>
      <w:r w:rsidRPr="00F36E29">
        <w:rPr>
          <w:lang w:val="en-GB"/>
        </w:rPr>
        <w:t xml:space="preserve">additional explanation regarding the location </w:t>
      </w:r>
      <w:r w:rsidR="00F36E29" w:rsidRPr="00F36E29">
        <w:rPr>
          <w:lang w:val="en-GB"/>
        </w:rPr>
        <w:t xml:space="preserve">for </w:t>
      </w:r>
      <w:r w:rsidRPr="00F36E29">
        <w:rPr>
          <w:lang w:val="en-GB"/>
        </w:rPr>
        <w:t xml:space="preserve">preparation of waste for disposal. In June 2021, </w:t>
      </w:r>
      <w:r w:rsidR="00482061" w:rsidRPr="00F36E29">
        <w:rPr>
          <w:lang w:val="en-GB"/>
        </w:rPr>
        <w:t xml:space="preserve">the </w:t>
      </w:r>
      <w:r w:rsidRPr="00F36E29">
        <w:rPr>
          <w:lang w:val="en-GB"/>
        </w:rPr>
        <w:t xml:space="preserve">MESP informed the Environmental Agency of the Republic of Slovenia  </w:t>
      </w:r>
      <w:r w:rsidR="00510D4D" w:rsidRPr="00F36E29">
        <w:rPr>
          <w:lang w:val="en-GB"/>
        </w:rPr>
        <w:t xml:space="preserve">of </w:t>
      </w:r>
      <w:r w:rsidRPr="00F36E29">
        <w:rPr>
          <w:lang w:val="en-GB"/>
        </w:rPr>
        <w:t>the completed cross-border assessment. At the beginning</w:t>
      </w:r>
      <w:r w:rsidRPr="00CD2EEF">
        <w:rPr>
          <w:lang w:val="en-GB"/>
        </w:rPr>
        <w:t xml:space="preserve"> of 2021, some hearings and clarifications were announced as part of the process of obtaining environmental consent. The environmental consent was issued in June 2021, while the supplementary decision was issued in July 2021.</w:t>
      </w:r>
    </w:p>
    <w:p w14:paraId="1D1C3587" w14:textId="6E86D52E" w:rsidR="00FA3624" w:rsidRPr="00CD2EEF" w:rsidRDefault="00FA3624" w:rsidP="0047170F">
      <w:pPr>
        <w:pStyle w:val="LPnavaden"/>
        <w:rPr>
          <w:lang w:val="en-GB"/>
        </w:rPr>
      </w:pPr>
      <w:r w:rsidRPr="00CD2EEF">
        <w:rPr>
          <w:lang w:val="en-GB"/>
        </w:rPr>
        <w:lastRenderedPageBreak/>
        <w:t xml:space="preserve">In February 2021, a tender for construction phase I of the LILW repository was publicly announced, at the end of May 2021 a decision </w:t>
      </w:r>
      <w:r w:rsidR="00320235" w:rsidRPr="00CD2EEF">
        <w:rPr>
          <w:lang w:val="en-GB"/>
        </w:rPr>
        <w:t xml:space="preserve">on the published tender </w:t>
      </w:r>
      <w:r w:rsidRPr="00CD2EEF">
        <w:rPr>
          <w:lang w:val="en-GB"/>
        </w:rPr>
        <w:t>was made, which was followed by the State Audit Commission review process. A tender for construction phase II of the LILW repository was published in November 2021, a tender for the implementation of external quality control at the location of the LILW repository was published in March 2021. The contract with the selected contractor was signed in October 2021.</w:t>
      </w:r>
    </w:p>
    <w:p w14:paraId="5E3E3570" w14:textId="41BA966F" w:rsidR="00FA3624" w:rsidRPr="00CD2EEF" w:rsidRDefault="00FA3624" w:rsidP="0047170F">
      <w:pPr>
        <w:pStyle w:val="LPnavaden"/>
        <w:rPr>
          <w:lang w:val="en-GB"/>
        </w:rPr>
      </w:pPr>
      <w:r w:rsidRPr="00CD2EEF">
        <w:rPr>
          <w:lang w:val="en-GB"/>
        </w:rPr>
        <w:t xml:space="preserve">In July 2019, an application was submitted to </w:t>
      </w:r>
      <w:r w:rsidR="00A726E8">
        <w:rPr>
          <w:lang w:val="en-GB"/>
        </w:rPr>
        <w:t>the</w:t>
      </w:r>
      <w:r w:rsidR="00E63423">
        <w:rPr>
          <w:lang w:val="en-GB"/>
        </w:rPr>
        <w:t xml:space="preserve"> SNSA</w:t>
      </w:r>
      <w:r w:rsidRPr="00CD2EEF">
        <w:rPr>
          <w:lang w:val="en-GB"/>
        </w:rPr>
        <w:t xml:space="preserve"> for the issuance of a construction permit. In 2020 and 2021, the documentation was intensively reviewed and updated. </w:t>
      </w:r>
      <w:r w:rsidR="00CD145C">
        <w:rPr>
          <w:lang w:val="en-GB"/>
        </w:rPr>
        <w:t>An</w:t>
      </w:r>
      <w:r w:rsidR="00CD145C" w:rsidRPr="00CD2EEF">
        <w:rPr>
          <w:lang w:val="en-GB"/>
        </w:rPr>
        <w:t xml:space="preserve"> </w:t>
      </w:r>
      <w:r w:rsidRPr="00CD2EEF">
        <w:rPr>
          <w:lang w:val="en-GB"/>
        </w:rPr>
        <w:t xml:space="preserve">expert in the area </w:t>
      </w:r>
      <w:r w:rsidRPr="00CD145C">
        <w:rPr>
          <w:lang w:val="en-GB"/>
        </w:rPr>
        <w:t xml:space="preserve">of </w:t>
      </w:r>
      <w:r w:rsidR="00CD145C">
        <w:rPr>
          <w:lang w:val="en-GB"/>
        </w:rPr>
        <w:t xml:space="preserve">the </w:t>
      </w:r>
      <w:r w:rsidR="00CD145C" w:rsidRPr="00CD145C">
        <w:rPr>
          <w:lang w:val="en-GB"/>
        </w:rPr>
        <w:t>application</w:t>
      </w:r>
      <w:r w:rsidR="00CD145C">
        <w:rPr>
          <w:lang w:val="en-GB"/>
        </w:rPr>
        <w:t xml:space="preserve"> of</w:t>
      </w:r>
      <w:r w:rsidR="00CD145C" w:rsidRPr="00CD145C">
        <w:rPr>
          <w:lang w:val="en-GB"/>
        </w:rPr>
        <w:t xml:space="preserve"> </w:t>
      </w:r>
      <w:r w:rsidRPr="00CD145C">
        <w:rPr>
          <w:lang w:val="en-GB"/>
        </w:rPr>
        <w:t>concrete, appointed</w:t>
      </w:r>
      <w:r w:rsidRPr="00CD2EEF">
        <w:rPr>
          <w:lang w:val="en-GB"/>
        </w:rPr>
        <w:t xml:space="preserve"> by </w:t>
      </w:r>
      <w:r w:rsidR="00A726E8">
        <w:rPr>
          <w:lang w:val="en-GB"/>
        </w:rPr>
        <w:t>the</w:t>
      </w:r>
      <w:r w:rsidR="00E63423">
        <w:rPr>
          <w:lang w:val="en-GB"/>
        </w:rPr>
        <w:t xml:space="preserve"> SNSA</w:t>
      </w:r>
      <w:r w:rsidRPr="00CD2EEF">
        <w:rPr>
          <w:lang w:val="en-GB"/>
        </w:rPr>
        <w:t xml:space="preserve">, actively monitored the study of the production, </w:t>
      </w:r>
      <w:r w:rsidR="00CD145C">
        <w:rPr>
          <w:lang w:val="en-GB"/>
        </w:rPr>
        <w:t>suitability,</w:t>
      </w:r>
      <w:r w:rsidR="00CD145C" w:rsidRPr="00CD2EEF">
        <w:rPr>
          <w:lang w:val="en-GB"/>
        </w:rPr>
        <w:t xml:space="preserve"> </w:t>
      </w:r>
      <w:r w:rsidRPr="00CD2EEF">
        <w:rPr>
          <w:lang w:val="en-GB"/>
        </w:rPr>
        <w:t xml:space="preserve">and characteristics of the final concrete mixtures for the implementation of the secondary reinforced concrete lining of the LILW repository silo and participated in the review of the documentation for the issuance of construction consent, which related to concrete structures, </w:t>
      </w:r>
      <w:r w:rsidR="00826F8A">
        <w:rPr>
          <w:lang w:val="en-GB"/>
        </w:rPr>
        <w:t>the</w:t>
      </w:r>
      <w:r w:rsidR="00826F8A" w:rsidRPr="00CD2EEF">
        <w:rPr>
          <w:lang w:val="en-GB"/>
        </w:rPr>
        <w:t xml:space="preserve"> </w:t>
      </w:r>
      <w:r w:rsidRPr="00CD2EEF">
        <w:rPr>
          <w:lang w:val="en-GB"/>
        </w:rPr>
        <w:t>properties</w:t>
      </w:r>
      <w:r w:rsidR="00826F8A">
        <w:rPr>
          <w:lang w:val="en-GB"/>
        </w:rPr>
        <w:t xml:space="preserve"> thereof,</w:t>
      </w:r>
      <w:r w:rsidRPr="00CD2EEF">
        <w:rPr>
          <w:lang w:val="en-GB"/>
        </w:rPr>
        <w:t xml:space="preserve"> and processes affecting the long-term safety of the repository. The expert concluded its review in August 2021, when </w:t>
      </w:r>
      <w:r w:rsidR="00826F8A">
        <w:rPr>
          <w:lang w:val="en-GB"/>
        </w:rPr>
        <w:t>a</w:t>
      </w:r>
      <w:r w:rsidR="00826F8A" w:rsidRPr="00CD2EEF">
        <w:rPr>
          <w:lang w:val="en-GB"/>
        </w:rPr>
        <w:t xml:space="preserve"> </w:t>
      </w:r>
      <w:r w:rsidRPr="00CD2EEF">
        <w:rPr>
          <w:lang w:val="en-GB"/>
        </w:rPr>
        <w:t xml:space="preserve">final opinion was delivered. </w:t>
      </w:r>
      <w:r w:rsidR="00A726E8">
        <w:rPr>
          <w:lang w:val="en-GB"/>
        </w:rPr>
        <w:t>The</w:t>
      </w:r>
      <w:r w:rsidR="00E63423">
        <w:rPr>
          <w:lang w:val="en-GB"/>
        </w:rPr>
        <w:t xml:space="preserve"> SNSA</w:t>
      </w:r>
      <w:r w:rsidRPr="00CD2EEF">
        <w:rPr>
          <w:lang w:val="en-GB"/>
        </w:rPr>
        <w:t xml:space="preserve"> completed the review of the completed documentation and the complete application for issuing an opinion on construction towards the end of the year, while the opinion ha</w:t>
      </w:r>
      <w:r w:rsidR="00E874E8">
        <w:rPr>
          <w:lang w:val="en-GB"/>
        </w:rPr>
        <w:t>d</w:t>
      </w:r>
      <w:r w:rsidRPr="00CD2EEF">
        <w:rPr>
          <w:lang w:val="en-GB"/>
        </w:rPr>
        <w:t xml:space="preserve"> not yet been issued by the end of 2021.</w:t>
      </w:r>
      <w:r w:rsidR="008A1E6B">
        <w:rPr>
          <w:lang w:val="en-GB"/>
        </w:rPr>
        <w:t xml:space="preserve"> </w:t>
      </w:r>
    </w:p>
    <w:p w14:paraId="1394E8C6" w14:textId="101947B3" w:rsidR="00FA3624" w:rsidRPr="00CD2EEF" w:rsidRDefault="00FA3624" w:rsidP="008F60D3">
      <w:pPr>
        <w:pStyle w:val="LPVirienojni"/>
        <w:rPr>
          <w:rStyle w:val="LPposevno"/>
          <w:i w:val="0"/>
          <w:lang w:val="en-GB"/>
        </w:rPr>
      </w:pPr>
      <w:r w:rsidRPr="00CD2EEF">
        <w:rPr>
          <w:lang w:val="en-GB"/>
        </w:rPr>
        <w:t>Reference: [</w:t>
      </w:r>
      <w:hyperlink w:anchor="r18" w:history="1">
        <w:r w:rsidRPr="00CD2EEF">
          <w:rPr>
            <w:rStyle w:val="Hiperpovezava"/>
            <w:lang w:val="en-GB"/>
          </w:rPr>
          <w:t>18</w:t>
        </w:r>
      </w:hyperlink>
      <w:r w:rsidRPr="00CD2EEF">
        <w:rPr>
          <w:lang w:val="en-GB"/>
        </w:rPr>
        <w:t xml:space="preserve">] </w:t>
      </w:r>
    </w:p>
    <w:p w14:paraId="52B2BAA9" w14:textId="1D5773EB" w:rsidR="00FA3624" w:rsidRPr="00CD2EEF" w:rsidRDefault="00FA3624" w:rsidP="008F60D3">
      <w:pPr>
        <w:pStyle w:val="LPNaslov2"/>
        <w:rPr>
          <w:rStyle w:val="LPposevno"/>
          <w:i w:val="0"/>
          <w:iCs/>
          <w:sz w:val="32"/>
          <w:lang w:val="en-GB"/>
        </w:rPr>
      </w:pPr>
      <w:bookmarkStart w:id="352" w:name="ch65"/>
      <w:bookmarkStart w:id="353" w:name="_Toc126312025"/>
      <w:r w:rsidRPr="00CD2EEF">
        <w:rPr>
          <w:rStyle w:val="LPposevno"/>
          <w:i w:val="0"/>
          <w:iCs/>
          <w:sz w:val="32"/>
          <w:lang w:val="en-GB"/>
        </w:rPr>
        <w:t>REMEDIATION OF THE ŽIROVSKI VRH URANIUM MINE</w:t>
      </w:r>
      <w:bookmarkEnd w:id="353"/>
      <w:r w:rsidR="00337638">
        <w:rPr>
          <w:rStyle w:val="LPposevno"/>
          <w:i w:val="0"/>
          <w:iCs/>
          <w:sz w:val="32"/>
          <w:lang w:val="en-GB"/>
        </w:rPr>
        <w:t xml:space="preserve"> </w:t>
      </w:r>
    </w:p>
    <w:bookmarkEnd w:id="352"/>
    <w:p w14:paraId="2DAFD138" w14:textId="37366884" w:rsidR="00FA3624" w:rsidRPr="00CD2EEF" w:rsidRDefault="00FA3624" w:rsidP="0047170F">
      <w:pPr>
        <w:pStyle w:val="LPnavaden"/>
        <w:rPr>
          <w:lang w:val="en-GB"/>
        </w:rPr>
      </w:pPr>
      <w:r w:rsidRPr="00CD2EEF">
        <w:rPr>
          <w:lang w:val="en-GB"/>
        </w:rPr>
        <w:t xml:space="preserve">The remediation of the Žirovski Vrh Uranium Mine (RŽV) has been in progress since 1992, involving both the uranium processing plant and the mine, together with the various accompanying </w:t>
      </w:r>
      <w:r w:rsidR="001851F0" w:rsidRPr="00F36E29">
        <w:rPr>
          <w:lang w:val="en-GB"/>
        </w:rPr>
        <w:t>buildings</w:t>
      </w:r>
      <w:r w:rsidRPr="00F36E29">
        <w:rPr>
          <w:lang w:val="en-GB"/>
        </w:rPr>
        <w:t>.</w:t>
      </w:r>
    </w:p>
    <w:p w14:paraId="4CFA136E" w14:textId="77777777" w:rsidR="00FA3624" w:rsidRPr="00CD2EEF" w:rsidRDefault="00FA3624" w:rsidP="0047170F">
      <w:pPr>
        <w:pStyle w:val="LPnavaden"/>
        <w:rPr>
          <w:lang w:val="en-GB"/>
        </w:rPr>
      </w:pPr>
      <w:r w:rsidRPr="00CD2EEF">
        <w:rPr>
          <w:lang w:val="en-GB"/>
        </w:rPr>
        <w:t>Rehabilitation works at the Boršt disposal site have been completed, and the possibility of global instability in the wider area of the landfill prevents the disposal site from being closed. For the Boršt disposal site, 2021 was the eleventh year (the sixth additional year) of the transitional period of long-term management.</w:t>
      </w:r>
    </w:p>
    <w:p w14:paraId="30C844BE" w14:textId="3D54661F" w:rsidR="00FA3624" w:rsidRPr="00CD2EEF" w:rsidRDefault="00FA3624" w:rsidP="0047170F">
      <w:pPr>
        <w:pStyle w:val="LPnavaden"/>
        <w:rPr>
          <w:lang w:val="en-GB"/>
        </w:rPr>
      </w:pPr>
      <w:r w:rsidRPr="00CD2EEF">
        <w:rPr>
          <w:lang w:val="en-GB"/>
        </w:rPr>
        <w:t xml:space="preserve">In 2021, the RŽV carried out maintenance work: the cleaning of drainage channels for the drainage of backwaters and meteoric waters at the Boršt disposal site and next to it, the cleaning and maintenance of devices and facilities for technical monitoring and monitoring to control the impact of the RŽV facilities on the environment, including the consequences of landslides at the Boršt disposal site, cleaning of the undergrowth near the disposal site and near infrastructure facilities, mowing the grass at and near the disposal site, and monitoring the condition of the finally arranged mining facilities. The maintenance work, sampling, analyses and measurements for which </w:t>
      </w:r>
      <w:r w:rsidR="00300181">
        <w:rPr>
          <w:lang w:val="en-GB"/>
        </w:rPr>
        <w:t xml:space="preserve">the </w:t>
      </w:r>
      <w:r w:rsidRPr="00CD2EEF">
        <w:rPr>
          <w:lang w:val="en-GB"/>
        </w:rPr>
        <w:t>RŽV is equipped</w:t>
      </w:r>
      <w:r w:rsidR="00300181">
        <w:rPr>
          <w:lang w:val="en-GB"/>
        </w:rPr>
        <w:t>,</w:t>
      </w:r>
      <w:r w:rsidRPr="00CD2EEF">
        <w:rPr>
          <w:lang w:val="en-GB"/>
        </w:rPr>
        <w:t xml:space="preserve"> </w:t>
      </w:r>
      <w:r w:rsidRPr="005B1F8E">
        <w:rPr>
          <w:lang w:val="en-GB"/>
        </w:rPr>
        <w:t xml:space="preserve">and </w:t>
      </w:r>
      <w:r w:rsidR="00300181" w:rsidRPr="005B1F8E">
        <w:rPr>
          <w:lang w:val="en-GB"/>
        </w:rPr>
        <w:t xml:space="preserve">its staff </w:t>
      </w:r>
      <w:r w:rsidRPr="005B1F8E">
        <w:rPr>
          <w:lang w:val="en-GB"/>
        </w:rPr>
        <w:t xml:space="preserve">trained </w:t>
      </w:r>
      <w:r w:rsidR="00300181" w:rsidRPr="005B1F8E">
        <w:rPr>
          <w:lang w:val="en-GB"/>
        </w:rPr>
        <w:t xml:space="preserve">for, </w:t>
      </w:r>
      <w:r w:rsidRPr="005B1F8E">
        <w:rPr>
          <w:lang w:val="en-GB"/>
        </w:rPr>
        <w:t>were carried out in full. All environmental impact control</w:t>
      </w:r>
      <w:r w:rsidR="00300181" w:rsidRPr="005B1F8E">
        <w:rPr>
          <w:lang w:val="en-GB"/>
        </w:rPr>
        <w:t>s</w:t>
      </w:r>
      <w:r w:rsidRPr="005B1F8E">
        <w:rPr>
          <w:lang w:val="en-GB"/>
        </w:rPr>
        <w:t>, occupational health and safety</w:t>
      </w:r>
      <w:r w:rsidR="00300181" w:rsidRPr="005B1F8E">
        <w:rPr>
          <w:lang w:val="en-GB"/>
        </w:rPr>
        <w:t xml:space="preserve"> measures</w:t>
      </w:r>
      <w:r w:rsidRPr="005B1F8E">
        <w:rPr>
          <w:lang w:val="en-GB"/>
        </w:rPr>
        <w:t>, ionising radiation protection</w:t>
      </w:r>
      <w:r w:rsidR="00300181" w:rsidRPr="005B1F8E">
        <w:rPr>
          <w:lang w:val="en-GB"/>
        </w:rPr>
        <w:t xml:space="preserve"> measures</w:t>
      </w:r>
      <w:r w:rsidRPr="005B1F8E">
        <w:rPr>
          <w:lang w:val="en-GB"/>
        </w:rPr>
        <w:t>, Boršt landfill management</w:t>
      </w:r>
      <w:r w:rsidR="00F7413B" w:rsidRPr="00F36E29">
        <w:rPr>
          <w:lang w:val="en-GB"/>
        </w:rPr>
        <w:t>,</w:t>
      </w:r>
      <w:r w:rsidRPr="005B1F8E">
        <w:rPr>
          <w:lang w:val="en-GB"/>
        </w:rPr>
        <w:t xml:space="preserve"> and tasks to ensure that the company carries out all its necessary tasks </w:t>
      </w:r>
      <w:r w:rsidR="00300181" w:rsidRPr="005B1F8E">
        <w:rPr>
          <w:lang w:val="en-GB"/>
        </w:rPr>
        <w:t>were</w:t>
      </w:r>
      <w:r w:rsidRPr="005B1F8E">
        <w:rPr>
          <w:lang w:val="en-GB"/>
        </w:rPr>
        <w:t xml:space="preserve"> carried out.</w:t>
      </w:r>
      <w:r w:rsidRPr="00CD2EEF">
        <w:rPr>
          <w:lang w:val="en-GB"/>
        </w:rPr>
        <w:t xml:space="preserve"> An assessment of the overall state of the remediated mine facilities was intensified because the rock base of the Boršt disposal site is still moving. The velocity of the movement of the control point on the Boršt disposal site is approximately 2 cm per year.</w:t>
      </w:r>
    </w:p>
    <w:p w14:paraId="0E020870" w14:textId="77777777" w:rsidR="00FA3624" w:rsidRPr="00CD2EEF" w:rsidRDefault="00FA3624" w:rsidP="0047170F">
      <w:pPr>
        <w:pStyle w:val="LPnavaden"/>
        <w:rPr>
          <w:rFonts w:eastAsia="Calibri"/>
          <w:lang w:val="en-GB"/>
        </w:rPr>
      </w:pPr>
      <w:r w:rsidRPr="00CD2EEF">
        <w:rPr>
          <w:lang w:val="en-GB"/>
        </w:rPr>
        <w:t>In 2016 and 2017, additional measures were taken to increase the stability of the disposal site, related to groundwater dewatering. A total of 1,796.5 m of drainage wells were drilled and 1,342.5 m of these wells were piped.</w:t>
      </w:r>
    </w:p>
    <w:p w14:paraId="7F0A7B3D" w14:textId="69DE88C1" w:rsidR="00FA3624" w:rsidRPr="00CD2EEF" w:rsidRDefault="00FA3624" w:rsidP="0047170F">
      <w:pPr>
        <w:pStyle w:val="LPnavaden"/>
        <w:rPr>
          <w:rFonts w:eastAsiaTheme="minorHAnsi"/>
          <w:lang w:val="en-GB"/>
        </w:rPr>
      </w:pPr>
      <w:r w:rsidRPr="00CD2EEF">
        <w:rPr>
          <w:lang w:val="en-GB"/>
        </w:rPr>
        <w:t xml:space="preserve">In 2021, an inspection of the concrete lining of the passageway of the tunnel, the shotcrete lining of the entrance of the tunnel, and the landslide beneath the Boršt disposal site was carried out. In addition, the functioning of the drainage wells was assessed, and the movement of the landslide </w:t>
      </w:r>
      <w:r w:rsidRPr="00CD2EEF">
        <w:rPr>
          <w:lang w:val="en-GB"/>
        </w:rPr>
        <w:lastRenderedPageBreak/>
        <w:t xml:space="preserve">was measured by a special extensometer placed in the tunnel at the point where the drainage tunnel passes through the landslide. Due to the </w:t>
      </w:r>
      <w:r w:rsidR="006024C1" w:rsidRPr="00CD2EEF">
        <w:rPr>
          <w:lang w:val="en-GB"/>
        </w:rPr>
        <w:t xml:space="preserve">ground </w:t>
      </w:r>
      <w:r w:rsidRPr="00CD2EEF">
        <w:rPr>
          <w:lang w:val="en-GB"/>
        </w:rPr>
        <w:t xml:space="preserve">rising, the wooden floor between the 195 m and 210 m stations was rehabilitated again. In March 2021, a new automatic extensiometer was added to the existing mechanical extensiometer. It enables </w:t>
      </w:r>
      <w:r w:rsidR="00287E72">
        <w:rPr>
          <w:lang w:val="en-GB"/>
        </w:rPr>
        <w:t xml:space="preserve">a </w:t>
      </w:r>
      <w:r w:rsidRPr="00CD2EEF">
        <w:rPr>
          <w:lang w:val="en-GB"/>
        </w:rPr>
        <w:t>visual readout of the displacement value, which takes displacement measurements on a continuous basis and also records the date and time of the measurement. The extensiometer sends the data via SMS to a database accessible online. Drainage well outflows were monitored by manual measurements and by continuous flow meters.</w:t>
      </w:r>
    </w:p>
    <w:p w14:paraId="5026C919" w14:textId="6A848580" w:rsidR="00FA3624" w:rsidRPr="00CD2EEF" w:rsidRDefault="00FA3624" w:rsidP="0047170F">
      <w:pPr>
        <w:pStyle w:val="LPnavaden"/>
        <w:rPr>
          <w:lang w:val="en-GB"/>
        </w:rPr>
      </w:pPr>
      <w:r w:rsidRPr="00CD2EEF">
        <w:rPr>
          <w:lang w:val="en-GB"/>
        </w:rPr>
        <w:t xml:space="preserve">Monitoring the stability of the Boršt disposal site is an important task of the transitional period as well as for the long-term period </w:t>
      </w:r>
      <w:r w:rsidR="00531936" w:rsidRPr="00CB5CD2">
        <w:rPr>
          <w:lang w:val="en-GB"/>
        </w:rPr>
        <w:t xml:space="preserve">ensuring </w:t>
      </w:r>
      <w:r w:rsidRPr="00CB5CD2">
        <w:rPr>
          <w:lang w:val="en-GB"/>
        </w:rPr>
        <w:t>timely</w:t>
      </w:r>
      <w:r w:rsidRPr="00CD2EEF">
        <w:rPr>
          <w:lang w:val="en-GB"/>
        </w:rPr>
        <w:t xml:space="preserve"> action in </w:t>
      </w:r>
      <w:r w:rsidR="00287E72">
        <w:rPr>
          <w:lang w:val="en-GB"/>
        </w:rPr>
        <w:t>the event</w:t>
      </w:r>
      <w:r w:rsidR="00287E72" w:rsidRPr="00CD2EEF">
        <w:rPr>
          <w:lang w:val="en-GB"/>
        </w:rPr>
        <w:t xml:space="preserve"> </w:t>
      </w:r>
      <w:r w:rsidRPr="00CD2EEF">
        <w:rPr>
          <w:lang w:val="en-GB"/>
        </w:rPr>
        <w:t>of need. After the final settlement of the Boršt disposal site and the end of remediation activities, the conditions for appropriate periodic geodetic monitoring as well as continuous online monitoring by means of GPS (Global Positioning System) at the Boršt disposal site will be achieved. The advantage of the precision surveying is high accuracy, while the GPS has the advantage of</w:t>
      </w:r>
      <w:r w:rsidR="00BF2EB2">
        <w:rPr>
          <w:lang w:val="en-GB"/>
        </w:rPr>
        <w:t xml:space="preserve"> enabling</w:t>
      </w:r>
      <w:r w:rsidRPr="00CD2EEF">
        <w:rPr>
          <w:lang w:val="en-GB"/>
        </w:rPr>
        <w:t xml:space="preserve"> </w:t>
      </w:r>
      <w:r w:rsidR="00BF2EB2">
        <w:rPr>
          <w:lang w:val="en-GB"/>
        </w:rPr>
        <w:t xml:space="preserve">the </w:t>
      </w:r>
      <w:r w:rsidRPr="00CD2EEF">
        <w:rPr>
          <w:lang w:val="en-GB"/>
        </w:rPr>
        <w:t xml:space="preserve">continuous monitoring of movements and thus </w:t>
      </w:r>
      <w:r w:rsidR="00256344">
        <w:rPr>
          <w:lang w:val="en-GB"/>
        </w:rPr>
        <w:t xml:space="preserve">has </w:t>
      </w:r>
      <w:r w:rsidRPr="00CD2EEF">
        <w:rPr>
          <w:lang w:val="en-GB"/>
        </w:rPr>
        <w:t>the ability to determine the impact of extreme events on the lansdslide</w:t>
      </w:r>
      <w:r w:rsidR="00F21D56">
        <w:rPr>
          <w:lang w:val="en-GB"/>
        </w:rPr>
        <w:t>’</w:t>
      </w:r>
      <w:r w:rsidRPr="00CD2EEF">
        <w:rPr>
          <w:lang w:val="en-GB"/>
        </w:rPr>
        <w:t>s stability.</w:t>
      </w:r>
    </w:p>
    <w:p w14:paraId="7AFD9A52" w14:textId="6C2F98FF" w:rsidR="00FA3624" w:rsidRPr="00CD2EEF" w:rsidRDefault="00FA3624" w:rsidP="0047170F">
      <w:pPr>
        <w:pStyle w:val="LPnavaden"/>
        <w:rPr>
          <w:lang w:val="en-GB"/>
        </w:rPr>
      </w:pPr>
      <w:r w:rsidRPr="00CD2EEF">
        <w:rPr>
          <w:lang w:val="en-GB"/>
        </w:rPr>
        <w:t xml:space="preserve">Until 2018, there was only one point on the surface of the deposited hydrometallurgical tailings in the Plaz network. In order to monitor disposal movements in </w:t>
      </w:r>
      <w:r w:rsidR="00DC2F9D" w:rsidRPr="00CD2EEF">
        <w:rPr>
          <w:lang w:val="en-GB"/>
        </w:rPr>
        <w:t xml:space="preserve">more </w:t>
      </w:r>
      <w:r w:rsidRPr="00CD2EEF">
        <w:rPr>
          <w:lang w:val="en-GB"/>
        </w:rPr>
        <w:t xml:space="preserve">detail, it was decided in 2018, on the proposal of the Expert Project Council, to add </w:t>
      </w:r>
      <w:r w:rsidR="00DC2F9D" w:rsidRPr="00CD2EEF">
        <w:rPr>
          <w:lang w:val="en-GB"/>
        </w:rPr>
        <w:t xml:space="preserve">additional points </w:t>
      </w:r>
      <w:r w:rsidRPr="00CD2EEF">
        <w:rPr>
          <w:lang w:val="en-GB"/>
        </w:rPr>
        <w:t>on the disposal site, which were included in the Vrtine-2 network. The results of the measurements show that all points of the network, with the exception of three points in the eastern part of the disposal site outside the landslide, moved significantly. The directions and magnitudes of the movements were expected and are comparable to the values that are also identified by measurements in the Plaz network, calculated over a 12-month period.</w:t>
      </w:r>
    </w:p>
    <w:p w14:paraId="6E163E9D" w14:textId="613861DF" w:rsidR="00FA3624" w:rsidRPr="00CD2EEF" w:rsidRDefault="00FA3624" w:rsidP="0047170F">
      <w:pPr>
        <w:pStyle w:val="LPnavaden"/>
        <w:rPr>
          <w:lang w:val="en-GB"/>
        </w:rPr>
      </w:pPr>
      <w:r w:rsidRPr="00CD2EEF">
        <w:rPr>
          <w:lang w:val="en-GB"/>
        </w:rPr>
        <w:t xml:space="preserve">The movements of the Boršt disposal site are continuously monitored by a GPS system. With the shift of the Boršt Gorenja Weather Station to the top plateau of the landfill, the GPS system computer equipment was moved to the new location of the weather station and all three system checkpoints were preserved. The measured horizontal movement for the period from March 2020 to April 2021 is 16.2 mm (II-GPS). The vertical movement (settlement) in the same period was measured at point II-GPS and was 7.9 mm. As part of technical monitoring, </w:t>
      </w:r>
      <w:r w:rsidR="00263D93" w:rsidRPr="00F36E29">
        <w:rPr>
          <w:lang w:val="en-GB"/>
        </w:rPr>
        <w:t>“</w:t>
      </w:r>
      <w:r w:rsidRPr="00F36E29">
        <w:rPr>
          <w:lang w:val="en-GB"/>
        </w:rPr>
        <w:t xml:space="preserve">Precise geodetic measurements of the stability of </w:t>
      </w:r>
      <w:r w:rsidR="00DC2F9D" w:rsidRPr="00F36E29">
        <w:rPr>
          <w:lang w:val="en-GB"/>
        </w:rPr>
        <w:t>the Boršt disposal site</w:t>
      </w:r>
      <w:r w:rsidR="00263D93" w:rsidRPr="00F36E29">
        <w:rPr>
          <w:lang w:val="en-GB"/>
        </w:rPr>
        <w:t>”</w:t>
      </w:r>
      <w:r w:rsidRPr="00F36E29">
        <w:rPr>
          <w:lang w:val="en-GB"/>
        </w:rPr>
        <w:t xml:space="preserve"> were carried out in April</w:t>
      </w:r>
      <w:r w:rsidRPr="00CD2EEF">
        <w:rPr>
          <w:lang w:val="en-GB"/>
        </w:rPr>
        <w:t xml:space="preserve"> 2021 in the Plaz geodetic network, which connects the Boršt disposal site with the wider surroundings, and in the Vrtine-2 geodetic network, which connects checkpoints along the piezometric and inclinometric wells at the Boršt disposal site, together with six points of the Plaz network, ten new geodetic points, and seven new piezometers. The results show that the movements are comparable to the previous measurements and that the movements are maintaining approximately the same direction. </w:t>
      </w:r>
    </w:p>
    <w:p w14:paraId="666CEC91" w14:textId="4B0F83E0" w:rsidR="00FA3624" w:rsidRPr="00CD2EEF" w:rsidRDefault="00FA3624" w:rsidP="0047170F">
      <w:pPr>
        <w:pStyle w:val="LPnavaden"/>
        <w:rPr>
          <w:lang w:val="en-GB"/>
        </w:rPr>
      </w:pPr>
      <w:r w:rsidRPr="00CD2EEF">
        <w:rPr>
          <w:lang w:val="en-GB"/>
        </w:rPr>
        <w:t>The damage from the landslide on the surface has been visible in individual drainage channels since 2013 on the western rockfill toe on the southwest edge of the disposal and on the northern rockfill toe, and since 2018 also on the breaking edge on the upper plateau of the disposal site. Financing the activities of the RŽV uranium mine from the budget was covered by a contract for the financing of the company</w:t>
      </w:r>
      <w:r w:rsidR="00F21D56">
        <w:rPr>
          <w:lang w:val="en-GB"/>
        </w:rPr>
        <w:t>’</w:t>
      </w:r>
      <w:r w:rsidRPr="00CD2EEF">
        <w:rPr>
          <w:lang w:val="en-GB"/>
        </w:rPr>
        <w:t xml:space="preserve">s operations with the MESP. Details of this monitoring project can be found in </w:t>
      </w:r>
      <w:hyperlink w:anchor="ch333" w:history="1">
        <w:r w:rsidRPr="00CD2EEF">
          <w:rPr>
            <w:rStyle w:val="Hiperpovezava"/>
            <w:lang w:val="en-GB"/>
          </w:rPr>
          <w:t>Chapter 3.3.3</w:t>
        </w:r>
      </w:hyperlink>
      <w:r w:rsidRPr="00CD2EEF">
        <w:rPr>
          <w:lang w:val="en-GB"/>
        </w:rPr>
        <w:t xml:space="preserve">. </w:t>
      </w:r>
    </w:p>
    <w:p w14:paraId="7BBC674A" w14:textId="7CF29E15" w:rsidR="00FA3624" w:rsidRPr="00CD2EEF" w:rsidRDefault="000B7B1F" w:rsidP="0047170F">
      <w:pPr>
        <w:pStyle w:val="LPnavaden"/>
        <w:rPr>
          <w:lang w:val="en-GB"/>
        </w:rPr>
      </w:pPr>
      <w:r>
        <w:rPr>
          <w:lang w:val="en-GB"/>
        </w:rPr>
        <w:t>A r</w:t>
      </w:r>
      <w:r w:rsidR="00FA3624" w:rsidRPr="00CD2EEF">
        <w:rPr>
          <w:lang w:val="en-GB"/>
        </w:rPr>
        <w:t xml:space="preserve">evision </w:t>
      </w:r>
      <w:r>
        <w:rPr>
          <w:lang w:val="en-GB"/>
        </w:rPr>
        <w:t>of</w:t>
      </w:r>
      <w:r w:rsidRPr="00CD2EEF">
        <w:rPr>
          <w:lang w:val="en-GB"/>
        </w:rPr>
        <w:t xml:space="preserve"> </w:t>
      </w:r>
      <w:r w:rsidR="00FA3624" w:rsidRPr="00CD2EEF">
        <w:rPr>
          <w:lang w:val="en-GB"/>
        </w:rPr>
        <w:t>the Safety Analysis Report for the Boršt disposal site without Chapter 1, which relates to the scope of the national infrastructure object and the ownership of the plots</w:t>
      </w:r>
      <w:r>
        <w:rPr>
          <w:lang w:val="en-GB"/>
        </w:rPr>
        <w:t>,</w:t>
      </w:r>
      <w:r w:rsidR="00FA3624" w:rsidRPr="00CD2EEF">
        <w:rPr>
          <w:lang w:val="en-GB"/>
        </w:rPr>
        <w:t xml:space="preserve"> was carried out. In addition, the expert opinion on the Safety Analy</w:t>
      </w:r>
      <w:r w:rsidR="009D6F7F" w:rsidRPr="00CD2EEF">
        <w:rPr>
          <w:lang w:val="en-GB"/>
        </w:rPr>
        <w:t>s</w:t>
      </w:r>
      <w:r w:rsidR="00FA3624" w:rsidRPr="00CD2EEF">
        <w:rPr>
          <w:lang w:val="en-GB"/>
        </w:rPr>
        <w:t>is Report was prepared. The Safety Analysis Report for the Boršt hydrometallurgical tailings disposal site is the basic document for its closure and the transition to long-term monitoring and maintenance, which will be carried out by</w:t>
      </w:r>
      <w:r w:rsidR="003F7670">
        <w:rPr>
          <w:lang w:val="en-GB"/>
        </w:rPr>
        <w:t xml:space="preserve"> the</w:t>
      </w:r>
      <w:r w:rsidR="00FA3624" w:rsidRPr="00CD2EEF">
        <w:rPr>
          <w:lang w:val="en-GB"/>
        </w:rPr>
        <w:t xml:space="preserve"> ARAO as part of the mandatory state public utility service for radioactive waste management.</w:t>
      </w:r>
    </w:p>
    <w:p w14:paraId="05D38250" w14:textId="77777777" w:rsidR="00FA3624" w:rsidRPr="00CD2EEF" w:rsidRDefault="00FA3624" w:rsidP="0047170F">
      <w:pPr>
        <w:pStyle w:val="LPnavaden"/>
        <w:rPr>
          <w:rFonts w:eastAsia="Calibri"/>
          <w:lang w:val="en-GB"/>
        </w:rPr>
      </w:pPr>
    </w:p>
    <w:p w14:paraId="1E3AF76E" w14:textId="77777777" w:rsidR="00FA3624" w:rsidRPr="00CD2EEF" w:rsidRDefault="00FA3624" w:rsidP="00F531F0">
      <w:pPr>
        <w:pStyle w:val="LPNaslov2"/>
        <w:rPr>
          <w:rFonts w:eastAsia="Calibri"/>
          <w:lang w:val="en-GB"/>
        </w:rPr>
      </w:pPr>
      <w:bookmarkStart w:id="354" w:name="ch66"/>
      <w:bookmarkStart w:id="355" w:name="_Toc126312026"/>
      <w:r w:rsidRPr="00CD2EEF">
        <w:rPr>
          <w:lang w:val="en-GB"/>
        </w:rPr>
        <w:lastRenderedPageBreak/>
        <w:t>THE FUND FOR FINANCING THE DECOMMISSIONING OF THE KRŠKO NPP AND THE DISPOSAL OF RADIOACTIVE WASTE FROM THE KRŠKO NPP</w:t>
      </w:r>
      <w:bookmarkEnd w:id="355"/>
    </w:p>
    <w:p w14:paraId="5732EB8F" w14:textId="2F98AA09" w:rsidR="00FA3624" w:rsidRPr="00CD2EEF" w:rsidRDefault="00FA3624" w:rsidP="00F531F0">
      <w:pPr>
        <w:pStyle w:val="LPNaslov3"/>
        <w:rPr>
          <w:lang w:val="en-GB"/>
        </w:rPr>
      </w:pPr>
      <w:bookmarkStart w:id="356" w:name="_Toc126312027"/>
      <w:bookmarkEnd w:id="354"/>
      <w:r w:rsidRPr="00CD2EEF">
        <w:rPr>
          <w:lang w:val="en-GB"/>
        </w:rPr>
        <w:t xml:space="preserve">Fulfilment of </w:t>
      </w:r>
      <w:r w:rsidR="00F36E29">
        <w:rPr>
          <w:lang w:val="en-GB"/>
        </w:rPr>
        <w:t>L</w:t>
      </w:r>
      <w:r w:rsidRPr="00CD2EEF">
        <w:rPr>
          <w:lang w:val="en-GB"/>
        </w:rPr>
        <w:t xml:space="preserve">egislative and </w:t>
      </w:r>
      <w:r w:rsidR="00F36E29">
        <w:rPr>
          <w:lang w:val="en-GB"/>
        </w:rPr>
        <w:t>C</w:t>
      </w:r>
      <w:r w:rsidRPr="00CD2EEF">
        <w:rPr>
          <w:lang w:val="en-GB"/>
        </w:rPr>
        <w:t xml:space="preserve">ontractual </w:t>
      </w:r>
      <w:r w:rsidR="00F36E29">
        <w:rPr>
          <w:lang w:val="en-GB"/>
        </w:rPr>
        <w:t>O</w:t>
      </w:r>
      <w:r w:rsidRPr="00CD2EEF">
        <w:rPr>
          <w:lang w:val="en-GB"/>
        </w:rPr>
        <w:t xml:space="preserve">bligations and </w:t>
      </w:r>
      <w:r w:rsidR="00F36E29">
        <w:rPr>
          <w:lang w:val="en-GB"/>
        </w:rPr>
        <w:t>P</w:t>
      </w:r>
      <w:r w:rsidRPr="00CD2EEF">
        <w:rPr>
          <w:lang w:val="en-GB"/>
        </w:rPr>
        <w:t xml:space="preserve">roceeds from the </w:t>
      </w:r>
      <w:r w:rsidR="00F36E29">
        <w:rPr>
          <w:lang w:val="en-GB"/>
        </w:rPr>
        <w:t>C</w:t>
      </w:r>
      <w:r w:rsidRPr="00CD2EEF">
        <w:rPr>
          <w:lang w:val="en-GB"/>
        </w:rPr>
        <w:t xml:space="preserve">ontributions for </w:t>
      </w:r>
      <w:r w:rsidR="00F36E29">
        <w:rPr>
          <w:lang w:val="en-GB"/>
        </w:rPr>
        <w:t>D</w:t>
      </w:r>
      <w:r w:rsidRPr="00CD2EEF">
        <w:rPr>
          <w:lang w:val="en-GB"/>
        </w:rPr>
        <w:t>ecommissioning</w:t>
      </w:r>
      <w:bookmarkEnd w:id="356"/>
    </w:p>
    <w:p w14:paraId="5783BA6B" w14:textId="20840983" w:rsidR="00FA3624" w:rsidRPr="00CD2EEF" w:rsidRDefault="00FA3624" w:rsidP="0047170F">
      <w:pPr>
        <w:pStyle w:val="LPnavaden"/>
        <w:rPr>
          <w:lang w:val="en-GB"/>
        </w:rPr>
      </w:pPr>
      <w:r w:rsidRPr="00CD2EEF">
        <w:rPr>
          <w:lang w:val="en-GB"/>
        </w:rPr>
        <w:t xml:space="preserve">The Fund for Financing the Decommissioning of </w:t>
      </w:r>
      <w:r w:rsidR="001B146F">
        <w:rPr>
          <w:lang w:val="en-GB"/>
        </w:rPr>
        <w:t>the Krško NPP</w:t>
      </w:r>
      <w:r w:rsidRPr="00CD2EEF">
        <w:rPr>
          <w:lang w:val="en-GB"/>
        </w:rPr>
        <w:t xml:space="preserve"> and the Disposal of Radioactive Waste from </w:t>
      </w:r>
      <w:r w:rsidR="001B146F">
        <w:rPr>
          <w:lang w:val="en-GB"/>
        </w:rPr>
        <w:t>the Krško NPP</w:t>
      </w:r>
      <w:r w:rsidRPr="00CD2EEF">
        <w:rPr>
          <w:lang w:val="en-GB"/>
        </w:rPr>
        <w:t xml:space="preserve"> (hereinafter: the Fund) was established pursuant to the </w:t>
      </w:r>
      <w:r w:rsidRPr="00CD2EEF">
        <w:rPr>
          <w:rStyle w:val="LPnavadenposevnoZnak"/>
          <w:lang w:val="en-GB"/>
        </w:rPr>
        <w:t xml:space="preserve">Act on the Fund for Financing the Decommissioning of </w:t>
      </w:r>
      <w:r w:rsidR="001B146F">
        <w:rPr>
          <w:rStyle w:val="LPnavadenposevnoZnak"/>
          <w:lang w:val="en-GB"/>
        </w:rPr>
        <w:t>the Krško NPP</w:t>
      </w:r>
      <w:r w:rsidRPr="00CD2EEF">
        <w:rPr>
          <w:rStyle w:val="LPnavadenposevnoZnak"/>
          <w:lang w:val="en-GB"/>
        </w:rPr>
        <w:t xml:space="preserve"> and the Disposal of Radioactive Waste from </w:t>
      </w:r>
      <w:r w:rsidR="001B146F">
        <w:rPr>
          <w:rStyle w:val="LPnavadenposevnoZnak"/>
          <w:lang w:val="en-GB"/>
        </w:rPr>
        <w:t>the Krško NPP</w:t>
      </w:r>
      <w:r w:rsidRPr="00CD2EEF">
        <w:rPr>
          <w:rStyle w:val="LPnavadenposevnoZnak"/>
          <w:lang w:val="en-GB"/>
        </w:rPr>
        <w:t xml:space="preserve"> </w:t>
      </w:r>
      <w:r w:rsidRPr="00CD2EEF">
        <w:rPr>
          <w:lang w:val="en-GB"/>
        </w:rPr>
        <w:t xml:space="preserve">(Official Gazette of RS, Nos. 47/03 – UPB and 68/08). It was </w:t>
      </w:r>
      <w:r w:rsidR="002A67E5">
        <w:rPr>
          <w:lang w:val="en-GB"/>
        </w:rPr>
        <w:t>established</w:t>
      </w:r>
      <w:r w:rsidR="002A67E5" w:rsidRPr="00CD2EEF">
        <w:rPr>
          <w:lang w:val="en-GB"/>
        </w:rPr>
        <w:t xml:space="preserve"> </w:t>
      </w:r>
      <w:r w:rsidRPr="00CD2EEF">
        <w:rPr>
          <w:lang w:val="en-GB"/>
        </w:rPr>
        <w:t xml:space="preserve">under a special law as a </w:t>
      </w:r>
      <w:r w:rsidR="00263D93">
        <w:rPr>
          <w:lang w:val="en-GB"/>
        </w:rPr>
        <w:t>“</w:t>
      </w:r>
      <w:r w:rsidRPr="00F36E29">
        <w:rPr>
          <w:i/>
          <w:iCs/>
          <w:lang w:val="en-GB"/>
        </w:rPr>
        <w:t>sui generis</w:t>
      </w:r>
      <w:r w:rsidR="00263D93">
        <w:rPr>
          <w:lang w:val="en-GB"/>
        </w:rPr>
        <w:t>”</w:t>
      </w:r>
      <w:r w:rsidRPr="00CD2EEF">
        <w:rPr>
          <w:lang w:val="en-GB"/>
        </w:rPr>
        <w:t xml:space="preserve"> fund.</w:t>
      </w:r>
    </w:p>
    <w:p w14:paraId="7393832B" w14:textId="046DA53C" w:rsidR="00FA3624" w:rsidRPr="00CD2EEF" w:rsidRDefault="00FA3624" w:rsidP="0047170F">
      <w:pPr>
        <w:pStyle w:val="LPnavaden"/>
        <w:rPr>
          <w:lang w:val="en-GB"/>
        </w:rPr>
      </w:pPr>
      <w:r w:rsidRPr="00CD2EEF">
        <w:rPr>
          <w:lang w:val="en-GB"/>
        </w:rPr>
        <w:t>The Fund is an indirect budget user that is not financed from the national budget. The operating costs are covered from the financial revenue generated by the Fund</w:t>
      </w:r>
      <w:r w:rsidR="00F21D56">
        <w:rPr>
          <w:lang w:val="en-GB"/>
        </w:rPr>
        <w:t>’</w:t>
      </w:r>
      <w:r w:rsidRPr="00CD2EEF">
        <w:rPr>
          <w:lang w:val="en-GB"/>
        </w:rPr>
        <w:t>s operations.</w:t>
      </w:r>
    </w:p>
    <w:p w14:paraId="7D1C02D3" w14:textId="401C344B" w:rsidR="00FA3624" w:rsidRPr="00CD2EEF" w:rsidRDefault="00FA3624" w:rsidP="0047170F">
      <w:pPr>
        <w:pStyle w:val="LPnavaden"/>
        <w:rPr>
          <w:lang w:val="en-GB"/>
        </w:rPr>
      </w:pPr>
      <w:r w:rsidRPr="00CD2EEF">
        <w:rPr>
          <w:lang w:val="en-GB"/>
        </w:rPr>
        <w:t>As of 31 December 2021, the Fund</w:t>
      </w:r>
      <w:r w:rsidR="00F21D56">
        <w:rPr>
          <w:lang w:val="en-GB"/>
        </w:rPr>
        <w:t>’</w:t>
      </w:r>
      <w:r w:rsidRPr="00CD2EEF">
        <w:rPr>
          <w:lang w:val="en-GB"/>
        </w:rPr>
        <w:t>s financial portfolio in securities (the book value) amounted to EUR 220,858,564, EUR 8,623,086 more than in 2020.</w:t>
      </w:r>
      <w:r w:rsidRPr="00CD2EEF">
        <w:rPr>
          <w:rStyle w:val="LPnadpisano"/>
          <w:rFonts w:eastAsiaTheme="majorEastAsia"/>
          <w:lang w:val="en-GB"/>
        </w:rPr>
        <w:footnoteReference w:id="3"/>
      </w:r>
      <w:r w:rsidRPr="00CD2EEF">
        <w:rPr>
          <w:lang w:val="en-GB"/>
        </w:rPr>
        <w:t xml:space="preserve"> Considering that the unallocated funds in the bank account amounted to EUR 2,826 accrued interest to EUR 36,444, and interest purchased and claims to dividends to EUR 1,183,913, the Fund</w:t>
      </w:r>
      <w:r w:rsidR="00F21D56">
        <w:rPr>
          <w:lang w:val="en-GB"/>
        </w:rPr>
        <w:t>’</w:t>
      </w:r>
      <w:r w:rsidRPr="00CD2EEF">
        <w:rPr>
          <w:lang w:val="en-GB"/>
        </w:rPr>
        <w:t>s portfolio as of 31 December 2021 amounted to EUR 222,081,747.</w:t>
      </w:r>
    </w:p>
    <w:p w14:paraId="36A562BF" w14:textId="34AF2A1F" w:rsidR="00FA3624" w:rsidRPr="00CD2EEF" w:rsidRDefault="00FA3624" w:rsidP="0047170F">
      <w:pPr>
        <w:pStyle w:val="LPnavaden"/>
        <w:rPr>
          <w:lang w:val="en-GB"/>
        </w:rPr>
      </w:pPr>
      <w:r w:rsidRPr="00CD2EEF">
        <w:rPr>
          <w:lang w:val="en-GB"/>
        </w:rPr>
        <w:t xml:space="preserve">On 14 July 2020, the Interstate Commission confirmed the third revision of the Programme for the Decommissioning of </w:t>
      </w:r>
      <w:r w:rsidR="001B146F">
        <w:rPr>
          <w:lang w:val="en-GB"/>
        </w:rPr>
        <w:t>the Krško NPP</w:t>
      </w:r>
      <w:r w:rsidRPr="00CD2EEF">
        <w:rPr>
          <w:lang w:val="en-GB"/>
        </w:rPr>
        <w:t xml:space="preserve"> and the third revision of the Programme for the Disposal of LILW and High-Level Waste of </w:t>
      </w:r>
      <w:r w:rsidR="001B146F">
        <w:rPr>
          <w:lang w:val="en-GB"/>
        </w:rPr>
        <w:t>the Krško NPP</w:t>
      </w:r>
      <w:r w:rsidRPr="00CD2EEF">
        <w:rPr>
          <w:lang w:val="en-GB"/>
        </w:rPr>
        <w:t xml:space="preserve">. Based on both programmes, on 23 July 2020, the Government of the Republic of Slovenia adopted the decision that the company GEN Energija, d.o.o., has to contribute EUR 0.0048 to the Fund for each kWh of electricity generated at </w:t>
      </w:r>
      <w:r w:rsidR="001B146F">
        <w:rPr>
          <w:lang w:val="en-GB"/>
        </w:rPr>
        <w:t>the Krško NPP</w:t>
      </w:r>
      <w:r w:rsidRPr="00CD2EEF">
        <w:rPr>
          <w:lang w:val="en-GB"/>
        </w:rPr>
        <w:t xml:space="preserve">, starting from 1 August 2020. </w:t>
      </w:r>
    </w:p>
    <w:p w14:paraId="01CA0A3D" w14:textId="2A094141" w:rsidR="00FA3624" w:rsidRPr="00CD2EEF" w:rsidRDefault="00FA3624" w:rsidP="0047170F">
      <w:pPr>
        <w:pStyle w:val="LPnavaden"/>
        <w:rPr>
          <w:lang w:val="en-GB"/>
        </w:rPr>
      </w:pPr>
      <w:r w:rsidRPr="00CD2EEF">
        <w:rPr>
          <w:lang w:val="en-GB"/>
        </w:rPr>
        <w:t>In 2021, GEN energija, d.o.o.</w:t>
      </w:r>
      <w:r w:rsidR="002A67E5">
        <w:rPr>
          <w:lang w:val="en-GB"/>
        </w:rPr>
        <w:t>,</w:t>
      </w:r>
      <w:r w:rsidRPr="00CD2EEF">
        <w:rPr>
          <w:lang w:val="en-GB"/>
        </w:rPr>
        <w:t xml:space="preserve"> paid contributions for the decommissioning of </w:t>
      </w:r>
      <w:r w:rsidR="001B146F">
        <w:rPr>
          <w:lang w:val="en-GB"/>
        </w:rPr>
        <w:t>the Krško NPP</w:t>
      </w:r>
      <w:r w:rsidRPr="00CD2EEF">
        <w:rPr>
          <w:lang w:val="en-GB"/>
        </w:rPr>
        <w:t xml:space="preserve"> and the disposal of radioactive waste from </w:t>
      </w:r>
      <w:r w:rsidR="001B146F">
        <w:rPr>
          <w:lang w:val="en-GB"/>
        </w:rPr>
        <w:t>the Krško NPP</w:t>
      </w:r>
      <w:r w:rsidRPr="00CD2EEF">
        <w:rPr>
          <w:lang w:val="en-GB"/>
        </w:rPr>
        <w:t xml:space="preserve"> to the Fund in the amount of EUR 0.0048 per kWh of electrical energy produced in </w:t>
      </w:r>
      <w:r w:rsidR="001B146F">
        <w:rPr>
          <w:lang w:val="en-GB"/>
        </w:rPr>
        <w:t>the Krško NPP</w:t>
      </w:r>
      <w:r w:rsidRPr="00CD2EEF">
        <w:rPr>
          <w:lang w:val="en-GB"/>
        </w:rPr>
        <w:t xml:space="preserve"> and sold in Slovenia. </w:t>
      </w:r>
      <w:r w:rsidR="002A67E5">
        <w:rPr>
          <w:lang w:val="en-GB"/>
        </w:rPr>
        <w:t xml:space="preserve">The </w:t>
      </w:r>
      <w:r w:rsidRPr="00CD2EEF">
        <w:rPr>
          <w:lang w:val="en-GB"/>
        </w:rPr>
        <w:t>Slovenian and Croatian shareholders</w:t>
      </w:r>
      <w:r w:rsidR="008342C3">
        <w:rPr>
          <w:lang w:val="en-GB"/>
        </w:rPr>
        <w:t xml:space="preserve"> – </w:t>
      </w:r>
      <w:r w:rsidRPr="00CD2EEF">
        <w:rPr>
          <w:lang w:val="en-GB"/>
        </w:rPr>
        <w:t>GEN energija, d.o.o.</w:t>
      </w:r>
      <w:r w:rsidR="0058172A">
        <w:rPr>
          <w:lang w:val="en-GB"/>
        </w:rPr>
        <w:t>,</w:t>
      </w:r>
      <w:r w:rsidRPr="00CD2EEF">
        <w:rPr>
          <w:lang w:val="en-GB"/>
        </w:rPr>
        <w:t xml:space="preserve"> and Hrvatska elektroprivreda –</w:t>
      </w:r>
      <w:r w:rsidR="002A67E5">
        <w:rPr>
          <w:lang w:val="en-GB"/>
        </w:rPr>
        <w:t xml:space="preserve"> </w:t>
      </w:r>
      <w:r w:rsidRPr="00CD2EEF">
        <w:rPr>
          <w:lang w:val="en-GB"/>
        </w:rPr>
        <w:t xml:space="preserve">each </w:t>
      </w:r>
      <w:r w:rsidR="002A67E5">
        <w:rPr>
          <w:lang w:val="en-GB"/>
        </w:rPr>
        <w:t>take</w:t>
      </w:r>
      <w:r w:rsidR="002A67E5" w:rsidRPr="00CD2EEF">
        <w:rPr>
          <w:lang w:val="en-GB"/>
        </w:rPr>
        <w:t xml:space="preserve"> </w:t>
      </w:r>
      <w:r w:rsidRPr="00CD2EEF">
        <w:rPr>
          <w:lang w:val="en-GB"/>
        </w:rPr>
        <w:t xml:space="preserve">over </w:t>
      </w:r>
      <w:r w:rsidR="002A67E5">
        <w:rPr>
          <w:lang w:val="en-GB"/>
        </w:rPr>
        <w:t>one</w:t>
      </w:r>
      <w:r w:rsidR="002A67E5" w:rsidRPr="00CD2EEF">
        <w:rPr>
          <w:lang w:val="en-GB"/>
        </w:rPr>
        <w:t xml:space="preserve"> </w:t>
      </w:r>
      <w:r w:rsidRPr="00CD2EEF">
        <w:rPr>
          <w:lang w:val="en-GB"/>
        </w:rPr>
        <w:t xml:space="preserve">half of </w:t>
      </w:r>
      <w:r w:rsidR="002A67E5">
        <w:rPr>
          <w:lang w:val="en-GB"/>
        </w:rPr>
        <w:t xml:space="preserve">the </w:t>
      </w:r>
      <w:r w:rsidRPr="00CD2EEF">
        <w:rPr>
          <w:lang w:val="en-GB"/>
        </w:rPr>
        <w:t xml:space="preserve">electricity generated </w:t>
      </w:r>
      <w:r w:rsidR="002A67E5">
        <w:rPr>
          <w:lang w:val="en-GB"/>
        </w:rPr>
        <w:t>by</w:t>
      </w:r>
      <w:r w:rsidR="002A67E5" w:rsidRPr="00CD2EEF">
        <w:rPr>
          <w:lang w:val="en-GB"/>
        </w:rPr>
        <w:t xml:space="preserve"> </w:t>
      </w:r>
      <w:r w:rsidR="001B146F">
        <w:rPr>
          <w:lang w:val="en-GB"/>
        </w:rPr>
        <w:t>the Krško NPP</w:t>
      </w:r>
      <w:r w:rsidR="00713EB5">
        <w:rPr>
          <w:lang w:val="en-GB"/>
        </w:rPr>
        <w:t>;</w:t>
      </w:r>
      <w:r w:rsidRPr="00CD2EEF">
        <w:rPr>
          <w:lang w:val="en-GB"/>
        </w:rPr>
        <w:t xml:space="preserve"> therefore</w:t>
      </w:r>
      <w:r w:rsidR="00713EB5">
        <w:rPr>
          <w:lang w:val="en-GB"/>
        </w:rPr>
        <w:t>,</w:t>
      </w:r>
      <w:r w:rsidRPr="00CD2EEF">
        <w:rPr>
          <w:lang w:val="en-GB"/>
        </w:rPr>
        <w:t xml:space="preserve"> the calculation of </w:t>
      </w:r>
      <w:r w:rsidR="002A67E5">
        <w:rPr>
          <w:lang w:val="en-GB"/>
        </w:rPr>
        <w:t xml:space="preserve">the </w:t>
      </w:r>
      <w:r w:rsidRPr="00CD2EEF">
        <w:rPr>
          <w:lang w:val="en-GB"/>
        </w:rPr>
        <w:t xml:space="preserve">contributions is </w:t>
      </w:r>
      <w:r w:rsidR="003D51BF">
        <w:rPr>
          <w:lang w:val="en-GB"/>
        </w:rPr>
        <w:t>carried out</w:t>
      </w:r>
      <w:r w:rsidR="003D51BF" w:rsidRPr="00CD2EEF">
        <w:rPr>
          <w:lang w:val="en-GB"/>
        </w:rPr>
        <w:t xml:space="preserve"> </w:t>
      </w:r>
      <w:r w:rsidRPr="00CD2EEF">
        <w:rPr>
          <w:lang w:val="en-GB"/>
        </w:rPr>
        <w:t xml:space="preserve">based on </w:t>
      </w:r>
      <w:r w:rsidR="00405D81">
        <w:rPr>
          <w:lang w:val="en-GB"/>
        </w:rPr>
        <w:t>calculating</w:t>
      </w:r>
      <w:r w:rsidR="00405D81" w:rsidRPr="00CD2EEF">
        <w:rPr>
          <w:lang w:val="en-GB"/>
        </w:rPr>
        <w:t xml:space="preserve"> </w:t>
      </w:r>
      <w:r w:rsidRPr="00CD2EEF">
        <w:rPr>
          <w:lang w:val="en-GB"/>
        </w:rPr>
        <w:t xml:space="preserve">half of </w:t>
      </w:r>
      <w:r w:rsidR="00405D81">
        <w:rPr>
          <w:lang w:val="en-GB"/>
        </w:rPr>
        <w:t xml:space="preserve">the </w:t>
      </w:r>
      <w:r w:rsidRPr="00CD2EEF">
        <w:rPr>
          <w:lang w:val="en-GB"/>
        </w:rPr>
        <w:t xml:space="preserve">electricity generated </w:t>
      </w:r>
      <w:r w:rsidR="00405D81">
        <w:rPr>
          <w:lang w:val="en-GB"/>
        </w:rPr>
        <w:t>by</w:t>
      </w:r>
      <w:r w:rsidR="00405D81" w:rsidRPr="00CD2EEF">
        <w:rPr>
          <w:lang w:val="en-GB"/>
        </w:rPr>
        <w:t xml:space="preserve"> </w:t>
      </w:r>
      <w:r w:rsidR="001B146F">
        <w:rPr>
          <w:lang w:val="en-GB"/>
        </w:rPr>
        <w:t>the Krško NPP</w:t>
      </w:r>
      <w:r w:rsidRPr="00CD2EEF">
        <w:rPr>
          <w:rStyle w:val="LPnadpisano"/>
          <w:lang w:val="en-GB"/>
        </w:rPr>
        <w:footnoteReference w:id="4"/>
      </w:r>
      <w:r w:rsidRPr="00CD2EEF">
        <w:rPr>
          <w:lang w:val="en-GB"/>
        </w:rPr>
        <w:t>.</w:t>
      </w:r>
    </w:p>
    <w:p w14:paraId="3EF77943" w14:textId="21A21BF4" w:rsidR="00FA3624" w:rsidRPr="00CD2EEF" w:rsidRDefault="00FA3624" w:rsidP="0047170F">
      <w:pPr>
        <w:pStyle w:val="LPnavaden"/>
        <w:rPr>
          <w:lang w:val="en-GB"/>
        </w:rPr>
      </w:pPr>
      <w:r w:rsidRPr="00CD2EEF">
        <w:rPr>
          <w:lang w:val="en-GB"/>
        </w:rPr>
        <w:t xml:space="preserve">In 2021, the company GEN energija, d.o.o., paid a total of EUR 12.9 million for its decommissioning contributions into the Fund, thereby fully settling all of its liabilities to the Fund deriving from decommissioning contributions and within the agreed deadlines. From 1995 to 2021, the Fund received a total of EUR 226.7 million from </w:t>
      </w:r>
      <w:r w:rsidR="001B146F">
        <w:rPr>
          <w:lang w:val="en-GB"/>
        </w:rPr>
        <w:t>the Krško NPP</w:t>
      </w:r>
      <w:r w:rsidRPr="00CD2EEF">
        <w:rPr>
          <w:rStyle w:val="LPnadpisano"/>
          <w:lang w:val="en-GB"/>
        </w:rPr>
        <w:footnoteReference w:id="5"/>
      </w:r>
      <w:r w:rsidRPr="00CD2EEF">
        <w:rPr>
          <w:rStyle w:val="LPnadpisano"/>
          <w:lang w:val="en-GB"/>
        </w:rPr>
        <w:t xml:space="preserve"> </w:t>
      </w:r>
      <w:r w:rsidRPr="00CD2EEF">
        <w:rPr>
          <w:lang w:val="en-GB"/>
        </w:rPr>
        <w:t>and GEN energija, d.o.o.</w:t>
      </w:r>
    </w:p>
    <w:p w14:paraId="36F3D489" w14:textId="1175BA7C" w:rsidR="00FA3624" w:rsidRPr="00CD2EEF" w:rsidRDefault="00FA3624" w:rsidP="0047170F">
      <w:pPr>
        <w:pStyle w:val="LPnavaden"/>
        <w:rPr>
          <w:lang w:val="en-GB"/>
        </w:rPr>
      </w:pPr>
      <w:r w:rsidRPr="00CD2EEF">
        <w:rPr>
          <w:lang w:val="en-GB"/>
        </w:rPr>
        <w:t xml:space="preserve">Payment contributions in </w:t>
      </w:r>
      <w:r w:rsidR="000A13BD">
        <w:rPr>
          <w:lang w:val="en-GB"/>
        </w:rPr>
        <w:t xml:space="preserve">the </w:t>
      </w:r>
      <w:r w:rsidRPr="00CD2EEF">
        <w:rPr>
          <w:lang w:val="en-GB"/>
        </w:rPr>
        <w:t>preceding years:</w:t>
      </w:r>
    </w:p>
    <w:p w14:paraId="432D6A67" w14:textId="77777777" w:rsidR="00FA3624" w:rsidRPr="00CD2EEF" w:rsidRDefault="00FA3624" w:rsidP="0047170F">
      <w:pPr>
        <w:pStyle w:val="LPalineje"/>
        <w:rPr>
          <w:lang w:val="en-GB"/>
        </w:rPr>
      </w:pPr>
      <w:r w:rsidRPr="00CD2EEF">
        <w:rPr>
          <w:lang w:val="en-GB"/>
        </w:rPr>
        <w:t>in 2020: EUR 10.9 million; average contribution EUR 3.6 per MWh (until September the contribution was EUR 3.0 per MWh, afterwards EUR 4.8 per MWh),</w:t>
      </w:r>
    </w:p>
    <w:p w14:paraId="4057DB11" w14:textId="77777777" w:rsidR="00FA3624" w:rsidRPr="00CD2EEF" w:rsidRDefault="00FA3624" w:rsidP="0047170F">
      <w:pPr>
        <w:pStyle w:val="LPalineje"/>
        <w:rPr>
          <w:lang w:val="en-GB"/>
        </w:rPr>
      </w:pPr>
      <w:r w:rsidRPr="00CD2EEF">
        <w:rPr>
          <w:lang w:val="en-GB"/>
        </w:rPr>
        <w:t>in 2021: EUR 12.9 million; contribution: EUR 4.8 per MWh,</w:t>
      </w:r>
    </w:p>
    <w:p w14:paraId="057BF95D" w14:textId="369362C8" w:rsidR="00FA3624" w:rsidRPr="00CD2EEF" w:rsidRDefault="00FA3624" w:rsidP="0047170F">
      <w:pPr>
        <w:pStyle w:val="LPalineje"/>
        <w:rPr>
          <w:lang w:val="en-GB"/>
        </w:rPr>
      </w:pPr>
      <w:r w:rsidRPr="00CD2EEF">
        <w:rPr>
          <w:lang w:val="en-GB"/>
        </w:rPr>
        <w:lastRenderedPageBreak/>
        <w:t>in the period 1995</w:t>
      </w:r>
      <w:r w:rsidR="00AD02E0">
        <w:rPr>
          <w:lang w:val="en-GB"/>
        </w:rPr>
        <w:t>–20</w:t>
      </w:r>
      <w:r w:rsidRPr="00CD2EEF">
        <w:rPr>
          <w:lang w:val="en-GB"/>
        </w:rPr>
        <w:t>21: EUR 226.7 million (</w:t>
      </w:r>
      <w:r w:rsidR="009F41EF">
        <w:rPr>
          <w:lang w:val="en-GB"/>
        </w:rPr>
        <w:t>on</w:t>
      </w:r>
      <w:r w:rsidR="009F41EF" w:rsidRPr="00CD2EEF">
        <w:rPr>
          <w:lang w:val="en-GB"/>
        </w:rPr>
        <w:t xml:space="preserve"> </w:t>
      </w:r>
      <w:r w:rsidRPr="00CD2EEF">
        <w:rPr>
          <w:lang w:val="en-GB"/>
        </w:rPr>
        <w:t>average EUR 8.4 million per year).</w:t>
      </w:r>
    </w:p>
    <w:p w14:paraId="001A24A1" w14:textId="4F41691F" w:rsidR="00FA3624" w:rsidRPr="00CD2EEF" w:rsidRDefault="00FA3624" w:rsidP="0047170F">
      <w:pPr>
        <w:pStyle w:val="LPnaslovkrepko"/>
        <w:rPr>
          <w:lang w:val="en-GB"/>
        </w:rPr>
      </w:pPr>
      <w:r w:rsidRPr="00CD2EEF">
        <w:rPr>
          <w:lang w:val="en-GB"/>
        </w:rPr>
        <w:t>Financing of the ARAO</w:t>
      </w:r>
      <w:r w:rsidR="00F21D56">
        <w:rPr>
          <w:lang w:val="en-GB"/>
        </w:rPr>
        <w:t>’</w:t>
      </w:r>
      <w:r w:rsidRPr="00CD2EEF">
        <w:rPr>
          <w:lang w:val="en-GB"/>
        </w:rPr>
        <w:t>s activities</w:t>
      </w:r>
    </w:p>
    <w:p w14:paraId="05FBDEAD" w14:textId="45EC2697" w:rsidR="00FA3624" w:rsidRPr="00CD2EEF" w:rsidRDefault="00FA3624" w:rsidP="0047170F">
      <w:pPr>
        <w:pStyle w:val="LPnavaden"/>
        <w:rPr>
          <w:lang w:val="en-GB"/>
        </w:rPr>
      </w:pPr>
      <w:r w:rsidRPr="00CD2EEF">
        <w:rPr>
          <w:lang w:val="en-GB"/>
        </w:rPr>
        <w:t>The Fund co-</w:t>
      </w:r>
      <w:r w:rsidR="009F41EF" w:rsidRPr="00CD2EEF">
        <w:rPr>
          <w:lang w:val="en-GB"/>
        </w:rPr>
        <w:t>financ</w:t>
      </w:r>
      <w:r w:rsidR="009F41EF">
        <w:rPr>
          <w:lang w:val="en-GB"/>
        </w:rPr>
        <w:t>es</w:t>
      </w:r>
      <w:r w:rsidR="009F41EF" w:rsidRPr="00CD2EEF">
        <w:rPr>
          <w:lang w:val="en-GB"/>
        </w:rPr>
        <w:t xml:space="preserve"> </w:t>
      </w:r>
      <w:r w:rsidRPr="00CD2EEF">
        <w:rPr>
          <w:lang w:val="en-GB"/>
        </w:rPr>
        <w:t>the ARAO</w:t>
      </w:r>
      <w:r w:rsidR="00F21D56">
        <w:rPr>
          <w:lang w:val="en-GB"/>
        </w:rPr>
        <w:t>’</w:t>
      </w:r>
      <w:r w:rsidRPr="00CD2EEF">
        <w:rPr>
          <w:lang w:val="en-GB"/>
        </w:rPr>
        <w:t xml:space="preserve">s activities based on the provisions of the Act on the Fund for Financing the Decommissioning of </w:t>
      </w:r>
      <w:r w:rsidR="001B146F">
        <w:rPr>
          <w:lang w:val="en-GB"/>
        </w:rPr>
        <w:t>the Krško NPP</w:t>
      </w:r>
      <w:r w:rsidRPr="00CD2EEF">
        <w:rPr>
          <w:lang w:val="en-GB"/>
        </w:rPr>
        <w:t xml:space="preserve"> and the Disposal of Radioactive Waste from </w:t>
      </w:r>
      <w:r w:rsidR="001B146F">
        <w:rPr>
          <w:lang w:val="en-GB"/>
        </w:rPr>
        <w:t>the Krško NPP</w:t>
      </w:r>
      <w:r w:rsidRPr="00CD2EEF">
        <w:rPr>
          <w:lang w:val="en-GB"/>
        </w:rPr>
        <w:t>. The ARAO</w:t>
      </w:r>
      <w:r w:rsidR="00F21D56">
        <w:rPr>
          <w:lang w:val="en-GB"/>
        </w:rPr>
        <w:t>’</w:t>
      </w:r>
      <w:r w:rsidRPr="00CD2EEF">
        <w:rPr>
          <w:lang w:val="en-GB"/>
        </w:rPr>
        <w:t>s activities are based on the ARAO</w:t>
      </w:r>
      <w:r w:rsidR="00F21D56">
        <w:rPr>
          <w:lang w:val="en-GB"/>
        </w:rPr>
        <w:t>’</w:t>
      </w:r>
      <w:r w:rsidRPr="00CD2EEF">
        <w:rPr>
          <w:lang w:val="en-GB"/>
        </w:rPr>
        <w:t xml:space="preserve">s Working Programme, which is accepted by the ARAO Management Board and </w:t>
      </w:r>
      <w:r w:rsidR="00572EC7">
        <w:rPr>
          <w:lang w:val="en-GB"/>
        </w:rPr>
        <w:t>subsequently</w:t>
      </w:r>
      <w:r w:rsidRPr="00CD2EEF">
        <w:rPr>
          <w:lang w:val="en-GB"/>
        </w:rPr>
        <w:t xml:space="preserve"> confirmed by the Government of the Republic of Slovenia. Payments are mostly related to activities </w:t>
      </w:r>
      <w:r w:rsidR="00572EC7">
        <w:rPr>
          <w:lang w:val="en-GB"/>
        </w:rPr>
        <w:t>for</w:t>
      </w:r>
      <w:r w:rsidR="00572EC7" w:rsidRPr="00CD2EEF">
        <w:rPr>
          <w:lang w:val="en-GB"/>
        </w:rPr>
        <w:t xml:space="preserve"> </w:t>
      </w:r>
      <w:r w:rsidRPr="00CD2EEF">
        <w:rPr>
          <w:lang w:val="en-GB"/>
        </w:rPr>
        <w:t>a planned repository for low and intermediate level radioactive waste, and in a small segment also to long-term strategies for</w:t>
      </w:r>
      <w:r w:rsidR="00572EC7">
        <w:rPr>
          <w:lang w:val="en-GB"/>
        </w:rPr>
        <w:t xml:space="preserve"> handling</w:t>
      </w:r>
      <w:r w:rsidRPr="00CD2EEF">
        <w:rPr>
          <w:lang w:val="en-GB"/>
        </w:rPr>
        <w:t xml:space="preserve"> radioactive waste and spent fuel management. </w:t>
      </w:r>
    </w:p>
    <w:p w14:paraId="2A9A5071" w14:textId="71E69D0A" w:rsidR="00FA3624" w:rsidRPr="00CD2EEF" w:rsidRDefault="00FA3624" w:rsidP="0047170F">
      <w:pPr>
        <w:pStyle w:val="LPnavaden"/>
        <w:rPr>
          <w:lang w:val="en-GB"/>
        </w:rPr>
      </w:pPr>
      <w:r w:rsidRPr="00CD2EEF">
        <w:rPr>
          <w:lang w:val="en-GB"/>
        </w:rPr>
        <w:t xml:space="preserve">In 2021, the Fund paid a total of EUR 2.3 million </w:t>
      </w:r>
      <w:r w:rsidR="00B63D5E">
        <w:rPr>
          <w:lang w:val="en-GB"/>
        </w:rPr>
        <w:t>for</w:t>
      </w:r>
      <w:r w:rsidR="00B63D5E" w:rsidRPr="00CD2EEF">
        <w:rPr>
          <w:lang w:val="en-GB"/>
        </w:rPr>
        <w:t xml:space="preserve"> </w:t>
      </w:r>
      <w:r w:rsidRPr="00CD2EEF">
        <w:rPr>
          <w:lang w:val="en-GB"/>
        </w:rPr>
        <w:t>the ARAO</w:t>
      </w:r>
      <w:r w:rsidR="00F21D56">
        <w:rPr>
          <w:lang w:val="en-GB"/>
        </w:rPr>
        <w:t>’</w:t>
      </w:r>
      <w:r w:rsidRPr="00CD2EEF">
        <w:rPr>
          <w:lang w:val="en-GB"/>
        </w:rPr>
        <w:t>s activities. From 1998 until the end of 2021, the Fund paid a total of EUR 48.5 million to the ARAO for activities implemented by the ARAO. This amount includes compensation totalling EUR 14.9 million, which was paid by the ARAO to the local Municipality of Krško. The reali</w:t>
      </w:r>
      <w:r w:rsidR="00E9756B">
        <w:rPr>
          <w:lang w:val="en-GB"/>
        </w:rPr>
        <w:t>sation</w:t>
      </w:r>
      <w:r w:rsidRPr="00CD2EEF">
        <w:rPr>
          <w:lang w:val="en-GB"/>
        </w:rPr>
        <w:t xml:space="preserve"> of payments to the ARAO in 2021 was only 14.12% </w:t>
      </w:r>
      <w:r w:rsidRPr="00993017">
        <w:rPr>
          <w:lang w:val="en-GB"/>
        </w:rPr>
        <w:t xml:space="preserve">of </w:t>
      </w:r>
      <w:r w:rsidR="00993017" w:rsidRPr="00F36E29">
        <w:rPr>
          <w:lang w:val="en-GB"/>
        </w:rPr>
        <w:t>that</w:t>
      </w:r>
      <w:r w:rsidR="00993017" w:rsidRPr="00993017">
        <w:rPr>
          <w:lang w:val="en-GB"/>
        </w:rPr>
        <w:t xml:space="preserve"> </w:t>
      </w:r>
      <w:r w:rsidRPr="00993017">
        <w:rPr>
          <w:lang w:val="en-GB"/>
        </w:rPr>
        <w:t>planned.</w:t>
      </w:r>
      <w:r w:rsidRPr="00CD2EEF">
        <w:rPr>
          <w:lang w:val="en-GB"/>
        </w:rPr>
        <w:t xml:space="preserve"> The ARAO planned to start </w:t>
      </w:r>
      <w:r w:rsidR="001F4B18">
        <w:rPr>
          <w:lang w:val="en-GB"/>
        </w:rPr>
        <w:t>the</w:t>
      </w:r>
      <w:r w:rsidRPr="00CD2EEF">
        <w:rPr>
          <w:lang w:val="en-GB"/>
        </w:rPr>
        <w:t xml:space="preserve"> construction of the repository for low and intermediate level radioactive waste in Vrbina, but despite the efforts of all contracting parties, the construction of the facility did not start in 2021.</w:t>
      </w:r>
    </w:p>
    <w:p w14:paraId="7D0CCCBC" w14:textId="6822F8A0" w:rsidR="00FA3624" w:rsidRPr="00CD2EEF" w:rsidRDefault="00E87B6A" w:rsidP="0047170F">
      <w:pPr>
        <w:pStyle w:val="LPnaslovkrepko"/>
        <w:rPr>
          <w:lang w:val="en-GB"/>
        </w:rPr>
      </w:pPr>
      <w:r>
        <w:rPr>
          <w:lang w:val="en-GB"/>
        </w:rPr>
        <w:t>C</w:t>
      </w:r>
      <w:r w:rsidR="00FA3624" w:rsidRPr="00CD2EEF">
        <w:rPr>
          <w:lang w:val="en-GB"/>
        </w:rPr>
        <w:t xml:space="preserve">ompensation for the limited use of land in the nuclear facility area </w:t>
      </w:r>
    </w:p>
    <w:p w14:paraId="6F173F78" w14:textId="6F48C78B" w:rsidR="00FA3624" w:rsidRPr="00CD2EEF" w:rsidRDefault="00FA3624" w:rsidP="0047170F">
      <w:pPr>
        <w:pStyle w:val="LPnavaden"/>
        <w:rPr>
          <w:lang w:val="en-GB"/>
        </w:rPr>
      </w:pPr>
      <w:r w:rsidRPr="00CD2EEF">
        <w:rPr>
          <w:lang w:val="en-GB"/>
        </w:rPr>
        <w:t xml:space="preserve">Since 2004, the Fund </w:t>
      </w:r>
      <w:r w:rsidR="001F4B18">
        <w:rPr>
          <w:lang w:val="en-GB"/>
        </w:rPr>
        <w:t>has been</w:t>
      </w:r>
      <w:r w:rsidR="001F4B18" w:rsidRPr="00CD2EEF">
        <w:rPr>
          <w:lang w:val="en-GB"/>
        </w:rPr>
        <w:t xml:space="preserve"> </w:t>
      </w:r>
      <w:r w:rsidRPr="00CD2EEF">
        <w:rPr>
          <w:lang w:val="en-GB"/>
        </w:rPr>
        <w:t xml:space="preserve">liable for the payment of compensation for the limited use of land in the nuclear facility area to some of the local communities. Based on the amended legislation, which entered into force in 2015, the Fund is obliged to pay compensation for the limited use of land just to the Municipality of Krško. Before 2015, it was obliged to pay compensation also to </w:t>
      </w:r>
      <w:r w:rsidR="001F4B18">
        <w:rPr>
          <w:lang w:val="en-GB"/>
        </w:rPr>
        <w:t xml:space="preserve">the </w:t>
      </w:r>
      <w:r w:rsidRPr="00CD2EEF">
        <w:rPr>
          <w:lang w:val="en-GB"/>
        </w:rPr>
        <w:t>Municipalities of Kostanjevica na Krki, Brežice, Sevnica</w:t>
      </w:r>
      <w:r w:rsidR="001F4B18">
        <w:rPr>
          <w:lang w:val="en-GB"/>
        </w:rPr>
        <w:t>,</w:t>
      </w:r>
      <w:r w:rsidRPr="00CD2EEF">
        <w:rPr>
          <w:lang w:val="en-GB"/>
        </w:rPr>
        <w:t xml:space="preserve"> and Kozje.</w:t>
      </w:r>
    </w:p>
    <w:p w14:paraId="69EAC7DE" w14:textId="77777777" w:rsidR="00FA3624" w:rsidRPr="00CD2EEF" w:rsidRDefault="00FA3624" w:rsidP="0047170F">
      <w:pPr>
        <w:pStyle w:val="LPnavaden"/>
        <w:rPr>
          <w:lang w:val="en-GB"/>
        </w:rPr>
      </w:pPr>
      <w:r w:rsidRPr="00CD2EEF">
        <w:rPr>
          <w:lang w:val="en-GB"/>
        </w:rPr>
        <w:t>In 2021, the Fund paid EUR 5.9 million to the Municipality Krško as compensation for the limited use of land in the nuclear facility area. Between 2004 and 2021, the Fund paid a total of EUR 67.4 million to the municipalities eligible for compensation.</w:t>
      </w:r>
    </w:p>
    <w:p w14:paraId="6F02716D" w14:textId="561C144F" w:rsidR="00FA3624" w:rsidRPr="00CD2EEF" w:rsidRDefault="00FA3624" w:rsidP="0047170F">
      <w:pPr>
        <w:pStyle w:val="LPnaslovkrepko"/>
        <w:rPr>
          <w:lang w:val="en-GB"/>
        </w:rPr>
      </w:pPr>
      <w:r w:rsidRPr="00CD2EEF">
        <w:rPr>
          <w:lang w:val="en-GB"/>
        </w:rPr>
        <w:t xml:space="preserve">Payments </w:t>
      </w:r>
      <w:r w:rsidR="00E87B6A">
        <w:rPr>
          <w:lang w:val="en-GB"/>
        </w:rPr>
        <w:t>to</w:t>
      </w:r>
      <w:r w:rsidR="00E87B6A" w:rsidRPr="00CD2EEF">
        <w:rPr>
          <w:lang w:val="en-GB"/>
        </w:rPr>
        <w:t xml:space="preserve"> </w:t>
      </w:r>
      <w:r w:rsidR="003F7670">
        <w:rPr>
          <w:lang w:val="en-GB"/>
        </w:rPr>
        <w:t xml:space="preserve">the </w:t>
      </w:r>
      <w:r w:rsidRPr="00CD2EEF">
        <w:rPr>
          <w:lang w:val="en-GB"/>
        </w:rPr>
        <w:t>ARAO and compensation for the limited use of land</w:t>
      </w:r>
    </w:p>
    <w:p w14:paraId="4BC66460" w14:textId="611197E8" w:rsidR="00FA3624" w:rsidRPr="00CD2EEF" w:rsidRDefault="00FA3624" w:rsidP="0047170F">
      <w:pPr>
        <w:pStyle w:val="LPnavaden"/>
        <w:rPr>
          <w:lang w:val="en-GB"/>
        </w:rPr>
      </w:pPr>
      <w:r w:rsidRPr="00CD2EEF">
        <w:rPr>
          <w:lang w:val="en-GB"/>
        </w:rPr>
        <w:t>In the period from 1995 to 2021, the total amount of transfers to municipalities and the ARAO amounted to EUR 115.9 million (the amounts paid to co-finance the activities of the ARAO and to municipalities as compensation for the limited use of land are not valorised). Payments made to the ARAO and municipalities account</w:t>
      </w:r>
      <w:r w:rsidR="001F4B18">
        <w:rPr>
          <w:lang w:val="en-GB"/>
        </w:rPr>
        <w:t>ed</w:t>
      </w:r>
      <w:r w:rsidRPr="00CD2EEF">
        <w:rPr>
          <w:lang w:val="en-GB"/>
        </w:rPr>
        <w:t xml:space="preserve"> for 52.49% of the Fund</w:t>
      </w:r>
      <w:r w:rsidR="00F21D56">
        <w:rPr>
          <w:lang w:val="en-GB"/>
        </w:rPr>
        <w:t>’</w:t>
      </w:r>
      <w:r w:rsidRPr="00CD2EEF">
        <w:rPr>
          <w:lang w:val="en-GB"/>
        </w:rPr>
        <w:t xml:space="preserve">s financial portfolio as of 31 December 2021, which amounted to EUR 220.9 million (book value). </w:t>
      </w:r>
      <w:hyperlink w:anchor="fig28" w:history="1">
        <w:r w:rsidRPr="00CD2EEF">
          <w:rPr>
            <w:rStyle w:val="Hiperpovezava"/>
            <w:lang w:val="en-GB"/>
          </w:rPr>
          <w:t>Figure 28</w:t>
        </w:r>
      </w:hyperlink>
      <w:r w:rsidRPr="00CD2EEF">
        <w:rPr>
          <w:lang w:val="en-GB"/>
        </w:rPr>
        <w:t xml:space="preserve"> shows the sum of the book value of the financial portfolio and compensations paid in the period from 1995 to 2021.</w:t>
      </w:r>
    </w:p>
    <w:p w14:paraId="1505816E" w14:textId="77777777" w:rsidR="00FA3624" w:rsidRPr="00CD2EEF" w:rsidRDefault="00FA3624" w:rsidP="0047170F">
      <w:pPr>
        <w:pStyle w:val="LPnavaden"/>
        <w:rPr>
          <w:lang w:val="en-GB"/>
        </w:rPr>
      </w:pPr>
      <w:bookmarkStart w:id="357" w:name="fig28"/>
      <w:bookmarkStart w:id="358" w:name="_Toc106628930"/>
      <w:r w:rsidRPr="00CD2EEF">
        <w:rPr>
          <w:noProof/>
          <w:lang w:val="en-GB"/>
        </w:rPr>
        <w:lastRenderedPageBreak/>
        <w:drawing>
          <wp:inline distT="0" distB="0" distL="0" distR="0" wp14:anchorId="0FFC6E12" wp14:editId="0BE474FD">
            <wp:extent cx="5760720" cy="3032125"/>
            <wp:effectExtent l="0" t="0" r="0" b="0"/>
            <wp:docPr id="55" name="Grafikon 55" descr="graphical introduction of Fund's assets since 1995">
              <a:extLst xmlns:a="http://schemas.openxmlformats.org/drawingml/2006/main">
                <a:ext uri="{FF2B5EF4-FFF2-40B4-BE49-F238E27FC236}">
                  <a16:creationId xmlns:a16="http://schemas.microsoft.com/office/drawing/2014/main" id="{85A3C69A-5EC2-4092-88A9-F2E27483B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43288A" w14:textId="7AFD7D2A" w:rsidR="00FA3624" w:rsidRPr="00CD2EEF" w:rsidRDefault="00BE0188" w:rsidP="00BE0188">
      <w:pPr>
        <w:pStyle w:val="LPnaslovslika"/>
        <w:rPr>
          <w:lang w:val="en-GB" w:eastAsia="sl-SI"/>
        </w:rPr>
      </w:pPr>
      <w:bookmarkStart w:id="359" w:name="_Toc106629105"/>
      <w:bookmarkStart w:id="360" w:name="_Toc126309907"/>
      <w:bookmarkEnd w:id="357"/>
      <w:r w:rsidRPr="00CD2EEF">
        <w:rPr>
          <w:lang w:val="en-GB"/>
        </w:rPr>
        <w:t xml:space="preserve">Figure </w:t>
      </w:r>
      <w:r w:rsidR="00366B6D" w:rsidRPr="00CD2EEF">
        <w:rPr>
          <w:lang w:val="en-GB"/>
        </w:rPr>
        <w:fldChar w:fldCharType="begin"/>
      </w:r>
      <w:r w:rsidR="00366B6D" w:rsidRPr="00CD2EEF">
        <w:rPr>
          <w:lang w:val="en-GB"/>
        </w:rPr>
        <w:instrText xml:space="preserve"> SEQ Figure \* ARABIC </w:instrText>
      </w:r>
      <w:r w:rsidR="00366B6D" w:rsidRPr="00CD2EEF">
        <w:rPr>
          <w:lang w:val="en-GB"/>
        </w:rPr>
        <w:fldChar w:fldCharType="separate"/>
      </w:r>
      <w:r w:rsidRPr="00CD2EEF">
        <w:rPr>
          <w:lang w:val="en-GB"/>
        </w:rPr>
        <w:t>28</w:t>
      </w:r>
      <w:r w:rsidR="00366B6D" w:rsidRPr="00CD2EEF">
        <w:rPr>
          <w:lang w:val="en-GB"/>
        </w:rPr>
        <w:fldChar w:fldCharType="end"/>
      </w:r>
      <w:r w:rsidR="00FA3624" w:rsidRPr="00CD2EEF">
        <w:rPr>
          <w:rFonts w:eastAsiaTheme="minorHAnsi"/>
          <w:lang w:val="en-GB"/>
        </w:rPr>
        <w:t xml:space="preserve">: </w:t>
      </w:r>
      <w:bookmarkEnd w:id="358"/>
      <w:bookmarkEnd w:id="359"/>
      <w:r w:rsidR="00FA3624" w:rsidRPr="00CD2EEF">
        <w:rPr>
          <w:rFonts w:eastAsiaTheme="minorHAnsi"/>
          <w:lang w:val="en-GB"/>
        </w:rPr>
        <w:t>Presentation of the Fund</w:t>
      </w:r>
      <w:r w:rsidR="00F21D56">
        <w:rPr>
          <w:rFonts w:eastAsiaTheme="minorHAnsi"/>
          <w:lang w:val="en-GB"/>
        </w:rPr>
        <w:t>’</w:t>
      </w:r>
      <w:r w:rsidR="00FA3624" w:rsidRPr="00CD2EEF">
        <w:rPr>
          <w:rFonts w:eastAsiaTheme="minorHAnsi"/>
          <w:lang w:val="en-GB"/>
        </w:rPr>
        <w:t>s assets as of 31 December 2021 in EUR million</w:t>
      </w:r>
      <w:bookmarkEnd w:id="360"/>
    </w:p>
    <w:p w14:paraId="1E76E5DD" w14:textId="7365AB8D" w:rsidR="00FA3624" w:rsidRPr="00CD2EEF" w:rsidRDefault="00FA3624" w:rsidP="00C85F69">
      <w:pPr>
        <w:pStyle w:val="LPNaslov3"/>
        <w:rPr>
          <w:lang w:val="en-GB"/>
        </w:rPr>
      </w:pPr>
      <w:bookmarkStart w:id="361" w:name="_Toc126312028"/>
      <w:r w:rsidRPr="00CD2EEF">
        <w:rPr>
          <w:lang w:val="en-GB"/>
        </w:rPr>
        <w:t xml:space="preserve">Investments and </w:t>
      </w:r>
      <w:r w:rsidR="00717416">
        <w:rPr>
          <w:lang w:val="en-GB"/>
        </w:rPr>
        <w:t>B</w:t>
      </w:r>
      <w:r w:rsidRPr="00CD2EEF">
        <w:rPr>
          <w:lang w:val="en-GB"/>
        </w:rPr>
        <w:t xml:space="preserve">usiness </w:t>
      </w:r>
      <w:r w:rsidR="00980AEC">
        <w:rPr>
          <w:lang w:val="en-GB"/>
        </w:rPr>
        <w:t>O</w:t>
      </w:r>
      <w:r w:rsidRPr="00CD2EEF">
        <w:rPr>
          <w:lang w:val="en-GB"/>
        </w:rPr>
        <w:t>perations in 2021</w:t>
      </w:r>
      <w:bookmarkEnd w:id="361"/>
    </w:p>
    <w:p w14:paraId="525D1DCF" w14:textId="5BF0CA11" w:rsidR="00FA3624" w:rsidRPr="00CD2EEF" w:rsidRDefault="00FA3624" w:rsidP="0047170F">
      <w:pPr>
        <w:pStyle w:val="LPnavaden"/>
        <w:rPr>
          <w:lang w:val="en-GB"/>
        </w:rPr>
      </w:pPr>
      <w:r w:rsidRPr="00CD2EEF">
        <w:rPr>
          <w:lang w:val="en-GB"/>
        </w:rPr>
        <w:t>The Fund is defined as a conservative fund, whose financial portfolio consists of safe investments. At the end of the year, the financial portfolio consisted of more than 140 different investments in securities dispersed under individual asset classes, credit grades, regions, sectors and maturities, taking into account that only the bond of the Republic of Slovenia with maturity date in 2030, as an individual investment, exceed</w:t>
      </w:r>
      <w:r w:rsidR="00BD1A53">
        <w:rPr>
          <w:lang w:val="en-GB"/>
        </w:rPr>
        <w:t>ed</w:t>
      </w:r>
      <w:r w:rsidRPr="00CD2EEF">
        <w:rPr>
          <w:lang w:val="en-GB"/>
        </w:rPr>
        <w:t xml:space="preserve"> 2% of the portfolio</w:t>
      </w:r>
      <w:r w:rsidR="00F21D56">
        <w:rPr>
          <w:lang w:val="en-GB"/>
        </w:rPr>
        <w:t>’</w:t>
      </w:r>
      <w:r w:rsidRPr="00CD2EEF">
        <w:rPr>
          <w:lang w:val="en-GB"/>
        </w:rPr>
        <w:t xml:space="preserve">s value, </w:t>
      </w:r>
      <w:r w:rsidRPr="00F36E29">
        <w:rPr>
          <w:lang w:val="en-GB"/>
        </w:rPr>
        <w:t xml:space="preserve">whereas </w:t>
      </w:r>
      <w:r w:rsidR="00BD1A53" w:rsidRPr="00F36E29">
        <w:rPr>
          <w:lang w:val="en-GB"/>
        </w:rPr>
        <w:t xml:space="preserve">the </w:t>
      </w:r>
      <w:r w:rsidRPr="00F36E29">
        <w:rPr>
          <w:lang w:val="en-GB"/>
        </w:rPr>
        <w:t xml:space="preserve">ten </w:t>
      </w:r>
      <w:r w:rsidR="00F36E29" w:rsidRPr="00F36E29">
        <w:rPr>
          <w:lang w:val="en-GB"/>
        </w:rPr>
        <w:t xml:space="preserve">largest </w:t>
      </w:r>
      <w:r w:rsidR="00BD1A53" w:rsidRPr="00F36E29">
        <w:rPr>
          <w:lang w:val="en-GB"/>
        </w:rPr>
        <w:t xml:space="preserve">investments of the </w:t>
      </w:r>
      <w:r w:rsidRPr="00F36E29">
        <w:rPr>
          <w:lang w:val="en-GB"/>
        </w:rPr>
        <w:t xml:space="preserve">Fund </w:t>
      </w:r>
      <w:r w:rsidR="00BD1A53" w:rsidRPr="00F36E29">
        <w:rPr>
          <w:lang w:val="en-GB"/>
        </w:rPr>
        <w:t>re</w:t>
      </w:r>
      <w:r w:rsidRPr="00F36E29">
        <w:rPr>
          <w:lang w:val="en-GB"/>
        </w:rPr>
        <w:t>presented only 14.37% of the portfolio</w:t>
      </w:r>
      <w:r w:rsidR="00F21D56" w:rsidRPr="00F36E29">
        <w:rPr>
          <w:lang w:val="en-GB"/>
        </w:rPr>
        <w:t>’</w:t>
      </w:r>
      <w:r w:rsidRPr="00F36E29">
        <w:rPr>
          <w:lang w:val="en-GB"/>
        </w:rPr>
        <w:t>s value. In 202</w:t>
      </w:r>
      <w:r w:rsidRPr="00CD2EEF">
        <w:rPr>
          <w:lang w:val="en-GB"/>
        </w:rPr>
        <w:t xml:space="preserve">1, all investment activities were carried out in compliance with the Investment </w:t>
      </w:r>
      <w:r w:rsidR="00BD1A53">
        <w:rPr>
          <w:lang w:val="en-GB"/>
        </w:rPr>
        <w:t>P</w:t>
      </w:r>
      <w:r w:rsidRPr="00CD2EEF">
        <w:rPr>
          <w:lang w:val="en-GB"/>
        </w:rPr>
        <w:t>olicy of the Fund for 2021</w:t>
      </w:r>
      <w:r w:rsidR="00D041D2">
        <w:rPr>
          <w:lang w:val="en-GB"/>
        </w:rPr>
        <w:t>,</w:t>
      </w:r>
      <w:r w:rsidRPr="00CD2EEF">
        <w:rPr>
          <w:rStyle w:val="LPnadpisano"/>
          <w:lang w:val="en-GB"/>
        </w:rPr>
        <w:footnoteReference w:id="6"/>
      </w:r>
      <w:r w:rsidRPr="00CD2EEF">
        <w:rPr>
          <w:lang w:val="en-GB"/>
        </w:rPr>
        <w:t xml:space="preserve"> or in the framework of asset classes deriving from that policy.</w:t>
      </w:r>
    </w:p>
    <w:p w14:paraId="594D75D3" w14:textId="7D41EB19" w:rsidR="00FA3624" w:rsidRPr="00CD2EEF" w:rsidRDefault="00FA3624" w:rsidP="0047170F">
      <w:pPr>
        <w:pStyle w:val="LPnavaden"/>
        <w:rPr>
          <w:lang w:val="en-GB"/>
        </w:rPr>
      </w:pPr>
      <w:r w:rsidRPr="00CD2EEF">
        <w:rPr>
          <w:lang w:val="en-GB"/>
        </w:rPr>
        <w:t xml:space="preserve">In 2021, the Fund generated revenue of EUR 16.9 million, more than planned. The revenues from the contribution were 12.34% higher than in 2020, mostly due to the higher amount of the contribution per kWh. As was planned, the revenues from the contribution for decommissioning in 2021 amounted to EUR 12.9 million. The Fund generated revenue of EUR 4 million, slightly </w:t>
      </w:r>
      <w:r w:rsidR="0021206D">
        <w:rPr>
          <w:lang w:val="en-GB"/>
        </w:rPr>
        <w:t>more than</w:t>
      </w:r>
      <w:r w:rsidR="0021206D" w:rsidRPr="00CD2EEF">
        <w:rPr>
          <w:lang w:val="en-GB"/>
        </w:rPr>
        <w:t xml:space="preserve"> </w:t>
      </w:r>
      <w:r w:rsidRPr="00CD2EEF">
        <w:rPr>
          <w:lang w:val="en-GB"/>
        </w:rPr>
        <w:t xml:space="preserve">was planned. In 2021, the costs of the Fund reached EUR 8.9 million, among them the majority </w:t>
      </w:r>
      <w:r w:rsidR="0021206D">
        <w:rPr>
          <w:lang w:val="en-GB"/>
        </w:rPr>
        <w:t>comprises</w:t>
      </w:r>
      <w:r w:rsidR="0021206D" w:rsidRPr="00CD2EEF">
        <w:rPr>
          <w:lang w:val="en-GB"/>
        </w:rPr>
        <w:t xml:space="preserve"> </w:t>
      </w:r>
      <w:r w:rsidRPr="00CD2EEF">
        <w:rPr>
          <w:lang w:val="en-GB"/>
        </w:rPr>
        <w:t xml:space="preserve">payments to the ARAO and </w:t>
      </w:r>
      <w:r w:rsidR="0021206D">
        <w:rPr>
          <w:lang w:val="en-GB"/>
        </w:rPr>
        <w:t xml:space="preserve">the </w:t>
      </w:r>
      <w:r w:rsidRPr="00CD2EEF">
        <w:rPr>
          <w:lang w:val="en-GB"/>
        </w:rPr>
        <w:t>Municipality Krško for compensation for the limited use of land in the nuclear facility area. In 2021, the Fund had a surplus of revenues over expenses in the amount of EUR 8 million.</w:t>
      </w:r>
    </w:p>
    <w:p w14:paraId="0BAE0183" w14:textId="165B7601" w:rsidR="00FA3624" w:rsidRPr="00CD2EEF" w:rsidRDefault="00FA3624" w:rsidP="0047170F">
      <w:pPr>
        <w:pStyle w:val="LPnavaden"/>
        <w:rPr>
          <w:lang w:val="en-GB"/>
        </w:rPr>
      </w:pPr>
      <w:r w:rsidRPr="00CD2EEF">
        <w:rPr>
          <w:lang w:val="en-GB"/>
        </w:rPr>
        <w:t>Due to uncertainties and fluctuations on</w:t>
      </w:r>
      <w:r w:rsidR="00630493">
        <w:rPr>
          <w:lang w:val="en-GB"/>
        </w:rPr>
        <w:t xml:space="preserve"> the</w:t>
      </w:r>
      <w:r w:rsidRPr="00CD2EEF">
        <w:rPr>
          <w:lang w:val="en-GB"/>
        </w:rPr>
        <w:t xml:space="preserve"> markets</w:t>
      </w:r>
      <w:r w:rsidR="00630493">
        <w:rPr>
          <w:lang w:val="en-GB"/>
        </w:rPr>
        <w:t>,</w:t>
      </w:r>
      <w:r w:rsidRPr="00CD2EEF">
        <w:rPr>
          <w:lang w:val="en-GB"/>
        </w:rPr>
        <w:t xml:space="preserve"> the Fund operated successfully also in 2021, with a yield of 2.07%, which is in the framework of the planned investment policy of the Fund for 2021. The year 2021 was still marked by the Covid-19 </w:t>
      </w:r>
      <w:r w:rsidR="00BE025A">
        <w:rPr>
          <w:lang w:val="en-GB"/>
        </w:rPr>
        <w:t>epi</w:t>
      </w:r>
      <w:r w:rsidRPr="00CD2EEF">
        <w:rPr>
          <w:lang w:val="en-GB"/>
        </w:rPr>
        <w:t>demic, and at the same time also inflationary pressures</w:t>
      </w:r>
      <w:r w:rsidR="00BB5D8D">
        <w:rPr>
          <w:lang w:val="en-GB"/>
        </w:rPr>
        <w:t>,</w:t>
      </w:r>
      <w:r w:rsidRPr="00CD2EEF">
        <w:rPr>
          <w:lang w:val="en-GB"/>
        </w:rPr>
        <w:t xml:space="preserve"> which intensified uncertainties on </w:t>
      </w:r>
      <w:r w:rsidR="00370734">
        <w:rPr>
          <w:lang w:val="en-GB"/>
        </w:rPr>
        <w:t xml:space="preserve">the </w:t>
      </w:r>
      <w:r w:rsidRPr="00CD2EEF">
        <w:rPr>
          <w:lang w:val="en-GB"/>
        </w:rPr>
        <w:t xml:space="preserve">capital markets and led to extreme volatility and </w:t>
      </w:r>
      <w:r w:rsidR="00370734">
        <w:rPr>
          <w:lang w:val="en-GB"/>
        </w:rPr>
        <w:t xml:space="preserve">a </w:t>
      </w:r>
      <w:r w:rsidRPr="00CD2EEF">
        <w:rPr>
          <w:lang w:val="en-GB"/>
        </w:rPr>
        <w:t xml:space="preserve">decrease </w:t>
      </w:r>
      <w:r w:rsidR="00370734">
        <w:rPr>
          <w:lang w:val="en-GB"/>
        </w:rPr>
        <w:t>in</w:t>
      </w:r>
      <w:r w:rsidR="00370734" w:rsidRPr="00CD2EEF">
        <w:rPr>
          <w:lang w:val="en-GB"/>
        </w:rPr>
        <w:t xml:space="preserve"> </w:t>
      </w:r>
      <w:r w:rsidRPr="00CD2EEF">
        <w:rPr>
          <w:lang w:val="en-GB"/>
        </w:rPr>
        <w:t>yields on bond markets.</w:t>
      </w:r>
    </w:p>
    <w:p w14:paraId="2D7CBA9C" w14:textId="0BA4A6E9" w:rsidR="00FA3624" w:rsidRPr="00CD2EEF" w:rsidRDefault="00FA3624" w:rsidP="0047170F">
      <w:pPr>
        <w:pStyle w:val="LPnavaden"/>
        <w:rPr>
          <w:lang w:val="en-GB"/>
        </w:rPr>
      </w:pPr>
      <w:r w:rsidRPr="00CD2EEF">
        <w:rPr>
          <w:lang w:val="en-GB"/>
        </w:rPr>
        <w:t xml:space="preserve">In 2021, the yield of the portfolio exceeded </w:t>
      </w:r>
      <w:r w:rsidR="00370734">
        <w:rPr>
          <w:lang w:val="en-GB"/>
        </w:rPr>
        <w:t xml:space="preserve">the </w:t>
      </w:r>
      <w:r w:rsidRPr="00CD2EEF">
        <w:rPr>
          <w:lang w:val="en-GB"/>
        </w:rPr>
        <w:t>yields of bond investments funds, which are in their structure similar to the Fund</w:t>
      </w:r>
      <w:r w:rsidR="00F21D56">
        <w:rPr>
          <w:lang w:val="en-GB"/>
        </w:rPr>
        <w:t>’</w:t>
      </w:r>
      <w:r w:rsidRPr="00CD2EEF">
        <w:rPr>
          <w:lang w:val="en-GB"/>
        </w:rPr>
        <w:t xml:space="preserve">s operation and had an extremely negative yield in 2021. The </w:t>
      </w:r>
      <w:r w:rsidRPr="00CD2EEF">
        <w:rPr>
          <w:lang w:val="en-GB"/>
        </w:rPr>
        <w:lastRenderedPageBreak/>
        <w:t xml:space="preserve">yield of the portfolio is lower </w:t>
      </w:r>
      <w:r w:rsidR="00370734">
        <w:rPr>
          <w:lang w:val="en-GB"/>
        </w:rPr>
        <w:t>than</w:t>
      </w:r>
      <w:r w:rsidRPr="00CD2EEF">
        <w:rPr>
          <w:lang w:val="en-GB"/>
        </w:rPr>
        <w:t xml:space="preserve"> was planned in the 3</w:t>
      </w:r>
      <w:r w:rsidR="00370734" w:rsidRPr="00F36E29">
        <w:rPr>
          <w:vertAlign w:val="superscript"/>
          <w:lang w:val="en-GB"/>
        </w:rPr>
        <w:t>rd</w:t>
      </w:r>
      <w:r w:rsidRPr="00CD2EEF">
        <w:rPr>
          <w:lang w:val="en-GB"/>
        </w:rPr>
        <w:t xml:space="preserve"> revision of the Programme for decommissioning. Mostly due to </w:t>
      </w:r>
      <w:r w:rsidR="00370734">
        <w:rPr>
          <w:lang w:val="en-GB"/>
        </w:rPr>
        <w:t xml:space="preserve">the </w:t>
      </w:r>
      <w:r w:rsidRPr="00CD2EEF">
        <w:rPr>
          <w:lang w:val="en-GB"/>
        </w:rPr>
        <w:t>significantly changed conditions on the capital markets.</w:t>
      </w:r>
    </w:p>
    <w:p w14:paraId="250FB91B" w14:textId="46A3ED18" w:rsidR="00FA3624" w:rsidRPr="00CD2EEF" w:rsidRDefault="00FA3624" w:rsidP="0047170F">
      <w:pPr>
        <w:pStyle w:val="LPnavaden"/>
        <w:rPr>
          <w:lang w:val="en-GB"/>
        </w:rPr>
      </w:pPr>
      <w:r w:rsidRPr="00CD2EEF">
        <w:rPr>
          <w:lang w:val="en-GB"/>
        </w:rPr>
        <w:t xml:space="preserve">Also in 2021, the Fund followed the adopted investment policy in its operations, and managed a conservative investment policy in the management of assets, taking into account the principles of safety, diversification, profitability, and liquidity. In the future, the Fund will be </w:t>
      </w:r>
      <w:r w:rsidR="006D4DFE">
        <w:rPr>
          <w:lang w:val="en-GB"/>
        </w:rPr>
        <w:t>devoting</w:t>
      </w:r>
      <w:r w:rsidR="006D4DFE" w:rsidRPr="00CD2EEF">
        <w:rPr>
          <w:lang w:val="en-GB"/>
        </w:rPr>
        <w:t xml:space="preserve"> </w:t>
      </w:r>
      <w:r w:rsidRPr="00CD2EEF">
        <w:rPr>
          <w:lang w:val="en-GB"/>
        </w:rPr>
        <w:t>special attention to following and managing the various types of risks to which it is exposed in portfolio management. From a managerial point of view, a conservative investment policy and defined investment principles will be pursued.</w:t>
      </w:r>
    </w:p>
    <w:p w14:paraId="673D10C1" w14:textId="2FA37DB4" w:rsidR="00FA3624" w:rsidRPr="00CD2EEF" w:rsidRDefault="00FA3624" w:rsidP="00B04B87">
      <w:pPr>
        <w:pStyle w:val="LPVirienojni"/>
        <w:rPr>
          <w:rStyle w:val="LPposevno"/>
          <w:i w:val="0"/>
          <w:lang w:val="en-GB"/>
        </w:rPr>
      </w:pPr>
      <w:r w:rsidRPr="00CD2EEF">
        <w:rPr>
          <w:lang w:val="en-GB"/>
        </w:rPr>
        <w:t>Reference: [</w:t>
      </w:r>
      <w:hyperlink w:anchor="r24" w:history="1">
        <w:r w:rsidRPr="00CD2EEF">
          <w:rPr>
            <w:rStyle w:val="Hiperpovezava"/>
            <w:lang w:val="en-GB"/>
          </w:rPr>
          <w:t>24</w:t>
        </w:r>
      </w:hyperlink>
      <w:r w:rsidRPr="00CD2EEF">
        <w:rPr>
          <w:lang w:val="en-GB"/>
        </w:rPr>
        <w:t xml:space="preserve">] </w:t>
      </w:r>
    </w:p>
    <w:p w14:paraId="299A56D3" w14:textId="77777777" w:rsidR="00FA3624" w:rsidRPr="00CD2EEF" w:rsidRDefault="00FA3624" w:rsidP="00111D11">
      <w:pPr>
        <w:pStyle w:val="LPNaslov1"/>
        <w:rPr>
          <w:lang w:val="en-GB"/>
        </w:rPr>
      </w:pPr>
      <w:bookmarkStart w:id="362" w:name="_Toc520187555"/>
      <w:bookmarkStart w:id="363" w:name="_Toc46257227"/>
      <w:bookmarkStart w:id="364" w:name="_Toc47694670"/>
      <w:bookmarkStart w:id="365" w:name="ch7"/>
      <w:bookmarkStart w:id="366" w:name="_Toc126312029"/>
      <w:r w:rsidRPr="00CD2EEF">
        <w:rPr>
          <w:lang w:val="en-GB"/>
        </w:rPr>
        <w:lastRenderedPageBreak/>
        <w:t>EMERGENCY PREPAREDNESS</w:t>
      </w:r>
      <w:bookmarkEnd w:id="362"/>
      <w:bookmarkEnd w:id="363"/>
      <w:bookmarkEnd w:id="364"/>
      <w:bookmarkEnd w:id="366"/>
      <w:r w:rsidRPr="00CD2EEF">
        <w:rPr>
          <w:lang w:val="en-GB"/>
        </w:rPr>
        <w:t xml:space="preserve"> </w:t>
      </w:r>
    </w:p>
    <w:bookmarkEnd w:id="365"/>
    <w:p w14:paraId="2101AC87" w14:textId="15E4C1EA" w:rsidR="00FA3624" w:rsidRPr="00CD2EEF" w:rsidRDefault="00FA3624" w:rsidP="00DA31A3">
      <w:pPr>
        <w:pStyle w:val="LPnavaden"/>
        <w:rPr>
          <w:lang w:val="en-GB"/>
        </w:rPr>
      </w:pPr>
      <w:r w:rsidRPr="00CD2EEF">
        <w:rPr>
          <w:lang w:val="en-GB"/>
        </w:rPr>
        <w:t xml:space="preserve">Emergency preparedness and response is an essential part </w:t>
      </w:r>
      <w:r w:rsidR="00CC0144">
        <w:rPr>
          <w:lang w:val="en-GB"/>
        </w:rPr>
        <w:t>of</w:t>
      </w:r>
      <w:r w:rsidR="00CC0144" w:rsidRPr="00CD2EEF">
        <w:rPr>
          <w:lang w:val="en-GB"/>
        </w:rPr>
        <w:t xml:space="preserve"> </w:t>
      </w:r>
      <w:r w:rsidRPr="00CD2EEF">
        <w:rPr>
          <w:lang w:val="en-GB"/>
        </w:rPr>
        <w:t>ensuring nuclear and radiation safety. During a nuclear or radiological emergency, all competent organi</w:t>
      </w:r>
      <w:r w:rsidR="00E9756B">
        <w:rPr>
          <w:lang w:val="en-GB"/>
        </w:rPr>
        <w:t>sation</w:t>
      </w:r>
      <w:r w:rsidRPr="00CD2EEF">
        <w:rPr>
          <w:lang w:val="en-GB"/>
        </w:rPr>
        <w:t>s and authorities in Slovenia must take appropriate actions according to their pre-prepared response instructions or emergency plans.</w:t>
      </w:r>
    </w:p>
    <w:p w14:paraId="584482A5" w14:textId="4EC28F3E" w:rsidR="00FA3624" w:rsidRPr="00CD2EEF" w:rsidRDefault="00FA3624" w:rsidP="00DA31A3">
      <w:pPr>
        <w:pStyle w:val="LPnavaden"/>
        <w:rPr>
          <w:lang w:val="en-GB"/>
        </w:rPr>
      </w:pPr>
      <w:r w:rsidRPr="00CD2EEF">
        <w:rPr>
          <w:lang w:val="en-GB"/>
        </w:rPr>
        <w:t xml:space="preserve">Nuclear and radiological accidents are emergencies that directly threaten the population and the environment and require </w:t>
      </w:r>
      <w:r w:rsidR="005C03E8">
        <w:rPr>
          <w:lang w:val="en-GB"/>
        </w:rPr>
        <w:t xml:space="preserve">that </w:t>
      </w:r>
      <w:r w:rsidRPr="00CD2EEF">
        <w:rPr>
          <w:lang w:val="en-GB"/>
        </w:rPr>
        <w:t xml:space="preserve">protective actions be taken. In general, every emergency does not </w:t>
      </w:r>
      <w:r w:rsidR="005C03E8">
        <w:rPr>
          <w:lang w:val="en-GB"/>
        </w:rPr>
        <w:t>entail</w:t>
      </w:r>
      <w:r w:rsidR="005C03E8" w:rsidRPr="00CD2EEF">
        <w:rPr>
          <w:lang w:val="en-GB"/>
        </w:rPr>
        <w:t xml:space="preserve"> </w:t>
      </w:r>
      <w:r w:rsidRPr="00CD2EEF">
        <w:rPr>
          <w:lang w:val="en-GB"/>
        </w:rPr>
        <w:t xml:space="preserve">the occurrence of an accident. </w:t>
      </w:r>
      <w:r w:rsidR="005C03E8">
        <w:rPr>
          <w:lang w:val="en-GB"/>
        </w:rPr>
        <w:t>Such</w:t>
      </w:r>
      <w:r w:rsidR="005C03E8" w:rsidRPr="00CD2EEF">
        <w:rPr>
          <w:lang w:val="en-GB"/>
        </w:rPr>
        <w:t xml:space="preserve"> </w:t>
      </w:r>
      <w:r w:rsidRPr="00CD2EEF">
        <w:rPr>
          <w:lang w:val="en-GB"/>
        </w:rPr>
        <w:t xml:space="preserve">can only be a degradation of nuclear or radiation safety, which also requires </w:t>
      </w:r>
      <w:r w:rsidR="005C03E8">
        <w:rPr>
          <w:lang w:val="en-GB"/>
        </w:rPr>
        <w:t>an</w:t>
      </w:r>
      <w:r w:rsidR="005C03E8" w:rsidRPr="00CD2EEF">
        <w:rPr>
          <w:lang w:val="en-GB"/>
        </w:rPr>
        <w:t xml:space="preserve"> </w:t>
      </w:r>
      <w:r w:rsidRPr="00CD2EEF">
        <w:rPr>
          <w:lang w:val="en-GB"/>
        </w:rPr>
        <w:t>appropriate response from the authorities.</w:t>
      </w:r>
    </w:p>
    <w:p w14:paraId="5754D858" w14:textId="62628EBD" w:rsidR="00FA3624" w:rsidRPr="00CD2EEF" w:rsidRDefault="00FA3624" w:rsidP="00DA31A3">
      <w:pPr>
        <w:pStyle w:val="LPnavaden"/>
        <w:rPr>
          <w:lang w:val="en-GB"/>
        </w:rPr>
      </w:pPr>
      <w:r w:rsidRPr="00CD2EEF">
        <w:rPr>
          <w:lang w:val="en-GB"/>
        </w:rPr>
        <w:t>In Slovenia, the response of the organi</w:t>
      </w:r>
      <w:r w:rsidR="00E9756B">
        <w:rPr>
          <w:lang w:val="en-GB"/>
        </w:rPr>
        <w:t>sation</w:t>
      </w:r>
      <w:r w:rsidRPr="00CD2EEF">
        <w:rPr>
          <w:lang w:val="en-GB"/>
        </w:rPr>
        <w:t xml:space="preserve">s and competent authorities to an emergency is determined by the </w:t>
      </w:r>
      <w:r w:rsidRPr="00CD2EEF">
        <w:rPr>
          <w:rStyle w:val="LPnavadenposevnoZnak"/>
          <w:lang w:val="en-GB"/>
        </w:rPr>
        <w:t>National Emergency Response Plan for Nuclear and Radiological Accidents.</w:t>
      </w:r>
      <w:r w:rsidRPr="00CD2EEF">
        <w:rPr>
          <w:lang w:val="en-GB"/>
        </w:rPr>
        <w:t xml:space="preserve"> The national plan is prepared by the Administration for Civil Protection and Disaster Relief (ACPDR) in cooperation with ministries, state authorities</w:t>
      </w:r>
      <w:r w:rsidR="004914C2">
        <w:rPr>
          <w:lang w:val="en-GB"/>
        </w:rPr>
        <w:t>,</w:t>
      </w:r>
      <w:r w:rsidRPr="00CD2EEF">
        <w:rPr>
          <w:lang w:val="en-GB"/>
        </w:rPr>
        <w:t xml:space="preserve"> and professional organi</w:t>
      </w:r>
      <w:r w:rsidR="00E9756B">
        <w:rPr>
          <w:lang w:val="en-GB"/>
        </w:rPr>
        <w:t>sation</w:t>
      </w:r>
      <w:r w:rsidRPr="00CD2EEF">
        <w:rPr>
          <w:lang w:val="en-GB"/>
        </w:rPr>
        <w:t xml:space="preserve">s. Plans are also prepared </w:t>
      </w:r>
      <w:r w:rsidR="004914C2">
        <w:rPr>
          <w:lang w:val="en-GB"/>
        </w:rPr>
        <w:t>at</w:t>
      </w:r>
      <w:r w:rsidR="004914C2" w:rsidRPr="00CD2EEF">
        <w:rPr>
          <w:lang w:val="en-GB"/>
        </w:rPr>
        <w:t xml:space="preserve"> </w:t>
      </w:r>
      <w:r w:rsidRPr="00CD2EEF">
        <w:rPr>
          <w:lang w:val="en-GB"/>
        </w:rPr>
        <w:t>regional, local, and facility level</w:t>
      </w:r>
      <w:r w:rsidR="004914C2">
        <w:rPr>
          <w:lang w:val="en-GB"/>
        </w:rPr>
        <w:t>s</w:t>
      </w:r>
      <w:r w:rsidRPr="00CD2EEF">
        <w:rPr>
          <w:lang w:val="en-GB"/>
        </w:rPr>
        <w:t xml:space="preserve">. In accordance with the requirements of the </w:t>
      </w:r>
      <w:r w:rsidRPr="00CD2EEF">
        <w:rPr>
          <w:rStyle w:val="LPnavadenposevnoZnak"/>
          <w:lang w:val="en-GB"/>
        </w:rPr>
        <w:t>Ionising Radiation Protection and Nuclear Safety Act</w:t>
      </w:r>
      <w:r w:rsidRPr="00CD2EEF">
        <w:rPr>
          <w:lang w:val="en-GB"/>
        </w:rPr>
        <w:t xml:space="preserve">, operators of radiation activities who are not required to prepare a protection and rescue plan must prepare instructions for </w:t>
      </w:r>
      <w:r w:rsidR="00BD55CA">
        <w:rPr>
          <w:lang w:val="en-GB"/>
        </w:rPr>
        <w:t xml:space="preserve">a </w:t>
      </w:r>
      <w:r w:rsidRPr="00CD2EEF">
        <w:rPr>
          <w:lang w:val="en-GB"/>
        </w:rPr>
        <w:t>response in the event of an emergency. These response instructions are based on expected events and scenarios.</w:t>
      </w:r>
    </w:p>
    <w:p w14:paraId="6CFC9117" w14:textId="171BEF85" w:rsidR="00FA3624" w:rsidRPr="00CD2EEF" w:rsidRDefault="00FA3624" w:rsidP="00111D11">
      <w:pPr>
        <w:pStyle w:val="LPNaslov2"/>
        <w:rPr>
          <w:lang w:val="en-GB"/>
        </w:rPr>
      </w:pPr>
      <w:bookmarkStart w:id="367" w:name="_Toc47694671"/>
      <w:bookmarkStart w:id="368" w:name="_Toc46257228"/>
      <w:bookmarkStart w:id="369" w:name="_Toc520187556"/>
      <w:bookmarkStart w:id="370" w:name="_Toc126312030"/>
      <w:r w:rsidRPr="00CD2EEF">
        <w:rPr>
          <w:lang w:val="en-GB"/>
        </w:rPr>
        <w:t>THE SLOVENIAN NUCLEAR SAFETY ADMINISTRATION</w:t>
      </w:r>
      <w:bookmarkEnd w:id="367"/>
      <w:bookmarkEnd w:id="368"/>
      <w:bookmarkEnd w:id="369"/>
      <w:bookmarkEnd w:id="370"/>
    </w:p>
    <w:p w14:paraId="3057197D" w14:textId="0B75476C" w:rsidR="00FA3624" w:rsidRPr="00CD2EEF" w:rsidRDefault="00FA3624" w:rsidP="00DA31A3">
      <w:pPr>
        <w:pStyle w:val="LPnavaden"/>
        <w:rPr>
          <w:lang w:val="en-GB"/>
        </w:rPr>
      </w:pPr>
      <w:r w:rsidRPr="00CD2EEF">
        <w:rPr>
          <w:lang w:val="en-GB"/>
        </w:rPr>
        <w:t xml:space="preserve">At </w:t>
      </w:r>
      <w:r w:rsidR="00A726E8">
        <w:rPr>
          <w:lang w:val="en-GB"/>
        </w:rPr>
        <w:t>the</w:t>
      </w:r>
      <w:r w:rsidR="00E63423">
        <w:rPr>
          <w:lang w:val="en-GB"/>
        </w:rPr>
        <w:t xml:space="preserve"> SNSA</w:t>
      </w:r>
      <w:r w:rsidRPr="00CD2EEF">
        <w:rPr>
          <w:lang w:val="en-GB"/>
        </w:rPr>
        <w:t>, the responsibility for emergency preparedness and response falls under the Emergency Preparedness Division, whose basic tasks are:</w:t>
      </w:r>
    </w:p>
    <w:p w14:paraId="1879AD40" w14:textId="1EC9B483" w:rsidR="00FA3624" w:rsidRPr="00CD2EEF" w:rsidRDefault="00081409" w:rsidP="005E4AD3">
      <w:pPr>
        <w:pStyle w:val="LPalineje"/>
        <w:rPr>
          <w:lang w:val="en-GB"/>
        </w:rPr>
      </w:pPr>
      <w:r>
        <w:rPr>
          <w:lang w:val="en-GB"/>
        </w:rPr>
        <w:t xml:space="preserve">to </w:t>
      </w:r>
      <w:r w:rsidR="00FA3624" w:rsidRPr="00CD2EEF">
        <w:rPr>
          <w:lang w:val="en-GB"/>
        </w:rPr>
        <w:t>provid</w:t>
      </w:r>
      <w:r>
        <w:rPr>
          <w:lang w:val="en-GB"/>
        </w:rPr>
        <w:t>e</w:t>
      </w:r>
      <w:r w:rsidR="00FA3624" w:rsidRPr="00CD2EEF">
        <w:rPr>
          <w:lang w:val="en-GB"/>
        </w:rPr>
        <w:t xml:space="preserve"> all necessary </w:t>
      </w:r>
      <w:r w:rsidR="004B6930" w:rsidRPr="00CD2EEF">
        <w:rPr>
          <w:lang w:val="en-GB"/>
        </w:rPr>
        <w:t>competenci</w:t>
      </w:r>
      <w:r w:rsidR="004B6930">
        <w:rPr>
          <w:lang w:val="en-GB"/>
        </w:rPr>
        <w:t>e</w:t>
      </w:r>
      <w:r w:rsidR="004B6930" w:rsidRPr="00CD2EEF">
        <w:rPr>
          <w:lang w:val="en-GB"/>
        </w:rPr>
        <w:t>s</w:t>
      </w:r>
      <w:r w:rsidR="00FA3624" w:rsidRPr="00CD2EEF">
        <w:rPr>
          <w:lang w:val="en-GB"/>
        </w:rPr>
        <w:t xml:space="preserve"> and means of </w:t>
      </w:r>
      <w:r w:rsidR="00A726E8">
        <w:rPr>
          <w:lang w:val="en-GB"/>
        </w:rPr>
        <w:t>the</w:t>
      </w:r>
      <w:r w:rsidR="00E63423">
        <w:rPr>
          <w:lang w:val="en-GB"/>
        </w:rPr>
        <w:t xml:space="preserve"> SNSA</w:t>
      </w:r>
      <w:r w:rsidR="00FA3624" w:rsidRPr="00CD2EEF">
        <w:rPr>
          <w:lang w:val="en-GB"/>
        </w:rPr>
        <w:t xml:space="preserve"> </w:t>
      </w:r>
      <w:r w:rsidR="004B6930" w:rsidRPr="00CD2EEF">
        <w:rPr>
          <w:rStyle w:val="LPpobarvan3"/>
          <w:shd w:val="clear" w:color="auto" w:fill="auto"/>
          <w:lang w:val="en-GB"/>
        </w:rPr>
        <w:t xml:space="preserve">Emergency </w:t>
      </w:r>
      <w:r w:rsidR="004B6930">
        <w:rPr>
          <w:rStyle w:val="LPpobarvan3"/>
          <w:shd w:val="clear" w:color="auto" w:fill="auto"/>
          <w:lang w:val="en-GB"/>
        </w:rPr>
        <w:t>R</w:t>
      </w:r>
      <w:r w:rsidR="004B6930" w:rsidRPr="00CD2EEF">
        <w:rPr>
          <w:rStyle w:val="LPpobarvan3"/>
          <w:shd w:val="clear" w:color="auto" w:fill="auto"/>
          <w:lang w:val="en-GB"/>
        </w:rPr>
        <w:t xml:space="preserve">esponse </w:t>
      </w:r>
      <w:r w:rsidR="004B6930">
        <w:rPr>
          <w:rStyle w:val="LPpobarvan3"/>
          <w:shd w:val="clear" w:color="auto" w:fill="auto"/>
          <w:lang w:val="en-GB"/>
        </w:rPr>
        <w:t>T</w:t>
      </w:r>
      <w:r w:rsidR="004B6930" w:rsidRPr="00CD2EEF">
        <w:rPr>
          <w:rStyle w:val="LPpobarvan3"/>
          <w:shd w:val="clear" w:color="auto" w:fill="auto"/>
          <w:lang w:val="en-GB"/>
        </w:rPr>
        <w:t>eam</w:t>
      </w:r>
      <w:r w:rsidR="00FA3624" w:rsidRPr="00CD2EEF">
        <w:rPr>
          <w:lang w:val="en-GB"/>
        </w:rPr>
        <w:t xml:space="preserve">, </w:t>
      </w:r>
    </w:p>
    <w:p w14:paraId="0EF825C1" w14:textId="6D3034EC" w:rsidR="00FA3624" w:rsidRPr="00CD2EEF" w:rsidRDefault="00081409" w:rsidP="005E4AD3">
      <w:pPr>
        <w:pStyle w:val="LPalineje"/>
        <w:rPr>
          <w:lang w:val="en-GB"/>
        </w:rPr>
      </w:pPr>
      <w:r>
        <w:rPr>
          <w:lang w:val="en-GB"/>
        </w:rPr>
        <w:t xml:space="preserve">to </w:t>
      </w:r>
      <w:r w:rsidR="00FA3624" w:rsidRPr="00CD2EEF">
        <w:rPr>
          <w:lang w:val="en-GB"/>
        </w:rPr>
        <w:t>ensur</w:t>
      </w:r>
      <w:r>
        <w:rPr>
          <w:lang w:val="en-GB"/>
        </w:rPr>
        <w:t>e</w:t>
      </w:r>
      <w:r w:rsidR="00FA3624" w:rsidRPr="00CD2EEF">
        <w:rPr>
          <w:lang w:val="en-GB"/>
        </w:rPr>
        <w:t xml:space="preserve"> that </w:t>
      </w:r>
      <w:r w:rsidR="004B6930">
        <w:rPr>
          <w:lang w:val="en-GB"/>
        </w:rPr>
        <w:t xml:space="preserve">the </w:t>
      </w:r>
      <w:r w:rsidR="004B6930" w:rsidRPr="00CD2EEF">
        <w:rPr>
          <w:rStyle w:val="LPpobarvan3"/>
          <w:shd w:val="clear" w:color="auto" w:fill="auto"/>
          <w:lang w:val="en-GB"/>
        </w:rPr>
        <w:t xml:space="preserve">Emergency </w:t>
      </w:r>
      <w:r w:rsidR="004B6930">
        <w:rPr>
          <w:rStyle w:val="LPpobarvan3"/>
          <w:shd w:val="clear" w:color="auto" w:fill="auto"/>
          <w:lang w:val="en-GB"/>
        </w:rPr>
        <w:t>R</w:t>
      </w:r>
      <w:r w:rsidR="004B6930" w:rsidRPr="00CD2EEF">
        <w:rPr>
          <w:rStyle w:val="LPpobarvan3"/>
          <w:shd w:val="clear" w:color="auto" w:fill="auto"/>
          <w:lang w:val="en-GB"/>
        </w:rPr>
        <w:t xml:space="preserve">esponse </w:t>
      </w:r>
      <w:r w:rsidR="004B6930">
        <w:rPr>
          <w:rStyle w:val="LPpobarvan3"/>
          <w:shd w:val="clear" w:color="auto" w:fill="auto"/>
          <w:lang w:val="en-GB"/>
        </w:rPr>
        <w:t>T</w:t>
      </w:r>
      <w:r w:rsidR="004B6930" w:rsidRPr="00CD2EEF">
        <w:rPr>
          <w:rStyle w:val="LPpobarvan3"/>
          <w:shd w:val="clear" w:color="auto" w:fill="auto"/>
          <w:lang w:val="en-GB"/>
        </w:rPr>
        <w:t>eam</w:t>
      </w:r>
      <w:r w:rsidR="00F21D56">
        <w:rPr>
          <w:lang w:val="en-GB"/>
        </w:rPr>
        <w:t>’</w:t>
      </w:r>
      <w:r w:rsidR="00FA3624" w:rsidRPr="00CD2EEF">
        <w:rPr>
          <w:lang w:val="en-GB"/>
        </w:rPr>
        <w:t>s procedures are up to date and comprehensive</w:t>
      </w:r>
      <w:r>
        <w:rPr>
          <w:lang w:val="en-GB"/>
        </w:rPr>
        <w:t>,</w:t>
      </w:r>
      <w:r w:rsidR="00FA3624" w:rsidRPr="00CD2EEF">
        <w:rPr>
          <w:lang w:val="en-GB"/>
        </w:rPr>
        <w:t xml:space="preserve"> and </w:t>
      </w:r>
    </w:p>
    <w:p w14:paraId="60CD04C0" w14:textId="216C4856" w:rsidR="00FA3624" w:rsidRPr="00CD2EEF" w:rsidRDefault="00081409" w:rsidP="005E4AD3">
      <w:pPr>
        <w:pStyle w:val="LPalineje"/>
        <w:rPr>
          <w:lang w:val="en-GB"/>
        </w:rPr>
      </w:pPr>
      <w:r>
        <w:rPr>
          <w:lang w:val="en-GB"/>
        </w:rPr>
        <w:t xml:space="preserve">to </w:t>
      </w:r>
      <w:r w:rsidRPr="00CD2EEF">
        <w:rPr>
          <w:lang w:val="en-GB"/>
        </w:rPr>
        <w:t>ensur</w:t>
      </w:r>
      <w:r>
        <w:rPr>
          <w:lang w:val="en-GB"/>
        </w:rPr>
        <w:t>e</w:t>
      </w:r>
      <w:r w:rsidRPr="00CD2EEF">
        <w:rPr>
          <w:lang w:val="en-GB"/>
        </w:rPr>
        <w:t xml:space="preserve"> </w:t>
      </w:r>
      <w:r w:rsidR="00FA3624" w:rsidRPr="00CD2EEF">
        <w:rPr>
          <w:lang w:val="en-GB"/>
        </w:rPr>
        <w:t xml:space="preserve">that the equipment, premises, and documentation for the </w:t>
      </w:r>
      <w:r w:rsidR="004B6930" w:rsidRPr="00CD2EEF">
        <w:rPr>
          <w:rStyle w:val="LPpobarvan3"/>
          <w:shd w:val="clear" w:color="auto" w:fill="auto"/>
          <w:lang w:val="en-GB"/>
        </w:rPr>
        <w:t xml:space="preserve">Emergency </w:t>
      </w:r>
      <w:r w:rsidR="004B6930">
        <w:rPr>
          <w:rStyle w:val="LPpobarvan3"/>
          <w:shd w:val="clear" w:color="auto" w:fill="auto"/>
          <w:lang w:val="en-GB"/>
        </w:rPr>
        <w:t>R</w:t>
      </w:r>
      <w:r w:rsidR="004B6930" w:rsidRPr="00CD2EEF">
        <w:rPr>
          <w:rStyle w:val="LPpobarvan3"/>
          <w:shd w:val="clear" w:color="auto" w:fill="auto"/>
          <w:lang w:val="en-GB"/>
        </w:rPr>
        <w:t xml:space="preserve">esponse </w:t>
      </w:r>
      <w:r w:rsidR="004B6930">
        <w:rPr>
          <w:rStyle w:val="LPpobarvan3"/>
          <w:shd w:val="clear" w:color="auto" w:fill="auto"/>
          <w:lang w:val="en-GB"/>
        </w:rPr>
        <w:t>T</w:t>
      </w:r>
      <w:r w:rsidR="004B6930" w:rsidRPr="00CD2EEF">
        <w:rPr>
          <w:rStyle w:val="LPpobarvan3"/>
          <w:shd w:val="clear" w:color="auto" w:fill="auto"/>
          <w:lang w:val="en-GB"/>
        </w:rPr>
        <w:t>eam</w:t>
      </w:r>
      <w:r w:rsidR="004B6930">
        <w:rPr>
          <w:lang w:val="en-GB"/>
        </w:rPr>
        <w:t>’</w:t>
      </w:r>
      <w:r w:rsidR="004B6930" w:rsidRPr="00CD2EEF">
        <w:rPr>
          <w:lang w:val="en-GB"/>
        </w:rPr>
        <w:t xml:space="preserve">s </w:t>
      </w:r>
      <w:r w:rsidR="00FA3624" w:rsidRPr="00CD2EEF">
        <w:rPr>
          <w:lang w:val="en-GB"/>
        </w:rPr>
        <w:t xml:space="preserve">needs are adequate and operational and that all members of the </w:t>
      </w:r>
      <w:r w:rsidR="004B6930">
        <w:rPr>
          <w:lang w:val="en-GB"/>
        </w:rPr>
        <w:t>T</w:t>
      </w:r>
      <w:r w:rsidR="00FA3624" w:rsidRPr="00CD2EEF">
        <w:rPr>
          <w:lang w:val="en-GB"/>
        </w:rPr>
        <w:t xml:space="preserve">eam are properly trained for all their tasks during </w:t>
      </w:r>
      <w:r w:rsidR="004B6930">
        <w:rPr>
          <w:lang w:val="en-GB"/>
        </w:rPr>
        <w:t>an</w:t>
      </w:r>
      <w:r w:rsidR="004B6930" w:rsidRPr="00CD2EEF">
        <w:rPr>
          <w:lang w:val="en-GB"/>
        </w:rPr>
        <w:t xml:space="preserve"> </w:t>
      </w:r>
      <w:r w:rsidR="00FA3624" w:rsidRPr="00CD2EEF">
        <w:rPr>
          <w:lang w:val="en-GB"/>
        </w:rPr>
        <w:t>emergency.</w:t>
      </w:r>
    </w:p>
    <w:p w14:paraId="343C16F6" w14:textId="1ABF6CB5" w:rsidR="00FA3624" w:rsidRPr="00CD2EEF" w:rsidRDefault="00FA3624" w:rsidP="005176E0">
      <w:pPr>
        <w:pStyle w:val="LPnavaden"/>
        <w:rPr>
          <w:rStyle w:val="LPpobarvan3"/>
          <w:shd w:val="clear" w:color="auto" w:fill="auto"/>
          <w:lang w:val="en-GB"/>
        </w:rPr>
      </w:pPr>
      <w:r w:rsidRPr="00CD2EEF">
        <w:rPr>
          <w:rStyle w:val="LPpobarvan3"/>
          <w:shd w:val="clear" w:color="auto" w:fill="auto"/>
          <w:lang w:val="en-GB"/>
        </w:rPr>
        <w:t xml:space="preserve">In the event of an emergency, the </w:t>
      </w:r>
      <w:r w:rsidR="00C209AD" w:rsidRPr="0049608D">
        <w:rPr>
          <w:rStyle w:val="LPpobarvan3"/>
          <w:shd w:val="clear" w:color="auto" w:fill="auto"/>
          <w:lang w:val="en-GB"/>
        </w:rPr>
        <w:t xml:space="preserve">SNSA’s </w:t>
      </w:r>
      <w:r w:rsidRPr="0049608D">
        <w:rPr>
          <w:rStyle w:val="LPpobarvan3"/>
          <w:shd w:val="clear" w:color="auto" w:fill="auto"/>
          <w:lang w:val="en-GB"/>
        </w:rPr>
        <w:t xml:space="preserve">Emergency </w:t>
      </w:r>
      <w:r w:rsidR="004B6930" w:rsidRPr="0049608D">
        <w:rPr>
          <w:rStyle w:val="LPpobarvan3"/>
          <w:shd w:val="clear" w:color="auto" w:fill="auto"/>
          <w:lang w:val="en-GB"/>
        </w:rPr>
        <w:t>R</w:t>
      </w:r>
      <w:r w:rsidRPr="0049608D">
        <w:rPr>
          <w:rStyle w:val="LPpobarvan3"/>
          <w:shd w:val="clear" w:color="auto" w:fill="auto"/>
          <w:lang w:val="en-GB"/>
        </w:rPr>
        <w:t xml:space="preserve">esponse </w:t>
      </w:r>
      <w:r w:rsidR="004B6930" w:rsidRPr="0049608D">
        <w:rPr>
          <w:rStyle w:val="LPpobarvan3"/>
          <w:shd w:val="clear" w:color="auto" w:fill="auto"/>
          <w:lang w:val="en-GB"/>
        </w:rPr>
        <w:t>T</w:t>
      </w:r>
      <w:r w:rsidRPr="0049608D">
        <w:rPr>
          <w:rStyle w:val="LPpobarvan3"/>
          <w:shd w:val="clear" w:color="auto" w:fill="auto"/>
          <w:lang w:val="en-GB"/>
        </w:rPr>
        <w:t>eam (ERT)</w:t>
      </w:r>
      <w:r w:rsidRPr="00CD2EEF">
        <w:rPr>
          <w:rStyle w:val="LPpobarvan3"/>
          <w:shd w:val="clear" w:color="auto" w:fill="auto"/>
          <w:lang w:val="en-GB"/>
        </w:rPr>
        <w:t xml:space="preserve"> is activated, led by the </w:t>
      </w:r>
      <w:r w:rsidRPr="00CD2EEF">
        <w:rPr>
          <w:rFonts w:eastAsiaTheme="minorEastAsia"/>
          <w:lang w:val="en-GB"/>
        </w:rPr>
        <w:t>Emergency Team Director (ETD)</w:t>
      </w:r>
      <w:r w:rsidRPr="00CD2EEF">
        <w:rPr>
          <w:rStyle w:val="LPpobarvan3"/>
          <w:shd w:val="clear" w:color="auto" w:fill="auto"/>
          <w:lang w:val="en-GB"/>
        </w:rPr>
        <w:t xml:space="preserve">. The operational management of the ERT is carried out by the head of the ERT, who is also the deputy of the </w:t>
      </w:r>
      <w:r w:rsidRPr="00CD2EEF">
        <w:rPr>
          <w:rFonts w:eastAsiaTheme="minorEastAsia"/>
          <w:lang w:val="en-GB"/>
        </w:rPr>
        <w:t>ETD</w:t>
      </w:r>
      <w:r w:rsidRPr="00CD2EEF">
        <w:rPr>
          <w:rStyle w:val="LPpobarvan3"/>
          <w:shd w:val="clear" w:color="auto" w:fill="auto"/>
          <w:lang w:val="en-GB"/>
        </w:rPr>
        <w:t xml:space="preserve">. The ERT consists of incoming and outgoing </w:t>
      </w:r>
      <w:r w:rsidRPr="00B02480">
        <w:rPr>
          <w:rStyle w:val="LPpobarvan3"/>
          <w:shd w:val="clear" w:color="auto" w:fill="auto"/>
          <w:lang w:val="en-GB"/>
        </w:rPr>
        <w:t>communicators</w:t>
      </w:r>
      <w:r w:rsidR="00B02480" w:rsidRPr="00FE2A3C">
        <w:rPr>
          <w:rStyle w:val="LPpobarvan3"/>
          <w:shd w:val="clear" w:color="auto" w:fill="auto"/>
          <w:lang w:val="en-GB"/>
        </w:rPr>
        <w:t>, who</w:t>
      </w:r>
      <w:r w:rsidRPr="00B02480">
        <w:rPr>
          <w:rStyle w:val="LPpobarvan3"/>
          <w:shd w:val="clear" w:color="auto" w:fill="auto"/>
          <w:lang w:val="en-GB"/>
        </w:rPr>
        <w:t xml:space="preserve"> communicat</w:t>
      </w:r>
      <w:r w:rsidR="00B02480" w:rsidRPr="00FE2A3C">
        <w:rPr>
          <w:rStyle w:val="LPpobarvan3"/>
          <w:shd w:val="clear" w:color="auto" w:fill="auto"/>
          <w:lang w:val="en-GB"/>
        </w:rPr>
        <w:t>e</w:t>
      </w:r>
      <w:r w:rsidRPr="00B02480">
        <w:rPr>
          <w:rStyle w:val="LPpobarvan3"/>
          <w:shd w:val="clear" w:color="auto" w:fill="auto"/>
          <w:lang w:val="en-GB"/>
        </w:rPr>
        <w:t xml:space="preserve"> with external</w:t>
      </w:r>
      <w:r w:rsidRPr="00CD2EEF">
        <w:rPr>
          <w:rStyle w:val="LPpobarvan3"/>
          <w:shd w:val="clear" w:color="auto" w:fill="auto"/>
          <w:lang w:val="en-GB"/>
        </w:rPr>
        <w:t xml:space="preserve"> organi</w:t>
      </w:r>
      <w:r w:rsidR="00E9756B">
        <w:rPr>
          <w:rStyle w:val="LPpobarvan3"/>
          <w:shd w:val="clear" w:color="auto" w:fill="auto"/>
          <w:lang w:val="en-GB"/>
        </w:rPr>
        <w:t>sation</w:t>
      </w:r>
      <w:r w:rsidRPr="00CD2EEF">
        <w:rPr>
          <w:rStyle w:val="LPpobarvan3"/>
          <w:shd w:val="clear" w:color="auto" w:fill="auto"/>
          <w:lang w:val="en-GB"/>
        </w:rPr>
        <w:t>s, three expert groups (</w:t>
      </w:r>
      <w:r w:rsidR="00152DAC">
        <w:rPr>
          <w:rStyle w:val="LPpobarvan3"/>
          <w:shd w:val="clear" w:color="auto" w:fill="auto"/>
          <w:lang w:val="en-GB"/>
        </w:rPr>
        <w:t xml:space="preserve">the </w:t>
      </w:r>
      <w:r w:rsidRPr="00CD2EEF">
        <w:rPr>
          <w:rStyle w:val="LPpobarvan3"/>
          <w:shd w:val="clear" w:color="auto" w:fill="auto"/>
          <w:lang w:val="en-GB"/>
        </w:rPr>
        <w:t xml:space="preserve">Nuclear Accident Analysis Expert Group (NAAEG), </w:t>
      </w:r>
      <w:r w:rsidR="00152DAC">
        <w:rPr>
          <w:rStyle w:val="LPpobarvan3"/>
          <w:shd w:val="clear" w:color="auto" w:fill="auto"/>
          <w:lang w:val="en-GB"/>
        </w:rPr>
        <w:t xml:space="preserve">the </w:t>
      </w:r>
      <w:r w:rsidRPr="00CD2EEF">
        <w:rPr>
          <w:rStyle w:val="LPpobarvan3"/>
          <w:shd w:val="clear" w:color="auto" w:fill="auto"/>
          <w:lang w:val="en-GB"/>
        </w:rPr>
        <w:t xml:space="preserve">Dose Assessment Expert Group (DAEG), </w:t>
      </w:r>
      <w:r w:rsidR="00152DAC">
        <w:rPr>
          <w:rStyle w:val="LPpobarvan3"/>
          <w:shd w:val="clear" w:color="auto" w:fill="auto"/>
          <w:lang w:val="en-GB"/>
        </w:rPr>
        <w:t xml:space="preserve">and the </w:t>
      </w:r>
      <w:r w:rsidRPr="00CD2EEF">
        <w:rPr>
          <w:rStyle w:val="LPpobarvan3"/>
          <w:shd w:val="clear" w:color="auto" w:fill="auto"/>
          <w:lang w:val="en-GB"/>
        </w:rPr>
        <w:t xml:space="preserve">Cyber Security Expert Group (CSEG)) and technical support, </w:t>
      </w:r>
      <w:r w:rsidR="00152DAC">
        <w:rPr>
          <w:rStyle w:val="LPpobarvan3"/>
          <w:shd w:val="clear" w:color="auto" w:fill="auto"/>
          <w:lang w:val="en-GB"/>
        </w:rPr>
        <w:t xml:space="preserve">a </w:t>
      </w:r>
      <w:r w:rsidRPr="00CD2EEF">
        <w:rPr>
          <w:rStyle w:val="LPpobarvan3"/>
          <w:shd w:val="clear" w:color="auto" w:fill="auto"/>
          <w:lang w:val="en-GB"/>
        </w:rPr>
        <w:t xml:space="preserve">representative </w:t>
      </w:r>
      <w:r w:rsidR="00152DAC" w:rsidRPr="00B02480">
        <w:rPr>
          <w:rStyle w:val="LPpobarvan3"/>
          <w:shd w:val="clear" w:color="auto" w:fill="auto"/>
          <w:lang w:val="en-GB"/>
        </w:rPr>
        <w:t xml:space="preserve">of the </w:t>
      </w:r>
      <w:r w:rsidRPr="00B02480">
        <w:rPr>
          <w:rStyle w:val="LPpobarvan3"/>
          <w:shd w:val="clear" w:color="auto" w:fill="auto"/>
          <w:lang w:val="en-GB"/>
        </w:rPr>
        <w:t>NPP of</w:t>
      </w:r>
      <w:r w:rsidR="00152DAC" w:rsidRPr="00B02480">
        <w:rPr>
          <w:rStyle w:val="LPpobarvan3"/>
          <w:shd w:val="clear" w:color="auto" w:fill="auto"/>
          <w:lang w:val="en-GB"/>
        </w:rPr>
        <w:t>f</w:t>
      </w:r>
      <w:r w:rsidRPr="00B02480">
        <w:rPr>
          <w:rStyle w:val="LPpobarvan3"/>
          <w:shd w:val="clear" w:color="auto" w:fill="auto"/>
          <w:lang w:val="en-GB"/>
        </w:rPr>
        <w:t xml:space="preserve">-site </w:t>
      </w:r>
      <w:r w:rsidR="00152DAC" w:rsidRPr="00B02480">
        <w:rPr>
          <w:rStyle w:val="LPpobarvan3"/>
          <w:shd w:val="clear" w:color="auto" w:fill="auto"/>
          <w:lang w:val="en-GB"/>
        </w:rPr>
        <w:t>centre</w:t>
      </w:r>
      <w:r w:rsidRPr="00B02480">
        <w:rPr>
          <w:rStyle w:val="LPpobarvan3"/>
          <w:shd w:val="clear" w:color="auto" w:fill="auto"/>
          <w:lang w:val="en-GB"/>
        </w:rPr>
        <w:t xml:space="preserve">, </w:t>
      </w:r>
      <w:r w:rsidR="00152DAC" w:rsidRPr="00B02480">
        <w:rPr>
          <w:rStyle w:val="LPpobarvan3"/>
          <w:shd w:val="clear" w:color="auto" w:fill="auto"/>
          <w:lang w:val="en-GB"/>
        </w:rPr>
        <w:t xml:space="preserve">a </w:t>
      </w:r>
      <w:r w:rsidRPr="00B02480">
        <w:rPr>
          <w:rStyle w:val="LPpobarvan3"/>
          <w:shd w:val="clear" w:color="auto" w:fill="auto"/>
          <w:lang w:val="en-GB"/>
        </w:rPr>
        <w:t xml:space="preserve">representative </w:t>
      </w:r>
      <w:r w:rsidR="00152DAC" w:rsidRPr="00B02480">
        <w:rPr>
          <w:rStyle w:val="LPpobarvan3"/>
          <w:shd w:val="clear" w:color="auto" w:fill="auto"/>
          <w:lang w:val="en-GB"/>
        </w:rPr>
        <w:t>of the</w:t>
      </w:r>
      <w:r w:rsidRPr="00B02480">
        <w:rPr>
          <w:rStyle w:val="LPpobarvan3"/>
          <w:shd w:val="clear" w:color="auto" w:fill="auto"/>
          <w:lang w:val="en-GB"/>
        </w:rPr>
        <w:t xml:space="preserve"> CP Headquarters</w:t>
      </w:r>
      <w:r w:rsidR="00152DAC" w:rsidRPr="00B02480">
        <w:rPr>
          <w:rStyle w:val="LPpobarvan3"/>
          <w:shd w:val="clear" w:color="auto" w:fill="auto"/>
          <w:lang w:val="en-GB"/>
        </w:rPr>
        <w:t>,</w:t>
      </w:r>
      <w:r w:rsidRPr="00B02480">
        <w:rPr>
          <w:rStyle w:val="LPpobarvan3"/>
          <w:shd w:val="clear" w:color="auto" w:fill="auto"/>
          <w:lang w:val="en-GB"/>
        </w:rPr>
        <w:t xml:space="preserve"> and </w:t>
      </w:r>
      <w:r w:rsidR="00152DAC" w:rsidRPr="00B02480">
        <w:rPr>
          <w:rStyle w:val="LPpobarvan3"/>
          <w:shd w:val="clear" w:color="auto" w:fill="auto"/>
          <w:lang w:val="en-GB"/>
        </w:rPr>
        <w:t xml:space="preserve">a </w:t>
      </w:r>
      <w:r w:rsidRPr="00B02480">
        <w:rPr>
          <w:rStyle w:val="LPpobarvan3"/>
          <w:shd w:val="clear" w:color="auto" w:fill="auto"/>
          <w:lang w:val="en-GB"/>
        </w:rPr>
        <w:t xml:space="preserve">representative </w:t>
      </w:r>
      <w:r w:rsidR="00152DAC" w:rsidRPr="00B02480">
        <w:rPr>
          <w:rStyle w:val="LPpobarvan3"/>
          <w:shd w:val="clear" w:color="auto" w:fill="auto"/>
          <w:lang w:val="en-GB"/>
        </w:rPr>
        <w:t>of the</w:t>
      </w:r>
      <w:r w:rsidR="00152DAC" w:rsidRPr="00CD2EEF">
        <w:rPr>
          <w:rStyle w:val="LPpobarvan3"/>
          <w:shd w:val="clear" w:color="auto" w:fill="auto"/>
          <w:lang w:val="en-GB"/>
        </w:rPr>
        <w:t xml:space="preserve"> </w:t>
      </w:r>
      <w:r w:rsidR="004C7B56" w:rsidRPr="00FE2A3C">
        <w:rPr>
          <w:rStyle w:val="LPpobarvan3"/>
          <w:shd w:val="clear" w:color="auto" w:fill="auto"/>
          <w:lang w:val="en-GB"/>
        </w:rPr>
        <w:t xml:space="preserve">Inter-ministerial </w:t>
      </w:r>
      <w:r w:rsidRPr="00FE2A3C">
        <w:rPr>
          <w:rStyle w:val="LPpobarvan3"/>
          <w:shd w:val="clear" w:color="auto" w:fill="auto"/>
          <w:lang w:val="en-GB"/>
        </w:rPr>
        <w:t>Operational Group. The CSEG was included in the ERT in 2021 to facilitate the need for expert support</w:t>
      </w:r>
      <w:r w:rsidRPr="00CD2EEF">
        <w:rPr>
          <w:rStyle w:val="LPpobarvan3"/>
          <w:shd w:val="clear" w:color="auto" w:fill="auto"/>
          <w:lang w:val="en-GB"/>
        </w:rPr>
        <w:t xml:space="preserve"> in the event of emergencies caused by a cyber-attack. The CSEG</w:t>
      </w:r>
      <w:r w:rsidR="00CF57A0">
        <w:rPr>
          <w:rStyle w:val="LPpobarvan3"/>
          <w:shd w:val="clear" w:color="auto" w:fill="auto"/>
          <w:lang w:val="en-GB"/>
        </w:rPr>
        <w:t>’s</w:t>
      </w:r>
      <w:r w:rsidRPr="00CD2EEF">
        <w:rPr>
          <w:rStyle w:val="LPpobarvan3"/>
          <w:shd w:val="clear" w:color="auto" w:fill="auto"/>
          <w:lang w:val="en-GB"/>
        </w:rPr>
        <w:t xml:space="preserve"> task is to connect key domestic and foreign stakeholders, namely managers of nuclear facilities, industry, transport, suppliers of computer equipment, the administrative authority for information security</w:t>
      </w:r>
      <w:r w:rsidR="00CF57A0">
        <w:rPr>
          <w:rStyle w:val="LPpobarvan3"/>
          <w:shd w:val="clear" w:color="auto" w:fill="auto"/>
          <w:lang w:val="en-GB"/>
        </w:rPr>
        <w:t>,</w:t>
      </w:r>
      <w:r w:rsidRPr="00CD2EEF">
        <w:rPr>
          <w:rStyle w:val="LPpobarvan3"/>
          <w:shd w:val="clear" w:color="auto" w:fill="auto"/>
          <w:lang w:val="en-GB"/>
        </w:rPr>
        <w:t xml:space="preserve"> and technical support organi</w:t>
      </w:r>
      <w:r w:rsidR="00E9756B">
        <w:rPr>
          <w:rStyle w:val="LPpobarvan3"/>
          <w:shd w:val="clear" w:color="auto" w:fill="auto"/>
          <w:lang w:val="en-GB"/>
        </w:rPr>
        <w:t>sation</w:t>
      </w:r>
      <w:r w:rsidRPr="00CD2EEF">
        <w:rPr>
          <w:rStyle w:val="LPpobarvan3"/>
          <w:shd w:val="clear" w:color="auto" w:fill="auto"/>
          <w:lang w:val="en-GB"/>
        </w:rPr>
        <w:t xml:space="preserve">s, cooperation with </w:t>
      </w:r>
      <w:r w:rsidR="00CF57A0">
        <w:rPr>
          <w:rStyle w:val="LPpobarvan3"/>
          <w:shd w:val="clear" w:color="auto" w:fill="auto"/>
          <w:lang w:val="en-GB"/>
        </w:rPr>
        <w:t xml:space="preserve">the </w:t>
      </w:r>
      <w:r w:rsidRPr="00CD2EEF">
        <w:rPr>
          <w:rStyle w:val="LPpobarvan3"/>
          <w:shd w:val="clear" w:color="auto" w:fill="auto"/>
          <w:lang w:val="en-GB"/>
        </w:rPr>
        <w:t xml:space="preserve">NAAEG and </w:t>
      </w:r>
      <w:r w:rsidR="00CF57A0">
        <w:rPr>
          <w:rStyle w:val="LPpobarvan3"/>
          <w:shd w:val="clear" w:color="auto" w:fill="auto"/>
          <w:lang w:val="en-GB"/>
        </w:rPr>
        <w:t xml:space="preserve">the </w:t>
      </w:r>
      <w:r w:rsidRPr="00CD2EEF">
        <w:rPr>
          <w:rStyle w:val="LPpobarvan3"/>
          <w:shd w:val="clear" w:color="auto" w:fill="auto"/>
          <w:lang w:val="en-GB"/>
        </w:rPr>
        <w:t>DAEG</w:t>
      </w:r>
      <w:r w:rsidR="00CF57A0">
        <w:rPr>
          <w:rStyle w:val="LPpobarvan3"/>
          <w:shd w:val="clear" w:color="auto" w:fill="auto"/>
          <w:lang w:val="en-GB"/>
        </w:rPr>
        <w:t>,</w:t>
      </w:r>
      <w:r w:rsidRPr="00CD2EEF">
        <w:rPr>
          <w:rStyle w:val="LPpobarvan3"/>
          <w:shd w:val="clear" w:color="auto" w:fill="auto"/>
          <w:lang w:val="en-GB"/>
        </w:rPr>
        <w:t xml:space="preserve"> and informing and advising ETD. The full composition of the ERT </w:t>
      </w:r>
      <w:r w:rsidR="00CF57A0" w:rsidRPr="00CD2EEF">
        <w:rPr>
          <w:rStyle w:val="LPpobarvan3"/>
          <w:shd w:val="clear" w:color="auto" w:fill="auto"/>
          <w:lang w:val="en-GB"/>
        </w:rPr>
        <w:t xml:space="preserve">now </w:t>
      </w:r>
      <w:r w:rsidRPr="00CD2EEF">
        <w:rPr>
          <w:rStyle w:val="LPpobarvan3"/>
          <w:shd w:val="clear" w:color="auto" w:fill="auto"/>
          <w:lang w:val="en-GB"/>
        </w:rPr>
        <w:t>has 21 members (previously 19), and members work in two shifts.</w:t>
      </w:r>
    </w:p>
    <w:p w14:paraId="0049B3B6" w14:textId="3122915D" w:rsidR="00FA3624" w:rsidRPr="00CD2EEF" w:rsidRDefault="000941AF" w:rsidP="005176E0">
      <w:pPr>
        <w:pStyle w:val="LPnavaden"/>
        <w:rPr>
          <w:rStyle w:val="LPpobarvan3"/>
          <w:shd w:val="clear" w:color="auto" w:fill="auto"/>
          <w:lang w:val="en-GB"/>
        </w:rPr>
      </w:pPr>
      <w:r>
        <w:rPr>
          <w:rStyle w:val="LPpobarvan3"/>
          <w:shd w:val="clear" w:color="auto" w:fill="auto"/>
          <w:lang w:val="en-GB"/>
        </w:rPr>
        <w:t>T</w:t>
      </w:r>
      <w:r w:rsidR="00E63423">
        <w:rPr>
          <w:rStyle w:val="LPpobarvan3"/>
          <w:shd w:val="clear" w:color="auto" w:fill="auto"/>
          <w:lang w:val="en-GB"/>
        </w:rPr>
        <w:t>he SNSA</w:t>
      </w:r>
      <w:r w:rsidR="00F21D56">
        <w:rPr>
          <w:rStyle w:val="LPpobarvan3"/>
          <w:shd w:val="clear" w:color="auto" w:fill="auto"/>
          <w:lang w:val="en-GB"/>
        </w:rPr>
        <w:t>’</w:t>
      </w:r>
      <w:r w:rsidR="00FA3624" w:rsidRPr="00CD2EEF">
        <w:rPr>
          <w:rStyle w:val="LPpobarvan3"/>
          <w:shd w:val="clear" w:color="auto" w:fill="auto"/>
          <w:lang w:val="en-GB"/>
        </w:rPr>
        <w:t>s ability to respon</w:t>
      </w:r>
      <w:r>
        <w:rPr>
          <w:rStyle w:val="LPpobarvan3"/>
          <w:shd w:val="clear" w:color="auto" w:fill="auto"/>
          <w:lang w:val="en-GB"/>
        </w:rPr>
        <w:t>d</w:t>
      </w:r>
      <w:r w:rsidR="00FA3624" w:rsidRPr="00CD2EEF">
        <w:rPr>
          <w:rStyle w:val="LPpobarvan3"/>
          <w:shd w:val="clear" w:color="auto" w:fill="auto"/>
          <w:lang w:val="en-GB"/>
        </w:rPr>
        <w:t xml:space="preserve"> in the event of an emergency is ensured through regular training of ERT members, regular maintenance and checking of the operation of software and other </w:t>
      </w:r>
      <w:r w:rsidR="00FA3624" w:rsidRPr="00CD2EEF">
        <w:rPr>
          <w:rStyle w:val="LPpobarvan3"/>
          <w:shd w:val="clear" w:color="auto" w:fill="auto"/>
          <w:lang w:val="en-GB"/>
        </w:rPr>
        <w:lastRenderedPageBreak/>
        <w:t>equipment, regular reviews of all relevant organi</w:t>
      </w:r>
      <w:r w:rsidR="00E9756B">
        <w:rPr>
          <w:rStyle w:val="LPpobarvan3"/>
          <w:shd w:val="clear" w:color="auto" w:fill="auto"/>
          <w:lang w:val="en-GB"/>
        </w:rPr>
        <w:t>sation</w:t>
      </w:r>
      <w:r w:rsidR="00FA3624" w:rsidRPr="00CD2EEF">
        <w:rPr>
          <w:rStyle w:val="LPpobarvan3"/>
          <w:shd w:val="clear" w:color="auto" w:fill="auto"/>
          <w:lang w:val="en-GB"/>
        </w:rPr>
        <w:t xml:space="preserve">al procedures and instructions, participation in international activities, </w:t>
      </w:r>
      <w:r>
        <w:rPr>
          <w:rStyle w:val="LPpobarvan3"/>
          <w:shd w:val="clear" w:color="auto" w:fill="auto"/>
          <w:lang w:val="en-GB"/>
        </w:rPr>
        <w:t xml:space="preserve">and </w:t>
      </w:r>
      <w:r w:rsidR="00FA3624" w:rsidRPr="00CD2EEF">
        <w:rPr>
          <w:rStyle w:val="LPpobarvan3"/>
          <w:shd w:val="clear" w:color="auto" w:fill="auto"/>
          <w:lang w:val="en-GB"/>
        </w:rPr>
        <w:t xml:space="preserve">testing the preparedness and response system </w:t>
      </w:r>
      <w:r>
        <w:rPr>
          <w:rStyle w:val="LPpobarvan3"/>
          <w:shd w:val="clear" w:color="auto" w:fill="auto"/>
          <w:lang w:val="en-GB"/>
        </w:rPr>
        <w:t>by means of</w:t>
      </w:r>
      <w:r w:rsidRPr="00CD2EEF">
        <w:rPr>
          <w:rStyle w:val="LPpobarvan3"/>
          <w:shd w:val="clear" w:color="auto" w:fill="auto"/>
          <w:lang w:val="en-GB"/>
        </w:rPr>
        <w:t xml:space="preserve"> </w:t>
      </w:r>
      <w:r w:rsidR="00FA3624" w:rsidRPr="00CD2EEF">
        <w:rPr>
          <w:rStyle w:val="LPpobarvan3"/>
          <w:shd w:val="clear" w:color="auto" w:fill="auto"/>
          <w:lang w:val="en-GB"/>
        </w:rPr>
        <w:t>domestic and international exercises.</w:t>
      </w:r>
    </w:p>
    <w:p w14:paraId="26800684" w14:textId="3A7761BC" w:rsidR="00FA3624" w:rsidRPr="00CD2EEF" w:rsidRDefault="00FA3624" w:rsidP="003D647E">
      <w:pPr>
        <w:pStyle w:val="LPnavaden"/>
        <w:rPr>
          <w:rStyle w:val="LPpobarvan3"/>
          <w:shd w:val="clear" w:color="auto" w:fill="auto"/>
          <w:lang w:val="en-GB"/>
        </w:rPr>
      </w:pPr>
      <w:r w:rsidRPr="00CD2EEF">
        <w:rPr>
          <w:lang w:val="en-GB"/>
        </w:rPr>
        <w:t xml:space="preserve">As the tasks during an emergency differ </w:t>
      </w:r>
      <w:r w:rsidR="005F5627" w:rsidRPr="00CD2EEF">
        <w:rPr>
          <w:lang w:val="en-GB"/>
        </w:rPr>
        <w:t xml:space="preserve">significantly </w:t>
      </w:r>
      <w:r w:rsidRPr="00CD2EEF">
        <w:rPr>
          <w:lang w:val="en-GB"/>
        </w:rPr>
        <w:t xml:space="preserve">from the regular work of </w:t>
      </w:r>
      <w:r w:rsidR="00E63423">
        <w:rPr>
          <w:lang w:val="en-GB"/>
        </w:rPr>
        <w:t>SNSA</w:t>
      </w:r>
      <w:r w:rsidRPr="00CD2EEF">
        <w:rPr>
          <w:lang w:val="en-GB"/>
        </w:rPr>
        <w:t xml:space="preserve"> employees, </w:t>
      </w:r>
      <w:r w:rsidR="00EB646C">
        <w:rPr>
          <w:lang w:val="en-GB"/>
        </w:rPr>
        <w:t xml:space="preserve">the </w:t>
      </w:r>
      <w:r w:rsidRPr="00CD2EEF">
        <w:rPr>
          <w:lang w:val="en-GB"/>
        </w:rPr>
        <w:t>training</w:t>
      </w:r>
      <w:r w:rsidR="00EB646C">
        <w:rPr>
          <w:lang w:val="en-GB"/>
        </w:rPr>
        <w:t xml:space="preserve"> programmes</w:t>
      </w:r>
      <w:r w:rsidRPr="00CD2EEF">
        <w:rPr>
          <w:lang w:val="en-GB"/>
        </w:rPr>
        <w:t xml:space="preserve"> of </w:t>
      </w:r>
      <w:r w:rsidR="00E63423">
        <w:rPr>
          <w:lang w:val="en-GB"/>
        </w:rPr>
        <w:t>the SNSA</w:t>
      </w:r>
      <w:r w:rsidRPr="00CD2EEF">
        <w:rPr>
          <w:lang w:val="en-GB"/>
        </w:rPr>
        <w:t xml:space="preserve"> </w:t>
      </w:r>
      <w:r w:rsidR="00745936" w:rsidRPr="00FE2A3C">
        <w:rPr>
          <w:rStyle w:val="LPpobarvan3"/>
          <w:shd w:val="clear" w:color="auto" w:fill="auto"/>
          <w:lang w:val="en-GB"/>
        </w:rPr>
        <w:t>Emergency Response Team</w:t>
      </w:r>
      <w:r w:rsidR="00745936" w:rsidRPr="00CD2EEF">
        <w:rPr>
          <w:rStyle w:val="LPpobarvan3"/>
          <w:shd w:val="clear" w:color="auto" w:fill="auto"/>
          <w:lang w:val="en-GB"/>
        </w:rPr>
        <w:t xml:space="preserve"> </w:t>
      </w:r>
      <w:r w:rsidRPr="00CD2EEF">
        <w:rPr>
          <w:lang w:val="en-GB"/>
        </w:rPr>
        <w:t xml:space="preserve">members are very important. The Covid-19 </w:t>
      </w:r>
      <w:r w:rsidR="00BE025A">
        <w:rPr>
          <w:lang w:val="en-GB"/>
        </w:rPr>
        <w:t>epi</w:t>
      </w:r>
      <w:r w:rsidRPr="00CD2EEF">
        <w:rPr>
          <w:lang w:val="en-GB"/>
        </w:rPr>
        <w:t>demic influenced the implementation of training</w:t>
      </w:r>
      <w:r w:rsidR="00EB646C">
        <w:rPr>
          <w:lang w:val="en-GB"/>
        </w:rPr>
        <w:t xml:space="preserve"> programmes</w:t>
      </w:r>
      <w:r w:rsidR="00EB646C" w:rsidRPr="00CD2EEF">
        <w:rPr>
          <w:lang w:val="en-GB"/>
        </w:rPr>
        <w:t xml:space="preserve"> </w:t>
      </w:r>
      <w:r w:rsidRPr="00CD2EEF">
        <w:rPr>
          <w:lang w:val="en-GB"/>
        </w:rPr>
        <w:t xml:space="preserve">and exercises at </w:t>
      </w:r>
      <w:r w:rsidR="00A726E8">
        <w:rPr>
          <w:lang w:val="en-GB"/>
        </w:rPr>
        <w:t>the</w:t>
      </w:r>
      <w:r w:rsidR="00E63423">
        <w:rPr>
          <w:lang w:val="en-GB"/>
        </w:rPr>
        <w:t xml:space="preserve"> SNSA</w:t>
      </w:r>
      <w:r w:rsidRPr="00CD2EEF">
        <w:rPr>
          <w:lang w:val="en-GB"/>
        </w:rPr>
        <w:t xml:space="preserve"> also in 2021. From January to June 2021 and from November </w:t>
      </w:r>
      <w:r w:rsidR="00EB646C">
        <w:rPr>
          <w:lang w:val="en-GB"/>
        </w:rPr>
        <w:t>until</w:t>
      </w:r>
      <w:r w:rsidR="00EB646C" w:rsidRPr="00CD2EEF">
        <w:rPr>
          <w:lang w:val="en-GB"/>
        </w:rPr>
        <w:t xml:space="preserve"> </w:t>
      </w:r>
      <w:r w:rsidRPr="00CD2EEF">
        <w:rPr>
          <w:lang w:val="en-GB"/>
        </w:rPr>
        <w:t xml:space="preserve">the end of the year 2021, most of </w:t>
      </w:r>
      <w:r w:rsidR="00A726E8">
        <w:rPr>
          <w:lang w:val="en-GB"/>
        </w:rPr>
        <w:t>the</w:t>
      </w:r>
      <w:r w:rsidR="00E63423">
        <w:rPr>
          <w:lang w:val="en-GB"/>
        </w:rPr>
        <w:t xml:space="preserve"> SNSA</w:t>
      </w:r>
      <w:r w:rsidRPr="00CD2EEF">
        <w:rPr>
          <w:lang w:val="en-GB"/>
        </w:rPr>
        <w:t xml:space="preserve"> staff was working from home, with the aim </w:t>
      </w:r>
      <w:r w:rsidR="00EB646C">
        <w:rPr>
          <w:lang w:val="en-GB"/>
        </w:rPr>
        <w:t>of</w:t>
      </w:r>
      <w:r w:rsidR="00EB646C" w:rsidRPr="00CD2EEF">
        <w:rPr>
          <w:lang w:val="en-GB"/>
        </w:rPr>
        <w:t xml:space="preserve"> </w:t>
      </w:r>
      <w:r w:rsidRPr="00CD2EEF">
        <w:rPr>
          <w:lang w:val="en-GB"/>
        </w:rPr>
        <w:t>significantly reduc</w:t>
      </w:r>
      <w:r w:rsidR="00EB646C">
        <w:rPr>
          <w:lang w:val="en-GB"/>
        </w:rPr>
        <w:t>ing</w:t>
      </w:r>
      <w:r w:rsidRPr="00CD2EEF">
        <w:rPr>
          <w:lang w:val="en-GB"/>
        </w:rPr>
        <w:t xml:space="preserve"> the staff present at </w:t>
      </w:r>
      <w:r w:rsidR="00A726E8">
        <w:rPr>
          <w:lang w:val="en-GB"/>
        </w:rPr>
        <w:t>the</w:t>
      </w:r>
      <w:r w:rsidR="00E63423">
        <w:rPr>
          <w:lang w:val="en-GB"/>
        </w:rPr>
        <w:t xml:space="preserve"> SNSA</w:t>
      </w:r>
      <w:r w:rsidRPr="00CD2EEF">
        <w:rPr>
          <w:lang w:val="en-GB"/>
        </w:rPr>
        <w:t xml:space="preserve"> headquarters. Most of the training</w:t>
      </w:r>
      <w:r w:rsidR="00EB646C" w:rsidRPr="00EB646C">
        <w:rPr>
          <w:lang w:val="en-GB"/>
        </w:rPr>
        <w:t xml:space="preserve"> </w:t>
      </w:r>
      <w:r w:rsidR="00EB646C">
        <w:rPr>
          <w:lang w:val="en-GB"/>
        </w:rPr>
        <w:t>programmes</w:t>
      </w:r>
      <w:r w:rsidRPr="00CD2EEF">
        <w:rPr>
          <w:lang w:val="en-GB"/>
        </w:rPr>
        <w:t xml:space="preserve"> and exercises were adjusted to this situation and conducted remotely using various on-line solutions or were conducted in small groups. </w:t>
      </w:r>
      <w:r w:rsidR="00A726E8">
        <w:rPr>
          <w:rStyle w:val="LPpobarvan2"/>
          <w:shd w:val="clear" w:color="auto" w:fill="auto"/>
          <w:lang w:val="en-GB"/>
        </w:rPr>
        <w:t>The</w:t>
      </w:r>
      <w:r w:rsidR="00E63423">
        <w:rPr>
          <w:rStyle w:val="LPpobarvan2"/>
          <w:shd w:val="clear" w:color="auto" w:fill="auto"/>
          <w:lang w:val="en-GB"/>
        </w:rPr>
        <w:t xml:space="preserve"> SNSA</w:t>
      </w:r>
      <w:r w:rsidRPr="00CD2EEF">
        <w:rPr>
          <w:rStyle w:val="LPpobarvan2"/>
          <w:shd w:val="clear" w:color="auto" w:fill="auto"/>
          <w:lang w:val="en-GB"/>
        </w:rPr>
        <w:t xml:space="preserve"> </w:t>
      </w:r>
      <w:r w:rsidR="00745936" w:rsidRPr="00FE2A3C">
        <w:rPr>
          <w:rStyle w:val="LPpobarvan3"/>
          <w:shd w:val="clear" w:color="auto" w:fill="auto"/>
          <w:lang w:val="en-GB"/>
        </w:rPr>
        <w:t>Emergency Response Team</w:t>
      </w:r>
      <w:r w:rsidR="00745936" w:rsidRPr="00745936">
        <w:rPr>
          <w:rStyle w:val="LPpobarvan3"/>
          <w:shd w:val="clear" w:color="auto" w:fill="auto"/>
          <w:lang w:val="en-GB"/>
        </w:rPr>
        <w:t xml:space="preserve"> </w:t>
      </w:r>
      <w:r w:rsidRPr="00745936">
        <w:rPr>
          <w:rStyle w:val="LPpobarvan2"/>
          <w:shd w:val="clear" w:color="auto" w:fill="auto"/>
          <w:lang w:val="en-GB"/>
        </w:rPr>
        <w:t>members</w:t>
      </w:r>
      <w:r w:rsidRPr="00CD2EEF">
        <w:rPr>
          <w:rStyle w:val="LPpobarvan2"/>
          <w:shd w:val="clear" w:color="auto" w:fill="auto"/>
          <w:lang w:val="en-GB"/>
        </w:rPr>
        <w:t xml:space="preserve"> also attended many IAEA webinars and on-line workshops on emergency preparedness and response. Therefore, in 2021, </w:t>
      </w:r>
      <w:r w:rsidR="00A726E8">
        <w:rPr>
          <w:rStyle w:val="LPpobarvan2"/>
          <w:shd w:val="clear" w:color="auto" w:fill="auto"/>
          <w:lang w:val="en-GB"/>
        </w:rPr>
        <w:t>the</w:t>
      </w:r>
      <w:r w:rsidR="00E63423">
        <w:rPr>
          <w:rStyle w:val="LPpobarvan2"/>
          <w:shd w:val="clear" w:color="auto" w:fill="auto"/>
          <w:lang w:val="en-GB"/>
        </w:rPr>
        <w:t xml:space="preserve"> SNSA</w:t>
      </w:r>
      <w:r w:rsidRPr="00CD2EEF">
        <w:rPr>
          <w:rStyle w:val="LPpobarvan2"/>
          <w:shd w:val="clear" w:color="auto" w:fill="auto"/>
          <w:lang w:val="en-GB"/>
        </w:rPr>
        <w:t xml:space="preserve"> conducted</w:t>
      </w:r>
      <w:r w:rsidRPr="00CD2EEF">
        <w:rPr>
          <w:rStyle w:val="LPpobarvan3"/>
          <w:shd w:val="clear" w:color="auto" w:fill="auto"/>
          <w:lang w:val="en-GB"/>
        </w:rPr>
        <w:t xml:space="preserve"> 120 individual and group </w:t>
      </w:r>
      <w:r w:rsidRPr="000C43D3">
        <w:rPr>
          <w:rStyle w:val="LPpobarvan3"/>
          <w:shd w:val="clear" w:color="auto" w:fill="auto"/>
          <w:lang w:val="en-GB"/>
        </w:rPr>
        <w:t>training courses,</w:t>
      </w:r>
      <w:r w:rsidRPr="00CD2EEF">
        <w:rPr>
          <w:rStyle w:val="LPpobarvan3"/>
          <w:shd w:val="clear" w:color="auto" w:fill="auto"/>
          <w:lang w:val="en-GB"/>
        </w:rPr>
        <w:t xml:space="preserve"> tests, and exercises</w:t>
      </w:r>
      <w:r w:rsidR="0012704A">
        <w:rPr>
          <w:rStyle w:val="LPpobarvan3"/>
          <w:shd w:val="clear" w:color="auto" w:fill="auto"/>
          <w:lang w:val="en-GB"/>
        </w:rPr>
        <w:t>,</w:t>
      </w:r>
      <w:r w:rsidRPr="00CD2EEF">
        <w:rPr>
          <w:rStyle w:val="LPpobarvan3"/>
          <w:shd w:val="clear" w:color="auto" w:fill="auto"/>
          <w:lang w:val="en-GB"/>
        </w:rPr>
        <w:t xml:space="preserve"> total</w:t>
      </w:r>
      <w:r w:rsidR="00BE0188" w:rsidRPr="00CD2EEF">
        <w:rPr>
          <w:rStyle w:val="LPpobarvan3"/>
          <w:shd w:val="clear" w:color="auto" w:fill="auto"/>
          <w:lang w:val="en-GB"/>
        </w:rPr>
        <w:t>l</w:t>
      </w:r>
      <w:r w:rsidRPr="00CD2EEF">
        <w:rPr>
          <w:rStyle w:val="LPpobarvan3"/>
          <w:shd w:val="clear" w:color="auto" w:fill="auto"/>
          <w:lang w:val="en-GB"/>
        </w:rPr>
        <w:t xml:space="preserve">ing 396.5 hours. </w:t>
      </w:r>
      <w:r w:rsidR="00A726E8">
        <w:rPr>
          <w:rStyle w:val="LPpobarvan3"/>
          <w:shd w:val="clear" w:color="auto" w:fill="auto"/>
          <w:lang w:val="en-GB"/>
        </w:rPr>
        <w:t>The</w:t>
      </w:r>
      <w:r w:rsidR="00E63423">
        <w:rPr>
          <w:rStyle w:val="LPpobarvan3"/>
          <w:shd w:val="clear" w:color="auto" w:fill="auto"/>
          <w:lang w:val="en-GB"/>
        </w:rPr>
        <w:t xml:space="preserve"> SNSA</w:t>
      </w:r>
      <w:r w:rsidRPr="00CD2EEF">
        <w:rPr>
          <w:rStyle w:val="LPpobarvan3"/>
          <w:shd w:val="clear" w:color="auto" w:fill="auto"/>
          <w:lang w:val="en-GB"/>
        </w:rPr>
        <w:t xml:space="preserve"> participated in the regular annual exercise of </w:t>
      </w:r>
      <w:r w:rsidR="001B146F">
        <w:rPr>
          <w:rStyle w:val="LPpobarvan3"/>
          <w:shd w:val="clear" w:color="auto" w:fill="auto"/>
          <w:lang w:val="en-GB"/>
        </w:rPr>
        <w:t>the Krško NPP</w:t>
      </w:r>
      <w:r w:rsidRPr="00CD2EEF">
        <w:rPr>
          <w:rStyle w:val="LPpobarvan3"/>
          <w:shd w:val="clear" w:color="auto" w:fill="auto"/>
          <w:lang w:val="en-GB"/>
        </w:rPr>
        <w:t xml:space="preserve"> in spring 2021. It was carried out in two iterations due to the situation with Covid-19, as this was the only way to ensure the epidemiological recommendations to prevent the spread of </w:t>
      </w:r>
      <w:r w:rsidR="004140BE">
        <w:rPr>
          <w:rStyle w:val="LPpobarvan3"/>
          <w:shd w:val="clear" w:color="auto" w:fill="auto"/>
          <w:lang w:val="en-GB"/>
        </w:rPr>
        <w:t xml:space="preserve">the </w:t>
      </w:r>
      <w:r w:rsidRPr="00CD2EEF">
        <w:rPr>
          <w:rStyle w:val="LPpobarvan3"/>
          <w:shd w:val="clear" w:color="auto" w:fill="auto"/>
          <w:lang w:val="en-GB"/>
        </w:rPr>
        <w:t xml:space="preserve">Covid-19 </w:t>
      </w:r>
      <w:r w:rsidR="004140BE">
        <w:rPr>
          <w:rStyle w:val="LPpobarvan3"/>
          <w:shd w:val="clear" w:color="auto" w:fill="auto"/>
          <w:lang w:val="en-GB"/>
        </w:rPr>
        <w:t>disease</w:t>
      </w:r>
      <w:r w:rsidR="004140BE" w:rsidRPr="00CD2EEF">
        <w:rPr>
          <w:rStyle w:val="LPpobarvan3"/>
          <w:shd w:val="clear" w:color="auto" w:fill="auto"/>
          <w:lang w:val="en-GB"/>
        </w:rPr>
        <w:t xml:space="preserve"> </w:t>
      </w:r>
      <w:r w:rsidRPr="00CD2EEF">
        <w:rPr>
          <w:rStyle w:val="LPpobarvan3"/>
          <w:shd w:val="clear" w:color="auto" w:fill="auto"/>
          <w:lang w:val="en-GB"/>
        </w:rPr>
        <w:t xml:space="preserve">and to comply with the measures valid at the time of the exercise. </w:t>
      </w:r>
      <w:r w:rsidR="00A726E8">
        <w:rPr>
          <w:rStyle w:val="LPpobarvan3"/>
          <w:shd w:val="clear" w:color="auto" w:fill="auto"/>
          <w:lang w:val="en-GB"/>
        </w:rPr>
        <w:t>The</w:t>
      </w:r>
      <w:r w:rsidR="00E63423">
        <w:rPr>
          <w:rStyle w:val="LPpobarvan3"/>
          <w:shd w:val="clear" w:color="auto" w:fill="auto"/>
          <w:lang w:val="en-GB"/>
        </w:rPr>
        <w:t xml:space="preserve"> SNSA</w:t>
      </w:r>
      <w:r w:rsidRPr="00CD2EEF">
        <w:rPr>
          <w:rStyle w:val="LPpobarvan3"/>
          <w:shd w:val="clear" w:color="auto" w:fill="auto"/>
          <w:lang w:val="en-GB"/>
        </w:rPr>
        <w:t xml:space="preserve"> also participated in several international IAEA exercises: ConvEx-2a, 2b</w:t>
      </w:r>
      <w:r w:rsidR="004454F6">
        <w:rPr>
          <w:rStyle w:val="LPpobarvan3"/>
          <w:shd w:val="clear" w:color="auto" w:fill="auto"/>
          <w:lang w:val="en-GB"/>
        </w:rPr>
        <w:t>,</w:t>
      </w:r>
      <w:r w:rsidRPr="00CD2EEF">
        <w:rPr>
          <w:rStyle w:val="LPpobarvan3"/>
          <w:shd w:val="clear" w:color="auto" w:fill="auto"/>
          <w:lang w:val="en-GB"/>
        </w:rPr>
        <w:t xml:space="preserve"> and ConvEx-3. The largest of these was the ConvEx-3 exercise, which was also an exercise of the European Commission</w:t>
      </w:r>
      <w:r w:rsidR="008342C3">
        <w:rPr>
          <w:rStyle w:val="LPpobarvan3"/>
          <w:shd w:val="clear" w:color="auto" w:fill="auto"/>
          <w:lang w:val="en-GB"/>
        </w:rPr>
        <w:t xml:space="preserve"> – </w:t>
      </w:r>
      <w:r w:rsidRPr="00CD2EEF">
        <w:rPr>
          <w:rStyle w:val="LPpobarvan3"/>
          <w:shd w:val="clear" w:color="auto" w:fill="auto"/>
          <w:lang w:val="en-GB"/>
        </w:rPr>
        <w:t xml:space="preserve">ECUREX 2021. It took place continuously for two days </w:t>
      </w:r>
      <w:r w:rsidR="00B64867">
        <w:rPr>
          <w:rStyle w:val="LPpobarvan3"/>
          <w:shd w:val="clear" w:color="auto" w:fill="auto"/>
          <w:lang w:val="en-GB"/>
        </w:rPr>
        <w:t>and involved</w:t>
      </w:r>
      <w:r w:rsidR="00B64867" w:rsidRPr="00CD2EEF">
        <w:rPr>
          <w:rStyle w:val="LPpobarvan3"/>
          <w:shd w:val="clear" w:color="auto" w:fill="auto"/>
          <w:lang w:val="en-GB"/>
        </w:rPr>
        <w:t xml:space="preserve"> </w:t>
      </w:r>
      <w:r w:rsidR="00B64867">
        <w:rPr>
          <w:rStyle w:val="LPpobarvan3"/>
          <w:shd w:val="clear" w:color="auto" w:fill="auto"/>
          <w:lang w:val="en-GB"/>
        </w:rPr>
        <w:t>the</w:t>
      </w:r>
      <w:r w:rsidR="00B64867" w:rsidRPr="00CD2EEF">
        <w:rPr>
          <w:rStyle w:val="LPpobarvan3"/>
          <w:shd w:val="clear" w:color="auto" w:fill="auto"/>
          <w:lang w:val="en-GB"/>
        </w:rPr>
        <w:t xml:space="preserve"> </w:t>
      </w:r>
      <w:r w:rsidRPr="00CD2EEF">
        <w:rPr>
          <w:rStyle w:val="LPpobarvan3"/>
          <w:shd w:val="clear" w:color="auto" w:fill="auto"/>
          <w:lang w:val="en-GB"/>
        </w:rPr>
        <w:t xml:space="preserve">scenario of a nuclear accident </w:t>
      </w:r>
      <w:r w:rsidR="00B64867">
        <w:rPr>
          <w:rStyle w:val="LPpobarvan3"/>
          <w:shd w:val="clear" w:color="auto" w:fill="auto"/>
          <w:lang w:val="en-GB"/>
        </w:rPr>
        <w:t>at</w:t>
      </w:r>
      <w:r w:rsidR="00B64867" w:rsidRPr="00CD2EEF">
        <w:rPr>
          <w:rStyle w:val="LPpobarvan3"/>
          <w:shd w:val="clear" w:color="auto" w:fill="auto"/>
          <w:lang w:val="en-GB"/>
        </w:rPr>
        <w:t xml:space="preserve"> </w:t>
      </w:r>
      <w:r w:rsidRPr="00CD2EEF">
        <w:rPr>
          <w:rStyle w:val="LPpobarvan3"/>
          <w:shd w:val="clear" w:color="auto" w:fill="auto"/>
          <w:lang w:val="en-GB"/>
        </w:rPr>
        <w:t>the Barakah nuclear power plant, in the United Arab Emirates. The purpose of the exercise was to test the international procedures in the field of emergency preparedness and response, including the exchange of information between countries, public information, assessment</w:t>
      </w:r>
      <w:r w:rsidR="005F01DE">
        <w:rPr>
          <w:rStyle w:val="LPpobarvan3"/>
          <w:shd w:val="clear" w:color="auto" w:fill="auto"/>
          <w:lang w:val="en-GB"/>
        </w:rPr>
        <w:t>,</w:t>
      </w:r>
      <w:r w:rsidRPr="00CD2EEF">
        <w:rPr>
          <w:rStyle w:val="LPpobarvan3"/>
          <w:shd w:val="clear" w:color="auto" w:fill="auto"/>
          <w:lang w:val="en-GB"/>
        </w:rPr>
        <w:t xml:space="preserve"> and prognosis procedures, and lastly als</w:t>
      </w:r>
      <w:r w:rsidR="00AC2CB5">
        <w:rPr>
          <w:rStyle w:val="LPpobarvan3"/>
          <w:shd w:val="clear" w:color="auto" w:fill="auto"/>
          <w:lang w:val="en-GB"/>
        </w:rPr>
        <w:t xml:space="preserve">o </w:t>
      </w:r>
      <w:r w:rsidRPr="00CD2EEF">
        <w:rPr>
          <w:rStyle w:val="LPpobarvan3"/>
          <w:shd w:val="clear" w:color="auto" w:fill="auto"/>
          <w:lang w:val="en-GB"/>
        </w:rPr>
        <w:t>requesting and offering international assistance. This was the first exercise in history whe</w:t>
      </w:r>
      <w:r w:rsidR="006F168F">
        <w:rPr>
          <w:rStyle w:val="LPpobarvan3"/>
          <w:shd w:val="clear" w:color="auto" w:fill="auto"/>
          <w:lang w:val="en-GB"/>
        </w:rPr>
        <w:t>re</w:t>
      </w:r>
      <w:r w:rsidRPr="00CD2EEF">
        <w:rPr>
          <w:rStyle w:val="LPpobarvan3"/>
          <w:shd w:val="clear" w:color="auto" w:fill="auto"/>
          <w:lang w:val="en-GB"/>
        </w:rPr>
        <w:t xml:space="preserve"> a selected team of experts was actually sent to the field as part of the verification of international assistance procedures.</w:t>
      </w:r>
    </w:p>
    <w:p w14:paraId="1886AEAE" w14:textId="641674DA" w:rsidR="00FA3624" w:rsidRPr="00CD2EEF" w:rsidRDefault="00FA3624" w:rsidP="005176E0">
      <w:pPr>
        <w:pStyle w:val="LPnavaden"/>
        <w:rPr>
          <w:rStyle w:val="LPpobarvan3"/>
          <w:shd w:val="clear" w:color="auto" w:fill="auto"/>
          <w:lang w:val="en-GB"/>
        </w:rPr>
      </w:pPr>
      <w:r w:rsidRPr="00CD2EEF">
        <w:rPr>
          <w:rStyle w:val="LPpobarvan2"/>
          <w:shd w:val="clear" w:color="auto" w:fill="auto"/>
          <w:lang w:val="en-GB"/>
        </w:rPr>
        <w:t xml:space="preserve">Due to the measures taken during the Covid-19 </w:t>
      </w:r>
      <w:r w:rsidR="00BE025A">
        <w:rPr>
          <w:rStyle w:val="LPpobarvan2"/>
          <w:shd w:val="clear" w:color="auto" w:fill="auto"/>
          <w:lang w:val="en-GB"/>
        </w:rPr>
        <w:t>epi</w:t>
      </w:r>
      <w:r w:rsidRPr="00CD2EEF">
        <w:rPr>
          <w:rStyle w:val="LPpobarvan2"/>
          <w:shd w:val="clear" w:color="auto" w:fill="auto"/>
          <w:lang w:val="en-GB"/>
        </w:rPr>
        <w:t>demic,</w:t>
      </w:r>
      <w:r w:rsidRPr="00CD2EEF">
        <w:rPr>
          <w:rStyle w:val="LPpobarvan3"/>
          <w:shd w:val="clear" w:color="auto" w:fill="auto"/>
          <w:lang w:val="en-GB"/>
        </w:rPr>
        <w:t xml:space="preserve"> several exercises were cancelled in 2021, including the national exercise on preparedness for a nuclear accident at </w:t>
      </w:r>
      <w:r w:rsidR="001B146F">
        <w:rPr>
          <w:rStyle w:val="LPpobarvan3"/>
          <w:shd w:val="clear" w:color="auto" w:fill="auto"/>
          <w:lang w:val="en-GB"/>
        </w:rPr>
        <w:t>the Krško NPP</w:t>
      </w:r>
      <w:r w:rsidRPr="00CD2EEF">
        <w:rPr>
          <w:rStyle w:val="LPpobarvan3"/>
          <w:shd w:val="clear" w:color="auto" w:fill="auto"/>
          <w:lang w:val="en-GB"/>
        </w:rPr>
        <w:t xml:space="preserve"> and the regular annual emergency exercise of </w:t>
      </w:r>
      <w:r w:rsidR="001B146F">
        <w:rPr>
          <w:rStyle w:val="LPpobarvan3"/>
          <w:shd w:val="clear" w:color="auto" w:fill="auto"/>
          <w:lang w:val="en-GB"/>
        </w:rPr>
        <w:t>the Krško NPP</w:t>
      </w:r>
      <w:r w:rsidRPr="00CD2EEF">
        <w:rPr>
          <w:rStyle w:val="LPpobarvan3"/>
          <w:shd w:val="clear" w:color="auto" w:fill="auto"/>
          <w:lang w:val="en-GB"/>
        </w:rPr>
        <w:t xml:space="preserve"> in </w:t>
      </w:r>
      <w:r w:rsidR="006F168F">
        <w:rPr>
          <w:rStyle w:val="LPpobarvan3"/>
          <w:shd w:val="clear" w:color="auto" w:fill="auto"/>
          <w:lang w:val="en-GB"/>
        </w:rPr>
        <w:t xml:space="preserve">the </w:t>
      </w:r>
      <w:r w:rsidRPr="00CD2EEF">
        <w:rPr>
          <w:rStyle w:val="LPpobarvan3"/>
          <w:shd w:val="clear" w:color="auto" w:fill="auto"/>
          <w:lang w:val="en-GB"/>
        </w:rPr>
        <w:t>autumn.</w:t>
      </w:r>
    </w:p>
    <w:p w14:paraId="01E7F7F8" w14:textId="6EC28D4B" w:rsidR="00FA3624" w:rsidRPr="00CD2EEF" w:rsidRDefault="00FA3624" w:rsidP="001168F3">
      <w:pPr>
        <w:pStyle w:val="LPnavaden"/>
        <w:rPr>
          <w:rStyle w:val="LPpobarvan3"/>
          <w:lang w:val="en-GB"/>
        </w:rPr>
      </w:pPr>
      <w:r w:rsidRPr="00CD2EEF">
        <w:rPr>
          <w:lang w:val="en-GB"/>
        </w:rPr>
        <w:t xml:space="preserve">Despite the </w:t>
      </w:r>
      <w:r w:rsidR="00BE025A">
        <w:rPr>
          <w:lang w:val="en-GB"/>
        </w:rPr>
        <w:t>epi</w:t>
      </w:r>
      <w:r w:rsidRPr="00CD2EEF">
        <w:rPr>
          <w:lang w:val="en-GB"/>
        </w:rPr>
        <w:t xml:space="preserve">demic, </w:t>
      </w:r>
      <w:r w:rsidR="00A726E8">
        <w:rPr>
          <w:lang w:val="en-GB"/>
        </w:rPr>
        <w:t>the</w:t>
      </w:r>
      <w:r w:rsidR="00E63423">
        <w:rPr>
          <w:lang w:val="en-GB"/>
        </w:rPr>
        <w:t xml:space="preserve"> SNSA</w:t>
      </w:r>
      <w:r w:rsidRPr="00CD2EEF">
        <w:rPr>
          <w:lang w:val="en-GB"/>
        </w:rPr>
        <w:t xml:space="preserve"> regularly cooperated with other organi</w:t>
      </w:r>
      <w:r w:rsidR="00E9756B">
        <w:rPr>
          <w:lang w:val="en-GB"/>
        </w:rPr>
        <w:t>sation</w:t>
      </w:r>
      <w:r w:rsidRPr="00CD2EEF">
        <w:rPr>
          <w:lang w:val="en-GB"/>
        </w:rPr>
        <w:t xml:space="preserve">s in the country and abroad in the area of emergency preparedness. In this manner, i.e. the transfer of lessons learned and good practices, its preparedness constantly improves. </w:t>
      </w:r>
      <w:r w:rsidRPr="00CD2EEF">
        <w:rPr>
          <w:rStyle w:val="LPpobarvan3"/>
          <w:shd w:val="clear" w:color="auto" w:fill="auto"/>
          <w:lang w:val="en-GB"/>
        </w:rPr>
        <w:t xml:space="preserve">One of the key tasks that </w:t>
      </w:r>
      <w:r w:rsidR="00A726E8">
        <w:rPr>
          <w:rStyle w:val="LPpobarvan3"/>
          <w:shd w:val="clear" w:color="auto" w:fill="auto"/>
          <w:lang w:val="en-GB"/>
        </w:rPr>
        <w:t>the</w:t>
      </w:r>
      <w:r w:rsidR="00E63423">
        <w:rPr>
          <w:rStyle w:val="LPpobarvan3"/>
          <w:shd w:val="clear" w:color="auto" w:fill="auto"/>
          <w:lang w:val="en-GB"/>
        </w:rPr>
        <w:t xml:space="preserve"> SNSA</w:t>
      </w:r>
      <w:r w:rsidRPr="00CD2EEF">
        <w:rPr>
          <w:rStyle w:val="LPpobarvan3"/>
          <w:shd w:val="clear" w:color="auto" w:fill="auto"/>
          <w:lang w:val="en-GB"/>
        </w:rPr>
        <w:t xml:space="preserve"> carried out in 2021, in cooperation with other organi</w:t>
      </w:r>
      <w:r w:rsidR="00E9756B">
        <w:rPr>
          <w:rStyle w:val="LPpobarvan3"/>
          <w:shd w:val="clear" w:color="auto" w:fill="auto"/>
          <w:lang w:val="en-GB"/>
        </w:rPr>
        <w:t>sation</w:t>
      </w:r>
      <w:r w:rsidRPr="00CD2EEF">
        <w:rPr>
          <w:rStyle w:val="LPpobarvan3"/>
          <w:shd w:val="clear" w:color="auto" w:fill="auto"/>
          <w:lang w:val="en-GB"/>
        </w:rPr>
        <w:t xml:space="preserve">s participating in the response system in the event of a nuclear and radiological accident, was the development of </w:t>
      </w:r>
      <w:r w:rsidR="006B5165" w:rsidRPr="006B5165">
        <w:rPr>
          <w:rStyle w:val="LPpobarvan3"/>
          <w:shd w:val="clear" w:color="auto" w:fill="auto"/>
          <w:lang w:val="en-GB"/>
        </w:rPr>
        <w:t xml:space="preserve">the </w:t>
      </w:r>
      <w:r w:rsidRPr="006B5165">
        <w:rPr>
          <w:rStyle w:val="LPnavadenposevnoZnak"/>
          <w:lang w:val="en-GB"/>
        </w:rPr>
        <w:t>Protection Strategy for a nuclear and radiological accident</w:t>
      </w:r>
      <w:r w:rsidR="006F168F" w:rsidRPr="006B5165">
        <w:rPr>
          <w:rStyle w:val="LPpobarvan3"/>
          <w:shd w:val="clear" w:color="auto" w:fill="auto"/>
          <w:lang w:val="en-GB"/>
        </w:rPr>
        <w:t>,</w:t>
      </w:r>
      <w:r w:rsidRPr="006B5165">
        <w:rPr>
          <w:rStyle w:val="LPpobarvan3"/>
          <w:shd w:val="clear" w:color="auto" w:fill="auto"/>
          <w:lang w:val="en-GB"/>
        </w:rPr>
        <w:t xml:space="preserve"> </w:t>
      </w:r>
      <w:r w:rsidR="006F168F">
        <w:rPr>
          <w:rStyle w:val="LPpobarvan3"/>
          <w:shd w:val="clear" w:color="auto" w:fill="auto"/>
          <w:lang w:val="en-GB"/>
        </w:rPr>
        <w:t>which</w:t>
      </w:r>
      <w:r w:rsidRPr="00CD2EEF">
        <w:rPr>
          <w:rStyle w:val="LPpobarvan3"/>
          <w:shd w:val="clear" w:color="auto" w:fill="auto"/>
          <w:lang w:val="en-GB"/>
        </w:rPr>
        <w:t xml:space="preserve"> was adopted by the Government of the Republic of Slovenia in July 2021. The protection strategy is a key document that provides guidelines for the adoption of protective actions in the event of a nuclear and radiological accident in Slovenia </w:t>
      </w:r>
      <w:r w:rsidR="00F57D80">
        <w:rPr>
          <w:rStyle w:val="LPpobarvan3"/>
          <w:shd w:val="clear" w:color="auto" w:fill="auto"/>
          <w:lang w:val="en-GB"/>
        </w:rPr>
        <w:t>or</w:t>
      </w:r>
      <w:r w:rsidR="00F57D80" w:rsidRPr="00CD2EEF">
        <w:rPr>
          <w:rStyle w:val="LPpobarvan3"/>
          <w:shd w:val="clear" w:color="auto" w:fill="auto"/>
          <w:lang w:val="en-GB"/>
        </w:rPr>
        <w:t xml:space="preserve"> </w:t>
      </w:r>
      <w:r w:rsidRPr="00CD2EEF">
        <w:rPr>
          <w:rStyle w:val="LPpobarvan3"/>
          <w:shd w:val="clear" w:color="auto" w:fill="auto"/>
          <w:lang w:val="en-GB"/>
        </w:rPr>
        <w:t xml:space="preserve">a nuclear accident abroad. It is also a strategic document and the basis for the implementation of the renewal of the existing national plan. It was developed based on </w:t>
      </w:r>
      <w:r w:rsidR="00F57D80">
        <w:rPr>
          <w:rStyle w:val="LPpobarvan3"/>
          <w:shd w:val="clear" w:color="auto" w:fill="auto"/>
          <w:lang w:val="en-GB"/>
        </w:rPr>
        <w:t xml:space="preserve">the </w:t>
      </w:r>
      <w:r w:rsidRPr="00CD2EEF">
        <w:rPr>
          <w:rStyle w:val="LPpobarvan3"/>
          <w:shd w:val="clear" w:color="auto" w:fill="auto"/>
          <w:lang w:val="en-GB"/>
        </w:rPr>
        <w:t>international recommendations of the ICRP and IAEA standards, considering regulations in the field of radiation protection, the Hazard Assessment in the event of a nuclear and radiological accident in the Republic of Slovenia</w:t>
      </w:r>
      <w:r w:rsidR="00F57D80">
        <w:rPr>
          <w:rStyle w:val="LPpobarvan3"/>
          <w:shd w:val="clear" w:color="auto" w:fill="auto"/>
          <w:lang w:val="en-GB"/>
        </w:rPr>
        <w:t>,</w:t>
      </w:r>
      <w:r w:rsidRPr="00CD2EEF">
        <w:rPr>
          <w:rStyle w:val="LPpobarvan3"/>
          <w:shd w:val="clear" w:color="auto" w:fill="auto"/>
          <w:lang w:val="en-GB"/>
        </w:rPr>
        <w:t xml:space="preserve"> and the Risk Assessment for nuclear and radiological accidents in Slovenia. The stated strategy is also one of the key tasks of the Action Plan for the implementation of the recommendations and suggestions of the international EPREV review mission (Emergency Preparedness Review Mission), carried out in 2017 under the auspices of the IAEA, which will check progress in this area at the EPREV follow-up mission in autumn 2022.</w:t>
      </w:r>
    </w:p>
    <w:p w14:paraId="3B20A5C2" w14:textId="77777777" w:rsidR="00FA3624" w:rsidRPr="00CD2EEF" w:rsidRDefault="00FA3624" w:rsidP="00DA31A3">
      <w:pPr>
        <w:pStyle w:val="LPnavaden"/>
        <w:rPr>
          <w:rStyle w:val="LPpobarvan3"/>
          <w:lang w:val="en-GB"/>
        </w:rPr>
      </w:pPr>
    </w:p>
    <w:p w14:paraId="6E83D3F3" w14:textId="0680B081" w:rsidR="00FA3624" w:rsidRPr="00CD2EEF" w:rsidRDefault="00FA3624" w:rsidP="00111D11">
      <w:pPr>
        <w:pStyle w:val="LPNaslov2"/>
        <w:rPr>
          <w:lang w:val="en-GB"/>
        </w:rPr>
      </w:pPr>
      <w:bookmarkStart w:id="371" w:name="_Toc47694672"/>
      <w:bookmarkStart w:id="372" w:name="_Toc46257229"/>
      <w:bookmarkStart w:id="373" w:name="_Toc520187557"/>
      <w:bookmarkStart w:id="374" w:name="_Toc126312031"/>
      <w:r w:rsidRPr="00CD2EEF">
        <w:rPr>
          <w:lang w:val="en-GB"/>
        </w:rPr>
        <w:lastRenderedPageBreak/>
        <w:t xml:space="preserve">ADMINISTRATION </w:t>
      </w:r>
      <w:r w:rsidRPr="006B5165">
        <w:rPr>
          <w:lang w:val="en-GB"/>
        </w:rPr>
        <w:t xml:space="preserve">OF THE </w:t>
      </w:r>
      <w:r w:rsidR="00980AEC">
        <w:rPr>
          <w:lang w:val="en-GB"/>
        </w:rPr>
        <w:t>REPUBLIC OF SLOVENIA</w:t>
      </w:r>
      <w:r w:rsidR="006B5165" w:rsidRPr="00FE2A3C">
        <w:rPr>
          <w:lang w:val="en-GB"/>
        </w:rPr>
        <w:t xml:space="preserve"> </w:t>
      </w:r>
      <w:r w:rsidRPr="006B5165">
        <w:rPr>
          <w:lang w:val="en-GB"/>
        </w:rPr>
        <w:t>FOR CIVIL PROTECT</w:t>
      </w:r>
      <w:r w:rsidRPr="00CD2EEF">
        <w:rPr>
          <w:lang w:val="en-GB"/>
        </w:rPr>
        <w:t>ION AND DISASTER RELIEF</w:t>
      </w:r>
      <w:bookmarkEnd w:id="371"/>
      <w:bookmarkEnd w:id="372"/>
      <w:bookmarkEnd w:id="373"/>
      <w:bookmarkEnd w:id="374"/>
    </w:p>
    <w:p w14:paraId="52670544" w14:textId="585265D5" w:rsidR="00FA3624" w:rsidRPr="00CD2EEF" w:rsidRDefault="00FA3624" w:rsidP="000B1571">
      <w:pPr>
        <w:pStyle w:val="LPnavaden"/>
        <w:rPr>
          <w:rStyle w:val="LPpobarvan3"/>
          <w:shd w:val="clear" w:color="auto" w:fill="auto"/>
          <w:lang w:val="en-GB"/>
        </w:rPr>
      </w:pPr>
      <w:r w:rsidRPr="00CD2EEF">
        <w:rPr>
          <w:lang w:val="en-GB"/>
        </w:rPr>
        <w:t xml:space="preserve">In 2021, the ACPDR maintained and ensured preparedness and developed procedures for </w:t>
      </w:r>
      <w:r w:rsidR="00407D17">
        <w:rPr>
          <w:lang w:val="en-GB"/>
        </w:rPr>
        <w:t>an</w:t>
      </w:r>
      <w:r w:rsidR="00407D17" w:rsidRPr="00CD2EEF">
        <w:rPr>
          <w:lang w:val="en-GB"/>
        </w:rPr>
        <w:t xml:space="preserve"> </w:t>
      </w:r>
      <w:r w:rsidRPr="00CD2EEF">
        <w:rPr>
          <w:rStyle w:val="LPpobarvan2"/>
          <w:shd w:val="clear" w:color="auto" w:fill="auto"/>
          <w:lang w:val="en-GB"/>
        </w:rPr>
        <w:t>effective response to nuclear and radiological emergencies, in accordance with its statutory powers.</w:t>
      </w:r>
      <w:r w:rsidRPr="00CD2EEF">
        <w:rPr>
          <w:rStyle w:val="LPpobarvan2"/>
          <w:lang w:val="en-GB"/>
        </w:rPr>
        <w:t xml:space="preserve"> </w:t>
      </w:r>
      <w:r w:rsidRPr="00CD2EEF">
        <w:rPr>
          <w:rStyle w:val="LPpobarvan2"/>
          <w:shd w:val="clear" w:color="auto" w:fill="auto"/>
          <w:lang w:val="en-GB"/>
        </w:rPr>
        <w:t xml:space="preserve">The ACPDR also carried out tasks from the Action Plan after the EPREV mission and </w:t>
      </w:r>
      <w:r w:rsidRPr="00CD2EEF">
        <w:rPr>
          <w:rStyle w:val="LPpobarvan3"/>
          <w:shd w:val="clear" w:color="auto" w:fill="auto"/>
          <w:lang w:val="en-GB"/>
        </w:rPr>
        <w:t xml:space="preserve">preparations for the </w:t>
      </w:r>
      <w:r w:rsidRPr="00CD2EEF">
        <w:rPr>
          <w:rStyle w:val="LPpobarvan2"/>
          <w:shd w:val="clear" w:color="auto" w:fill="auto"/>
          <w:lang w:val="en-GB"/>
        </w:rPr>
        <w:t>renewal of the National Emergency Response Plans</w:t>
      </w:r>
      <w:r w:rsidRPr="00CD2EEF">
        <w:rPr>
          <w:rStyle w:val="LPpobarvan3"/>
          <w:shd w:val="clear" w:color="auto" w:fill="auto"/>
          <w:lang w:val="en-GB"/>
        </w:rPr>
        <w:t xml:space="preserve">. </w:t>
      </w:r>
    </w:p>
    <w:p w14:paraId="5541E26F" w14:textId="6BC92AD0" w:rsidR="00FA3624" w:rsidRPr="00CD2EEF" w:rsidRDefault="00FA3624" w:rsidP="00613EE4">
      <w:pPr>
        <w:pStyle w:val="LPnavaden"/>
        <w:rPr>
          <w:rStyle w:val="LPpobarvan3"/>
          <w:shd w:val="clear" w:color="auto" w:fill="auto"/>
          <w:lang w:val="en-GB"/>
        </w:rPr>
      </w:pPr>
      <w:r w:rsidRPr="001C1072">
        <w:rPr>
          <w:rStyle w:val="LPpobarvan3"/>
          <w:shd w:val="clear" w:color="auto" w:fill="auto"/>
          <w:lang w:val="en-GB"/>
        </w:rPr>
        <w:t xml:space="preserve">As the </w:t>
      </w:r>
      <w:r w:rsidR="00407D17" w:rsidRPr="001C1072">
        <w:rPr>
          <w:rStyle w:val="LPpobarvan3"/>
          <w:shd w:val="clear" w:color="auto" w:fill="auto"/>
          <w:lang w:val="en-GB"/>
        </w:rPr>
        <w:t xml:space="preserve">organisation </w:t>
      </w:r>
      <w:r w:rsidRPr="001C1072">
        <w:rPr>
          <w:rStyle w:val="LPpobarvan3"/>
          <w:shd w:val="clear" w:color="auto" w:fill="auto"/>
          <w:lang w:val="en-GB"/>
        </w:rPr>
        <w:t xml:space="preserve">responsible </w:t>
      </w:r>
      <w:r w:rsidR="00407D17" w:rsidRPr="001C1072">
        <w:rPr>
          <w:rStyle w:val="LPpobarvan3"/>
          <w:shd w:val="clear" w:color="auto" w:fill="auto"/>
          <w:lang w:val="en-GB"/>
        </w:rPr>
        <w:t>for</w:t>
      </w:r>
      <w:r w:rsidRPr="001C1072">
        <w:rPr>
          <w:rStyle w:val="LPpobarvan3"/>
          <w:shd w:val="clear" w:color="auto" w:fill="auto"/>
          <w:lang w:val="en-GB"/>
        </w:rPr>
        <w:t xml:space="preserve"> the task</w:t>
      </w:r>
      <w:r w:rsidR="00407D17" w:rsidRPr="001C1072">
        <w:rPr>
          <w:rStyle w:val="LPpobarvan3"/>
          <w:shd w:val="clear" w:color="auto" w:fill="auto"/>
          <w:lang w:val="en-GB"/>
        </w:rPr>
        <w:t>s</w:t>
      </w:r>
      <w:r w:rsidRPr="001C1072">
        <w:rPr>
          <w:rStyle w:val="LPpobarvan3"/>
          <w:shd w:val="clear" w:color="auto" w:fill="auto"/>
          <w:lang w:val="en-GB"/>
        </w:rPr>
        <w:t xml:space="preserve"> from the</w:t>
      </w:r>
      <w:r w:rsidRPr="00CD2EEF">
        <w:rPr>
          <w:rStyle w:val="LPpobarvan3"/>
          <w:shd w:val="clear" w:color="auto" w:fill="auto"/>
          <w:lang w:val="en-GB"/>
        </w:rPr>
        <w:t xml:space="preserve"> action plan, the ACPDR prepared a proposal for a supplementary training </w:t>
      </w:r>
      <w:r w:rsidR="00AB71FB">
        <w:rPr>
          <w:rStyle w:val="LPpobarvan3"/>
          <w:shd w:val="clear" w:color="auto" w:fill="auto"/>
          <w:lang w:val="en-GB"/>
        </w:rPr>
        <w:t xml:space="preserve">programme </w:t>
      </w:r>
      <w:r w:rsidRPr="00CD2EEF">
        <w:rPr>
          <w:rStyle w:val="LPpobarvan3"/>
          <w:shd w:val="clear" w:color="auto" w:fill="auto"/>
          <w:lang w:val="en-GB"/>
        </w:rPr>
        <w:t xml:space="preserve">in the event of a nuclear or radiological accident, which will be intended for </w:t>
      </w:r>
      <w:r w:rsidRPr="00FE2A3C">
        <w:rPr>
          <w:rStyle w:val="LPpobarvan3"/>
          <w:shd w:val="clear" w:color="auto" w:fill="auto"/>
          <w:lang w:val="en-GB"/>
        </w:rPr>
        <w:t xml:space="preserve">those performing tasks immediately before </w:t>
      </w:r>
      <w:r w:rsidR="00407D17" w:rsidRPr="00FE2A3C">
        <w:rPr>
          <w:rStyle w:val="LPpobarvan3"/>
          <w:shd w:val="clear" w:color="auto" w:fill="auto"/>
          <w:lang w:val="en-GB"/>
        </w:rPr>
        <w:t xml:space="preserve">such an </w:t>
      </w:r>
      <w:r w:rsidRPr="00FE2A3C">
        <w:rPr>
          <w:rStyle w:val="LPpobarvan3"/>
          <w:shd w:val="clear" w:color="auto" w:fill="auto"/>
          <w:lang w:val="en-GB"/>
        </w:rPr>
        <w:t>accident.</w:t>
      </w:r>
      <w:r w:rsidRPr="00CD2EEF">
        <w:rPr>
          <w:rStyle w:val="LPpobarvan3"/>
          <w:shd w:val="clear" w:color="auto" w:fill="auto"/>
          <w:lang w:val="en-GB"/>
        </w:rPr>
        <w:t xml:space="preserve"> </w:t>
      </w:r>
      <w:r w:rsidR="00407D17">
        <w:rPr>
          <w:rStyle w:val="LPpobarvan3"/>
          <w:shd w:val="clear" w:color="auto" w:fill="auto"/>
          <w:lang w:val="en-GB"/>
        </w:rPr>
        <w:t xml:space="preserve">The </w:t>
      </w:r>
      <w:r w:rsidRPr="00CD2EEF">
        <w:rPr>
          <w:rStyle w:val="LPpobarvan3"/>
          <w:shd w:val="clear" w:color="auto" w:fill="auto"/>
          <w:lang w:val="en-GB"/>
        </w:rPr>
        <w:t xml:space="preserve">ACPDR also participated in the coordination of the </w:t>
      </w:r>
      <w:r w:rsidRPr="00CD2EEF">
        <w:rPr>
          <w:rStyle w:val="LPnavadenposevnoZnak"/>
          <w:lang w:val="en-GB"/>
        </w:rPr>
        <w:t>Protection Strategy in the event of a nuclear and radiological accident in the Republic of Slovenia</w:t>
      </w:r>
      <w:r w:rsidRPr="00CD2EEF">
        <w:rPr>
          <w:rStyle w:val="LPpobarvan3"/>
          <w:shd w:val="clear" w:color="auto" w:fill="auto"/>
          <w:lang w:val="en-GB"/>
        </w:rPr>
        <w:t xml:space="preserve">, which was adopted in 2021, the preparation and coordination of </w:t>
      </w:r>
      <w:r w:rsidR="001C1072">
        <w:rPr>
          <w:rStyle w:val="LPpobarvan3"/>
          <w:shd w:val="clear" w:color="auto" w:fill="auto"/>
          <w:lang w:val="en-GB"/>
        </w:rPr>
        <w:t xml:space="preserve">the </w:t>
      </w:r>
      <w:r w:rsidRPr="001C1072">
        <w:rPr>
          <w:lang w:val="en-GB"/>
        </w:rPr>
        <w:t>Procedures for decontamination</w:t>
      </w:r>
      <w:r w:rsidRPr="001C1072">
        <w:rPr>
          <w:rStyle w:val="LPpobarvan3"/>
          <w:shd w:val="clear" w:color="auto" w:fill="auto"/>
          <w:lang w:val="en-GB"/>
        </w:rPr>
        <w:t xml:space="preserve"> and Arrangements for the termination of a nuclear and radiological emergency. </w:t>
      </w:r>
      <w:r w:rsidRPr="001C1072">
        <w:rPr>
          <w:rStyle w:val="LPpobarvan2"/>
          <w:shd w:val="clear" w:color="auto" w:fill="auto"/>
          <w:lang w:val="en-GB"/>
        </w:rPr>
        <w:t xml:space="preserve">Work was also carried out on the renewal of the </w:t>
      </w:r>
      <w:r w:rsidRPr="001C1072">
        <w:rPr>
          <w:rStyle w:val="LPnavadenposevnoZnak"/>
          <w:lang w:val="en-GB"/>
        </w:rPr>
        <w:t>National Emergency Response Plan for Nuclear and Radiological Accidents</w:t>
      </w:r>
      <w:r w:rsidRPr="001C1072">
        <w:rPr>
          <w:rStyle w:val="LPpobarvan2"/>
          <w:shd w:val="clear" w:color="auto" w:fill="auto"/>
          <w:lang w:val="en-GB"/>
        </w:rPr>
        <w:t>, to which the contents of Articles 10a and 10b of the Decree on the Content and Elaboration of Protection and Rescue Plans will be added (Official Gazette of the Republic of Slovenia, No</w:t>
      </w:r>
      <w:r w:rsidR="00407D17" w:rsidRPr="001C1072">
        <w:rPr>
          <w:rStyle w:val="LPpobarvan2"/>
          <w:shd w:val="clear" w:color="auto" w:fill="auto"/>
          <w:lang w:val="en-GB"/>
        </w:rPr>
        <w:t>s</w:t>
      </w:r>
      <w:r w:rsidRPr="001C1072">
        <w:rPr>
          <w:rStyle w:val="LPpobarvan2"/>
          <w:shd w:val="clear" w:color="auto" w:fill="auto"/>
          <w:lang w:val="en-GB"/>
        </w:rPr>
        <w:t>. 24/12, 78/16</w:t>
      </w:r>
      <w:r w:rsidR="00407D17" w:rsidRPr="001C1072">
        <w:rPr>
          <w:rStyle w:val="LPpobarvan2"/>
          <w:shd w:val="clear" w:color="auto" w:fill="auto"/>
          <w:lang w:val="en-GB"/>
        </w:rPr>
        <w:t>,</w:t>
      </w:r>
      <w:r w:rsidRPr="001C1072">
        <w:rPr>
          <w:rStyle w:val="LPpobarvan2"/>
          <w:shd w:val="clear" w:color="auto" w:fill="auto"/>
          <w:lang w:val="en-GB"/>
        </w:rPr>
        <w:t xml:space="preserve"> and 26/19), </w:t>
      </w:r>
      <w:r w:rsidRPr="001C1072">
        <w:rPr>
          <w:rStyle w:val="LPpobarvan3"/>
          <w:shd w:val="clear" w:color="auto" w:fill="auto"/>
          <w:lang w:val="en-GB"/>
        </w:rPr>
        <w:t xml:space="preserve">solutions from the </w:t>
      </w:r>
      <w:r w:rsidRPr="001C1072">
        <w:rPr>
          <w:rStyle w:val="LPnavadenposevnoZnak"/>
          <w:lang w:val="en-GB"/>
        </w:rPr>
        <w:t xml:space="preserve">Protection Strategy in the event of a nuclear and radiological accident </w:t>
      </w:r>
      <w:r w:rsidRPr="001C1072">
        <w:rPr>
          <w:rStyle w:val="LPpobarvan3"/>
          <w:shd w:val="clear" w:color="auto" w:fill="auto"/>
          <w:lang w:val="en-GB"/>
        </w:rPr>
        <w:t xml:space="preserve">and </w:t>
      </w:r>
      <w:r w:rsidR="001C1072" w:rsidRPr="001C1072">
        <w:rPr>
          <w:rStyle w:val="LPpobarvan3"/>
          <w:shd w:val="clear" w:color="auto" w:fill="auto"/>
          <w:lang w:val="en-GB"/>
        </w:rPr>
        <w:t xml:space="preserve">the </w:t>
      </w:r>
      <w:r w:rsidRPr="001C1072">
        <w:rPr>
          <w:rStyle w:val="LPpobarvan3"/>
          <w:shd w:val="clear" w:color="auto" w:fill="auto"/>
          <w:lang w:val="en-GB"/>
        </w:rPr>
        <w:t>Arrangements for the termination of a nuclear and radiological emergency.</w:t>
      </w:r>
    </w:p>
    <w:p w14:paraId="5B98A945" w14:textId="5A453D08" w:rsidR="00FA3624" w:rsidRPr="00CD2EEF" w:rsidRDefault="00407D17" w:rsidP="00DC2570">
      <w:pPr>
        <w:pStyle w:val="LPnavaden"/>
        <w:rPr>
          <w:rStyle w:val="LPpobarvan2"/>
          <w:shd w:val="clear" w:color="auto" w:fill="auto"/>
          <w:lang w:val="en-GB"/>
        </w:rPr>
      </w:pPr>
      <w:r>
        <w:rPr>
          <w:rStyle w:val="LPpobarvan3"/>
          <w:shd w:val="clear" w:color="auto" w:fill="auto"/>
          <w:lang w:val="en-GB"/>
        </w:rPr>
        <w:t xml:space="preserve">The </w:t>
      </w:r>
      <w:r w:rsidR="00FA3624" w:rsidRPr="00CD2EEF">
        <w:rPr>
          <w:rStyle w:val="LPpobarvan3"/>
          <w:shd w:val="clear" w:color="auto" w:fill="auto"/>
          <w:lang w:val="en-GB"/>
        </w:rPr>
        <w:t xml:space="preserve">ACPDR was actively involved in the preparations for the EPREV follow-up review mission, which will take place in Slovenia in October 2022. As part of the preparations, in cooperation with </w:t>
      </w:r>
      <w:r w:rsidR="00A726E8">
        <w:rPr>
          <w:rStyle w:val="LPpobarvan3"/>
          <w:shd w:val="clear" w:color="auto" w:fill="auto"/>
          <w:lang w:val="en-GB"/>
        </w:rPr>
        <w:t>the</w:t>
      </w:r>
      <w:r w:rsidR="00E63423">
        <w:rPr>
          <w:rStyle w:val="LPpobarvan3"/>
          <w:shd w:val="clear" w:color="auto" w:fill="auto"/>
          <w:lang w:val="en-GB"/>
        </w:rPr>
        <w:t xml:space="preserve"> SNSA</w:t>
      </w:r>
      <w:r w:rsidR="00FA3624" w:rsidRPr="00CD2EEF">
        <w:rPr>
          <w:rStyle w:val="LPpobarvan3"/>
          <w:shd w:val="clear" w:color="auto" w:fill="auto"/>
          <w:lang w:val="en-GB"/>
        </w:rPr>
        <w:t>, it determined the organi</w:t>
      </w:r>
      <w:r w:rsidR="00E9756B">
        <w:rPr>
          <w:rStyle w:val="LPpobarvan3"/>
          <w:shd w:val="clear" w:color="auto" w:fill="auto"/>
          <w:lang w:val="en-GB"/>
        </w:rPr>
        <w:t>sation</w:t>
      </w:r>
      <w:r w:rsidR="00FA3624" w:rsidRPr="00CD2EEF">
        <w:rPr>
          <w:rStyle w:val="LPpobarvan3"/>
          <w:shd w:val="clear" w:color="auto" w:fill="auto"/>
          <w:lang w:val="en-GB"/>
        </w:rPr>
        <w:t xml:space="preserve">s and ministries that </w:t>
      </w:r>
      <w:r>
        <w:rPr>
          <w:rStyle w:val="LPpobarvan3"/>
          <w:shd w:val="clear" w:color="auto" w:fill="auto"/>
          <w:lang w:val="en-GB"/>
        </w:rPr>
        <w:t>are to</w:t>
      </w:r>
      <w:r w:rsidRPr="00CD2EEF">
        <w:rPr>
          <w:rStyle w:val="LPpobarvan3"/>
          <w:shd w:val="clear" w:color="auto" w:fill="auto"/>
          <w:lang w:val="en-GB"/>
        </w:rPr>
        <w:t xml:space="preserve"> </w:t>
      </w:r>
      <w:r w:rsidR="00FA3624" w:rsidRPr="00CD2EEF">
        <w:rPr>
          <w:rStyle w:val="LPpobarvan3"/>
          <w:shd w:val="clear" w:color="auto" w:fill="auto"/>
          <w:lang w:val="en-GB"/>
        </w:rPr>
        <w:t xml:space="preserve">participate in the mission, informed them </w:t>
      </w:r>
      <w:r w:rsidR="00510D4D">
        <w:rPr>
          <w:rStyle w:val="LPpobarvan3"/>
          <w:shd w:val="clear" w:color="auto" w:fill="auto"/>
          <w:lang w:val="en-GB"/>
        </w:rPr>
        <w:t>of</w:t>
      </w:r>
      <w:r w:rsidR="00510D4D" w:rsidRPr="00CD2EEF">
        <w:rPr>
          <w:rStyle w:val="LPpobarvan3"/>
          <w:shd w:val="clear" w:color="auto" w:fill="auto"/>
          <w:lang w:val="en-GB"/>
        </w:rPr>
        <w:t xml:space="preserve"> </w:t>
      </w:r>
      <w:r w:rsidR="00FA3624" w:rsidRPr="00CD2EEF">
        <w:rPr>
          <w:rStyle w:val="LPpobarvan3"/>
          <w:shd w:val="clear" w:color="auto" w:fill="auto"/>
          <w:lang w:val="en-GB"/>
        </w:rPr>
        <w:t xml:space="preserve">the mission and invited them to participate. </w:t>
      </w:r>
      <w:r w:rsidR="00FA3624" w:rsidRPr="00CD2EEF">
        <w:rPr>
          <w:rStyle w:val="LPpobarvan2"/>
          <w:shd w:val="clear" w:color="auto" w:fill="auto"/>
          <w:lang w:val="en-GB"/>
        </w:rPr>
        <w:t xml:space="preserve">Activities were also carried out in the field of providing </w:t>
      </w:r>
      <w:r>
        <w:rPr>
          <w:rStyle w:val="LPpobarvan2"/>
          <w:shd w:val="clear" w:color="auto" w:fill="auto"/>
          <w:lang w:val="en-GB"/>
        </w:rPr>
        <w:t xml:space="preserve">the </w:t>
      </w:r>
      <w:r w:rsidR="00FA3624" w:rsidRPr="00CD2EEF">
        <w:rPr>
          <w:rStyle w:val="LPpobarvan2"/>
          <w:shd w:val="clear" w:color="auto" w:fill="auto"/>
          <w:lang w:val="en-GB"/>
        </w:rPr>
        <w:t xml:space="preserve">preliminary distribution of </w:t>
      </w:r>
      <w:r w:rsidR="00FA3624" w:rsidRPr="003646FD">
        <w:rPr>
          <w:rStyle w:val="LPpobarvan2"/>
          <w:shd w:val="clear" w:color="auto" w:fill="auto"/>
          <w:lang w:val="en-GB"/>
        </w:rPr>
        <w:t xml:space="preserve">potassium iodide tablets to the inhabitants of Posavje. The ACPDR continues to maintain a </w:t>
      </w:r>
      <w:hyperlink r:id="rId59" w:history="1">
        <w:r w:rsidR="00FA3624" w:rsidRPr="003646FD">
          <w:rPr>
            <w:rStyle w:val="LPpobarvan2"/>
            <w:shd w:val="clear" w:color="auto" w:fill="auto"/>
            <w:lang w:val="en-GB"/>
          </w:rPr>
          <w:t>website</w:t>
        </w:r>
      </w:hyperlink>
      <w:r w:rsidR="00FA3624" w:rsidRPr="003646FD">
        <w:rPr>
          <w:rStyle w:val="LPpobarvan2"/>
          <w:shd w:val="clear" w:color="auto" w:fill="auto"/>
          <w:lang w:val="en-GB"/>
        </w:rPr>
        <w:t xml:space="preserve"> where </w:t>
      </w:r>
      <w:r w:rsidRPr="003646FD">
        <w:rPr>
          <w:rStyle w:val="LPpobarvan2"/>
          <w:shd w:val="clear" w:color="auto" w:fill="auto"/>
          <w:lang w:val="en-GB"/>
        </w:rPr>
        <w:t xml:space="preserve">the </w:t>
      </w:r>
      <w:r w:rsidR="00FA3624" w:rsidRPr="003646FD">
        <w:rPr>
          <w:rStyle w:val="LPpobarvan2"/>
          <w:shd w:val="clear" w:color="auto" w:fill="auto"/>
          <w:lang w:val="en-GB"/>
        </w:rPr>
        <w:t xml:space="preserve">public can obtain more information on </w:t>
      </w:r>
      <w:r w:rsidR="003646FD" w:rsidRPr="00FE2A3C">
        <w:rPr>
          <w:rStyle w:val="LPpobarvan2"/>
          <w:shd w:val="clear" w:color="auto" w:fill="auto"/>
          <w:lang w:val="en-GB"/>
        </w:rPr>
        <w:t xml:space="preserve">iodide </w:t>
      </w:r>
      <w:r w:rsidR="00FA3624" w:rsidRPr="003646FD">
        <w:rPr>
          <w:rStyle w:val="LPpobarvan2"/>
          <w:shd w:val="clear" w:color="auto" w:fill="auto"/>
          <w:lang w:val="en-GB"/>
        </w:rPr>
        <w:t xml:space="preserve">tablets, </w:t>
      </w:r>
      <w:r w:rsidRPr="003646FD">
        <w:rPr>
          <w:rStyle w:val="LPpobarvan2"/>
          <w:shd w:val="clear" w:color="auto" w:fill="auto"/>
          <w:lang w:val="en-GB"/>
        </w:rPr>
        <w:t>th</w:t>
      </w:r>
      <w:r>
        <w:rPr>
          <w:rStyle w:val="LPpobarvan2"/>
          <w:shd w:val="clear" w:color="auto" w:fill="auto"/>
          <w:lang w:val="en-GB"/>
        </w:rPr>
        <w:t xml:space="preserve">e </w:t>
      </w:r>
      <w:r w:rsidR="00FA3624" w:rsidRPr="00CD2EEF">
        <w:rPr>
          <w:rStyle w:val="LPpobarvan2"/>
          <w:shd w:val="clear" w:color="auto" w:fill="auto"/>
          <w:lang w:val="en-GB"/>
        </w:rPr>
        <w:t xml:space="preserve">iodine thyroid blocking protective action, and </w:t>
      </w:r>
      <w:r w:rsidRPr="00CD2EEF">
        <w:rPr>
          <w:rStyle w:val="LPpobarvan2"/>
          <w:shd w:val="clear" w:color="auto" w:fill="auto"/>
          <w:lang w:val="en-GB"/>
        </w:rPr>
        <w:t>preliminary distribution</w:t>
      </w:r>
      <w:r>
        <w:rPr>
          <w:rStyle w:val="LPpobarvan2"/>
          <w:shd w:val="clear" w:color="auto" w:fill="auto"/>
          <w:lang w:val="en-GB"/>
        </w:rPr>
        <w:t>.</w:t>
      </w:r>
    </w:p>
    <w:p w14:paraId="0AA299F5" w14:textId="3C3F2E19" w:rsidR="00FA3624" w:rsidRPr="00CD2EEF" w:rsidRDefault="00FA3624" w:rsidP="00A537D2">
      <w:pPr>
        <w:pStyle w:val="LPnavaden"/>
        <w:rPr>
          <w:rStyle w:val="LPpobarvan3"/>
          <w:shd w:val="clear" w:color="auto" w:fill="auto"/>
          <w:lang w:val="en-GB"/>
        </w:rPr>
      </w:pPr>
      <w:r w:rsidRPr="00CD2EEF">
        <w:rPr>
          <w:rStyle w:val="LPpobarvan3"/>
          <w:shd w:val="clear" w:color="auto" w:fill="auto"/>
          <w:lang w:val="en-GB"/>
        </w:rPr>
        <w:t xml:space="preserve">In 2021, </w:t>
      </w:r>
      <w:r w:rsidR="00E9696E">
        <w:rPr>
          <w:rStyle w:val="LPpobarvan3"/>
          <w:shd w:val="clear" w:color="auto" w:fill="auto"/>
          <w:lang w:val="en-GB"/>
        </w:rPr>
        <w:t xml:space="preserve">the </w:t>
      </w:r>
      <w:r w:rsidRPr="00CD2EEF">
        <w:rPr>
          <w:rStyle w:val="LPpobarvan3"/>
          <w:shd w:val="clear" w:color="auto" w:fill="auto"/>
          <w:lang w:val="en-GB"/>
        </w:rPr>
        <w:t>ACPDR participated in international ConvEx exercises (2a, 2b</w:t>
      </w:r>
      <w:r w:rsidR="00E9696E">
        <w:rPr>
          <w:rStyle w:val="LPpobarvan3"/>
          <w:shd w:val="clear" w:color="auto" w:fill="auto"/>
          <w:lang w:val="en-GB"/>
        </w:rPr>
        <w:t>,</w:t>
      </w:r>
      <w:r w:rsidRPr="00CD2EEF">
        <w:rPr>
          <w:rStyle w:val="LPpobarvan3"/>
          <w:shd w:val="clear" w:color="auto" w:fill="auto"/>
          <w:lang w:val="en-GB"/>
        </w:rPr>
        <w:t xml:space="preserve"> and 3). All envisaged nuclear and radiological accidents, where the Republic of Slovenia tested the system of information exchange and </w:t>
      </w:r>
      <w:r w:rsidR="00E9696E">
        <w:rPr>
          <w:rStyle w:val="LPpobarvan3"/>
          <w:shd w:val="clear" w:color="auto" w:fill="auto"/>
          <w:lang w:val="en-GB"/>
        </w:rPr>
        <w:t xml:space="preserve">the </w:t>
      </w:r>
      <w:r w:rsidRPr="00CD2EEF">
        <w:rPr>
          <w:rStyle w:val="LPpobarvan3"/>
          <w:shd w:val="clear" w:color="auto" w:fill="auto"/>
          <w:lang w:val="en-GB"/>
        </w:rPr>
        <w:t xml:space="preserve">provision of international assistance through the </w:t>
      </w:r>
      <w:r w:rsidRPr="00CD2EEF">
        <w:rPr>
          <w:rStyle w:val="LPnavadenposevnoZnak"/>
          <w:lang w:val="en-GB"/>
        </w:rPr>
        <w:t>Response and Assistance Network</w:t>
      </w:r>
      <w:r w:rsidRPr="00CD2EEF">
        <w:rPr>
          <w:rStyle w:val="LPpobarvan3"/>
          <w:shd w:val="clear" w:color="auto" w:fill="auto"/>
          <w:lang w:val="en-GB"/>
        </w:rPr>
        <w:t xml:space="preserve"> (RANET) and </w:t>
      </w:r>
      <w:r w:rsidR="00E9696E">
        <w:rPr>
          <w:rStyle w:val="LPpobarvan3"/>
          <w:shd w:val="clear" w:color="auto" w:fill="auto"/>
          <w:lang w:val="en-GB"/>
        </w:rPr>
        <w:t xml:space="preserve">the </w:t>
      </w:r>
      <w:r w:rsidRPr="00CD2EEF">
        <w:rPr>
          <w:rStyle w:val="LPnavadenposevnoZnak"/>
          <w:lang w:val="en-GB"/>
        </w:rPr>
        <w:t>Unified System for Information Exchange in Incidents and Emergencies</w:t>
      </w:r>
      <w:r w:rsidRPr="00CD2EEF">
        <w:rPr>
          <w:rStyle w:val="LPpobarvan3"/>
          <w:shd w:val="clear" w:color="auto" w:fill="auto"/>
          <w:lang w:val="en-GB"/>
        </w:rPr>
        <w:t xml:space="preserve"> (USIE). </w:t>
      </w:r>
      <w:r w:rsidRPr="00CD2EEF">
        <w:rPr>
          <w:rStyle w:val="LPpobarvan2"/>
          <w:shd w:val="clear" w:color="auto" w:fill="auto"/>
          <w:lang w:val="en-GB"/>
        </w:rPr>
        <w:t xml:space="preserve">The planned national exercise on the topic of preparedness for a nuclear accident at </w:t>
      </w:r>
      <w:r w:rsidR="001B146F">
        <w:rPr>
          <w:rStyle w:val="LPpobarvan2"/>
          <w:shd w:val="clear" w:color="auto" w:fill="auto"/>
          <w:lang w:val="en-GB"/>
        </w:rPr>
        <w:t>the Krško NPP</w:t>
      </w:r>
      <w:r w:rsidRPr="00CD2EEF">
        <w:rPr>
          <w:rStyle w:val="LPpobarvan2"/>
          <w:shd w:val="clear" w:color="auto" w:fill="auto"/>
          <w:lang w:val="en-GB"/>
        </w:rPr>
        <w:t xml:space="preserve"> was not carried out in 2021 due to the Covid-19 </w:t>
      </w:r>
      <w:r w:rsidR="00BE025A">
        <w:rPr>
          <w:rStyle w:val="LPpobarvan2"/>
          <w:shd w:val="clear" w:color="auto" w:fill="auto"/>
          <w:lang w:val="en-GB"/>
        </w:rPr>
        <w:t>epi</w:t>
      </w:r>
      <w:r w:rsidRPr="00CD2EEF">
        <w:rPr>
          <w:rStyle w:val="LPpobarvan2"/>
          <w:shd w:val="clear" w:color="auto" w:fill="auto"/>
          <w:lang w:val="en-GB"/>
        </w:rPr>
        <w:t xml:space="preserve">demic. The exercise was postponed </w:t>
      </w:r>
      <w:r w:rsidR="00471D18">
        <w:rPr>
          <w:rStyle w:val="LPpobarvan2"/>
          <w:shd w:val="clear" w:color="auto" w:fill="auto"/>
          <w:lang w:val="en-GB"/>
        </w:rPr>
        <w:t>until</w:t>
      </w:r>
      <w:r w:rsidR="00471D18" w:rsidRPr="00CD2EEF">
        <w:rPr>
          <w:rStyle w:val="LPpobarvan2"/>
          <w:shd w:val="clear" w:color="auto" w:fill="auto"/>
          <w:lang w:val="en-GB"/>
        </w:rPr>
        <w:t xml:space="preserve"> </w:t>
      </w:r>
      <w:r w:rsidRPr="00CD2EEF">
        <w:rPr>
          <w:rStyle w:val="LPpobarvan2"/>
          <w:shd w:val="clear" w:color="auto" w:fill="auto"/>
          <w:lang w:val="en-GB"/>
        </w:rPr>
        <w:t xml:space="preserve">2022, in accordance with the </w:t>
      </w:r>
      <w:r w:rsidRPr="00CD2EEF">
        <w:rPr>
          <w:rStyle w:val="LPnavadenposevnoZnak"/>
          <w:lang w:val="en-GB"/>
        </w:rPr>
        <w:t>Exercise Plan of the defence system and the system of protection against natural and other disasters in 2022</w:t>
      </w:r>
      <w:r w:rsidRPr="00CD2EEF">
        <w:rPr>
          <w:rStyle w:val="LPpobarvan2"/>
          <w:shd w:val="clear" w:color="auto" w:fill="auto"/>
          <w:lang w:val="en-GB"/>
        </w:rPr>
        <w:t xml:space="preserve">, which was adopted by the Government of the Republic of Slovenia by agreement No. </w:t>
      </w:r>
      <w:r w:rsidRPr="00CD2EEF">
        <w:rPr>
          <w:rStyle w:val="LPpobarvan3"/>
          <w:shd w:val="clear" w:color="auto" w:fill="auto"/>
          <w:lang w:val="en-GB"/>
        </w:rPr>
        <w:t xml:space="preserve">84300-1/2022/4 </w:t>
      </w:r>
      <w:r w:rsidRPr="00CD2EEF">
        <w:rPr>
          <w:rStyle w:val="LPpobarvan2"/>
          <w:shd w:val="clear" w:color="auto" w:fill="auto"/>
          <w:lang w:val="en-GB"/>
        </w:rPr>
        <w:t>on 27 January 2022.</w:t>
      </w:r>
    </w:p>
    <w:p w14:paraId="1AF8EFF9" w14:textId="77777777" w:rsidR="00FA3624" w:rsidRPr="00CD2EEF" w:rsidRDefault="00FA3624" w:rsidP="00111D11">
      <w:pPr>
        <w:pStyle w:val="LPNaslov2"/>
        <w:rPr>
          <w:lang w:val="en-GB"/>
        </w:rPr>
      </w:pPr>
      <w:bookmarkStart w:id="375" w:name="_Toc520187558"/>
      <w:bookmarkStart w:id="376" w:name="_Toc46257230"/>
      <w:bookmarkStart w:id="377" w:name="_Toc47694673"/>
      <w:bookmarkStart w:id="378" w:name="_Toc126312032"/>
      <w:r w:rsidRPr="00CD2EEF">
        <w:rPr>
          <w:lang w:val="en-GB"/>
        </w:rPr>
        <w:t>THE KRŠKO NPP</w:t>
      </w:r>
      <w:bookmarkEnd w:id="375"/>
      <w:bookmarkEnd w:id="376"/>
      <w:bookmarkEnd w:id="377"/>
      <w:bookmarkEnd w:id="378"/>
      <w:r w:rsidRPr="00CD2EEF">
        <w:rPr>
          <w:lang w:val="en-GB"/>
        </w:rPr>
        <w:t xml:space="preserve"> </w:t>
      </w:r>
    </w:p>
    <w:p w14:paraId="5B1ADE20" w14:textId="27E32D3E" w:rsidR="00FA3624" w:rsidRPr="00CD2EEF" w:rsidRDefault="00FA3624" w:rsidP="00DA31A3">
      <w:pPr>
        <w:pStyle w:val="LPnavaden"/>
        <w:rPr>
          <w:lang w:val="en-GB"/>
        </w:rPr>
      </w:pPr>
      <w:r w:rsidRPr="00CD2EEF">
        <w:rPr>
          <w:lang w:val="en-GB"/>
        </w:rPr>
        <w:t xml:space="preserve">In 2021, the activities of </w:t>
      </w:r>
      <w:r w:rsidR="001B146F">
        <w:rPr>
          <w:lang w:val="en-GB"/>
        </w:rPr>
        <w:t>the Krško NPP</w:t>
      </w:r>
      <w:r w:rsidRPr="00CD2EEF">
        <w:rPr>
          <w:lang w:val="en-GB"/>
        </w:rPr>
        <w:t xml:space="preserve"> in the area of preparedness for emergencies included the following:</w:t>
      </w:r>
    </w:p>
    <w:p w14:paraId="30C85415" w14:textId="552D6E86" w:rsidR="00FA3624" w:rsidRPr="00CD2EEF" w:rsidRDefault="00FA3624" w:rsidP="00DA31A3">
      <w:pPr>
        <w:pStyle w:val="LPalineje"/>
        <w:rPr>
          <w:lang w:val="en-GB"/>
        </w:rPr>
      </w:pPr>
      <w:r w:rsidRPr="00CD2EEF">
        <w:rPr>
          <w:lang w:val="en-GB"/>
        </w:rPr>
        <w:t>training and drills</w:t>
      </w:r>
      <w:r w:rsidR="00FE2A3C">
        <w:rPr>
          <w:lang w:val="en-GB"/>
        </w:rPr>
        <w:t>,</w:t>
      </w:r>
    </w:p>
    <w:p w14:paraId="104E7708" w14:textId="4AF5ECFC" w:rsidR="00FA3624" w:rsidRPr="00CD2EEF" w:rsidRDefault="00FA3624" w:rsidP="00DA31A3">
      <w:pPr>
        <w:pStyle w:val="LPalineje"/>
        <w:rPr>
          <w:lang w:val="en-GB"/>
        </w:rPr>
      </w:pPr>
      <w:r w:rsidRPr="00CD2EEF">
        <w:rPr>
          <w:lang w:val="en-GB"/>
        </w:rPr>
        <w:t>maintenance of support centres, equipment, and communications</w:t>
      </w:r>
      <w:r w:rsidR="00FE2A3C">
        <w:rPr>
          <w:lang w:val="en-GB"/>
        </w:rPr>
        <w:t>,</w:t>
      </w:r>
    </w:p>
    <w:p w14:paraId="2D3939BC" w14:textId="10AA93B9" w:rsidR="00FA3624" w:rsidRPr="00CD2EEF" w:rsidRDefault="00FA3624" w:rsidP="00DA31A3">
      <w:pPr>
        <w:pStyle w:val="LPalineje"/>
        <w:rPr>
          <w:lang w:val="en-GB"/>
        </w:rPr>
      </w:pPr>
      <w:r w:rsidRPr="00CD2EEF">
        <w:rPr>
          <w:lang w:val="en-GB"/>
        </w:rPr>
        <w:t xml:space="preserve">updating of the document </w:t>
      </w:r>
      <w:r w:rsidR="00263D93">
        <w:rPr>
          <w:lang w:val="en-GB"/>
        </w:rPr>
        <w:t>“</w:t>
      </w:r>
      <w:r w:rsidR="00AA4558">
        <w:rPr>
          <w:lang w:val="en-GB"/>
        </w:rPr>
        <w:t>T</w:t>
      </w:r>
      <w:r w:rsidR="00C5169D">
        <w:rPr>
          <w:lang w:val="en-GB"/>
        </w:rPr>
        <w:t>he Krško NPP</w:t>
      </w:r>
      <w:r w:rsidRPr="00CD2EEF">
        <w:rPr>
          <w:lang w:val="en-GB"/>
        </w:rPr>
        <w:t xml:space="preserve"> Protection and Rescue Plan</w:t>
      </w:r>
      <w:r w:rsidR="00263D93">
        <w:rPr>
          <w:lang w:val="en-GB"/>
        </w:rPr>
        <w:t>”</w:t>
      </w:r>
      <w:r w:rsidRPr="00CD2EEF">
        <w:rPr>
          <w:lang w:val="en-GB"/>
        </w:rPr>
        <w:t>, procedures, and other documentation; and</w:t>
      </w:r>
    </w:p>
    <w:p w14:paraId="0768B43F" w14:textId="7FEAE7F1" w:rsidR="00FA3624" w:rsidRPr="00CD2EEF" w:rsidRDefault="00FA3624" w:rsidP="00DA31A3">
      <w:pPr>
        <w:pStyle w:val="LPalineje"/>
        <w:rPr>
          <w:lang w:val="en-GB"/>
        </w:rPr>
      </w:pPr>
      <w:r w:rsidRPr="00CD2EEF">
        <w:rPr>
          <w:lang w:val="en-GB"/>
        </w:rPr>
        <w:t>the replacement of staff and the appointment of new members to the emergency organi</w:t>
      </w:r>
      <w:r w:rsidR="00E9756B">
        <w:rPr>
          <w:lang w:val="en-GB"/>
        </w:rPr>
        <w:t>sation</w:t>
      </w:r>
      <w:r w:rsidRPr="00CD2EEF">
        <w:rPr>
          <w:lang w:val="en-GB"/>
        </w:rPr>
        <w:t xml:space="preserve"> (13 persons passed the initial training for </w:t>
      </w:r>
      <w:r w:rsidR="00B22BCA" w:rsidRPr="00FE2A3C">
        <w:rPr>
          <w:rStyle w:val="LPpobarvan3"/>
          <w:shd w:val="clear" w:color="auto" w:fill="auto"/>
          <w:lang w:val="en-GB"/>
        </w:rPr>
        <w:t>Emergency Response Team</w:t>
      </w:r>
      <w:r w:rsidR="00B22BCA" w:rsidRPr="00CD2EEF">
        <w:rPr>
          <w:rStyle w:val="LPpobarvan3"/>
          <w:shd w:val="clear" w:color="auto" w:fill="auto"/>
          <w:lang w:val="en-GB"/>
        </w:rPr>
        <w:t xml:space="preserve"> </w:t>
      </w:r>
      <w:r w:rsidRPr="00CD2EEF">
        <w:rPr>
          <w:lang w:val="en-GB"/>
        </w:rPr>
        <w:t>members).</w:t>
      </w:r>
    </w:p>
    <w:p w14:paraId="56D78B49" w14:textId="25843E69" w:rsidR="00FA3624" w:rsidRPr="00CD2EEF" w:rsidRDefault="00FA3624" w:rsidP="00DA31A3">
      <w:pPr>
        <w:pStyle w:val="LPnavaden"/>
        <w:rPr>
          <w:lang w:val="en-GB"/>
        </w:rPr>
      </w:pPr>
      <w:r w:rsidRPr="00CD2EEF">
        <w:rPr>
          <w:lang w:val="en-GB"/>
        </w:rPr>
        <w:lastRenderedPageBreak/>
        <w:t xml:space="preserve">In 2021, </w:t>
      </w:r>
      <w:r w:rsidR="001B146F">
        <w:rPr>
          <w:lang w:val="en-GB"/>
        </w:rPr>
        <w:t>the Krško NPP</w:t>
      </w:r>
      <w:r w:rsidRPr="00CD2EEF">
        <w:rPr>
          <w:lang w:val="en-GB"/>
        </w:rPr>
        <w:t xml:space="preserve"> conducted a </w:t>
      </w:r>
      <w:r w:rsidR="00963F3E">
        <w:rPr>
          <w:lang w:val="en-GB"/>
        </w:rPr>
        <w:t>series</w:t>
      </w:r>
      <w:r w:rsidR="00963F3E" w:rsidRPr="00CD2EEF">
        <w:rPr>
          <w:lang w:val="en-GB"/>
        </w:rPr>
        <w:t xml:space="preserve"> </w:t>
      </w:r>
      <w:r w:rsidRPr="00CD2EEF">
        <w:rPr>
          <w:lang w:val="en-GB"/>
        </w:rPr>
        <w:t xml:space="preserve">of training courses with a total of </w:t>
      </w:r>
      <w:r w:rsidRPr="00FE2A3C">
        <w:rPr>
          <w:lang w:val="en-GB"/>
        </w:rPr>
        <w:t>1</w:t>
      </w:r>
      <w:r w:rsidR="00963F3E" w:rsidRPr="00FE2A3C">
        <w:rPr>
          <w:lang w:val="en-GB"/>
        </w:rPr>
        <w:t>,</w:t>
      </w:r>
      <w:r w:rsidRPr="00FE2A3C">
        <w:rPr>
          <w:lang w:val="en-GB"/>
        </w:rPr>
        <w:t>475</w:t>
      </w:r>
      <w:r w:rsidRPr="00CD2EEF">
        <w:rPr>
          <w:lang w:val="en-GB"/>
        </w:rPr>
        <w:t xml:space="preserve"> participants from </w:t>
      </w:r>
      <w:r w:rsidR="001B146F">
        <w:rPr>
          <w:lang w:val="en-GB"/>
        </w:rPr>
        <w:t>the Krško NPP</w:t>
      </w:r>
      <w:r w:rsidRPr="00CD2EEF">
        <w:rPr>
          <w:lang w:val="en-GB"/>
        </w:rPr>
        <w:t xml:space="preserve"> and 282 participants from supporting organi</w:t>
      </w:r>
      <w:r w:rsidR="00E9756B">
        <w:rPr>
          <w:lang w:val="en-GB"/>
        </w:rPr>
        <w:t>sation</w:t>
      </w:r>
      <w:r w:rsidRPr="00CD2EEF">
        <w:rPr>
          <w:lang w:val="en-GB"/>
        </w:rPr>
        <w:t xml:space="preserve">s. Due to the epidemiological situation in Slovenia, only the spring emergency exercise was performed in 2021, while the autumn emergency exercise, scheduled for November, was not conducted. In total, emergency staff consists of 426 persons. In December 2021, the construction of the new Operational Support </w:t>
      </w:r>
      <w:r w:rsidR="00963F3E" w:rsidRPr="00CD2EEF">
        <w:rPr>
          <w:lang w:val="en-GB"/>
        </w:rPr>
        <w:t>Centre</w:t>
      </w:r>
      <w:r w:rsidRPr="00CD2EEF">
        <w:rPr>
          <w:lang w:val="en-GB"/>
        </w:rPr>
        <w:t xml:space="preserve"> was completed in </w:t>
      </w:r>
      <w:r w:rsidR="00C5169D">
        <w:rPr>
          <w:lang w:val="en-GB"/>
        </w:rPr>
        <w:t>the Krško NPP</w:t>
      </w:r>
      <w:r w:rsidRPr="00CD2EEF">
        <w:rPr>
          <w:lang w:val="en-GB"/>
        </w:rPr>
        <w:t xml:space="preserve"> as part of the Safety Upgrade Programme (SUP).</w:t>
      </w:r>
    </w:p>
    <w:p w14:paraId="2607446A" w14:textId="31183FC8" w:rsidR="00FA3624" w:rsidRPr="00CD2EEF" w:rsidRDefault="00FA3624" w:rsidP="00DA31A3">
      <w:pPr>
        <w:pStyle w:val="LPnavaden"/>
        <w:rPr>
          <w:lang w:val="en-GB"/>
        </w:rPr>
      </w:pPr>
      <w:r w:rsidRPr="00CD2EEF">
        <w:rPr>
          <w:lang w:val="en-GB"/>
        </w:rPr>
        <w:t xml:space="preserve">Furthermore, in 2021 the staff of </w:t>
      </w:r>
      <w:r w:rsidR="001B146F">
        <w:rPr>
          <w:lang w:val="en-GB"/>
        </w:rPr>
        <w:t>the Krško NPP</w:t>
      </w:r>
      <w:r w:rsidRPr="00CD2EEF">
        <w:rPr>
          <w:lang w:val="en-GB"/>
        </w:rPr>
        <w:t xml:space="preserve"> actively cooperated with the planners and providers of protection and rescue services at the local and national level, as well as with the administrative authorities, namely </w:t>
      </w:r>
      <w:r w:rsidR="00A726E8">
        <w:rPr>
          <w:lang w:val="en-GB"/>
        </w:rPr>
        <w:t>the</w:t>
      </w:r>
      <w:r w:rsidR="00E63423">
        <w:rPr>
          <w:lang w:val="en-GB"/>
        </w:rPr>
        <w:t xml:space="preserve"> SNSA</w:t>
      </w:r>
      <w:r w:rsidRPr="00CD2EEF">
        <w:rPr>
          <w:lang w:val="en-GB"/>
        </w:rPr>
        <w:t xml:space="preserve"> and the ACPDR.</w:t>
      </w:r>
    </w:p>
    <w:p w14:paraId="7FD868A0" w14:textId="60D1FF3F" w:rsidR="00FA3624" w:rsidRPr="00CD2EEF" w:rsidRDefault="00FA3624" w:rsidP="00FA3624">
      <w:pPr>
        <w:pStyle w:val="LPVirienojni"/>
        <w:rPr>
          <w:rStyle w:val="LPnavadenpoevno"/>
          <w:i w:val="0"/>
          <w:sz w:val="20"/>
          <w:lang w:val="en-GB"/>
        </w:rPr>
      </w:pPr>
      <w:r w:rsidRPr="00CD2EEF">
        <w:rPr>
          <w:rStyle w:val="LPnavadenpoevno"/>
          <w:i w:val="0"/>
          <w:sz w:val="20"/>
          <w:lang w:val="en-GB"/>
        </w:rPr>
        <w:t xml:space="preserve">References: </w:t>
      </w:r>
      <w:r w:rsidRPr="00CD2EEF">
        <w:rPr>
          <w:lang w:val="en-GB"/>
        </w:rPr>
        <w:t>[</w:t>
      </w:r>
      <w:hyperlink w:anchor="r01" w:history="1">
        <w:r w:rsidRPr="00CD2EEF">
          <w:rPr>
            <w:rStyle w:val="Hiperpovezava"/>
            <w:lang w:val="en-GB"/>
          </w:rPr>
          <w:t>1</w:t>
        </w:r>
      </w:hyperlink>
      <w:r w:rsidRPr="00CD2EEF">
        <w:rPr>
          <w:lang w:val="en-GB"/>
        </w:rPr>
        <w:t>], [</w:t>
      </w:r>
      <w:hyperlink w:anchor="r24" w:history="1">
        <w:r w:rsidRPr="00CD2EEF">
          <w:rPr>
            <w:rStyle w:val="Hiperpovezava"/>
            <w:lang w:val="en-GB"/>
          </w:rPr>
          <w:t>24</w:t>
        </w:r>
      </w:hyperlink>
      <w:r w:rsidRPr="00CD2EEF">
        <w:rPr>
          <w:lang w:val="en-GB"/>
        </w:rPr>
        <w:t xml:space="preserve">] </w:t>
      </w:r>
    </w:p>
    <w:p w14:paraId="6BAF1EBB" w14:textId="77777777" w:rsidR="00412AFC" w:rsidRPr="00CD2EEF" w:rsidRDefault="00412AFC" w:rsidP="00E01C72">
      <w:pPr>
        <w:pStyle w:val="LPNaslov1"/>
        <w:rPr>
          <w:lang w:val="en-GB"/>
        </w:rPr>
      </w:pPr>
      <w:bookmarkStart w:id="379" w:name="_Toc126312033"/>
      <w:r w:rsidRPr="00CD2EEF">
        <w:rPr>
          <w:lang w:val="en-GB"/>
        </w:rPr>
        <w:lastRenderedPageBreak/>
        <w:t>SUPERVISION OF RADIATION AND NUCLEAR SAFETY</w:t>
      </w:r>
      <w:bookmarkEnd w:id="379"/>
    </w:p>
    <w:p w14:paraId="383AE099" w14:textId="77777777" w:rsidR="00412AFC" w:rsidRPr="00CD2EEF" w:rsidRDefault="00412AFC" w:rsidP="004651F4">
      <w:pPr>
        <w:pStyle w:val="LPNaslov2"/>
        <w:rPr>
          <w:lang w:val="en-GB"/>
        </w:rPr>
      </w:pPr>
      <w:bookmarkStart w:id="380" w:name="_Toc126312034"/>
      <w:r w:rsidRPr="00CD2EEF">
        <w:rPr>
          <w:lang w:val="en-GB"/>
        </w:rPr>
        <w:t>ACHIEVING THE GOALS UNDER THE RESOLUTION ON NUCLEAR AND RADIATION SAFETY</w:t>
      </w:r>
      <w:bookmarkEnd w:id="380"/>
    </w:p>
    <w:p w14:paraId="45C72061" w14:textId="2FE029F9" w:rsidR="00412AFC" w:rsidRPr="00CD2EEF" w:rsidRDefault="00412AFC" w:rsidP="004651F4">
      <w:pPr>
        <w:pStyle w:val="LPpodpoglavje"/>
        <w:rPr>
          <w:lang w:val="en-GB"/>
        </w:rPr>
      </w:pPr>
      <w:r w:rsidRPr="00CD2EEF">
        <w:rPr>
          <w:lang w:val="en-GB"/>
        </w:rPr>
        <w:t xml:space="preserve">Objectives of </w:t>
      </w:r>
      <w:r w:rsidR="00ED59DD">
        <w:rPr>
          <w:lang w:val="en-GB"/>
        </w:rPr>
        <w:t>N</w:t>
      </w:r>
      <w:r w:rsidRPr="00CD2EEF">
        <w:rPr>
          <w:lang w:val="en-GB"/>
        </w:rPr>
        <w:t xml:space="preserve">uclear and </w:t>
      </w:r>
      <w:r w:rsidR="00ED59DD">
        <w:rPr>
          <w:lang w:val="en-GB"/>
        </w:rPr>
        <w:t>R</w:t>
      </w:r>
      <w:r w:rsidRPr="00CD2EEF">
        <w:rPr>
          <w:lang w:val="en-GB"/>
        </w:rPr>
        <w:t xml:space="preserve">adiation </w:t>
      </w:r>
      <w:r w:rsidR="00ED59DD">
        <w:rPr>
          <w:lang w:val="en-GB"/>
        </w:rPr>
        <w:t>A</w:t>
      </w:r>
      <w:r w:rsidRPr="00CD2EEF">
        <w:rPr>
          <w:lang w:val="en-GB"/>
        </w:rPr>
        <w:t>ctivities</w:t>
      </w:r>
    </w:p>
    <w:p w14:paraId="0331F811" w14:textId="77777777" w:rsidR="00412AFC" w:rsidRPr="00CD2EEF" w:rsidRDefault="00412AFC" w:rsidP="00D829A5">
      <w:pPr>
        <w:pStyle w:val="LPnaslovkrepko"/>
        <w:rPr>
          <w:lang w:val="en-GB"/>
        </w:rPr>
      </w:pPr>
      <w:r w:rsidRPr="00CD2EEF">
        <w:rPr>
          <w:lang w:val="en-GB"/>
        </w:rPr>
        <w:t>Goal 1</w:t>
      </w:r>
    </w:p>
    <w:p w14:paraId="2F065AF3" w14:textId="77777777" w:rsidR="00412AFC" w:rsidRPr="00CD2EEF" w:rsidRDefault="00412AFC" w:rsidP="00D829A5">
      <w:pPr>
        <w:pStyle w:val="LPnavadenposevno"/>
        <w:rPr>
          <w:lang w:val="en-GB"/>
        </w:rPr>
      </w:pPr>
      <w:r w:rsidRPr="00CD2EEF">
        <w:rPr>
          <w:lang w:val="en-GB"/>
        </w:rPr>
        <w:t>Nuclear and radiation facilities and providers of radiation practices comply with the legal requirements, provide for the continuous improvement of nuclear and radiation safety, and closely follow developments in the international arena.</w:t>
      </w:r>
    </w:p>
    <w:p w14:paraId="21DBEDA7" w14:textId="77777777" w:rsidR="00412AFC" w:rsidRPr="00CD2EEF" w:rsidRDefault="00412AFC" w:rsidP="00D829A5">
      <w:pPr>
        <w:pStyle w:val="LPnaslovkrepko"/>
        <w:rPr>
          <w:rStyle w:val="LPnavadenkrepko"/>
          <w:b/>
          <w:lang w:val="en-GB"/>
        </w:rPr>
      </w:pPr>
      <w:r w:rsidRPr="00CD2EEF">
        <w:rPr>
          <w:rStyle w:val="LPnavadenkrepko"/>
          <w:lang w:val="en-GB"/>
        </w:rPr>
        <w:t>Measures for achieving the goal:</w:t>
      </w:r>
    </w:p>
    <w:p w14:paraId="0D38F431" w14:textId="77777777" w:rsidR="00412AFC" w:rsidRPr="00CD2EEF" w:rsidRDefault="00412AFC" w:rsidP="00D829A5">
      <w:pPr>
        <w:pStyle w:val="LPalineje"/>
        <w:rPr>
          <w:lang w:val="en-GB"/>
        </w:rPr>
      </w:pPr>
      <w:r w:rsidRPr="00CD2EEF">
        <w:rPr>
          <w:lang w:val="en-GB"/>
        </w:rPr>
        <w:t>Operators and providers of radiation practices maintain a high level of radiation and nuclear safety and also safety culture.</w:t>
      </w:r>
    </w:p>
    <w:p w14:paraId="5CFCAB14" w14:textId="77777777" w:rsidR="00412AFC" w:rsidRPr="00CD2EEF" w:rsidRDefault="00412AFC" w:rsidP="00D829A5">
      <w:pPr>
        <w:pStyle w:val="LPalineje"/>
        <w:rPr>
          <w:lang w:val="en-GB"/>
        </w:rPr>
      </w:pPr>
      <w:r w:rsidRPr="00CD2EEF">
        <w:rPr>
          <w:lang w:val="en-GB"/>
        </w:rPr>
        <w:t>State bodies monitor and encourage if needed the measures proposed by operators and providers of radiation practices aimed at improving nuclear safety.</w:t>
      </w:r>
    </w:p>
    <w:p w14:paraId="643C0FB5" w14:textId="61D29FF8" w:rsidR="00412AFC" w:rsidRPr="00ED59DD" w:rsidRDefault="00412AFC" w:rsidP="00D829A5">
      <w:pPr>
        <w:pStyle w:val="LPalineje"/>
        <w:rPr>
          <w:lang w:val="en-GB"/>
        </w:rPr>
      </w:pPr>
      <w:r w:rsidRPr="00ED59DD">
        <w:rPr>
          <w:lang w:val="en-GB"/>
        </w:rPr>
        <w:t>State bodies actively encourage research, education</w:t>
      </w:r>
      <w:r w:rsidR="00D61267" w:rsidRPr="00ED59DD">
        <w:rPr>
          <w:lang w:val="en-GB"/>
        </w:rPr>
        <w:t>,</w:t>
      </w:r>
      <w:r w:rsidRPr="00ED59DD">
        <w:rPr>
          <w:lang w:val="en-GB"/>
        </w:rPr>
        <w:t xml:space="preserve"> and training </w:t>
      </w:r>
      <w:r w:rsidR="00D61267" w:rsidRPr="00ED59DD">
        <w:rPr>
          <w:lang w:val="en-GB"/>
        </w:rPr>
        <w:t>at the national</w:t>
      </w:r>
      <w:r w:rsidRPr="00ED59DD">
        <w:rPr>
          <w:lang w:val="en-GB"/>
        </w:rPr>
        <w:t xml:space="preserve"> and international </w:t>
      </w:r>
      <w:r w:rsidR="00ED59DD" w:rsidRPr="00ED59DD">
        <w:rPr>
          <w:lang w:val="en-GB"/>
        </w:rPr>
        <w:t>arena</w:t>
      </w:r>
      <w:r w:rsidRPr="00ED59DD">
        <w:rPr>
          <w:lang w:val="en-GB"/>
        </w:rPr>
        <w:t xml:space="preserve">. </w:t>
      </w:r>
    </w:p>
    <w:p w14:paraId="6F336CBD" w14:textId="77777777" w:rsidR="00412AFC" w:rsidRPr="00CD2EEF" w:rsidRDefault="00412AFC" w:rsidP="00D829A5">
      <w:pPr>
        <w:pStyle w:val="LPnavaden"/>
        <w:rPr>
          <w:rStyle w:val="LPnavadenkrepko"/>
          <w:lang w:val="en-GB"/>
        </w:rPr>
      </w:pPr>
      <w:r w:rsidRPr="00CD2EEF">
        <w:rPr>
          <w:rStyle w:val="LPnavadenkrepko"/>
          <w:lang w:val="en-GB"/>
        </w:rPr>
        <w:t xml:space="preserve">Realisation in 2021: </w:t>
      </w:r>
    </w:p>
    <w:p w14:paraId="22DF94A2" w14:textId="788657E3" w:rsidR="00412AFC" w:rsidRPr="00CD2EEF" w:rsidRDefault="00412AFC" w:rsidP="00C81960">
      <w:pPr>
        <w:pStyle w:val="LPnavaden"/>
        <w:rPr>
          <w:lang w:val="en-GB"/>
        </w:rPr>
      </w:pPr>
      <w:r w:rsidRPr="00CD2EEF">
        <w:rPr>
          <w:lang w:val="en-GB"/>
        </w:rPr>
        <w:t xml:space="preserve">The Safety Upgrade Programme, which was designed after the accident at the Fukushima NPP, has been concluded. In 2021, the third and final phase of the programme took place. The main works included the design and start of construction of key additional safety systems and a dry spent fuel storage facility. </w:t>
      </w:r>
      <w:r w:rsidR="00A726E8">
        <w:rPr>
          <w:lang w:val="en-GB"/>
        </w:rPr>
        <w:t>The</w:t>
      </w:r>
      <w:r w:rsidRPr="00CD2EEF">
        <w:rPr>
          <w:lang w:val="en-GB"/>
        </w:rPr>
        <w:t xml:space="preserve"> 3</w:t>
      </w:r>
      <w:r w:rsidRPr="00CD2EEF">
        <w:rPr>
          <w:vertAlign w:val="superscript"/>
          <w:lang w:val="en-GB"/>
        </w:rPr>
        <w:t>rd</w:t>
      </w:r>
      <w:r w:rsidRPr="00CD2EEF">
        <w:rPr>
          <w:lang w:val="en-GB"/>
        </w:rPr>
        <w:t xml:space="preserve"> periodic safety review started, which will be especially important for the extension of </w:t>
      </w:r>
      <w:r w:rsidR="001B146F">
        <w:rPr>
          <w:lang w:val="en-GB"/>
        </w:rPr>
        <w:t>the Krško NPP</w:t>
      </w:r>
      <w:r w:rsidR="00F21D56">
        <w:rPr>
          <w:lang w:val="en-GB"/>
        </w:rPr>
        <w:t>’</w:t>
      </w:r>
      <w:r w:rsidRPr="00CD2EEF">
        <w:rPr>
          <w:lang w:val="en-GB"/>
        </w:rPr>
        <w:t>s operation.</w:t>
      </w:r>
    </w:p>
    <w:p w14:paraId="7655DBFF" w14:textId="54E69BC5" w:rsidR="00412AFC" w:rsidRPr="00CD2EEF" w:rsidRDefault="00412AFC" w:rsidP="00C81960">
      <w:pPr>
        <w:pStyle w:val="LPnavaden"/>
        <w:rPr>
          <w:lang w:val="en-GB"/>
        </w:rPr>
      </w:pPr>
      <w:r w:rsidRPr="00CD2EEF">
        <w:rPr>
          <w:lang w:val="en-GB"/>
        </w:rPr>
        <w:t xml:space="preserve">Complying with the legal requirements, conducting inspections of applications for safety upgrades and issuing permits, and continuously checking and improving the level of nuclear safety in all nuclear and radiation facilities and activities in Slovenia are </w:t>
      </w:r>
      <w:r w:rsidR="00291335">
        <w:rPr>
          <w:lang w:val="en-GB"/>
        </w:rPr>
        <w:t>the</w:t>
      </w:r>
      <w:r w:rsidR="00291335" w:rsidRPr="00CD2EEF">
        <w:rPr>
          <w:lang w:val="en-GB"/>
        </w:rPr>
        <w:t xml:space="preserve"> </w:t>
      </w:r>
      <w:r w:rsidRPr="00CD2EEF">
        <w:rPr>
          <w:lang w:val="en-GB"/>
        </w:rPr>
        <w:t>main priorities in this area.</w:t>
      </w:r>
    </w:p>
    <w:p w14:paraId="56E5BAF9" w14:textId="1BD7BB00" w:rsidR="00412AFC" w:rsidRPr="00CD2EEF" w:rsidRDefault="00412AFC" w:rsidP="00C81960">
      <w:pPr>
        <w:pStyle w:val="LPnavaden"/>
        <w:rPr>
          <w:lang w:val="en-GB"/>
        </w:rPr>
      </w:pPr>
      <w:r w:rsidRPr="00CD2EEF">
        <w:rPr>
          <w:lang w:val="en-GB"/>
        </w:rPr>
        <w:t>Security concerns are implemented on several levels and in different activities. The facilities ensure the continuous improvement of the project, proper and quality maintenance, and the inspection of equipment, the use of operational experience</w:t>
      </w:r>
      <w:r w:rsidR="004A6BC4">
        <w:rPr>
          <w:lang w:val="en-GB"/>
        </w:rPr>
        <w:t>s</w:t>
      </w:r>
      <w:r w:rsidRPr="00CD2EEF">
        <w:rPr>
          <w:lang w:val="en-GB"/>
        </w:rPr>
        <w:t xml:space="preserve">, </w:t>
      </w:r>
      <w:r w:rsidR="00754662">
        <w:rPr>
          <w:lang w:val="en-GB"/>
        </w:rPr>
        <w:t xml:space="preserve">the </w:t>
      </w:r>
      <w:r w:rsidRPr="00CD2EEF">
        <w:rPr>
          <w:lang w:val="en-GB"/>
        </w:rPr>
        <w:t>quality training of employees and similar. The administrative body, in accordance with the legislation, which is constantly tested and improved as regards the effectiveness of control, monitors the operation of facilities. Based on the findings or possible deviations, improvement measures are planned and implemented.</w:t>
      </w:r>
    </w:p>
    <w:p w14:paraId="4642CDAE" w14:textId="541386B1" w:rsidR="00412AFC" w:rsidRPr="00CD2EEF" w:rsidRDefault="00412AFC" w:rsidP="00C81960">
      <w:pPr>
        <w:pStyle w:val="LPnavaden"/>
        <w:rPr>
          <w:lang w:val="en-GB"/>
        </w:rPr>
      </w:pPr>
      <w:r w:rsidRPr="00CD2EEF">
        <w:rPr>
          <w:lang w:val="en-GB"/>
        </w:rPr>
        <w:t xml:space="preserve">The operators of nuclear facilities were facing challenges caused by the </w:t>
      </w:r>
      <w:r w:rsidR="00BE025A">
        <w:rPr>
          <w:lang w:val="en-GB"/>
        </w:rPr>
        <w:t>epi</w:t>
      </w:r>
      <w:r w:rsidRPr="00CD2EEF">
        <w:rPr>
          <w:lang w:val="en-GB"/>
        </w:rPr>
        <w:t xml:space="preserve">demic in 2021 as well. Those challenges </w:t>
      </w:r>
      <w:r w:rsidR="0014347A">
        <w:rPr>
          <w:lang w:val="en-GB"/>
        </w:rPr>
        <w:t>were</w:t>
      </w:r>
      <w:r w:rsidRPr="00CD2EEF">
        <w:rPr>
          <w:lang w:val="en-GB"/>
        </w:rPr>
        <w:t xml:space="preserve"> successfully resolved without any influence on or threat to nuclear safety.</w:t>
      </w:r>
    </w:p>
    <w:p w14:paraId="41D130F7" w14:textId="7D029C30" w:rsidR="00D774C0" w:rsidRPr="00ED59DD" w:rsidRDefault="00412AFC" w:rsidP="00E50020">
      <w:pPr>
        <w:pStyle w:val="LPnavaden"/>
        <w:rPr>
          <w:lang w:val="en-GB"/>
        </w:rPr>
      </w:pPr>
      <w:r w:rsidRPr="00CD2EEF">
        <w:rPr>
          <w:lang w:val="en-GB"/>
        </w:rPr>
        <w:t>Activities in the areas of research, education</w:t>
      </w:r>
      <w:r w:rsidR="0014347A">
        <w:rPr>
          <w:lang w:val="en-GB"/>
        </w:rPr>
        <w:t>,</w:t>
      </w:r>
      <w:r w:rsidRPr="00CD2EEF">
        <w:rPr>
          <w:lang w:val="en-GB"/>
        </w:rPr>
        <w:t xml:space="preserve"> and training are described in the description of </w:t>
      </w:r>
      <w:hyperlink w:anchor="goal12" w:history="1">
        <w:r w:rsidRPr="00CD2EEF">
          <w:rPr>
            <w:rStyle w:val="Hiperpovezava"/>
            <w:lang w:val="en-GB"/>
          </w:rPr>
          <w:t>Goal 12</w:t>
        </w:r>
      </w:hyperlink>
      <w:r w:rsidRPr="00CD2EEF">
        <w:rPr>
          <w:lang w:val="en-GB"/>
        </w:rPr>
        <w:t xml:space="preserve">. </w:t>
      </w:r>
    </w:p>
    <w:p w14:paraId="2DC2772E" w14:textId="184065E6" w:rsidR="00412AFC" w:rsidRPr="00CD2EEF" w:rsidRDefault="00412AFC" w:rsidP="004651F4">
      <w:pPr>
        <w:pStyle w:val="LPpodpoglavje"/>
        <w:rPr>
          <w:lang w:val="en-GB"/>
        </w:rPr>
      </w:pPr>
      <w:r w:rsidRPr="00CD2EEF">
        <w:rPr>
          <w:lang w:val="en-GB"/>
        </w:rPr>
        <w:t xml:space="preserve">Objectives of </w:t>
      </w:r>
      <w:r w:rsidR="00ED59DD">
        <w:rPr>
          <w:lang w:val="en-GB"/>
        </w:rPr>
        <w:t>I</w:t>
      </w:r>
      <w:r w:rsidRPr="00CD2EEF">
        <w:rPr>
          <w:lang w:val="en-GB"/>
        </w:rPr>
        <w:t xml:space="preserve">nternational </w:t>
      </w:r>
      <w:r w:rsidR="00ED59DD">
        <w:rPr>
          <w:lang w:val="en-GB"/>
        </w:rPr>
        <w:t>C</w:t>
      </w:r>
      <w:r w:rsidRPr="00CD2EEF">
        <w:rPr>
          <w:lang w:val="en-GB"/>
        </w:rPr>
        <w:t>ooperation</w:t>
      </w:r>
    </w:p>
    <w:p w14:paraId="1862F821" w14:textId="79717666" w:rsidR="00412AFC" w:rsidRPr="00CD2EEF" w:rsidRDefault="00412AFC" w:rsidP="00357142">
      <w:pPr>
        <w:pStyle w:val="LPnavaden"/>
        <w:rPr>
          <w:rStyle w:val="LPnavadenkrepko"/>
          <w:lang w:val="en-GB"/>
        </w:rPr>
      </w:pPr>
      <w:r w:rsidRPr="00CD2EEF">
        <w:rPr>
          <w:rStyle w:val="LPnavadenkrepko"/>
          <w:lang w:val="en-GB"/>
        </w:rPr>
        <w:t>Goal 2</w:t>
      </w:r>
    </w:p>
    <w:p w14:paraId="27D5CA5A" w14:textId="10D83040" w:rsidR="00412AFC" w:rsidRPr="00CD2EEF" w:rsidRDefault="00412AFC" w:rsidP="00357142">
      <w:pPr>
        <w:pStyle w:val="LPnavaden"/>
        <w:rPr>
          <w:rStyle w:val="LPnavadenpoevno"/>
          <w:lang w:val="en-GB"/>
        </w:rPr>
      </w:pPr>
      <w:r w:rsidRPr="00CD2EEF">
        <w:rPr>
          <w:rStyle w:val="LPnavadenpoevno"/>
          <w:lang w:val="en-GB"/>
        </w:rPr>
        <w:t>In principle, the Republic of Slovenia joins international conventions, agreements, contracts</w:t>
      </w:r>
      <w:r w:rsidR="004309F1">
        <w:rPr>
          <w:rStyle w:val="LPnavadenpoevno"/>
          <w:lang w:val="en-GB"/>
        </w:rPr>
        <w:t>,</w:t>
      </w:r>
      <w:r w:rsidRPr="00CD2EEF">
        <w:rPr>
          <w:rStyle w:val="LPnavadenpoevno"/>
          <w:lang w:val="en-GB"/>
        </w:rPr>
        <w:t xml:space="preserve"> or other types of cooperation that enable </w:t>
      </w:r>
      <w:r w:rsidR="004309F1">
        <w:rPr>
          <w:rStyle w:val="LPnavadenpoevno"/>
          <w:lang w:val="en-GB"/>
        </w:rPr>
        <w:t>the</w:t>
      </w:r>
      <w:r w:rsidR="004309F1" w:rsidRPr="00CD2EEF">
        <w:rPr>
          <w:rStyle w:val="LPnavadenpoevno"/>
          <w:lang w:val="en-GB"/>
        </w:rPr>
        <w:t xml:space="preserve"> </w:t>
      </w:r>
      <w:r w:rsidRPr="00CD2EEF">
        <w:rPr>
          <w:rStyle w:val="LPnavadenpoevno"/>
          <w:lang w:val="en-GB"/>
        </w:rPr>
        <w:t xml:space="preserve">quick and equal exchange of information or mutual assistance to ensure nuclear and </w:t>
      </w:r>
      <w:r w:rsidRPr="00CD2EEF">
        <w:rPr>
          <w:rStyle w:val="LPnavadenpoevno"/>
          <w:lang w:val="en-GB"/>
        </w:rPr>
        <w:lastRenderedPageBreak/>
        <w:t>radiation safety and reduce risks for people and the environment both on the territory of the Republic of Slovenia and elsewhere.</w:t>
      </w:r>
    </w:p>
    <w:p w14:paraId="4FC0B9A8" w14:textId="50BFD134" w:rsidR="00412AFC" w:rsidRPr="00CD2EEF" w:rsidRDefault="00412AFC" w:rsidP="00357142">
      <w:pPr>
        <w:pStyle w:val="LPnavaden"/>
        <w:rPr>
          <w:rStyle w:val="LPnavadenpoevno"/>
          <w:lang w:val="en-GB"/>
        </w:rPr>
      </w:pPr>
      <w:r w:rsidRPr="00CD2EEF">
        <w:rPr>
          <w:rStyle w:val="LPnavadenpoevno"/>
          <w:lang w:val="en-GB"/>
        </w:rPr>
        <w:t>Slovenian state authorities and other organi</w:t>
      </w:r>
      <w:r w:rsidR="00E9756B">
        <w:rPr>
          <w:rStyle w:val="LPnavadenpoevno"/>
          <w:lang w:val="en-GB"/>
        </w:rPr>
        <w:t>sation</w:t>
      </w:r>
      <w:r w:rsidRPr="00CD2EEF">
        <w:rPr>
          <w:rStyle w:val="LPnavadenpoevno"/>
          <w:lang w:val="en-GB"/>
        </w:rPr>
        <w:t>s in the field of nuclear and radiation safety and physical protection join international associations based on the needs and benefits they can derive from such membership. This type of association must contribute to the maintenance of nuclear and radiation safety in Slovenia at a comparable international level.</w:t>
      </w:r>
    </w:p>
    <w:p w14:paraId="2F9F4F81" w14:textId="77777777" w:rsidR="00412AFC" w:rsidRPr="00CD2EEF" w:rsidRDefault="00412AFC" w:rsidP="00357142">
      <w:pPr>
        <w:pStyle w:val="LPnavaden"/>
        <w:rPr>
          <w:rStyle w:val="LPnavadenpoevno"/>
          <w:lang w:val="en-GB"/>
        </w:rPr>
      </w:pPr>
      <w:r w:rsidRPr="00CD2EEF">
        <w:rPr>
          <w:rStyle w:val="LPnavadenpoevno"/>
          <w:lang w:val="en-GB"/>
        </w:rPr>
        <w:t xml:space="preserve">International cooperation must be encouraged and maintained in all areas of nuclear and radiation safety, including in science and education. </w:t>
      </w:r>
    </w:p>
    <w:p w14:paraId="0DB9C9CE" w14:textId="69C99C71" w:rsidR="00412AFC" w:rsidRPr="00CD2EEF" w:rsidRDefault="00412AFC" w:rsidP="00357142">
      <w:pPr>
        <w:pStyle w:val="LPnavaden"/>
        <w:rPr>
          <w:rStyle w:val="LPnavadenpoevno"/>
          <w:lang w:val="en-GB"/>
        </w:rPr>
      </w:pPr>
      <w:r w:rsidRPr="00CD2EEF">
        <w:rPr>
          <w:rStyle w:val="LPnavadenpoevno"/>
          <w:lang w:val="en-GB"/>
        </w:rPr>
        <w:t>The Republic of Slovenia or Slovenian state authorities and other organi</w:t>
      </w:r>
      <w:r w:rsidR="00E9756B">
        <w:rPr>
          <w:rStyle w:val="LPnavadenpoevno"/>
          <w:lang w:val="en-GB"/>
        </w:rPr>
        <w:t>sation</w:t>
      </w:r>
      <w:r w:rsidRPr="00CD2EEF">
        <w:rPr>
          <w:rStyle w:val="LPnavadenpoevno"/>
          <w:lang w:val="en-GB"/>
        </w:rPr>
        <w:t>s in the field of nuclear and radiation conclude bilateral agreements on cooperation in the field of nuclear and radiation safety, if in this way they make it easier to achieve the set goals. Such agreements are especially important if they enable Slovenia to have quick access to information in the event of a radiological accident on the territory of another country.</w:t>
      </w:r>
    </w:p>
    <w:p w14:paraId="2B7F9152" w14:textId="77777777" w:rsidR="00412AFC" w:rsidRPr="00CD2EEF" w:rsidRDefault="00412AFC" w:rsidP="00357142">
      <w:pPr>
        <w:pStyle w:val="LPnaslovkrepko"/>
        <w:rPr>
          <w:rStyle w:val="LPnavadenkrepko"/>
          <w:b/>
          <w:lang w:val="en-GB"/>
        </w:rPr>
      </w:pPr>
      <w:r w:rsidRPr="00CD2EEF">
        <w:rPr>
          <w:rStyle w:val="LPnavadenkrepko"/>
          <w:lang w:val="en-GB"/>
        </w:rPr>
        <w:t>Measures for achieving the goal:</w:t>
      </w:r>
    </w:p>
    <w:p w14:paraId="57F6B414" w14:textId="7683921C" w:rsidR="00412AFC" w:rsidRPr="00CD2EEF" w:rsidRDefault="00412AFC" w:rsidP="00357142">
      <w:pPr>
        <w:pStyle w:val="LPalineje"/>
        <w:rPr>
          <w:lang w:val="en-GB"/>
        </w:rPr>
      </w:pPr>
      <w:r w:rsidRPr="00CD2EEF">
        <w:rPr>
          <w:lang w:val="en-GB"/>
        </w:rPr>
        <w:t>Slovenian organi</w:t>
      </w:r>
      <w:r w:rsidR="00E9756B">
        <w:rPr>
          <w:lang w:val="en-GB"/>
        </w:rPr>
        <w:t>sation</w:t>
      </w:r>
      <w:r w:rsidRPr="00CD2EEF">
        <w:rPr>
          <w:lang w:val="en-GB"/>
        </w:rPr>
        <w:t>s actively monitor and, if necessary, join international associations.</w:t>
      </w:r>
    </w:p>
    <w:p w14:paraId="2E67536F" w14:textId="30892E10" w:rsidR="00412AFC" w:rsidRPr="00CD2EEF" w:rsidRDefault="00412AFC" w:rsidP="00357142">
      <w:pPr>
        <w:pStyle w:val="LPalineje"/>
        <w:rPr>
          <w:lang w:val="en-GB"/>
        </w:rPr>
      </w:pPr>
      <w:r w:rsidRPr="00CD2EEF">
        <w:rPr>
          <w:lang w:val="en-GB"/>
        </w:rPr>
        <w:t>Competent organi</w:t>
      </w:r>
      <w:r w:rsidR="00E9756B">
        <w:rPr>
          <w:lang w:val="en-GB"/>
        </w:rPr>
        <w:t>sation</w:t>
      </w:r>
      <w:r w:rsidRPr="00CD2EEF">
        <w:rPr>
          <w:lang w:val="en-GB"/>
        </w:rPr>
        <w:t>s regularly report in accordance with the commitments of international agreements.</w:t>
      </w:r>
    </w:p>
    <w:p w14:paraId="4CF89FF1" w14:textId="431CB8D4" w:rsidR="00412AFC" w:rsidRPr="00CD2EEF" w:rsidRDefault="00412AFC" w:rsidP="00357142">
      <w:pPr>
        <w:pStyle w:val="LPalineje"/>
        <w:rPr>
          <w:lang w:val="en-GB"/>
        </w:rPr>
      </w:pPr>
      <w:r w:rsidRPr="00CD2EEF">
        <w:rPr>
          <w:lang w:val="en-GB"/>
        </w:rPr>
        <w:t>Representatives of the Republic of Slovenia monitor developments in the international arena and, if necessary, initiate procedures for the accession of Slovenia to any new or amended international agreements</w:t>
      </w:r>
      <w:r w:rsidR="00CC75E9">
        <w:rPr>
          <w:lang w:val="en-GB"/>
        </w:rPr>
        <w:t>.</w:t>
      </w:r>
    </w:p>
    <w:p w14:paraId="791CB97D" w14:textId="77777777" w:rsidR="00412AFC" w:rsidRPr="00CD2EEF" w:rsidRDefault="00412AFC" w:rsidP="00357142">
      <w:pPr>
        <w:pStyle w:val="LPalineje"/>
        <w:rPr>
          <w:lang w:val="en-GB"/>
        </w:rPr>
      </w:pPr>
      <w:r w:rsidRPr="00CD2EEF">
        <w:rPr>
          <w:lang w:val="en-GB"/>
        </w:rPr>
        <w:t>Slovenian state authorities maintain existing bilateral agreements and, if necessary, conclude new ones.</w:t>
      </w:r>
    </w:p>
    <w:p w14:paraId="5E04E18D" w14:textId="77777777" w:rsidR="00412AFC" w:rsidRPr="00CD2EEF" w:rsidRDefault="00412AFC" w:rsidP="00357142">
      <w:pPr>
        <w:pStyle w:val="LPnavaden"/>
        <w:rPr>
          <w:rStyle w:val="LPnavadenkrepko"/>
          <w:lang w:val="en-GB"/>
        </w:rPr>
      </w:pPr>
      <w:r w:rsidRPr="00CD2EEF">
        <w:rPr>
          <w:rStyle w:val="LPnavadenkrepko"/>
          <w:lang w:val="en-GB"/>
        </w:rPr>
        <w:t xml:space="preserve">Realisation in 2021: </w:t>
      </w:r>
    </w:p>
    <w:p w14:paraId="7C4DC2D9" w14:textId="79B36EBF" w:rsidR="00412AFC" w:rsidRPr="00CD2EEF" w:rsidRDefault="00412AFC" w:rsidP="00357142">
      <w:pPr>
        <w:pStyle w:val="LPnavaden"/>
        <w:rPr>
          <w:lang w:val="en-GB"/>
        </w:rPr>
      </w:pPr>
      <w:r w:rsidRPr="00CD2EEF">
        <w:rPr>
          <w:lang w:val="en-GB"/>
        </w:rPr>
        <w:t xml:space="preserve">Slovenian authorities and other organisations in the field of nuclear and radiation safety and physical protection </w:t>
      </w:r>
      <w:r w:rsidR="001F1C31">
        <w:rPr>
          <w:lang w:val="en-GB"/>
        </w:rPr>
        <w:t>attempted</w:t>
      </w:r>
      <w:r w:rsidRPr="00CD2EEF">
        <w:rPr>
          <w:lang w:val="en-GB"/>
        </w:rPr>
        <w:t xml:space="preserve">, despite the </w:t>
      </w:r>
      <w:r w:rsidR="00BE025A">
        <w:rPr>
          <w:lang w:val="en-GB"/>
        </w:rPr>
        <w:t>epi</w:t>
      </w:r>
      <w:r w:rsidRPr="00CD2EEF">
        <w:rPr>
          <w:lang w:val="en-GB"/>
        </w:rPr>
        <w:t xml:space="preserve">demic, to be actively involved in international associations in line with the needs and benefits of membership in organisations such as the WENRA, </w:t>
      </w:r>
      <w:r w:rsidR="001F1C31">
        <w:rPr>
          <w:lang w:val="en-GB"/>
        </w:rPr>
        <w:t xml:space="preserve">the </w:t>
      </w:r>
      <w:r w:rsidRPr="00CD2EEF">
        <w:rPr>
          <w:lang w:val="en-GB"/>
        </w:rPr>
        <w:t>ENSRA</w:t>
      </w:r>
      <w:r w:rsidR="001F1C31">
        <w:rPr>
          <w:lang w:val="en-GB"/>
        </w:rPr>
        <w:t>,</w:t>
      </w:r>
      <w:r w:rsidRPr="00CD2EEF">
        <w:rPr>
          <w:lang w:val="en-GB"/>
        </w:rPr>
        <w:t xml:space="preserve"> and </w:t>
      </w:r>
      <w:r w:rsidR="001F1C31">
        <w:rPr>
          <w:lang w:val="en-GB"/>
        </w:rPr>
        <w:t xml:space="preserve">the </w:t>
      </w:r>
      <w:r w:rsidRPr="00CD2EEF">
        <w:rPr>
          <w:lang w:val="en-GB"/>
        </w:rPr>
        <w:t xml:space="preserve">HERCA, as well as in the working groups thereof. They also participated in the Euratom – Fission Research Programme Comitology Committee and followed the work of the consultative Committee of the Instrument for Nuclear Safety Cooperation. In 2021, such cooperation </w:t>
      </w:r>
      <w:r w:rsidR="001F1C31">
        <w:rPr>
          <w:lang w:val="en-GB"/>
        </w:rPr>
        <w:t>was</w:t>
      </w:r>
      <w:r w:rsidRPr="00CD2EEF">
        <w:rPr>
          <w:lang w:val="en-GB"/>
        </w:rPr>
        <w:t xml:space="preserve"> limited to online meetings with all </w:t>
      </w:r>
      <w:r w:rsidR="001F1C31">
        <w:rPr>
          <w:lang w:val="en-GB"/>
        </w:rPr>
        <w:t>the</w:t>
      </w:r>
      <w:r w:rsidR="001F1C31" w:rsidRPr="00CD2EEF">
        <w:rPr>
          <w:lang w:val="en-GB"/>
        </w:rPr>
        <w:t xml:space="preserve"> </w:t>
      </w:r>
      <w:r w:rsidRPr="00CD2EEF">
        <w:rPr>
          <w:lang w:val="en-GB"/>
        </w:rPr>
        <w:t>advantages and drawbacks</w:t>
      </w:r>
      <w:r w:rsidR="001F1C31">
        <w:rPr>
          <w:lang w:val="en-GB"/>
        </w:rPr>
        <w:t xml:space="preserve"> thereof</w:t>
      </w:r>
      <w:r w:rsidRPr="00CD2EEF">
        <w:rPr>
          <w:lang w:val="en-GB"/>
        </w:rPr>
        <w:t>.</w:t>
      </w:r>
    </w:p>
    <w:p w14:paraId="4E38FCDC" w14:textId="3E21BD1E" w:rsidR="00412AFC" w:rsidRPr="00CD2EEF" w:rsidRDefault="00412AFC" w:rsidP="00357142">
      <w:pPr>
        <w:pStyle w:val="LPnavaden"/>
        <w:rPr>
          <w:rStyle w:val="LPpobarvan2"/>
          <w:shd w:val="clear" w:color="auto" w:fill="auto"/>
          <w:lang w:val="en-GB"/>
        </w:rPr>
      </w:pPr>
      <w:r w:rsidRPr="00CD2EEF">
        <w:rPr>
          <w:rStyle w:val="LPpobarvan2"/>
          <w:shd w:val="clear" w:color="auto" w:fill="auto"/>
          <w:lang w:val="en-GB"/>
        </w:rPr>
        <w:t xml:space="preserve">Regarding the Horizon Europe research programme, Slovenian representatives are involved in the preparation of the Euratom Research Programme, namely of the so-called </w:t>
      </w:r>
      <w:r w:rsidR="00263D93">
        <w:rPr>
          <w:rStyle w:val="LPpobarvan2"/>
          <w:shd w:val="clear" w:color="auto" w:fill="auto"/>
          <w:lang w:val="en-GB"/>
        </w:rPr>
        <w:t>“</w:t>
      </w:r>
      <w:r w:rsidRPr="00CD2EEF">
        <w:rPr>
          <w:rStyle w:val="LPpobarvan2"/>
          <w:shd w:val="clear" w:color="auto" w:fill="auto"/>
          <w:lang w:val="en-GB"/>
        </w:rPr>
        <w:t>work programmes</w:t>
      </w:r>
      <w:r w:rsidR="00263D93">
        <w:rPr>
          <w:rStyle w:val="LPpobarvan2"/>
          <w:shd w:val="clear" w:color="auto" w:fill="auto"/>
          <w:lang w:val="en-GB"/>
        </w:rPr>
        <w:t>”</w:t>
      </w:r>
      <w:r w:rsidRPr="00CD2EEF">
        <w:rPr>
          <w:rStyle w:val="LPpobarvan2"/>
          <w:shd w:val="clear" w:color="auto" w:fill="auto"/>
          <w:lang w:val="en-GB"/>
        </w:rPr>
        <w:t xml:space="preserve"> within the committee covering fission and fusion.</w:t>
      </w:r>
    </w:p>
    <w:p w14:paraId="7B4971D7" w14:textId="220E314C" w:rsidR="00412AFC" w:rsidRPr="00CD2EEF" w:rsidRDefault="00412AFC" w:rsidP="00357142">
      <w:pPr>
        <w:pStyle w:val="LPnavaden"/>
        <w:rPr>
          <w:rStyle w:val="LPnavadenpoevno"/>
          <w:lang w:val="en-GB"/>
        </w:rPr>
      </w:pPr>
      <w:r w:rsidRPr="00CD2EEF">
        <w:rPr>
          <w:lang w:val="en-GB"/>
        </w:rPr>
        <w:t xml:space="preserve">The Republic of Slovenia or its national authorities and other organisations in the field of nuclear and radiation safety and physical protection conclude bilateral cooperation agreements in order to achieve their goals and </w:t>
      </w:r>
      <w:r w:rsidR="000C123E">
        <w:rPr>
          <w:lang w:val="en-GB"/>
        </w:rPr>
        <w:t>ensure a</w:t>
      </w:r>
      <w:r w:rsidR="000C123E" w:rsidRPr="00CD2EEF">
        <w:rPr>
          <w:lang w:val="en-GB"/>
        </w:rPr>
        <w:t xml:space="preserve"> </w:t>
      </w:r>
      <w:r w:rsidRPr="00CD2EEF">
        <w:rPr>
          <w:lang w:val="en-GB"/>
        </w:rPr>
        <w:t xml:space="preserve">high level of nuclear and radiation safety. Such agreements enable Slovenia to quickly exchange information during potential radiological emergencies in other countries and also to gain other information during regular meetings. In 2021, the planned bilateral activities were either cancelled or postponed, except for the bilateral meeting with Austria, which was held in person in Ljubljana, as well as the meeting with Croatia, which took place virtually. </w:t>
      </w:r>
      <w:r w:rsidRPr="00CD2EEF">
        <w:rPr>
          <w:rStyle w:val="LPpobarvan2"/>
          <w:shd w:val="clear" w:color="auto" w:fill="auto"/>
          <w:lang w:val="en-GB"/>
        </w:rPr>
        <w:t xml:space="preserve">In addition, </w:t>
      </w:r>
      <w:r w:rsidR="000C123E">
        <w:rPr>
          <w:rStyle w:val="LPpobarvan2"/>
          <w:shd w:val="clear" w:color="auto" w:fill="auto"/>
          <w:lang w:val="en-GB"/>
        </w:rPr>
        <w:t>everything</w:t>
      </w:r>
      <w:r w:rsidR="000C123E" w:rsidRPr="00CD2EEF">
        <w:rPr>
          <w:rStyle w:val="LPpobarvan2"/>
          <w:shd w:val="clear" w:color="auto" w:fill="auto"/>
          <w:lang w:val="en-GB"/>
        </w:rPr>
        <w:t xml:space="preserve"> </w:t>
      </w:r>
      <w:r w:rsidRPr="00CD2EEF">
        <w:rPr>
          <w:rStyle w:val="LPpobarvan2"/>
          <w:shd w:val="clear" w:color="auto" w:fill="auto"/>
          <w:lang w:val="en-GB"/>
        </w:rPr>
        <w:t xml:space="preserve">necessary was prepared for signing the Memorandum of Understanding between </w:t>
      </w:r>
      <w:r w:rsidR="00E63423">
        <w:rPr>
          <w:rStyle w:val="LPpobarvan2"/>
          <w:shd w:val="clear" w:color="auto" w:fill="auto"/>
          <w:lang w:val="en-GB"/>
        </w:rPr>
        <w:t>the SNSA</w:t>
      </w:r>
      <w:r w:rsidRPr="00CD2EEF">
        <w:rPr>
          <w:rStyle w:val="LPpobarvan2"/>
          <w:shd w:val="clear" w:color="auto" w:fill="auto"/>
          <w:lang w:val="en-GB"/>
        </w:rPr>
        <w:t xml:space="preserve"> and the Moroccan administrative authority, but the </w:t>
      </w:r>
      <w:r w:rsidR="00AE4D6B" w:rsidRPr="00CD2EEF">
        <w:rPr>
          <w:rStyle w:val="LPpobarvan2"/>
          <w:shd w:val="clear" w:color="auto" w:fill="auto"/>
          <w:lang w:val="en-GB"/>
        </w:rPr>
        <w:t>sign</w:t>
      </w:r>
      <w:r w:rsidR="00AE4D6B">
        <w:rPr>
          <w:rStyle w:val="LPpobarvan2"/>
          <w:shd w:val="clear" w:color="auto" w:fill="auto"/>
          <w:lang w:val="en-GB"/>
        </w:rPr>
        <w:t>ing</w:t>
      </w:r>
      <w:r w:rsidR="00AE4D6B" w:rsidRPr="00CD2EEF">
        <w:rPr>
          <w:rStyle w:val="LPpobarvan2"/>
          <w:shd w:val="clear" w:color="auto" w:fill="auto"/>
          <w:lang w:val="en-GB"/>
        </w:rPr>
        <w:t xml:space="preserve"> </w:t>
      </w:r>
      <w:r w:rsidRPr="00CD2EEF">
        <w:rPr>
          <w:rStyle w:val="LPpobarvan2"/>
          <w:shd w:val="clear" w:color="auto" w:fill="auto"/>
          <w:lang w:val="en-GB"/>
        </w:rPr>
        <w:t xml:space="preserve">has not yet taken place as we await </w:t>
      </w:r>
      <w:r w:rsidR="00AE4D6B">
        <w:rPr>
          <w:rStyle w:val="LPpobarvan2"/>
          <w:shd w:val="clear" w:color="auto" w:fill="auto"/>
          <w:lang w:val="en-GB"/>
        </w:rPr>
        <w:t>an</w:t>
      </w:r>
      <w:r w:rsidR="00AE4D6B" w:rsidRPr="00CD2EEF">
        <w:rPr>
          <w:rStyle w:val="LPpobarvan2"/>
          <w:shd w:val="clear" w:color="auto" w:fill="auto"/>
          <w:lang w:val="en-GB"/>
        </w:rPr>
        <w:t xml:space="preserve"> </w:t>
      </w:r>
      <w:r w:rsidRPr="00CD2EEF">
        <w:rPr>
          <w:rStyle w:val="LPpobarvan2"/>
          <w:shd w:val="clear" w:color="auto" w:fill="auto"/>
          <w:lang w:val="en-GB"/>
        </w:rPr>
        <w:t xml:space="preserve">opportunity of a physical meeting of </w:t>
      </w:r>
      <w:r w:rsidR="00AE4D6B">
        <w:rPr>
          <w:rStyle w:val="LPpobarvan2"/>
          <w:shd w:val="clear" w:color="auto" w:fill="auto"/>
          <w:lang w:val="en-GB"/>
        </w:rPr>
        <w:t xml:space="preserve">the </w:t>
      </w:r>
      <w:r w:rsidR="00AE4D6B" w:rsidRPr="00CD2EEF">
        <w:rPr>
          <w:rStyle w:val="LPpobarvan2"/>
          <w:shd w:val="clear" w:color="auto" w:fill="auto"/>
          <w:lang w:val="en-GB"/>
        </w:rPr>
        <w:t>head</w:t>
      </w:r>
      <w:r w:rsidR="00AE4D6B">
        <w:rPr>
          <w:rStyle w:val="LPpobarvan2"/>
          <w:shd w:val="clear" w:color="auto" w:fill="auto"/>
          <w:lang w:val="en-GB"/>
        </w:rPr>
        <w:t>s</w:t>
      </w:r>
      <w:r w:rsidR="00AE4D6B" w:rsidRPr="00CD2EEF">
        <w:rPr>
          <w:rStyle w:val="LPpobarvan2"/>
          <w:shd w:val="clear" w:color="auto" w:fill="auto"/>
          <w:lang w:val="en-GB"/>
        </w:rPr>
        <w:t xml:space="preserve"> </w:t>
      </w:r>
      <w:r w:rsidRPr="00CD2EEF">
        <w:rPr>
          <w:rStyle w:val="LPpobarvan2"/>
          <w:shd w:val="clear" w:color="auto" w:fill="auto"/>
          <w:lang w:val="en-GB"/>
        </w:rPr>
        <w:t>of both administrative bodies</w:t>
      </w:r>
      <w:r w:rsidRPr="00CD2EEF">
        <w:rPr>
          <w:rStyle w:val="LPnavadenpoevno"/>
          <w:lang w:val="en-GB"/>
        </w:rPr>
        <w:t>.</w:t>
      </w:r>
    </w:p>
    <w:p w14:paraId="663F3C0F" w14:textId="77777777" w:rsidR="00E50020" w:rsidRDefault="00E50020" w:rsidP="004651F4">
      <w:pPr>
        <w:pStyle w:val="LPnaslovkrepko"/>
        <w:rPr>
          <w:lang w:val="en-GB"/>
        </w:rPr>
      </w:pPr>
    </w:p>
    <w:p w14:paraId="4BA130DA" w14:textId="682ECB6E" w:rsidR="00412AFC" w:rsidRPr="00CD2EEF" w:rsidRDefault="00412AFC" w:rsidP="004651F4">
      <w:pPr>
        <w:pStyle w:val="LPnaslovkrepko"/>
        <w:rPr>
          <w:lang w:val="en-GB"/>
        </w:rPr>
      </w:pPr>
      <w:r w:rsidRPr="00CD2EEF">
        <w:rPr>
          <w:lang w:val="en-GB"/>
        </w:rPr>
        <w:lastRenderedPageBreak/>
        <w:t xml:space="preserve">Goal 3 </w:t>
      </w:r>
    </w:p>
    <w:p w14:paraId="01DBFCD5" w14:textId="77777777" w:rsidR="00412AFC" w:rsidRPr="00CD2EEF" w:rsidRDefault="00412AFC" w:rsidP="005E7270">
      <w:pPr>
        <w:pStyle w:val="LPnavadenposevno"/>
        <w:rPr>
          <w:lang w:val="en-GB"/>
        </w:rPr>
      </w:pPr>
      <w:r w:rsidRPr="00CD2EEF">
        <w:rPr>
          <w:lang w:val="en-GB"/>
        </w:rPr>
        <w:t>The Republic of Slovenia will continue to actively participate in all activities within the EU where its presence is mandatory and where its specific long-term interests can be realised.</w:t>
      </w:r>
    </w:p>
    <w:p w14:paraId="6F7F1E7D" w14:textId="77777777" w:rsidR="00412AFC" w:rsidRPr="00CD2EEF" w:rsidRDefault="00412AFC" w:rsidP="00357142">
      <w:pPr>
        <w:pStyle w:val="LPalineje"/>
        <w:numPr>
          <w:ilvl w:val="0"/>
          <w:numId w:val="0"/>
        </w:numPr>
        <w:ind w:left="360" w:hanging="360"/>
        <w:rPr>
          <w:rStyle w:val="LPnavadenkrepko"/>
          <w:lang w:val="en-GB"/>
        </w:rPr>
      </w:pPr>
      <w:r w:rsidRPr="00CD2EEF">
        <w:rPr>
          <w:rStyle w:val="LPnavadenkrepko"/>
          <w:lang w:val="en-GB"/>
        </w:rPr>
        <w:t>Measures for achieving the goal:</w:t>
      </w:r>
    </w:p>
    <w:p w14:paraId="7AC19A91" w14:textId="77777777" w:rsidR="00412AFC" w:rsidRPr="00CD2EEF" w:rsidRDefault="00412AFC" w:rsidP="00357142">
      <w:pPr>
        <w:pStyle w:val="LPalineje"/>
        <w:rPr>
          <w:lang w:val="en-GB"/>
        </w:rPr>
      </w:pPr>
      <w:r w:rsidRPr="00CD2EEF">
        <w:rPr>
          <w:lang w:val="en-GB"/>
        </w:rPr>
        <w:t>Representatives of the Republic of Slovenia actively participate in meetings of EU working bodies.</w:t>
      </w:r>
    </w:p>
    <w:p w14:paraId="7053B8DD" w14:textId="77777777" w:rsidR="00412AFC" w:rsidRPr="00CD2EEF" w:rsidRDefault="00412AFC" w:rsidP="00357142">
      <w:pPr>
        <w:pStyle w:val="LPalineje"/>
        <w:rPr>
          <w:lang w:val="en-GB"/>
        </w:rPr>
      </w:pPr>
      <w:r w:rsidRPr="00CD2EEF">
        <w:rPr>
          <w:lang w:val="en-GB"/>
        </w:rPr>
        <w:t>The state actively supports and co-finances the participation of Slovenian researchers in research projects of the European Commission (Euratom).</w:t>
      </w:r>
    </w:p>
    <w:p w14:paraId="56E7F0CB" w14:textId="77777777" w:rsidR="00412AFC" w:rsidRPr="00CD2EEF" w:rsidRDefault="00412AFC" w:rsidP="00357142">
      <w:pPr>
        <w:pStyle w:val="LPalineje"/>
        <w:numPr>
          <w:ilvl w:val="0"/>
          <w:numId w:val="0"/>
        </w:numPr>
        <w:ind w:left="360" w:hanging="360"/>
        <w:rPr>
          <w:rStyle w:val="LPnavadenkrepko"/>
          <w:lang w:val="en-GB"/>
        </w:rPr>
      </w:pPr>
      <w:r w:rsidRPr="00CD2EEF">
        <w:rPr>
          <w:rStyle w:val="LPnavadenkrepko"/>
          <w:lang w:val="en-GB"/>
        </w:rPr>
        <w:t xml:space="preserve">Realisation in 2021: </w:t>
      </w:r>
    </w:p>
    <w:p w14:paraId="1B0D74FD" w14:textId="0BA74F72" w:rsidR="00412AFC" w:rsidRPr="00CD2EEF" w:rsidRDefault="00412AFC" w:rsidP="00357142">
      <w:pPr>
        <w:pStyle w:val="LPnavaden"/>
        <w:rPr>
          <w:lang w:val="en-GB"/>
        </w:rPr>
      </w:pPr>
      <w:r w:rsidRPr="00CD2EEF">
        <w:rPr>
          <w:lang w:val="en-GB"/>
        </w:rPr>
        <w:t xml:space="preserve">The Republic of Slovenia was active, within the restrictions imposed to limit physical meetings, in the Working Party on Atomic Questions of the Council of the EU and in the group established by </w:t>
      </w:r>
      <w:r w:rsidR="00810671" w:rsidRPr="00ED59DD">
        <w:rPr>
          <w:lang w:val="en-GB"/>
        </w:rPr>
        <w:t xml:space="preserve">Article </w:t>
      </w:r>
      <w:r w:rsidRPr="001079AD">
        <w:rPr>
          <w:lang w:val="en-GB"/>
        </w:rPr>
        <w:t>31 of</w:t>
      </w:r>
      <w:r w:rsidRPr="00CD2EEF">
        <w:rPr>
          <w:lang w:val="en-GB"/>
        </w:rPr>
        <w:t xml:space="preserve"> the Euratom Treaty and followed the work of the groups established by Articles 35, 36</w:t>
      </w:r>
      <w:r w:rsidR="00810671">
        <w:rPr>
          <w:lang w:val="en-GB"/>
        </w:rPr>
        <w:t>,</w:t>
      </w:r>
      <w:r w:rsidRPr="00CD2EEF">
        <w:rPr>
          <w:lang w:val="en-GB"/>
        </w:rPr>
        <w:t xml:space="preserve"> and 37 of the Euratom Treaty. The Slovenian representatives attended the ENSREG autumn and spring plenaries</w:t>
      </w:r>
      <w:r w:rsidR="00810671" w:rsidRPr="00810671">
        <w:rPr>
          <w:lang w:val="en-GB"/>
        </w:rPr>
        <w:t xml:space="preserve"> </w:t>
      </w:r>
      <w:r w:rsidR="00810671" w:rsidRPr="00CD2EEF">
        <w:rPr>
          <w:lang w:val="en-GB"/>
        </w:rPr>
        <w:t>virtually</w:t>
      </w:r>
      <w:r w:rsidRPr="00CD2EEF">
        <w:rPr>
          <w:lang w:val="en-GB"/>
        </w:rPr>
        <w:t xml:space="preserve">, as well as the ENSREG Working Groups meetings. They also actively cooperated in the implementation of assistance to third countries, which is financed by the European Commission. In 2021, </w:t>
      </w:r>
      <w:r w:rsidR="00E63423">
        <w:rPr>
          <w:lang w:val="en-GB"/>
        </w:rPr>
        <w:t>the SNSA</w:t>
      </w:r>
      <w:r w:rsidRPr="00CD2EEF">
        <w:rPr>
          <w:lang w:val="en-GB"/>
        </w:rPr>
        <w:t xml:space="preserve">, together with the consortium, </w:t>
      </w:r>
      <w:r w:rsidR="00F21326">
        <w:rPr>
          <w:lang w:val="en-GB"/>
        </w:rPr>
        <w:t>was</w:t>
      </w:r>
      <w:r w:rsidRPr="00CD2EEF">
        <w:rPr>
          <w:lang w:val="en-GB"/>
        </w:rPr>
        <w:t xml:space="preserve"> successful in a call for assistance to the Belarus regulatory body, whose fate is highly uncertain in 2022. Remark: This project was cancelled by the EC in autumn 2022.</w:t>
      </w:r>
    </w:p>
    <w:p w14:paraId="6E4DCE32" w14:textId="77777777" w:rsidR="00412AFC" w:rsidRPr="00CD2EEF" w:rsidRDefault="00412AFC" w:rsidP="004651F4">
      <w:pPr>
        <w:pStyle w:val="LPnaslovkrepko"/>
        <w:rPr>
          <w:lang w:val="en-GB"/>
        </w:rPr>
      </w:pPr>
      <w:r w:rsidRPr="00CD2EEF">
        <w:rPr>
          <w:lang w:val="en-GB"/>
        </w:rPr>
        <w:t xml:space="preserve">Goal 4 </w:t>
      </w:r>
    </w:p>
    <w:p w14:paraId="39EC4E86" w14:textId="2C9F8795" w:rsidR="00412AFC" w:rsidRPr="00CD2EEF" w:rsidRDefault="00412AFC" w:rsidP="005E7270">
      <w:pPr>
        <w:pStyle w:val="LPnavadenposevno"/>
        <w:rPr>
          <w:lang w:val="en-GB"/>
        </w:rPr>
      </w:pPr>
      <w:r w:rsidRPr="00CD2EEF">
        <w:rPr>
          <w:lang w:val="en-GB"/>
        </w:rPr>
        <w:t>The Republic of Slovenia is and remains an active member of the IAEA. As a member of this agency, it pays a mandatory membership fee in accordance with its capabilities. It also contributes additional personnel and financial contributions especially in the areas where the country</w:t>
      </w:r>
      <w:r w:rsidR="00F21D56">
        <w:rPr>
          <w:lang w:val="en-GB"/>
        </w:rPr>
        <w:t>’</w:t>
      </w:r>
      <w:r w:rsidRPr="00CD2EEF">
        <w:rPr>
          <w:lang w:val="en-GB"/>
        </w:rPr>
        <w:t xml:space="preserve">s interests can directly or indirectly be realised. </w:t>
      </w:r>
    </w:p>
    <w:p w14:paraId="398D35FC" w14:textId="77777777" w:rsidR="00412AFC" w:rsidRPr="00CD2EEF" w:rsidRDefault="00412AFC" w:rsidP="005E7270">
      <w:pPr>
        <w:pStyle w:val="LPnavadenposevno"/>
        <w:rPr>
          <w:lang w:val="en-GB"/>
        </w:rPr>
      </w:pPr>
      <w:r w:rsidRPr="00CD2EEF">
        <w:rPr>
          <w:lang w:val="en-GB"/>
        </w:rPr>
        <w:t xml:space="preserve">In the field of technical cooperation, Slovenia supports projects that have great development potential especially in countries that are geographically close, in countries with similar programmes or technology, and in particular in the areas where Slovenian experts are able to provide assistance. </w:t>
      </w:r>
    </w:p>
    <w:p w14:paraId="795CCD13" w14:textId="77777777" w:rsidR="00412AFC" w:rsidRPr="00CD2EEF" w:rsidRDefault="00412AFC" w:rsidP="005E7270">
      <w:pPr>
        <w:pStyle w:val="LPnavadenposevno"/>
        <w:rPr>
          <w:lang w:val="en-GB"/>
        </w:rPr>
      </w:pPr>
      <w:r w:rsidRPr="00CD2EEF">
        <w:rPr>
          <w:lang w:val="en-GB"/>
        </w:rPr>
        <w:t xml:space="preserve">The Republic of Slovenia will receive technical assistance, especially in the areas where it lacks skills domestically, in order to achieve certain objectives in nuclear and radiation safety. </w:t>
      </w:r>
    </w:p>
    <w:p w14:paraId="78344B82" w14:textId="77777777" w:rsidR="00412AFC" w:rsidRPr="00CD2EEF" w:rsidRDefault="00412AFC" w:rsidP="005E7270">
      <w:pPr>
        <w:pStyle w:val="LPnavadenposevno"/>
        <w:rPr>
          <w:lang w:val="en-GB"/>
        </w:rPr>
      </w:pPr>
      <w:r w:rsidRPr="00CD2EEF">
        <w:rPr>
          <w:lang w:val="en-GB"/>
        </w:rPr>
        <w:t xml:space="preserve">The Republic of Slovenia would like to change its status from a country receiving technical assistance to a donor country. </w:t>
      </w:r>
    </w:p>
    <w:p w14:paraId="0941B2F1" w14:textId="77777777" w:rsidR="00412AFC" w:rsidRPr="00CD2EEF" w:rsidRDefault="00412AFC" w:rsidP="005E7270">
      <w:pPr>
        <w:pStyle w:val="LPnavadenposevno"/>
        <w:rPr>
          <w:lang w:val="en-GB"/>
        </w:rPr>
      </w:pPr>
      <w:r w:rsidRPr="00CD2EEF">
        <w:rPr>
          <w:lang w:val="en-GB"/>
        </w:rPr>
        <w:t xml:space="preserve">The Republic of Slovenia will keep promoting experts for professional work in third countries within the framework of the IAEA and invite international expert advisory teams for periodic reviews of its facilities and institutions to independently verify its capabilities. Above all, it will invite the teams that Slovenia is committed to invite. </w:t>
      </w:r>
    </w:p>
    <w:p w14:paraId="387A6CA4" w14:textId="77777777" w:rsidR="00412AFC" w:rsidRPr="00CD2EEF" w:rsidRDefault="00412AFC" w:rsidP="00357142">
      <w:pPr>
        <w:pStyle w:val="LPalineje"/>
        <w:numPr>
          <w:ilvl w:val="0"/>
          <w:numId w:val="0"/>
        </w:numPr>
        <w:ind w:left="360" w:hanging="360"/>
        <w:rPr>
          <w:rStyle w:val="LPnavadenkrepko"/>
          <w:lang w:val="en-GB"/>
        </w:rPr>
      </w:pPr>
      <w:r w:rsidRPr="00CD2EEF">
        <w:rPr>
          <w:rStyle w:val="LPnavadenkrepko"/>
          <w:lang w:val="en-GB"/>
        </w:rPr>
        <w:t>Measures for achieving the goal:</w:t>
      </w:r>
    </w:p>
    <w:p w14:paraId="4BA6A60C" w14:textId="77777777" w:rsidR="00412AFC" w:rsidRPr="00CD2EEF" w:rsidRDefault="00412AFC" w:rsidP="00357142">
      <w:pPr>
        <w:pStyle w:val="LPalineje"/>
        <w:rPr>
          <w:lang w:val="en-GB"/>
        </w:rPr>
      </w:pPr>
      <w:r w:rsidRPr="00CD2EEF">
        <w:rPr>
          <w:lang w:val="en-GB"/>
        </w:rPr>
        <w:t>The Republic of Slovenia regularly pays the IAEA membership fee and a voluntary contribution for technical assistance in the amount proposed by the IAEA secretariat each year.</w:t>
      </w:r>
    </w:p>
    <w:p w14:paraId="533CE55D" w14:textId="77777777" w:rsidR="00412AFC" w:rsidRPr="00CD2EEF" w:rsidRDefault="00412AFC" w:rsidP="00357142">
      <w:pPr>
        <w:pStyle w:val="LPalineje"/>
        <w:rPr>
          <w:lang w:val="en-GB"/>
        </w:rPr>
      </w:pPr>
      <w:r w:rsidRPr="00CD2EEF">
        <w:rPr>
          <w:lang w:val="en-GB"/>
        </w:rPr>
        <w:t>Considering the financial possibilities, Slovenia is increasing its financial aid for aid projects to third countries.</w:t>
      </w:r>
    </w:p>
    <w:p w14:paraId="6237F3CE" w14:textId="7F211752" w:rsidR="00412AFC" w:rsidRPr="00CD2EEF" w:rsidRDefault="00412AFC" w:rsidP="00357142">
      <w:pPr>
        <w:pStyle w:val="LPalineje"/>
        <w:rPr>
          <w:lang w:val="en-GB"/>
        </w:rPr>
      </w:pPr>
      <w:r w:rsidRPr="00CD2EEF">
        <w:rPr>
          <w:lang w:val="en-GB"/>
        </w:rPr>
        <w:t>Organi</w:t>
      </w:r>
      <w:r w:rsidR="00E9756B">
        <w:rPr>
          <w:lang w:val="en-GB"/>
        </w:rPr>
        <w:t>sation</w:t>
      </w:r>
      <w:r w:rsidRPr="00CD2EEF">
        <w:rPr>
          <w:lang w:val="en-GB"/>
        </w:rPr>
        <w:t>s and individuals from the Republic of Slovenia compete for the implementation of technical assistance projects and implement them mainly in the countries of the Western Balkans and the Mediterranean, as well as in other areas of the world where Slovenian experience can contribute to development.</w:t>
      </w:r>
    </w:p>
    <w:p w14:paraId="17910991" w14:textId="1D81A6C3" w:rsidR="00412AFC" w:rsidRPr="00CD2EEF" w:rsidRDefault="00412AFC" w:rsidP="00357142">
      <w:pPr>
        <w:pStyle w:val="LPalineje"/>
        <w:rPr>
          <w:lang w:val="en-GB"/>
        </w:rPr>
      </w:pPr>
      <w:r w:rsidRPr="00CD2EEF">
        <w:rPr>
          <w:lang w:val="en-GB"/>
        </w:rPr>
        <w:t>Organi</w:t>
      </w:r>
      <w:r w:rsidR="00E9756B">
        <w:rPr>
          <w:lang w:val="en-GB"/>
        </w:rPr>
        <w:t>sation</w:t>
      </w:r>
      <w:r w:rsidRPr="00CD2EEF">
        <w:rPr>
          <w:lang w:val="en-GB"/>
        </w:rPr>
        <w:t>s and individuals in the Republic of Slovenia organi</w:t>
      </w:r>
      <w:r w:rsidR="00837F00">
        <w:rPr>
          <w:lang w:val="en-GB"/>
        </w:rPr>
        <w:t>s</w:t>
      </w:r>
      <w:r w:rsidRPr="00CD2EEF">
        <w:rPr>
          <w:lang w:val="en-GB"/>
        </w:rPr>
        <w:t>e work meetings, workshops, courses, seminars, and similar events with international participation.</w:t>
      </w:r>
    </w:p>
    <w:p w14:paraId="3228D073" w14:textId="11E74D47" w:rsidR="00412AFC" w:rsidRPr="00CD2EEF" w:rsidRDefault="00412AFC" w:rsidP="00357142">
      <w:pPr>
        <w:pStyle w:val="LPalineje"/>
        <w:rPr>
          <w:lang w:val="en-GB"/>
        </w:rPr>
      </w:pPr>
      <w:r w:rsidRPr="00CD2EEF">
        <w:rPr>
          <w:lang w:val="en-GB"/>
        </w:rPr>
        <w:lastRenderedPageBreak/>
        <w:t>Organi</w:t>
      </w:r>
      <w:r w:rsidR="00E9756B">
        <w:rPr>
          <w:lang w:val="en-GB"/>
        </w:rPr>
        <w:t>sation</w:t>
      </w:r>
      <w:r w:rsidRPr="00CD2EEF">
        <w:rPr>
          <w:lang w:val="en-GB"/>
        </w:rPr>
        <w:t>s in the Republic of Slovenia accept candidates from other countries for training.</w:t>
      </w:r>
    </w:p>
    <w:p w14:paraId="62D19E46" w14:textId="718C4660" w:rsidR="00412AFC" w:rsidRPr="00CD2EEF" w:rsidRDefault="00412AFC" w:rsidP="00357142">
      <w:pPr>
        <w:pStyle w:val="LPalineje"/>
        <w:rPr>
          <w:lang w:val="en-GB"/>
        </w:rPr>
      </w:pPr>
      <w:r w:rsidRPr="00CD2EEF">
        <w:rPr>
          <w:lang w:val="en-GB"/>
        </w:rPr>
        <w:t>Organi</w:t>
      </w:r>
      <w:r w:rsidR="00E9756B">
        <w:rPr>
          <w:lang w:val="en-GB"/>
        </w:rPr>
        <w:t>sation</w:t>
      </w:r>
      <w:r w:rsidRPr="00CD2EEF">
        <w:rPr>
          <w:lang w:val="en-GB"/>
        </w:rPr>
        <w:t>s from the Republic of Slovenia apply for technical cooperation projects with the IAEA in areas where they do not have fully developed capacities.</w:t>
      </w:r>
    </w:p>
    <w:p w14:paraId="1EB1BCBF" w14:textId="77777777" w:rsidR="00412AFC" w:rsidRPr="00CD2EEF" w:rsidRDefault="00412AFC" w:rsidP="00357142">
      <w:pPr>
        <w:pStyle w:val="LPalineje"/>
        <w:rPr>
          <w:lang w:val="en-GB"/>
        </w:rPr>
      </w:pPr>
      <w:r w:rsidRPr="00CD2EEF">
        <w:rPr>
          <w:lang w:val="en-GB"/>
        </w:rPr>
        <w:t>Slovenian experts participate in international missions in other countries.</w:t>
      </w:r>
    </w:p>
    <w:p w14:paraId="23A2B2A5" w14:textId="5CEB6141" w:rsidR="00412AFC" w:rsidRPr="00CD2EEF" w:rsidRDefault="00412AFC" w:rsidP="00357142">
      <w:pPr>
        <w:pStyle w:val="LPalineje"/>
        <w:rPr>
          <w:lang w:val="en-GB"/>
        </w:rPr>
      </w:pPr>
      <w:r w:rsidRPr="00CD2EEF">
        <w:rPr>
          <w:lang w:val="en-GB"/>
        </w:rPr>
        <w:t xml:space="preserve">At intervals of three to five years, the Krško </w:t>
      </w:r>
      <w:r w:rsidR="002E6116">
        <w:rPr>
          <w:lang w:val="en-GB"/>
        </w:rPr>
        <w:t>N</w:t>
      </w:r>
      <w:r w:rsidRPr="00CD2EEF">
        <w:rPr>
          <w:lang w:val="en-GB"/>
        </w:rPr>
        <w:t xml:space="preserve">uclear </w:t>
      </w:r>
      <w:r w:rsidR="002E6116">
        <w:rPr>
          <w:lang w:val="en-GB"/>
        </w:rPr>
        <w:t>P</w:t>
      </w:r>
      <w:r w:rsidRPr="00CD2EEF">
        <w:rPr>
          <w:lang w:val="en-GB"/>
        </w:rPr>
        <w:t xml:space="preserve">ower </w:t>
      </w:r>
      <w:r w:rsidR="002E6116">
        <w:rPr>
          <w:lang w:val="en-GB"/>
        </w:rPr>
        <w:t>Pl</w:t>
      </w:r>
      <w:r w:rsidRPr="00CD2EEF">
        <w:rPr>
          <w:lang w:val="en-GB"/>
        </w:rPr>
        <w:t xml:space="preserve">ant invites the international </w:t>
      </w:r>
      <w:r w:rsidRPr="001058B4">
        <w:rPr>
          <w:lang w:val="en-GB"/>
        </w:rPr>
        <w:t>group OSART or WANO, which checks</w:t>
      </w:r>
      <w:r w:rsidRPr="00CD2EEF">
        <w:rPr>
          <w:lang w:val="en-GB"/>
        </w:rPr>
        <w:t xml:space="preserve"> all aspects of its operation.</w:t>
      </w:r>
    </w:p>
    <w:p w14:paraId="33AC33D1" w14:textId="77777777" w:rsidR="00412AFC" w:rsidRPr="00CD2EEF" w:rsidRDefault="00412AFC" w:rsidP="00357142">
      <w:pPr>
        <w:pStyle w:val="LPalineje"/>
        <w:rPr>
          <w:lang w:val="en-GB"/>
        </w:rPr>
      </w:pPr>
      <w:r w:rsidRPr="00CD2EEF">
        <w:rPr>
          <w:lang w:val="en-GB"/>
        </w:rPr>
        <w:t>The Slovenian Nuclear Safety Administration invites the IRRS international group to review its work at intervals of no more than 10 years.</w:t>
      </w:r>
    </w:p>
    <w:p w14:paraId="704CA487" w14:textId="77777777" w:rsidR="00412AFC" w:rsidRPr="00CD2EEF" w:rsidRDefault="00412AFC" w:rsidP="00357142">
      <w:pPr>
        <w:pStyle w:val="LPalineje"/>
        <w:rPr>
          <w:lang w:val="en-GB"/>
        </w:rPr>
      </w:pPr>
      <w:r w:rsidRPr="00CD2EEF">
        <w:rPr>
          <w:lang w:val="en-GB"/>
        </w:rPr>
        <w:t>The Ministry of the Interior invites the international IPPAS group to review measures for the physical protection of nuclear facilities and activities at intervals of no more than 10 years.</w:t>
      </w:r>
    </w:p>
    <w:p w14:paraId="4750B372" w14:textId="4CFED161" w:rsidR="00412AFC" w:rsidRPr="00CD2EEF" w:rsidRDefault="008A1E6B" w:rsidP="00357142">
      <w:pPr>
        <w:pStyle w:val="LPalineje"/>
        <w:rPr>
          <w:lang w:val="en-GB"/>
        </w:rPr>
      </w:pPr>
      <w:r>
        <w:rPr>
          <w:lang w:val="en-GB"/>
        </w:rPr>
        <w:t xml:space="preserve"> </w:t>
      </w:r>
      <w:r w:rsidR="00412AFC" w:rsidRPr="00CD2EEF">
        <w:rPr>
          <w:lang w:val="en-GB"/>
        </w:rPr>
        <w:t>If necessary, the Republic of Slovenia invites international groups from individual fields of activity.</w:t>
      </w:r>
    </w:p>
    <w:p w14:paraId="7E010589" w14:textId="77777777" w:rsidR="00412AFC" w:rsidRPr="00CD2EEF" w:rsidRDefault="00412AFC" w:rsidP="00357142">
      <w:pPr>
        <w:pStyle w:val="LPnaslovkrepko"/>
        <w:rPr>
          <w:rStyle w:val="LPnavadenkrepko"/>
          <w:b/>
          <w:bCs/>
          <w:lang w:val="en-GB"/>
        </w:rPr>
      </w:pPr>
      <w:r w:rsidRPr="00CD2EEF">
        <w:rPr>
          <w:rStyle w:val="LPnavadenkrepko"/>
          <w:b/>
          <w:bCs/>
          <w:lang w:val="en-GB"/>
        </w:rPr>
        <w:t xml:space="preserve">Realisation in 2021: </w:t>
      </w:r>
    </w:p>
    <w:p w14:paraId="083E52E8" w14:textId="77777777" w:rsidR="00412AFC" w:rsidRPr="00CD2EEF" w:rsidRDefault="00412AFC" w:rsidP="00357142">
      <w:pPr>
        <w:pStyle w:val="LPnavaden"/>
        <w:rPr>
          <w:rStyle w:val="LPpobarvan2"/>
          <w:lang w:val="en-GB"/>
        </w:rPr>
      </w:pPr>
      <w:r w:rsidRPr="00CD2EEF">
        <w:rPr>
          <w:lang w:val="en-GB"/>
        </w:rPr>
        <w:t xml:space="preserve">Slovenia regularly pays the IAEA its share to the regular budget as well as contributions to the technical cooperation fund, resulting in the stable financing of the IAEA and its undisturbed project implementation. </w:t>
      </w:r>
    </w:p>
    <w:p w14:paraId="59FF44C1" w14:textId="659C1412" w:rsidR="00412AFC" w:rsidRPr="00CD2EEF" w:rsidRDefault="00412AFC" w:rsidP="00357142">
      <w:pPr>
        <w:pStyle w:val="LPnavaden"/>
        <w:rPr>
          <w:lang w:val="en-GB"/>
        </w:rPr>
      </w:pPr>
      <w:r w:rsidRPr="00CD2EEF">
        <w:rPr>
          <w:lang w:val="en-GB"/>
        </w:rPr>
        <w:t>In the area of technical cooperation, Slovenia supported the implementation of projects that showed significant development potential, particularly in the countries in its geographical vicinity and in the countries with similar programmes or technologies, mostly in the areas where the Slovenian experts were able to offer assistance. In 2021, the technical cooperation programme cycle 2020</w:t>
      </w:r>
      <w:r w:rsidR="00AD02E0">
        <w:rPr>
          <w:lang w:val="en-GB"/>
        </w:rPr>
        <w:t>–20</w:t>
      </w:r>
      <w:r w:rsidRPr="00CD2EEF">
        <w:rPr>
          <w:lang w:val="en-GB"/>
        </w:rPr>
        <w:t xml:space="preserve">21 </w:t>
      </w:r>
      <w:r w:rsidR="007544CE">
        <w:rPr>
          <w:lang w:val="en-GB"/>
        </w:rPr>
        <w:t>was</w:t>
      </w:r>
      <w:r w:rsidR="007544CE" w:rsidRPr="00CD2EEF">
        <w:rPr>
          <w:lang w:val="en-GB"/>
        </w:rPr>
        <w:t xml:space="preserve"> </w:t>
      </w:r>
      <w:r w:rsidRPr="00CD2EEF">
        <w:rPr>
          <w:lang w:val="en-GB"/>
        </w:rPr>
        <w:t xml:space="preserve">completed, in which Slovenia received guaranteed funding for </w:t>
      </w:r>
      <w:r w:rsidR="007544CE">
        <w:rPr>
          <w:lang w:val="en-GB"/>
        </w:rPr>
        <w:t>a</w:t>
      </w:r>
      <w:r w:rsidR="007544CE" w:rsidRPr="00CD2EEF">
        <w:rPr>
          <w:lang w:val="en-GB"/>
        </w:rPr>
        <w:t xml:space="preserve"> </w:t>
      </w:r>
      <w:r w:rsidRPr="00CD2EEF">
        <w:rPr>
          <w:lang w:val="en-GB"/>
        </w:rPr>
        <w:t xml:space="preserve">joint </w:t>
      </w:r>
      <w:r w:rsidR="00E63423">
        <w:rPr>
          <w:lang w:val="en-GB"/>
        </w:rPr>
        <w:t>SNSA</w:t>
      </w:r>
      <w:r w:rsidRPr="00CD2EEF">
        <w:rPr>
          <w:lang w:val="en-GB"/>
        </w:rPr>
        <w:t xml:space="preserve"> and ARAO national project, but its implementation was severely hampered by the </w:t>
      </w:r>
      <w:r w:rsidR="00BE025A">
        <w:rPr>
          <w:lang w:val="en-GB"/>
        </w:rPr>
        <w:t>epi</w:t>
      </w:r>
      <w:r w:rsidRPr="00CD2EEF">
        <w:rPr>
          <w:lang w:val="en-GB"/>
        </w:rPr>
        <w:t xml:space="preserve">demic and a significant number of resources were redistributed from the training </w:t>
      </w:r>
      <w:r w:rsidR="0089777D">
        <w:rPr>
          <w:lang w:val="en-GB"/>
        </w:rPr>
        <w:t xml:space="preserve">programme </w:t>
      </w:r>
      <w:r w:rsidRPr="00CD2EEF">
        <w:rPr>
          <w:lang w:val="en-GB"/>
        </w:rPr>
        <w:t>to the purchase of equipment. For the new 2022</w:t>
      </w:r>
      <w:r w:rsidR="00AD02E0">
        <w:rPr>
          <w:lang w:val="en-GB"/>
        </w:rPr>
        <w:t>–20</w:t>
      </w:r>
      <w:r w:rsidRPr="00CD2EEF">
        <w:rPr>
          <w:lang w:val="en-GB"/>
        </w:rPr>
        <w:t>23</w:t>
      </w:r>
      <w:r w:rsidR="0089777D" w:rsidRPr="0089777D">
        <w:rPr>
          <w:lang w:val="en-GB"/>
        </w:rPr>
        <w:t xml:space="preserve"> </w:t>
      </w:r>
      <w:r w:rsidR="0089777D" w:rsidRPr="00CD2EEF">
        <w:rPr>
          <w:lang w:val="en-GB"/>
        </w:rPr>
        <w:t>cycle</w:t>
      </w:r>
      <w:r w:rsidRPr="00CD2EEF">
        <w:rPr>
          <w:lang w:val="en-GB"/>
        </w:rPr>
        <w:t xml:space="preserve">, four projects were approved in November, namely the joint </w:t>
      </w:r>
      <w:r w:rsidR="00E63423">
        <w:rPr>
          <w:lang w:val="en-GB"/>
        </w:rPr>
        <w:t>SNSA</w:t>
      </w:r>
      <w:r w:rsidRPr="00CD2EEF">
        <w:rPr>
          <w:lang w:val="en-GB"/>
        </w:rPr>
        <w:t xml:space="preserve"> and ARAO project, the Nuclear Medicine Clinic project, and the Biotechnical Faculty project, which have guaranteed funding, while the JSI project is still awaiting funding.</w:t>
      </w:r>
    </w:p>
    <w:p w14:paraId="30FD7BFA" w14:textId="77777777" w:rsidR="00412AFC" w:rsidRPr="00CD2EEF" w:rsidRDefault="00412AFC" w:rsidP="00357142">
      <w:pPr>
        <w:pStyle w:val="LPnavaden"/>
        <w:rPr>
          <w:lang w:val="en-GB"/>
        </w:rPr>
      </w:pPr>
      <w:r w:rsidRPr="00CD2EEF">
        <w:rPr>
          <w:lang w:val="en-GB"/>
        </w:rPr>
        <w:t>In 2021, Slovenian experts did not participate in IAEA IPPAS missions. This year, there were no prior activities within the 10-year goal and cycle of such missions in Slovenia. The latter shall be pursued more actively in the next few years.</w:t>
      </w:r>
    </w:p>
    <w:p w14:paraId="4EA04406" w14:textId="7991F295" w:rsidR="00D774C0" w:rsidRPr="00CD2EEF" w:rsidRDefault="005808DC" w:rsidP="00B73FE6">
      <w:pPr>
        <w:pStyle w:val="LPnavaden"/>
        <w:rPr>
          <w:lang w:val="en-GB"/>
        </w:rPr>
      </w:pPr>
      <w:r>
        <w:rPr>
          <w:lang w:val="en-GB"/>
        </w:rPr>
        <w:t>T</w:t>
      </w:r>
      <w:r w:rsidR="00E63423">
        <w:rPr>
          <w:lang w:val="en-GB"/>
        </w:rPr>
        <w:t>he SNSA</w:t>
      </w:r>
      <w:r w:rsidR="00412AFC" w:rsidRPr="00CD2EEF">
        <w:rPr>
          <w:lang w:val="en-GB"/>
        </w:rPr>
        <w:t xml:space="preserve"> will also continue to encourage and provide the assistance of Slovenian experts to third countries</w:t>
      </w:r>
      <w:r w:rsidR="00F53D32">
        <w:rPr>
          <w:lang w:val="en-GB"/>
        </w:rPr>
        <w:t>, as</w:t>
      </w:r>
      <w:r w:rsidR="00412AFC" w:rsidRPr="00CD2EEF">
        <w:rPr>
          <w:lang w:val="en-GB"/>
        </w:rPr>
        <w:t xml:space="preserve"> organised by the IAEA</w:t>
      </w:r>
      <w:r w:rsidR="00F53D32">
        <w:rPr>
          <w:lang w:val="en-GB"/>
        </w:rPr>
        <w:t>,</w:t>
      </w:r>
      <w:r w:rsidR="00412AFC" w:rsidRPr="00CD2EEF">
        <w:rPr>
          <w:lang w:val="en-GB"/>
        </w:rPr>
        <w:t xml:space="preserve"> and will also train IAEA fellows, organise IAEA courses and workshops</w:t>
      </w:r>
      <w:r w:rsidR="00F53D32">
        <w:rPr>
          <w:lang w:val="en-GB"/>
        </w:rPr>
        <w:t>,</w:t>
      </w:r>
      <w:r w:rsidR="00412AFC" w:rsidRPr="00CD2EEF">
        <w:rPr>
          <w:lang w:val="en-GB"/>
        </w:rPr>
        <w:t xml:space="preserve"> and invite international expert missions to review and assess the Slovenian nuclear facilities and institutions in order to receive an independent assessment of the domestic capabilities. Therefore, in 2021, Slovenia invited the mission to verify the implementation of the findings of the EPREV Action Plan, which will take place in October 2022. In 2021, there were intense preparations for </w:t>
      </w:r>
      <w:r w:rsidR="00F53D32">
        <w:rPr>
          <w:lang w:val="en-GB"/>
        </w:rPr>
        <w:t>two</w:t>
      </w:r>
      <w:r w:rsidR="00F53D32" w:rsidRPr="00CD2EEF">
        <w:rPr>
          <w:lang w:val="en-GB"/>
        </w:rPr>
        <w:t xml:space="preserve"> </w:t>
      </w:r>
      <w:r w:rsidR="00412AFC" w:rsidRPr="00CD2EEF">
        <w:rPr>
          <w:lang w:val="en-GB"/>
        </w:rPr>
        <w:t>missions</w:t>
      </w:r>
      <w:r w:rsidR="00F53D32">
        <w:rPr>
          <w:lang w:val="en-GB"/>
        </w:rPr>
        <w:t>, i.e.</w:t>
      </w:r>
      <w:r w:rsidR="00412AFC" w:rsidRPr="00CD2EEF">
        <w:rPr>
          <w:lang w:val="en-GB"/>
        </w:rPr>
        <w:t xml:space="preserve"> </w:t>
      </w:r>
      <w:r w:rsidR="0045778D">
        <w:rPr>
          <w:lang w:val="en-GB"/>
        </w:rPr>
        <w:t xml:space="preserve">those of the </w:t>
      </w:r>
      <w:r w:rsidR="00412AFC" w:rsidRPr="00CD2EEF">
        <w:rPr>
          <w:lang w:val="en-GB"/>
        </w:rPr>
        <w:t>IRRS (</w:t>
      </w:r>
      <w:r w:rsidR="00F53D32">
        <w:rPr>
          <w:lang w:val="en-GB"/>
        </w:rPr>
        <w:t xml:space="preserve">a </w:t>
      </w:r>
      <w:r w:rsidR="00412AFC" w:rsidRPr="00CD2EEF">
        <w:rPr>
          <w:lang w:val="en-GB"/>
        </w:rPr>
        <w:t>review of the administrative framework and both administrative authorities) and ARTEMIS (</w:t>
      </w:r>
      <w:r w:rsidR="00F53D32">
        <w:rPr>
          <w:lang w:val="en-GB"/>
        </w:rPr>
        <w:t xml:space="preserve">a </w:t>
      </w:r>
      <w:r w:rsidR="00412AFC" w:rsidRPr="00CD2EEF">
        <w:rPr>
          <w:lang w:val="en-GB"/>
        </w:rPr>
        <w:t>review of the national RAW and spent fuel management programme)</w:t>
      </w:r>
      <w:r w:rsidR="00187B27">
        <w:rPr>
          <w:lang w:val="en-GB"/>
        </w:rPr>
        <w:t>,</w:t>
      </w:r>
      <w:r w:rsidR="00412AFC" w:rsidRPr="00CD2EEF">
        <w:rPr>
          <w:lang w:val="en-GB"/>
        </w:rPr>
        <w:t xml:space="preserve"> which will be carried out under the coordination of </w:t>
      </w:r>
      <w:r w:rsidR="00187B27">
        <w:rPr>
          <w:lang w:val="en-GB"/>
        </w:rPr>
        <w:t xml:space="preserve">the </w:t>
      </w:r>
      <w:r w:rsidR="00412AFC" w:rsidRPr="00CD2EEF">
        <w:rPr>
          <w:lang w:val="en-GB"/>
        </w:rPr>
        <w:t xml:space="preserve">IAEA in April and May 2022. </w:t>
      </w:r>
    </w:p>
    <w:p w14:paraId="525B9C80" w14:textId="11503F7C" w:rsidR="00412AFC" w:rsidRPr="00CD2EEF" w:rsidRDefault="00412AFC" w:rsidP="004651F4">
      <w:pPr>
        <w:pStyle w:val="LPnaslovkrepko"/>
        <w:rPr>
          <w:lang w:val="en-GB"/>
        </w:rPr>
      </w:pPr>
      <w:r w:rsidRPr="00CD2EEF">
        <w:rPr>
          <w:lang w:val="en-GB"/>
        </w:rPr>
        <w:t xml:space="preserve">Goal 5 </w:t>
      </w:r>
    </w:p>
    <w:p w14:paraId="1F8FB2D8" w14:textId="4BF5C14B" w:rsidR="00412AFC" w:rsidRPr="00CD2EEF" w:rsidRDefault="00412AFC" w:rsidP="005E7270">
      <w:pPr>
        <w:pStyle w:val="LPnavadenposevno"/>
        <w:rPr>
          <w:lang w:val="en-GB"/>
        </w:rPr>
      </w:pPr>
      <w:r w:rsidRPr="00CD2EEF">
        <w:rPr>
          <w:lang w:val="en-GB"/>
        </w:rPr>
        <w:t>The Republic of Slovenia remains an active member of the Nuclear Energy Agency (NEA) of the OECD. It contributes the calculated amount of the membership fee. In accordance with its human and financial resources, it participates in the work of NEA committees, the NEA Data Bank and subcommittees important for ensuring a high level of nuclear and radiation safety.</w:t>
      </w:r>
    </w:p>
    <w:p w14:paraId="66CCC1DD" w14:textId="77777777" w:rsidR="00412AFC" w:rsidRPr="00CD2EEF" w:rsidRDefault="00412AFC" w:rsidP="002773D1">
      <w:pPr>
        <w:pStyle w:val="LPalineje"/>
        <w:numPr>
          <w:ilvl w:val="0"/>
          <w:numId w:val="0"/>
        </w:numPr>
        <w:ind w:left="360" w:hanging="360"/>
        <w:rPr>
          <w:rStyle w:val="LPnavadenkrepko"/>
          <w:lang w:val="en-GB"/>
        </w:rPr>
      </w:pPr>
      <w:r w:rsidRPr="00CD2EEF">
        <w:rPr>
          <w:rStyle w:val="LPnavadenkrepko"/>
          <w:lang w:val="en-GB"/>
        </w:rPr>
        <w:lastRenderedPageBreak/>
        <w:t>Measures for achieving the goal:</w:t>
      </w:r>
    </w:p>
    <w:p w14:paraId="58361A5E" w14:textId="580D3E23" w:rsidR="00412AFC" w:rsidRPr="00CD2EEF" w:rsidRDefault="00412AFC" w:rsidP="002773D1">
      <w:pPr>
        <w:pStyle w:val="LPalineje"/>
        <w:rPr>
          <w:lang w:val="en-GB"/>
        </w:rPr>
      </w:pPr>
      <w:r w:rsidRPr="00CD2EEF">
        <w:rPr>
          <w:lang w:val="en-GB"/>
        </w:rPr>
        <w:t>The Republic of Slovenia regularly pays membership fees to</w:t>
      </w:r>
      <w:r w:rsidR="00823344">
        <w:rPr>
          <w:lang w:val="en-GB"/>
        </w:rPr>
        <w:t xml:space="preserve"> the</w:t>
      </w:r>
      <w:r w:rsidRPr="00CD2EEF">
        <w:rPr>
          <w:lang w:val="en-GB"/>
        </w:rPr>
        <w:t xml:space="preserve"> NEA and </w:t>
      </w:r>
      <w:r w:rsidR="00823344">
        <w:rPr>
          <w:lang w:val="en-GB"/>
        </w:rPr>
        <w:t xml:space="preserve">the </w:t>
      </w:r>
      <w:r w:rsidRPr="00CD2EEF">
        <w:rPr>
          <w:lang w:val="en-GB"/>
        </w:rPr>
        <w:t>Data Bank.</w:t>
      </w:r>
    </w:p>
    <w:p w14:paraId="2E9E753F" w14:textId="2E052C98" w:rsidR="00412AFC" w:rsidRPr="00CD2EEF" w:rsidRDefault="00412AFC" w:rsidP="002773D1">
      <w:pPr>
        <w:pStyle w:val="LPalineje"/>
        <w:rPr>
          <w:lang w:val="en-GB"/>
        </w:rPr>
      </w:pPr>
      <w:r w:rsidRPr="00CD2EEF">
        <w:rPr>
          <w:lang w:val="en-GB"/>
        </w:rPr>
        <w:t>Slovenian representatives actively participate in the meetings of OECD/NEA committees and selected subcommittees and</w:t>
      </w:r>
      <w:r w:rsidR="00823344">
        <w:rPr>
          <w:lang w:val="en-GB"/>
        </w:rPr>
        <w:t>,</w:t>
      </w:r>
      <w:r w:rsidRPr="00CD2EEF">
        <w:rPr>
          <w:lang w:val="en-GB"/>
        </w:rPr>
        <w:t xml:space="preserve"> based on the results of the meetings</w:t>
      </w:r>
      <w:r w:rsidR="00823344">
        <w:rPr>
          <w:lang w:val="en-GB"/>
        </w:rPr>
        <w:t>,</w:t>
      </w:r>
      <w:r w:rsidRPr="00CD2EEF">
        <w:rPr>
          <w:lang w:val="en-GB"/>
        </w:rPr>
        <w:t xml:space="preserve"> propose improvements in the country.</w:t>
      </w:r>
    </w:p>
    <w:p w14:paraId="1004B759" w14:textId="77777777" w:rsidR="00412AFC" w:rsidRPr="00CD2EEF" w:rsidRDefault="00412AFC" w:rsidP="002773D1">
      <w:pPr>
        <w:pStyle w:val="LPalineje"/>
        <w:rPr>
          <w:lang w:val="en-GB"/>
        </w:rPr>
      </w:pPr>
      <w:r w:rsidRPr="00CD2EEF">
        <w:rPr>
          <w:lang w:val="en-GB"/>
        </w:rPr>
        <w:t>The state actively supports and co-finances the participation of Slovenian researchers in OECD/NEA research projects.</w:t>
      </w:r>
    </w:p>
    <w:p w14:paraId="1FFA936C" w14:textId="77777777" w:rsidR="00412AFC" w:rsidRPr="00CD2EEF" w:rsidRDefault="00412AFC" w:rsidP="002773D1">
      <w:pPr>
        <w:pStyle w:val="LPalineje"/>
        <w:numPr>
          <w:ilvl w:val="0"/>
          <w:numId w:val="0"/>
        </w:numPr>
        <w:rPr>
          <w:rStyle w:val="LPnavadenkrepko"/>
          <w:lang w:val="en-GB"/>
        </w:rPr>
      </w:pPr>
      <w:r w:rsidRPr="00CD2EEF">
        <w:rPr>
          <w:rStyle w:val="LPnavadenkrepko"/>
          <w:lang w:val="en-GB"/>
        </w:rPr>
        <w:t xml:space="preserve">Realisation in 2021: </w:t>
      </w:r>
    </w:p>
    <w:p w14:paraId="6AF651A6" w14:textId="178C8E99" w:rsidR="00412AFC" w:rsidRPr="00CD2EEF" w:rsidRDefault="00412AFC" w:rsidP="002773D1">
      <w:pPr>
        <w:pStyle w:val="LPnavaden"/>
        <w:rPr>
          <w:lang w:val="en-GB"/>
        </w:rPr>
      </w:pPr>
      <w:r w:rsidRPr="00CD2EEF">
        <w:rPr>
          <w:lang w:val="en-GB"/>
        </w:rPr>
        <w:t>The financial obligations towards the NEA were settled on time. The Slovenian representatives are actively involved in the work of the committees and working groups of the NEA, in particular in the committees and working groups dealing with regulatory activities, the safety of nuclear installations, radiation protection, radioactive waste and spent fuel management, and nuclear law, as well as regarding nuclear research and science. In 2021, all meetings were held virtually.</w:t>
      </w:r>
      <w:r w:rsidR="008A1E6B">
        <w:rPr>
          <w:lang w:val="en-GB"/>
        </w:rPr>
        <w:t xml:space="preserve"> </w:t>
      </w:r>
    </w:p>
    <w:p w14:paraId="06A74F16" w14:textId="77777777" w:rsidR="00412AFC" w:rsidRPr="00CD2EEF" w:rsidRDefault="00412AFC" w:rsidP="004651F4">
      <w:pPr>
        <w:pStyle w:val="LPnaslovkrepko"/>
        <w:rPr>
          <w:lang w:val="en-GB"/>
        </w:rPr>
      </w:pPr>
      <w:r w:rsidRPr="00CD2EEF">
        <w:rPr>
          <w:lang w:val="en-GB"/>
        </w:rPr>
        <w:t xml:space="preserve">Goal 6 </w:t>
      </w:r>
    </w:p>
    <w:p w14:paraId="5B91A32E" w14:textId="794B1BC0" w:rsidR="00412AFC" w:rsidRPr="00CD2EEF" w:rsidRDefault="00412AFC" w:rsidP="004651F4">
      <w:pPr>
        <w:pStyle w:val="LPnavadenposevno"/>
        <w:rPr>
          <w:rStyle w:val="LPnavadenpomanjan8ptnadpisan"/>
          <w:rFonts w:ascii="Garamond" w:hAnsi="Garamond"/>
          <w:sz w:val="24"/>
          <w:vertAlign w:val="baseline"/>
          <w:lang w:val="en-GB"/>
        </w:rPr>
      </w:pPr>
      <w:r w:rsidRPr="00CD2EEF">
        <w:rPr>
          <w:rStyle w:val="LPnavadenpomanjan8ptnadpisan"/>
          <w:rFonts w:ascii="Garamond" w:hAnsi="Garamond"/>
          <w:sz w:val="24"/>
          <w:vertAlign w:val="baseline"/>
          <w:lang w:val="en-GB"/>
        </w:rPr>
        <w:t xml:space="preserve">As Slovenia does not have any intention to pursue </w:t>
      </w:r>
      <w:r w:rsidR="00823344">
        <w:rPr>
          <w:rStyle w:val="LPnavadenpomanjan8ptnadpisan"/>
          <w:rFonts w:ascii="Garamond" w:hAnsi="Garamond"/>
          <w:sz w:val="24"/>
          <w:vertAlign w:val="baseline"/>
          <w:lang w:val="en-GB"/>
        </w:rPr>
        <w:t xml:space="preserve">the </w:t>
      </w:r>
      <w:r w:rsidRPr="00CD2EEF">
        <w:rPr>
          <w:rStyle w:val="LPnavadenpomanjan8ptnadpisan"/>
          <w:rFonts w:ascii="Garamond" w:hAnsi="Garamond"/>
          <w:sz w:val="24"/>
          <w:vertAlign w:val="baseline"/>
          <w:lang w:val="en-GB"/>
        </w:rPr>
        <w:t>non-peaceful use of nuclear energy, it is firmly bound by the NPT and fully respects its obligations; Slovenia is entirely open to international inspection control of the nuclear material on its territory (</w:t>
      </w:r>
      <w:r w:rsidR="00263D93">
        <w:rPr>
          <w:rStyle w:val="LPnavadenpomanjan8ptnadpisan"/>
          <w:rFonts w:ascii="Garamond" w:hAnsi="Garamond"/>
          <w:sz w:val="24"/>
          <w:vertAlign w:val="baseline"/>
          <w:lang w:val="en-GB"/>
        </w:rPr>
        <w:t>“</w:t>
      </w:r>
      <w:r w:rsidRPr="00CD2EEF">
        <w:rPr>
          <w:rStyle w:val="LPnavadenpomanjan8ptnadpisan"/>
          <w:rFonts w:ascii="Garamond" w:hAnsi="Garamond"/>
          <w:sz w:val="24"/>
          <w:vertAlign w:val="baseline"/>
          <w:lang w:val="en-GB"/>
        </w:rPr>
        <w:t>safeguards</w:t>
      </w:r>
      <w:r w:rsidR="00263D93">
        <w:rPr>
          <w:rStyle w:val="LPnavadenpomanjan8ptnadpisan"/>
          <w:rFonts w:ascii="Garamond" w:hAnsi="Garamond"/>
          <w:sz w:val="24"/>
          <w:vertAlign w:val="baseline"/>
          <w:lang w:val="en-GB"/>
        </w:rPr>
        <w:t>”</w:t>
      </w:r>
      <w:r w:rsidRPr="00CD2EEF">
        <w:rPr>
          <w:rStyle w:val="LPnavadenpomanjan8ptnadpisan"/>
          <w:rFonts w:ascii="Garamond" w:hAnsi="Garamond"/>
          <w:sz w:val="24"/>
          <w:vertAlign w:val="baseline"/>
          <w:lang w:val="en-GB"/>
        </w:rPr>
        <w:t xml:space="preserve">). </w:t>
      </w:r>
    </w:p>
    <w:p w14:paraId="7D2E11A5" w14:textId="1E8F6124" w:rsidR="00412AFC" w:rsidRPr="00CD2EEF" w:rsidRDefault="00412AFC" w:rsidP="004651F4">
      <w:pPr>
        <w:pStyle w:val="LPnavadenposevno"/>
        <w:rPr>
          <w:rStyle w:val="LPnavadenpomanjan8ptnadpisan"/>
          <w:rFonts w:ascii="Garamond" w:hAnsi="Garamond"/>
          <w:sz w:val="24"/>
          <w:vertAlign w:val="baseline"/>
          <w:lang w:val="en-GB"/>
        </w:rPr>
      </w:pPr>
      <w:r w:rsidRPr="00CD2EEF">
        <w:rPr>
          <w:rStyle w:val="LPnavadenpomanjan8ptnadpisan"/>
          <w:rFonts w:ascii="Garamond" w:hAnsi="Garamond"/>
          <w:sz w:val="24"/>
          <w:vertAlign w:val="baseline"/>
          <w:lang w:val="en-GB"/>
        </w:rPr>
        <w:t xml:space="preserve">Slovenia has been co-operating with international organisations in the sphere of nuclear non-proliferation and dual-use items; Slovenia in particular tries to fulfil its obligations with regard to reporting, </w:t>
      </w:r>
      <w:r w:rsidR="00823344">
        <w:rPr>
          <w:rStyle w:val="LPnavadenpomanjan8ptnadpisan"/>
          <w:rFonts w:ascii="Garamond" w:hAnsi="Garamond"/>
          <w:sz w:val="24"/>
          <w:vertAlign w:val="baseline"/>
          <w:lang w:val="en-GB"/>
        </w:rPr>
        <w:t xml:space="preserve">the </w:t>
      </w:r>
      <w:r w:rsidRPr="00CD2EEF">
        <w:rPr>
          <w:rStyle w:val="LPnavadenpomanjan8ptnadpisan"/>
          <w:rFonts w:ascii="Garamond" w:hAnsi="Garamond"/>
          <w:sz w:val="24"/>
          <w:vertAlign w:val="baseline"/>
          <w:lang w:val="en-GB"/>
        </w:rPr>
        <w:t xml:space="preserve">export control of dual-use items, and – based upon its financial capabilities – contributes to global efforts to prevent the proliferation of nuclear weapons. </w:t>
      </w:r>
    </w:p>
    <w:p w14:paraId="6B67E365" w14:textId="77777777" w:rsidR="00412AFC" w:rsidRPr="00CD2EEF" w:rsidRDefault="00412AFC" w:rsidP="00584C22">
      <w:pPr>
        <w:pStyle w:val="LPalineje"/>
        <w:numPr>
          <w:ilvl w:val="0"/>
          <w:numId w:val="0"/>
        </w:numPr>
        <w:ind w:left="360" w:hanging="360"/>
        <w:rPr>
          <w:rStyle w:val="LPnavadenkrepko"/>
          <w:lang w:val="en-GB"/>
        </w:rPr>
      </w:pPr>
      <w:r w:rsidRPr="00CD2EEF">
        <w:rPr>
          <w:rStyle w:val="LPnavadenkrepko"/>
          <w:lang w:val="en-GB"/>
        </w:rPr>
        <w:t>Measures for achieving the goal:</w:t>
      </w:r>
    </w:p>
    <w:p w14:paraId="0B8B8EA8" w14:textId="51748DC2" w:rsidR="00412AFC" w:rsidRPr="00CD2EEF" w:rsidRDefault="00412AFC" w:rsidP="00584C22">
      <w:pPr>
        <w:pStyle w:val="LPalineje"/>
        <w:rPr>
          <w:lang w:val="en-GB"/>
        </w:rPr>
      </w:pPr>
      <w:r w:rsidRPr="00CD2EEF">
        <w:rPr>
          <w:lang w:val="en-GB"/>
        </w:rPr>
        <w:t>All organi</w:t>
      </w:r>
      <w:r w:rsidR="00E9756B">
        <w:rPr>
          <w:lang w:val="en-GB"/>
        </w:rPr>
        <w:t>sation</w:t>
      </w:r>
      <w:r w:rsidRPr="00CD2EEF">
        <w:rPr>
          <w:lang w:val="en-GB"/>
        </w:rPr>
        <w:t>s in the Republic of Slovenia fully support the work of international inspectors in the field of safeguarding nuclear materials (safeguards).</w:t>
      </w:r>
    </w:p>
    <w:p w14:paraId="03EC8B57" w14:textId="67FCCED1" w:rsidR="00412AFC" w:rsidRPr="00CD2EEF" w:rsidRDefault="00412AFC" w:rsidP="00584C22">
      <w:pPr>
        <w:pStyle w:val="LPalineje"/>
        <w:rPr>
          <w:lang w:val="en-GB"/>
        </w:rPr>
      </w:pPr>
      <w:r w:rsidRPr="00CD2EEF">
        <w:rPr>
          <w:lang w:val="en-GB"/>
        </w:rPr>
        <w:t>Slovenian representatives monitor the work of international organi</w:t>
      </w:r>
      <w:r w:rsidR="00E9756B">
        <w:rPr>
          <w:lang w:val="en-GB"/>
        </w:rPr>
        <w:t>sation</w:t>
      </w:r>
      <w:r w:rsidRPr="00CD2EEF">
        <w:rPr>
          <w:lang w:val="en-GB"/>
        </w:rPr>
        <w:t xml:space="preserve">s related to the non-proliferation of nuclear weapons and dual-use goods and attend meetings within the framework of personnel and financial </w:t>
      </w:r>
      <w:r w:rsidR="00823344">
        <w:rPr>
          <w:lang w:val="en-GB"/>
        </w:rPr>
        <w:t>capacities</w:t>
      </w:r>
      <w:r w:rsidRPr="00CD2EEF">
        <w:rPr>
          <w:lang w:val="en-GB"/>
        </w:rPr>
        <w:t>.</w:t>
      </w:r>
    </w:p>
    <w:p w14:paraId="24AA46F3" w14:textId="77777777" w:rsidR="00412AFC" w:rsidRPr="00CD2EEF" w:rsidRDefault="00412AFC" w:rsidP="00584C22">
      <w:pPr>
        <w:pStyle w:val="LPalineje"/>
        <w:numPr>
          <w:ilvl w:val="0"/>
          <w:numId w:val="0"/>
        </w:numPr>
        <w:rPr>
          <w:rStyle w:val="LPnavadenkrepko"/>
          <w:lang w:val="en-GB"/>
        </w:rPr>
      </w:pPr>
      <w:r w:rsidRPr="00CD2EEF">
        <w:rPr>
          <w:rStyle w:val="LPnavadenkrepko"/>
          <w:lang w:val="en-GB"/>
        </w:rPr>
        <w:t xml:space="preserve">Realisation in 2021: </w:t>
      </w:r>
    </w:p>
    <w:p w14:paraId="329BA15C" w14:textId="01DCF134" w:rsidR="00D774C0" w:rsidRPr="00E50020" w:rsidRDefault="00412AFC" w:rsidP="00E50020">
      <w:pPr>
        <w:pStyle w:val="LPnavaden"/>
        <w:rPr>
          <w:lang w:val="en-GB"/>
        </w:rPr>
      </w:pPr>
      <w:r w:rsidRPr="00CD2EEF">
        <w:rPr>
          <w:lang w:val="en-GB"/>
        </w:rPr>
        <w:t xml:space="preserve">Slovenia is committed to its obligations regarding safeguards, supports the work of international inspections in this regard, fulfils the requirements regarding reporting events to international databases and associations, and follows discussions in the area of dual-use goods, nuclear security, and nuclear terrorism. Based on its human and financial resources as well as its priorities, Slovenia contributes to the global endeavours towards nuclear non-proliferation and nuclear security. </w:t>
      </w:r>
      <w:hyperlink w:anchor="ch93" w:history="1">
        <w:r w:rsidRPr="00CD2EEF">
          <w:rPr>
            <w:rStyle w:val="Hiperpovezava"/>
            <w:lang w:val="en-GB"/>
          </w:rPr>
          <w:t>Chapter 9.3</w:t>
        </w:r>
      </w:hyperlink>
      <w:r w:rsidRPr="00CD2EEF">
        <w:rPr>
          <w:lang w:val="en-GB"/>
        </w:rPr>
        <w:t xml:space="preserve"> describes in detail the objectives achieved.</w:t>
      </w:r>
    </w:p>
    <w:p w14:paraId="00663483" w14:textId="6F1429A6" w:rsidR="00412AFC" w:rsidRPr="00CD2EEF" w:rsidRDefault="00412AFC" w:rsidP="00071EF8">
      <w:pPr>
        <w:pStyle w:val="LPpodpoglavje"/>
        <w:numPr>
          <w:ilvl w:val="4"/>
          <w:numId w:val="17"/>
        </w:numPr>
        <w:rPr>
          <w:lang w:val="en-GB"/>
        </w:rPr>
      </w:pPr>
      <w:r w:rsidRPr="00CD2EEF">
        <w:rPr>
          <w:lang w:val="en-GB"/>
        </w:rPr>
        <w:t xml:space="preserve">Legislative </w:t>
      </w:r>
      <w:r w:rsidR="00ED59DD">
        <w:rPr>
          <w:lang w:val="en-GB"/>
        </w:rPr>
        <w:t>O</w:t>
      </w:r>
      <w:r w:rsidRPr="00CD2EEF">
        <w:rPr>
          <w:lang w:val="en-GB"/>
        </w:rPr>
        <w:t>bjectives</w:t>
      </w:r>
    </w:p>
    <w:p w14:paraId="6BF93D69" w14:textId="77777777" w:rsidR="00412AFC" w:rsidRPr="00CD2EEF" w:rsidRDefault="00412AFC" w:rsidP="00071EF8">
      <w:pPr>
        <w:pStyle w:val="LPnaslovkrepko"/>
        <w:rPr>
          <w:lang w:val="en-GB"/>
        </w:rPr>
      </w:pPr>
      <w:r w:rsidRPr="00CD2EEF">
        <w:rPr>
          <w:lang w:val="en-GB"/>
        </w:rPr>
        <w:t>Goal 7</w:t>
      </w:r>
    </w:p>
    <w:p w14:paraId="53B5CB59" w14:textId="77777777" w:rsidR="00412AFC" w:rsidRPr="00CD2EEF" w:rsidRDefault="00412AFC" w:rsidP="00071EF8">
      <w:pPr>
        <w:pStyle w:val="LPnavadenposevno"/>
        <w:rPr>
          <w:lang w:val="en-GB"/>
        </w:rPr>
      </w:pPr>
      <w:r w:rsidRPr="00CD2EEF">
        <w:rPr>
          <w:lang w:val="en-GB"/>
        </w:rPr>
        <w:t xml:space="preserve">The Republic of Slovenia maintains its legislation in the field of nuclear safety and radiation protection in accordance with international best practices. The legislation provides for the priority of nuclear and radiation safety while enabling the main purpose of the use of nuclear energy and ionising radiation sources. </w:t>
      </w:r>
    </w:p>
    <w:p w14:paraId="61AF2F6A" w14:textId="77777777" w:rsidR="00E50020" w:rsidRDefault="00E50020" w:rsidP="00584C22">
      <w:pPr>
        <w:pStyle w:val="LPalineje"/>
        <w:numPr>
          <w:ilvl w:val="0"/>
          <w:numId w:val="0"/>
        </w:numPr>
        <w:ind w:left="360" w:hanging="360"/>
        <w:rPr>
          <w:rStyle w:val="LPnavadenkrepko"/>
          <w:lang w:val="en-GB"/>
        </w:rPr>
      </w:pPr>
    </w:p>
    <w:p w14:paraId="5286116F" w14:textId="77777777" w:rsidR="00E50020" w:rsidRDefault="00E50020" w:rsidP="00584C22">
      <w:pPr>
        <w:pStyle w:val="LPalineje"/>
        <w:numPr>
          <w:ilvl w:val="0"/>
          <w:numId w:val="0"/>
        </w:numPr>
        <w:ind w:left="360" w:hanging="360"/>
        <w:rPr>
          <w:rStyle w:val="LPnavadenkrepko"/>
          <w:lang w:val="en-GB"/>
        </w:rPr>
      </w:pPr>
    </w:p>
    <w:p w14:paraId="0046F445" w14:textId="18BAD4E5" w:rsidR="00412AFC" w:rsidRPr="00CD2EEF" w:rsidRDefault="00412AFC" w:rsidP="00584C22">
      <w:pPr>
        <w:pStyle w:val="LPalineje"/>
        <w:numPr>
          <w:ilvl w:val="0"/>
          <w:numId w:val="0"/>
        </w:numPr>
        <w:ind w:left="360" w:hanging="360"/>
        <w:rPr>
          <w:rStyle w:val="LPnavadenkrepko"/>
          <w:lang w:val="en-GB"/>
        </w:rPr>
      </w:pPr>
      <w:r w:rsidRPr="00CD2EEF">
        <w:rPr>
          <w:rStyle w:val="LPnavadenkrepko"/>
          <w:lang w:val="en-GB"/>
        </w:rPr>
        <w:lastRenderedPageBreak/>
        <w:t>Measures for achieving the goal:</w:t>
      </w:r>
    </w:p>
    <w:p w14:paraId="3D15B3DD" w14:textId="68971AF0" w:rsidR="00412AFC" w:rsidRPr="00CD2EEF" w:rsidRDefault="00412AFC" w:rsidP="00071EF8">
      <w:pPr>
        <w:pStyle w:val="LPalineje"/>
        <w:rPr>
          <w:lang w:val="en-GB"/>
        </w:rPr>
      </w:pPr>
      <w:r w:rsidRPr="00CD2EEF">
        <w:rPr>
          <w:lang w:val="en-GB"/>
        </w:rPr>
        <w:t>The state bodies referred to in subchapter 6.1 of the Resolution regularly monitor international developments in the field of nuclear and radiation safety, compare them with domestic legislation</w:t>
      </w:r>
      <w:r w:rsidR="00EB3021">
        <w:rPr>
          <w:lang w:val="en-GB"/>
        </w:rPr>
        <w:t>,</w:t>
      </w:r>
      <w:r w:rsidRPr="00CD2EEF">
        <w:rPr>
          <w:lang w:val="en-GB"/>
        </w:rPr>
        <w:t xml:space="preserve"> and, if necessary, propose changes </w:t>
      </w:r>
      <w:r w:rsidR="00EB3021">
        <w:rPr>
          <w:lang w:val="en-GB"/>
        </w:rPr>
        <w:t>there</w:t>
      </w:r>
      <w:r w:rsidRPr="00CD2EEF">
        <w:rPr>
          <w:lang w:val="en-GB"/>
        </w:rPr>
        <w:t>to.</w:t>
      </w:r>
    </w:p>
    <w:p w14:paraId="04A1F2FE" w14:textId="52599F07" w:rsidR="00412AFC" w:rsidRPr="00ED59DD" w:rsidRDefault="00412AFC" w:rsidP="00071EF8">
      <w:pPr>
        <w:pStyle w:val="LPnaslovkrepko"/>
        <w:rPr>
          <w:lang w:val="en-GB"/>
        </w:rPr>
      </w:pPr>
      <w:r w:rsidRPr="00CD2EEF">
        <w:rPr>
          <w:lang w:val="en-GB"/>
        </w:rPr>
        <w:t xml:space="preserve">Realisation </w:t>
      </w:r>
      <w:r w:rsidRPr="00ED59DD">
        <w:rPr>
          <w:lang w:val="en-GB"/>
        </w:rPr>
        <w:t xml:space="preserve">in </w:t>
      </w:r>
      <w:r w:rsidR="002C184E" w:rsidRPr="00ED59DD">
        <w:rPr>
          <w:lang w:val="en-GB"/>
        </w:rPr>
        <w:t>2021</w:t>
      </w:r>
      <w:r w:rsidRPr="00ED59DD">
        <w:rPr>
          <w:lang w:val="en-GB"/>
        </w:rPr>
        <w:t>:</w:t>
      </w:r>
    </w:p>
    <w:p w14:paraId="53F3A3A2" w14:textId="72ED47B1" w:rsidR="00412AFC" w:rsidRPr="00CD2EEF" w:rsidRDefault="00412AFC" w:rsidP="00584C22">
      <w:pPr>
        <w:pStyle w:val="LPnavaden"/>
        <w:rPr>
          <w:lang w:val="en-GB"/>
        </w:rPr>
      </w:pPr>
      <w:r w:rsidRPr="00ED59DD">
        <w:rPr>
          <w:lang w:val="en-GB"/>
        </w:rPr>
        <w:t xml:space="preserve">In the field of nuclear and radiation safety, </w:t>
      </w:r>
      <w:r w:rsidR="00A726E8" w:rsidRPr="00ED59DD">
        <w:rPr>
          <w:lang w:val="en-GB"/>
        </w:rPr>
        <w:t>the</w:t>
      </w:r>
      <w:r w:rsidR="00E63423" w:rsidRPr="00ED59DD">
        <w:rPr>
          <w:lang w:val="en-GB"/>
        </w:rPr>
        <w:t xml:space="preserve"> SNSA</w:t>
      </w:r>
      <w:r w:rsidRPr="00ED59DD">
        <w:rPr>
          <w:lang w:val="en-GB"/>
        </w:rPr>
        <w:t xml:space="preserve"> strives to transpose the acquis Communautaire (directives) into the legal system of the Republic of Slovenia on an ongoing and timely basis, to harmonise domestic regulations with adopted WENRA standards</w:t>
      </w:r>
      <w:r w:rsidR="00EB3021" w:rsidRPr="00ED59DD">
        <w:rPr>
          <w:lang w:val="en-GB"/>
        </w:rPr>
        <w:t>,</w:t>
      </w:r>
      <w:r w:rsidRPr="00ED59DD">
        <w:rPr>
          <w:lang w:val="en-GB"/>
        </w:rPr>
        <w:t xml:space="preserve"> and to fulfil commitments under all</w:t>
      </w:r>
      <w:r w:rsidR="00EB3021" w:rsidRPr="00ED59DD">
        <w:rPr>
          <w:lang w:val="en-GB"/>
        </w:rPr>
        <w:t xml:space="preserve"> of the</w:t>
      </w:r>
      <w:r w:rsidRPr="00ED59DD">
        <w:rPr>
          <w:lang w:val="en-GB"/>
        </w:rPr>
        <w:t xml:space="preserve"> important</w:t>
      </w:r>
      <w:r w:rsidRPr="00CD2EEF">
        <w:rPr>
          <w:lang w:val="en-GB"/>
        </w:rPr>
        <w:t xml:space="preserve"> international treaties to which it is party. Also in 2021, the work done in this area was to </w:t>
      </w:r>
      <w:r w:rsidR="00EB3021">
        <w:rPr>
          <w:lang w:val="en-GB"/>
        </w:rPr>
        <w:t xml:space="preserve">a </w:t>
      </w:r>
      <w:r w:rsidRPr="00CD2EEF">
        <w:rPr>
          <w:lang w:val="en-GB"/>
        </w:rPr>
        <w:t xml:space="preserve">large extent conditioned by the efforts to harmonise domestic legislation with international developments and best practices, and above all by the already established international commitments and standards. </w:t>
      </w:r>
      <w:hyperlink w:anchor="ch83" w:history="1">
        <w:r w:rsidRPr="00CD2EEF">
          <w:rPr>
            <w:rStyle w:val="Hiperpovezava"/>
            <w:lang w:val="en-GB"/>
          </w:rPr>
          <w:t>Chapter 8.3</w:t>
        </w:r>
      </w:hyperlink>
      <w:r w:rsidRPr="00CD2EEF">
        <w:rPr>
          <w:lang w:val="en-GB"/>
        </w:rPr>
        <w:t xml:space="preserve"> describes the achieved goals in detail.</w:t>
      </w:r>
    </w:p>
    <w:p w14:paraId="44D961E2" w14:textId="4541F4BC" w:rsidR="00412AFC" w:rsidRPr="00CD2EEF" w:rsidRDefault="00412AFC" w:rsidP="00584C22">
      <w:pPr>
        <w:pStyle w:val="LPpodpoglavje"/>
        <w:numPr>
          <w:ilvl w:val="4"/>
          <w:numId w:val="17"/>
        </w:numPr>
        <w:rPr>
          <w:lang w:val="en-GB"/>
        </w:rPr>
      </w:pPr>
      <w:r w:rsidRPr="00CD2EEF">
        <w:rPr>
          <w:lang w:val="en-GB"/>
        </w:rPr>
        <w:t xml:space="preserve">Institutional </w:t>
      </w:r>
      <w:r w:rsidR="00ED59DD">
        <w:rPr>
          <w:lang w:val="en-GB"/>
        </w:rPr>
        <w:t>F</w:t>
      </w:r>
      <w:r w:rsidRPr="00CD2EEF">
        <w:rPr>
          <w:lang w:val="en-GB"/>
        </w:rPr>
        <w:t xml:space="preserve">ramework </w:t>
      </w:r>
      <w:r w:rsidR="00ED59DD">
        <w:rPr>
          <w:lang w:val="en-GB"/>
        </w:rPr>
        <w:t>O</w:t>
      </w:r>
      <w:r w:rsidRPr="00CD2EEF">
        <w:rPr>
          <w:lang w:val="en-GB"/>
        </w:rPr>
        <w:t>bjectives</w:t>
      </w:r>
    </w:p>
    <w:p w14:paraId="628CE162" w14:textId="19609AF4" w:rsidR="00412AFC" w:rsidRPr="00CD2EEF" w:rsidRDefault="00412AFC" w:rsidP="00071EF8">
      <w:pPr>
        <w:pStyle w:val="LPnaslovkrepko"/>
        <w:rPr>
          <w:lang w:val="en-GB"/>
        </w:rPr>
      </w:pPr>
      <w:r w:rsidRPr="00CD2EEF">
        <w:rPr>
          <w:lang w:val="en-GB"/>
        </w:rPr>
        <w:t>Goal 8</w:t>
      </w:r>
    </w:p>
    <w:p w14:paraId="51AF54FA" w14:textId="77777777" w:rsidR="00412AFC" w:rsidRPr="00CD2EEF" w:rsidRDefault="00412AFC" w:rsidP="005E7270">
      <w:pPr>
        <w:pStyle w:val="LPnavadenposevno"/>
        <w:rPr>
          <w:lang w:val="en-GB"/>
        </w:rPr>
      </w:pPr>
      <w:r w:rsidRPr="00CD2EEF">
        <w:rPr>
          <w:lang w:val="en-GB"/>
        </w:rPr>
        <w:t xml:space="preserve">The Republic of Slovenia shall maintain the appropriate separation and independence of the regulatory authorities responsible for the supervision of nuclear and radiation safety from those entities whose primary mission is to promote the use of nuclear energy or ionising radiation sources. The supervisory authorities shall have adequate financial resources and appropriate personnel to perform their duties. </w:t>
      </w:r>
    </w:p>
    <w:p w14:paraId="4E5BD5A2" w14:textId="77777777" w:rsidR="00412AFC" w:rsidRPr="00CD2EEF" w:rsidRDefault="00412AFC" w:rsidP="00584C22">
      <w:pPr>
        <w:pStyle w:val="LPalineje"/>
        <w:numPr>
          <w:ilvl w:val="0"/>
          <w:numId w:val="0"/>
        </w:numPr>
        <w:ind w:left="360" w:hanging="360"/>
        <w:rPr>
          <w:rStyle w:val="LPnavadenkrepko"/>
          <w:lang w:val="en-GB"/>
        </w:rPr>
      </w:pPr>
      <w:r w:rsidRPr="00CD2EEF">
        <w:rPr>
          <w:rStyle w:val="LPnavadenkrepko"/>
          <w:lang w:val="en-GB"/>
        </w:rPr>
        <w:t>Measures for achieving the goal:</w:t>
      </w:r>
    </w:p>
    <w:p w14:paraId="341F8763" w14:textId="13E45806" w:rsidR="00412AFC" w:rsidRPr="00CD2EEF" w:rsidRDefault="00412AFC" w:rsidP="00584C22">
      <w:pPr>
        <w:pStyle w:val="LPalineje"/>
        <w:rPr>
          <w:lang w:val="en-GB"/>
        </w:rPr>
      </w:pPr>
      <w:r w:rsidRPr="00CD2EEF">
        <w:rPr>
          <w:lang w:val="en-GB"/>
        </w:rPr>
        <w:t>The regulation of administrative control of radiation protection and nuclear safety will be adjusted in terms of status and organi</w:t>
      </w:r>
      <w:r w:rsidR="00E9756B">
        <w:rPr>
          <w:lang w:val="en-GB"/>
        </w:rPr>
        <w:t>sation</w:t>
      </w:r>
      <w:r w:rsidRPr="00CD2EEF">
        <w:rPr>
          <w:lang w:val="en-GB"/>
        </w:rPr>
        <w:t xml:space="preserve"> for the sake of optimal regulation for the efficient and expedient performance of administrative, development</w:t>
      </w:r>
      <w:r w:rsidR="00DA7092">
        <w:rPr>
          <w:lang w:val="en-GB"/>
        </w:rPr>
        <w:t>,</w:t>
      </w:r>
      <w:r w:rsidRPr="00CD2EEF">
        <w:rPr>
          <w:lang w:val="en-GB"/>
        </w:rPr>
        <w:t xml:space="preserve"> or professional tasks in this segment of state jurisdiction. The adjustments will relieve the state budget and achieve the financial stability of the administrative body, more economical operations and</w:t>
      </w:r>
      <w:r w:rsidR="00DA7092">
        <w:rPr>
          <w:lang w:val="en-GB"/>
        </w:rPr>
        <w:t xml:space="preserve"> the</w:t>
      </w:r>
      <w:r w:rsidRPr="00CD2EEF">
        <w:rPr>
          <w:lang w:val="en-GB"/>
        </w:rPr>
        <w:t xml:space="preserve"> elimination of administrative obstacles, independence from influence on decision-making on administrative matters, and effective personnel and financial flexibility.</w:t>
      </w:r>
    </w:p>
    <w:p w14:paraId="3899AB25" w14:textId="77777777" w:rsidR="00412AFC" w:rsidRPr="00CD2EEF" w:rsidRDefault="00412AFC" w:rsidP="00584C22">
      <w:pPr>
        <w:pStyle w:val="LPnaslovkrepko"/>
        <w:rPr>
          <w:lang w:val="en-GB"/>
        </w:rPr>
      </w:pPr>
      <w:r w:rsidRPr="00CD2EEF">
        <w:rPr>
          <w:lang w:val="en-GB"/>
        </w:rPr>
        <w:t>Realisation in 2021:</w:t>
      </w:r>
    </w:p>
    <w:p w14:paraId="72B84540" w14:textId="0E56AD23" w:rsidR="00D774C0" w:rsidRPr="00CD2EEF" w:rsidRDefault="00412AFC" w:rsidP="00E50020">
      <w:pPr>
        <w:pStyle w:val="LPnavaden"/>
        <w:rPr>
          <w:lang w:val="en-GB"/>
        </w:rPr>
      </w:pPr>
      <w:r w:rsidRPr="00CD2EEF">
        <w:rPr>
          <w:lang w:val="en-GB"/>
        </w:rPr>
        <w:t>The organi</w:t>
      </w:r>
      <w:r w:rsidR="00E9756B">
        <w:rPr>
          <w:lang w:val="en-GB"/>
        </w:rPr>
        <w:t>sation</w:t>
      </w:r>
      <w:r w:rsidRPr="00CD2EEF">
        <w:rPr>
          <w:lang w:val="en-GB"/>
        </w:rPr>
        <w:t xml:space="preserve"> of administrative bodies in the field of nuclear and radiation safety in the Republic of Slovenia is adequate and did not change in 2021, as there was no need for it. However, with the amendment to the </w:t>
      </w:r>
      <w:r w:rsidRPr="00CD2EEF">
        <w:rPr>
          <w:rStyle w:val="LPnavadenposevnoZnak"/>
          <w:lang w:val="en-GB"/>
        </w:rPr>
        <w:t>I</w:t>
      </w:r>
      <w:r w:rsidR="00837F00">
        <w:rPr>
          <w:rStyle w:val="LPnavadenposevnoZnak"/>
          <w:lang w:val="en-GB"/>
        </w:rPr>
        <w:t>onis</w:t>
      </w:r>
      <w:r w:rsidRPr="00CD2EEF">
        <w:rPr>
          <w:rStyle w:val="LPnavadenposevnoZnak"/>
          <w:lang w:val="en-GB"/>
        </w:rPr>
        <w:t>ing Radiation Protection and Nuclear Safety Act</w:t>
      </w:r>
      <w:r w:rsidRPr="00CD2EEF">
        <w:rPr>
          <w:lang w:val="en-GB"/>
        </w:rPr>
        <w:t xml:space="preserve"> (ZVISJV-1B, Official Gazette of the RS, No. 172/21), which entered into force in mid</w:t>
      </w:r>
      <w:r w:rsidR="003232F7">
        <w:rPr>
          <w:lang w:val="en-GB"/>
        </w:rPr>
        <w:t xml:space="preserve"> </w:t>
      </w:r>
      <w:r w:rsidRPr="00CD2EEF">
        <w:rPr>
          <w:lang w:val="en-GB"/>
        </w:rPr>
        <w:t xml:space="preserve">November 2021, the competence to supervise the operations of the operator of the mandatory state economic public service for the management of radioactive waste changed, which means that it was transferred from the previous Ministry of Infrastructure to the MESP. This, of course, means that even with such a changed jurisdiction, the complete </w:t>
      </w:r>
      <w:r w:rsidRPr="00ED59DD">
        <w:rPr>
          <w:lang w:val="en-GB"/>
        </w:rPr>
        <w:t xml:space="preserve">independence of the administrative functions of </w:t>
      </w:r>
      <w:r w:rsidR="00A726E8" w:rsidRPr="00ED59DD">
        <w:rPr>
          <w:lang w:val="en-GB"/>
        </w:rPr>
        <w:t>the</w:t>
      </w:r>
      <w:r w:rsidR="00E63423" w:rsidRPr="00ED59DD">
        <w:rPr>
          <w:lang w:val="en-GB"/>
        </w:rPr>
        <w:t xml:space="preserve"> SNSA</w:t>
      </w:r>
      <w:r w:rsidRPr="00ED59DD">
        <w:rPr>
          <w:lang w:val="en-GB"/>
        </w:rPr>
        <w:t xml:space="preserve"> over</w:t>
      </w:r>
      <w:r w:rsidRPr="00CD2EEF">
        <w:rPr>
          <w:lang w:val="en-GB"/>
        </w:rPr>
        <w:t xml:space="preserve"> the ARAO must be guaranteed.</w:t>
      </w:r>
    </w:p>
    <w:p w14:paraId="23A7DB78" w14:textId="36F511CA" w:rsidR="00412AFC" w:rsidRPr="00CD2EEF" w:rsidRDefault="00412AFC" w:rsidP="00BD5683">
      <w:pPr>
        <w:pStyle w:val="LPnaslovkrepko"/>
        <w:rPr>
          <w:i/>
          <w:lang w:val="en-GB"/>
        </w:rPr>
      </w:pPr>
      <w:r w:rsidRPr="00CD2EEF">
        <w:rPr>
          <w:lang w:val="en-GB"/>
        </w:rPr>
        <w:t>Goal 9</w:t>
      </w:r>
    </w:p>
    <w:p w14:paraId="799B573E" w14:textId="6BA83C93" w:rsidR="00412AFC" w:rsidRDefault="00412AFC" w:rsidP="00BD5683">
      <w:pPr>
        <w:pStyle w:val="LPnavadenposevno"/>
        <w:rPr>
          <w:lang w:val="en-GB"/>
        </w:rPr>
      </w:pPr>
      <w:r w:rsidRPr="00CD2EEF">
        <w:rPr>
          <w:lang w:val="en-GB"/>
        </w:rPr>
        <w:t>The system of authorised experts enables optimum professional support in the decision-making of the regulatory bodies on nuclear and radiation safety, while ensuring that the producer or the applicant covers the costs of preparing an expert opinion.</w:t>
      </w:r>
    </w:p>
    <w:p w14:paraId="3028BFC0" w14:textId="77777777" w:rsidR="00E50020" w:rsidRPr="00E50020" w:rsidRDefault="00E50020" w:rsidP="00E50020">
      <w:pPr>
        <w:pStyle w:val="LPnavaden"/>
        <w:rPr>
          <w:lang w:val="en-GB"/>
        </w:rPr>
      </w:pPr>
    </w:p>
    <w:p w14:paraId="576EDEC2" w14:textId="77777777" w:rsidR="00412AFC" w:rsidRPr="00CD2EEF" w:rsidRDefault="00412AFC" w:rsidP="00BD5683">
      <w:pPr>
        <w:pStyle w:val="LPnaslovkrepko"/>
        <w:rPr>
          <w:iCs/>
          <w:lang w:val="en-GB"/>
        </w:rPr>
      </w:pPr>
      <w:r w:rsidRPr="00CD2EEF">
        <w:rPr>
          <w:iCs/>
          <w:lang w:val="en-GB"/>
        </w:rPr>
        <w:lastRenderedPageBreak/>
        <w:t>Measures to achieve the goal:</w:t>
      </w:r>
    </w:p>
    <w:p w14:paraId="53648E6B" w14:textId="7469043B" w:rsidR="00412AFC" w:rsidRPr="00CD2EEF" w:rsidRDefault="00412AFC" w:rsidP="00BD5683">
      <w:pPr>
        <w:pStyle w:val="LPalineje"/>
        <w:rPr>
          <w:lang w:val="en-GB"/>
        </w:rPr>
      </w:pPr>
      <w:r w:rsidRPr="00CD2EEF">
        <w:rPr>
          <w:lang w:val="en-GB"/>
        </w:rPr>
        <w:t>By promoting and financing of directed development tasks</w:t>
      </w:r>
      <w:r w:rsidR="001B6C7E">
        <w:rPr>
          <w:lang w:val="en-GB"/>
        </w:rPr>
        <w:t>,</w:t>
      </w:r>
      <w:r w:rsidRPr="00CD2EEF">
        <w:rPr>
          <w:lang w:val="en-GB"/>
        </w:rPr>
        <w:t xml:space="preserve"> it is ensured that author</w:t>
      </w:r>
      <w:r w:rsidR="00837F00">
        <w:rPr>
          <w:lang w:val="en-GB"/>
        </w:rPr>
        <w:t>ised</w:t>
      </w:r>
      <w:r w:rsidRPr="00CD2EEF">
        <w:rPr>
          <w:lang w:val="en-GB"/>
        </w:rPr>
        <w:t xml:space="preserve"> experts cover all areas of nuclear and radiation safety. Their independence from the operators of nuclear and radiation facilities or providers of radiation practices is thus ensured.</w:t>
      </w:r>
    </w:p>
    <w:p w14:paraId="53B885D2" w14:textId="77777777" w:rsidR="00412AFC" w:rsidRPr="00CD2EEF" w:rsidRDefault="00412AFC" w:rsidP="00BD5683">
      <w:pPr>
        <w:pStyle w:val="LPnaslovkrepko"/>
        <w:rPr>
          <w:lang w:val="en-GB"/>
        </w:rPr>
      </w:pPr>
      <w:r w:rsidRPr="00CD2EEF">
        <w:rPr>
          <w:lang w:val="en-GB"/>
        </w:rPr>
        <w:t>Realisation in 2021:</w:t>
      </w:r>
    </w:p>
    <w:p w14:paraId="68F2B928" w14:textId="77777777" w:rsidR="00412AFC" w:rsidRPr="00CD2EEF" w:rsidRDefault="00412AFC" w:rsidP="00BD5683">
      <w:pPr>
        <w:pStyle w:val="LPnavaden"/>
        <w:rPr>
          <w:lang w:val="en-GB"/>
        </w:rPr>
      </w:pPr>
      <w:r w:rsidRPr="00CD2EEF">
        <w:rPr>
          <w:lang w:val="en-GB"/>
        </w:rPr>
        <w:t>The Slovenian system of authorised experts provides optimum professional support in the decision-making of the regulatory bodies on nuclear and radiation safety. In 2017, the amended Ionising Radiation Protection and Nuclear Safety Act maintained the same solution as applied in the past: the party that initiates an administrative procedure in which the expert opinion of an authorised expert for radiation and nuclear safety is necessary bears the cost of preparing such expert opinion. At the end of 2021, 10 experts from the Republic of Slovenia were authorised to cover all areas of nuclear and radiation safety. Furthermore, the Act also allows the authorisation of foreign professional organisations (in 2021 there were two from Austria and five from Croatia), which ensures greater coverage of professional areas. The Act furthermore contains provisions on ensuring the independence of authorised experts from nuclear or radiation facility operators and persons carrying out a radiation practice.</w:t>
      </w:r>
    </w:p>
    <w:p w14:paraId="42B614A3" w14:textId="16A66929" w:rsidR="00412AFC" w:rsidRPr="00CD2EEF" w:rsidRDefault="00412AFC" w:rsidP="00584C22">
      <w:pPr>
        <w:pStyle w:val="LPnavaden"/>
        <w:rPr>
          <w:lang w:val="en-GB"/>
        </w:rPr>
      </w:pPr>
      <w:r w:rsidRPr="00CD2EEF">
        <w:rPr>
          <w:lang w:val="en-GB"/>
        </w:rPr>
        <w:t xml:space="preserve">Apart from the direct financing of the preparation of expert opinions, authorised experts are also financed through research and development projects, as described </w:t>
      </w:r>
      <w:r w:rsidRPr="00E7577B">
        <w:rPr>
          <w:lang w:val="en-GB"/>
        </w:rPr>
        <w:t xml:space="preserve">below </w:t>
      </w:r>
      <w:r w:rsidR="008644B0" w:rsidRPr="00E7577B">
        <w:rPr>
          <w:lang w:val="en-GB"/>
        </w:rPr>
        <w:t xml:space="preserve">regarding </w:t>
      </w:r>
      <w:r w:rsidRPr="00E7577B">
        <w:rPr>
          <w:lang w:val="en-GB"/>
        </w:rPr>
        <w:t xml:space="preserve">the </w:t>
      </w:r>
      <w:r w:rsidR="008644B0" w:rsidRPr="00E7577B">
        <w:rPr>
          <w:lang w:val="en-GB"/>
        </w:rPr>
        <w:t xml:space="preserve">realisation </w:t>
      </w:r>
      <w:r w:rsidRPr="00E7577B">
        <w:rPr>
          <w:lang w:val="en-GB"/>
        </w:rPr>
        <w:t>of Goal 12.</w:t>
      </w:r>
    </w:p>
    <w:p w14:paraId="5E429AA3" w14:textId="77777777" w:rsidR="00412AFC" w:rsidRPr="00CD2EEF" w:rsidRDefault="00412AFC" w:rsidP="00071EF8">
      <w:pPr>
        <w:pStyle w:val="LPnaslovkrepko"/>
        <w:rPr>
          <w:lang w:val="en-GB"/>
        </w:rPr>
      </w:pPr>
      <w:r w:rsidRPr="00CD2EEF">
        <w:rPr>
          <w:lang w:val="en-GB"/>
        </w:rPr>
        <w:t>Goal 10</w:t>
      </w:r>
    </w:p>
    <w:p w14:paraId="3C334EDC" w14:textId="77777777" w:rsidR="00412AFC" w:rsidRPr="00CD2EEF" w:rsidRDefault="00412AFC" w:rsidP="005E7270">
      <w:pPr>
        <w:pStyle w:val="LPnavadenposevno"/>
        <w:rPr>
          <w:lang w:val="en-GB"/>
        </w:rPr>
      </w:pPr>
      <w:r w:rsidRPr="00CD2EEF">
        <w:rPr>
          <w:lang w:val="en-GB"/>
        </w:rPr>
        <w:t>In the use of nuclear energy and radiation activities in the Republic of Slovenia, emergency preparedness and response are appropriately ensured so that in the event of an emergency the impact on people and the environment is minimal.</w:t>
      </w:r>
    </w:p>
    <w:p w14:paraId="17651A20" w14:textId="77777777" w:rsidR="00412AFC" w:rsidRPr="00CD2EEF" w:rsidRDefault="00412AFC" w:rsidP="00071EF8">
      <w:pPr>
        <w:pStyle w:val="LPnaslovkrepko"/>
        <w:rPr>
          <w:lang w:val="en-GB"/>
        </w:rPr>
      </w:pPr>
      <w:r w:rsidRPr="00CD2EEF">
        <w:rPr>
          <w:lang w:val="en-GB"/>
        </w:rPr>
        <w:t>Measures to achieve the goal:</w:t>
      </w:r>
    </w:p>
    <w:p w14:paraId="1CA80D0D" w14:textId="091CFF52" w:rsidR="00412AFC" w:rsidRPr="00CD2EEF" w:rsidRDefault="00412AFC" w:rsidP="00C36A16">
      <w:pPr>
        <w:pStyle w:val="LPalineje"/>
        <w:rPr>
          <w:lang w:val="en-GB"/>
        </w:rPr>
      </w:pPr>
      <w:r w:rsidRPr="00CD2EEF">
        <w:rPr>
          <w:lang w:val="en-GB"/>
        </w:rPr>
        <w:t xml:space="preserve">The Inter-ministerial Commission </w:t>
      </w:r>
      <w:r w:rsidR="004C7B56">
        <w:rPr>
          <w:lang w:val="en-GB"/>
        </w:rPr>
        <w:t>for</w:t>
      </w:r>
      <w:r w:rsidR="004C7B56" w:rsidRPr="00CD2EEF">
        <w:rPr>
          <w:lang w:val="en-GB"/>
        </w:rPr>
        <w:t xml:space="preserve"> </w:t>
      </w:r>
      <w:r w:rsidRPr="00CD2EEF">
        <w:rPr>
          <w:lang w:val="en-GB"/>
        </w:rPr>
        <w:t>monitor</w:t>
      </w:r>
      <w:r w:rsidR="004C7B56">
        <w:rPr>
          <w:lang w:val="en-GB"/>
        </w:rPr>
        <w:t>ing</w:t>
      </w:r>
      <w:r w:rsidRPr="00CD2EEF">
        <w:rPr>
          <w:lang w:val="en-GB"/>
        </w:rPr>
        <w:t xml:space="preserve"> the implementation of the National Emergency Response Plan for Nuclear and Radiological Accidents coordinates the actions of the responsible state bodies.</w:t>
      </w:r>
    </w:p>
    <w:p w14:paraId="760973E0" w14:textId="77777777" w:rsidR="00412AFC" w:rsidRPr="00CD2EEF" w:rsidRDefault="00412AFC" w:rsidP="00C36A16">
      <w:pPr>
        <w:pStyle w:val="LPalineje"/>
        <w:rPr>
          <w:lang w:val="en-GB"/>
        </w:rPr>
      </w:pPr>
      <w:r w:rsidRPr="00CD2EEF">
        <w:rPr>
          <w:lang w:val="en-GB"/>
        </w:rPr>
        <w:t xml:space="preserve">The response system is regularly tested through emergency exercises. </w:t>
      </w:r>
    </w:p>
    <w:p w14:paraId="63AF5581" w14:textId="7CAE609E" w:rsidR="00412AFC" w:rsidRPr="00CD2EEF" w:rsidRDefault="00412AFC" w:rsidP="00071EF8">
      <w:pPr>
        <w:pStyle w:val="LPnaslovkrepko"/>
        <w:rPr>
          <w:lang w:val="en-GB"/>
        </w:rPr>
      </w:pPr>
      <w:r w:rsidRPr="00CD2EEF">
        <w:rPr>
          <w:lang w:val="en-GB"/>
        </w:rPr>
        <w:t>Reali</w:t>
      </w:r>
      <w:r w:rsidR="00E9756B">
        <w:rPr>
          <w:lang w:val="en-GB"/>
        </w:rPr>
        <w:t>sation</w:t>
      </w:r>
      <w:r w:rsidRPr="00CD2EEF">
        <w:rPr>
          <w:lang w:val="en-GB"/>
        </w:rPr>
        <w:t xml:space="preserve"> </w:t>
      </w:r>
      <w:r w:rsidRPr="00ED59DD">
        <w:rPr>
          <w:lang w:val="en-GB"/>
        </w:rPr>
        <w:t xml:space="preserve">in </w:t>
      </w:r>
      <w:r w:rsidR="002C184E" w:rsidRPr="00ED59DD">
        <w:rPr>
          <w:lang w:val="en-GB"/>
        </w:rPr>
        <w:t>2021</w:t>
      </w:r>
      <w:r w:rsidRPr="00ED59DD">
        <w:rPr>
          <w:lang w:val="en-GB"/>
        </w:rPr>
        <w:t>:</w:t>
      </w:r>
    </w:p>
    <w:p w14:paraId="58701CE3" w14:textId="48BD8BBA" w:rsidR="00412AFC" w:rsidRPr="00CD2EEF" w:rsidRDefault="00412AFC" w:rsidP="00C36A16">
      <w:pPr>
        <w:pStyle w:val="LPnavaden"/>
        <w:rPr>
          <w:lang w:val="en-GB"/>
        </w:rPr>
      </w:pPr>
      <w:r w:rsidRPr="00CD2EEF">
        <w:rPr>
          <w:lang w:val="en-GB"/>
        </w:rPr>
        <w:t xml:space="preserve">In August 2021, the Government of the Republic of Slovenia adopted a Decision on amending the decision on the appointment of the Inter-ministerial Commission </w:t>
      </w:r>
      <w:r w:rsidR="004C7B56">
        <w:rPr>
          <w:lang w:val="en-GB"/>
        </w:rPr>
        <w:t>for</w:t>
      </w:r>
      <w:r w:rsidR="004C7B56" w:rsidRPr="00CD2EEF">
        <w:rPr>
          <w:lang w:val="en-GB"/>
        </w:rPr>
        <w:t xml:space="preserve"> monitor</w:t>
      </w:r>
      <w:r w:rsidR="004C7B56">
        <w:rPr>
          <w:lang w:val="en-GB"/>
        </w:rPr>
        <w:t>ing</w:t>
      </w:r>
      <w:r w:rsidR="004C7B56" w:rsidRPr="00CD2EEF">
        <w:rPr>
          <w:lang w:val="en-GB"/>
        </w:rPr>
        <w:t xml:space="preserve"> </w:t>
      </w:r>
      <w:r w:rsidRPr="00CD2EEF">
        <w:rPr>
          <w:lang w:val="en-GB"/>
        </w:rPr>
        <w:t xml:space="preserve">the implementation of the National Emergency Response Plan for Nuclear and Radiological Accidents, but the Inter-ministerial Commission did not meet in 2021. Work on the renewal of emergency response plans for </w:t>
      </w:r>
      <w:r w:rsidR="00B86BB5">
        <w:rPr>
          <w:lang w:val="en-GB"/>
        </w:rPr>
        <w:t xml:space="preserve">a </w:t>
      </w:r>
      <w:r w:rsidRPr="00CD2EEF">
        <w:rPr>
          <w:lang w:val="en-GB"/>
        </w:rPr>
        <w:t xml:space="preserve">nuclear and radiological accident was carried out in accordance with the Action Plan following the EPREV mission (See </w:t>
      </w:r>
      <w:hyperlink w:anchor="ch7" w:history="1">
        <w:r w:rsidRPr="00CD2EEF">
          <w:rPr>
            <w:rStyle w:val="Hiperpovezava"/>
            <w:lang w:val="en-GB"/>
          </w:rPr>
          <w:t>Chapter 7</w:t>
        </w:r>
      </w:hyperlink>
      <w:r w:rsidRPr="00CD2EEF">
        <w:rPr>
          <w:lang w:val="en-GB"/>
        </w:rPr>
        <w:t>).</w:t>
      </w:r>
    </w:p>
    <w:p w14:paraId="6011274D" w14:textId="2650F567" w:rsidR="00412AFC" w:rsidRDefault="00412AFC" w:rsidP="00C36A16">
      <w:pPr>
        <w:pStyle w:val="LPnavaden"/>
        <w:rPr>
          <w:lang w:val="en-GB"/>
        </w:rPr>
      </w:pPr>
      <w:r w:rsidRPr="00CD2EEF">
        <w:rPr>
          <w:lang w:val="en-GB"/>
        </w:rPr>
        <w:t xml:space="preserve">In 2021, despite the continuation of the Covid-19 </w:t>
      </w:r>
      <w:r w:rsidR="00BE025A">
        <w:rPr>
          <w:lang w:val="en-GB"/>
        </w:rPr>
        <w:t>epi</w:t>
      </w:r>
      <w:r w:rsidRPr="00CD2EEF">
        <w:rPr>
          <w:lang w:val="en-GB"/>
        </w:rPr>
        <w:t>demic</w:t>
      </w:r>
      <w:r w:rsidRPr="00CD2EEF" w:rsidDel="001913A1">
        <w:rPr>
          <w:lang w:val="en-GB"/>
        </w:rPr>
        <w:t xml:space="preserve"> </w:t>
      </w:r>
      <w:r w:rsidRPr="00CD2EEF">
        <w:rPr>
          <w:lang w:val="en-GB"/>
        </w:rPr>
        <w:t>and based on the activities summar</w:t>
      </w:r>
      <w:r w:rsidR="00837F00">
        <w:rPr>
          <w:lang w:val="en-GB"/>
        </w:rPr>
        <w:t>ised</w:t>
      </w:r>
      <w:r w:rsidRPr="00CD2EEF">
        <w:rPr>
          <w:lang w:val="en-GB"/>
        </w:rPr>
        <w:t xml:space="preserve"> above (</w:t>
      </w:r>
      <w:hyperlink w:anchor="ch7" w:history="1">
        <w:r w:rsidRPr="00CD2EEF">
          <w:rPr>
            <w:rStyle w:val="Hiperpovezava"/>
            <w:lang w:val="en-GB"/>
          </w:rPr>
          <w:t>Chapter 7</w:t>
        </w:r>
      </w:hyperlink>
      <w:r w:rsidRPr="00CD2EEF">
        <w:rPr>
          <w:lang w:val="en-GB"/>
        </w:rPr>
        <w:t xml:space="preserve">), emergency preparedness and response </w:t>
      </w:r>
      <w:r w:rsidR="00B86BB5">
        <w:rPr>
          <w:lang w:val="en-GB"/>
        </w:rPr>
        <w:t>were</w:t>
      </w:r>
      <w:r w:rsidR="00B86BB5" w:rsidRPr="00CD2EEF">
        <w:rPr>
          <w:lang w:val="en-GB"/>
        </w:rPr>
        <w:t xml:space="preserve"> </w:t>
      </w:r>
      <w:r w:rsidRPr="00CD2EEF">
        <w:rPr>
          <w:lang w:val="en-GB"/>
        </w:rPr>
        <w:t xml:space="preserve">appropriately addressed by the regulatory body responsible for nuclear safety and by the regulatory body responsible for protection against natural and other disasters, as well as by other entities involved in </w:t>
      </w:r>
      <w:r w:rsidR="00B86BB5">
        <w:rPr>
          <w:lang w:val="en-GB"/>
        </w:rPr>
        <w:t xml:space="preserve">an </w:t>
      </w:r>
      <w:r w:rsidRPr="00CD2EEF">
        <w:rPr>
          <w:lang w:val="en-GB"/>
        </w:rPr>
        <w:t xml:space="preserve">emergency response. In addition, the response system for nuclear and radiation safety was regularly tested </w:t>
      </w:r>
      <w:r w:rsidR="00B86BB5">
        <w:rPr>
          <w:lang w:val="en-GB"/>
        </w:rPr>
        <w:t>in</w:t>
      </w:r>
      <w:r w:rsidR="00B86BB5" w:rsidRPr="00CD2EEF">
        <w:rPr>
          <w:lang w:val="en-GB"/>
        </w:rPr>
        <w:t xml:space="preserve"> </w:t>
      </w:r>
      <w:r w:rsidRPr="00CD2EEF">
        <w:rPr>
          <w:lang w:val="en-GB"/>
        </w:rPr>
        <w:t>domestic and international exercises.</w:t>
      </w:r>
    </w:p>
    <w:p w14:paraId="0AE3434B" w14:textId="4B9943AD" w:rsidR="00E50020" w:rsidRDefault="00E50020" w:rsidP="00C36A16">
      <w:pPr>
        <w:pStyle w:val="LPnavaden"/>
        <w:rPr>
          <w:lang w:val="en-GB"/>
        </w:rPr>
      </w:pPr>
    </w:p>
    <w:p w14:paraId="51C61CDD" w14:textId="77777777" w:rsidR="00E50020" w:rsidRPr="00CD2EEF" w:rsidRDefault="00E50020" w:rsidP="00C36A16">
      <w:pPr>
        <w:pStyle w:val="LPnavaden"/>
        <w:rPr>
          <w:lang w:val="en-GB"/>
        </w:rPr>
      </w:pPr>
    </w:p>
    <w:p w14:paraId="0D1D91F6" w14:textId="5A8AF108" w:rsidR="00412AFC" w:rsidRPr="00CD2EEF" w:rsidRDefault="00412AFC" w:rsidP="00340C0C">
      <w:pPr>
        <w:pStyle w:val="LPpodpoglavje"/>
        <w:numPr>
          <w:ilvl w:val="4"/>
          <w:numId w:val="17"/>
        </w:numPr>
        <w:rPr>
          <w:lang w:val="en-GB"/>
        </w:rPr>
      </w:pPr>
      <w:r w:rsidRPr="00CD2EEF">
        <w:rPr>
          <w:lang w:val="en-GB"/>
        </w:rPr>
        <w:lastRenderedPageBreak/>
        <w:t xml:space="preserve">Objectives in the </w:t>
      </w:r>
      <w:r w:rsidR="00ED59DD">
        <w:rPr>
          <w:lang w:val="en-GB"/>
        </w:rPr>
        <w:t>F</w:t>
      </w:r>
      <w:r w:rsidRPr="00CD2EEF">
        <w:rPr>
          <w:lang w:val="en-GB"/>
        </w:rPr>
        <w:t xml:space="preserve">ield of </w:t>
      </w:r>
      <w:r w:rsidR="00ED59DD">
        <w:rPr>
          <w:lang w:val="en-GB"/>
        </w:rPr>
        <w:t>C</w:t>
      </w:r>
      <w:r w:rsidR="002C3735" w:rsidRPr="00CD2EEF">
        <w:rPr>
          <w:lang w:val="en-GB"/>
        </w:rPr>
        <w:t>ompete</w:t>
      </w:r>
      <w:r w:rsidR="002C3735" w:rsidRPr="000F5831">
        <w:rPr>
          <w:lang w:val="en-GB"/>
        </w:rPr>
        <w:t>ncies</w:t>
      </w:r>
      <w:r w:rsidR="002C3735" w:rsidRPr="00CD2EEF">
        <w:rPr>
          <w:lang w:val="en-GB"/>
        </w:rPr>
        <w:t xml:space="preserve"> </w:t>
      </w:r>
      <w:r w:rsidRPr="00CD2EEF">
        <w:rPr>
          <w:lang w:val="en-GB"/>
        </w:rPr>
        <w:t xml:space="preserve">and </w:t>
      </w:r>
      <w:r w:rsidR="00ED59DD">
        <w:rPr>
          <w:lang w:val="en-GB"/>
        </w:rPr>
        <w:t>P</w:t>
      </w:r>
      <w:r w:rsidRPr="00CD2EEF">
        <w:rPr>
          <w:lang w:val="en-GB"/>
        </w:rPr>
        <w:t xml:space="preserve">rofessional </w:t>
      </w:r>
      <w:r w:rsidR="00ED59DD">
        <w:rPr>
          <w:lang w:val="en-GB"/>
        </w:rPr>
        <w:t>S</w:t>
      </w:r>
      <w:r w:rsidRPr="00CD2EEF">
        <w:rPr>
          <w:lang w:val="en-GB"/>
        </w:rPr>
        <w:t xml:space="preserve">upport </w:t>
      </w:r>
    </w:p>
    <w:p w14:paraId="42754DCE" w14:textId="052328FE" w:rsidR="00412AFC" w:rsidRPr="00CD2EEF" w:rsidRDefault="00412AFC" w:rsidP="00340C0C">
      <w:pPr>
        <w:pStyle w:val="LPnaslovkrepko"/>
        <w:rPr>
          <w:i/>
          <w:lang w:val="en-GB"/>
        </w:rPr>
      </w:pPr>
      <w:r w:rsidRPr="00CD2EEF">
        <w:rPr>
          <w:lang w:val="en-GB"/>
        </w:rPr>
        <w:t>Goal 11</w:t>
      </w:r>
    </w:p>
    <w:p w14:paraId="29369D99" w14:textId="77777777" w:rsidR="00412AFC" w:rsidRPr="00CD2EEF" w:rsidRDefault="00412AFC" w:rsidP="00340C0C">
      <w:pPr>
        <w:pStyle w:val="LPnavadenposevno"/>
        <w:rPr>
          <w:lang w:val="en-GB"/>
        </w:rPr>
      </w:pPr>
      <w:r w:rsidRPr="00CD2EEF">
        <w:rPr>
          <w:lang w:val="en-GB"/>
        </w:rPr>
        <w:t>Slovenian educational institutions offer study programmes whose graduates, after gaining appropriate additional training, can secure important positions in organisations where they can ensure nuclear safety.</w:t>
      </w:r>
    </w:p>
    <w:p w14:paraId="2F48AE2E" w14:textId="77777777" w:rsidR="00412AFC" w:rsidRPr="00CD2EEF" w:rsidRDefault="00412AFC" w:rsidP="007058B2">
      <w:pPr>
        <w:pStyle w:val="LPnaslovkrepko"/>
        <w:rPr>
          <w:lang w:val="en-GB"/>
        </w:rPr>
      </w:pPr>
      <w:r w:rsidRPr="00CD2EEF">
        <w:rPr>
          <w:lang w:val="en-GB"/>
        </w:rPr>
        <w:t>Measures to achieve the goal:</w:t>
      </w:r>
    </w:p>
    <w:p w14:paraId="124EEC03" w14:textId="56F7AF1F" w:rsidR="00412AFC" w:rsidRPr="00CD2EEF" w:rsidRDefault="00412AFC" w:rsidP="007058B2">
      <w:pPr>
        <w:pStyle w:val="LPalineje"/>
        <w:rPr>
          <w:lang w:val="en-GB"/>
        </w:rPr>
      </w:pPr>
      <w:r w:rsidRPr="00CD2EEF">
        <w:rPr>
          <w:lang w:val="en-GB"/>
        </w:rPr>
        <w:t xml:space="preserve">Slovenian educational institutions provide appropriate study programmes, </w:t>
      </w:r>
      <w:r w:rsidR="00594CF9">
        <w:rPr>
          <w:lang w:val="en-GB"/>
        </w:rPr>
        <w:t xml:space="preserve">with </w:t>
      </w:r>
      <w:r w:rsidRPr="00CD2EEF">
        <w:rPr>
          <w:lang w:val="en-GB"/>
        </w:rPr>
        <w:t xml:space="preserve">the state financially supporting </w:t>
      </w:r>
      <w:r w:rsidR="00594CF9">
        <w:rPr>
          <w:lang w:val="en-GB"/>
        </w:rPr>
        <w:t>those</w:t>
      </w:r>
      <w:r w:rsidRPr="00CD2EEF">
        <w:rPr>
          <w:lang w:val="en-GB"/>
        </w:rPr>
        <w:t xml:space="preserve"> internationally comparable and recogn</w:t>
      </w:r>
      <w:r w:rsidR="00837F00">
        <w:rPr>
          <w:lang w:val="en-GB"/>
        </w:rPr>
        <w:t>ised</w:t>
      </w:r>
      <w:r w:rsidRPr="00CD2EEF">
        <w:rPr>
          <w:lang w:val="en-GB"/>
        </w:rPr>
        <w:t>.</w:t>
      </w:r>
    </w:p>
    <w:p w14:paraId="78C0E5A2" w14:textId="77060A28" w:rsidR="00412AFC" w:rsidRPr="00CD2EEF" w:rsidRDefault="00412AFC" w:rsidP="007058B2">
      <w:pPr>
        <w:pStyle w:val="LPalineje"/>
        <w:rPr>
          <w:lang w:val="en-GB"/>
        </w:rPr>
      </w:pPr>
      <w:r w:rsidRPr="00CD2EEF">
        <w:rPr>
          <w:lang w:val="en-GB"/>
        </w:rPr>
        <w:t>Operators of radiation and nuclear facilities, contractors of radiation practices</w:t>
      </w:r>
      <w:r w:rsidR="00594CF9">
        <w:rPr>
          <w:lang w:val="en-GB"/>
        </w:rPr>
        <w:t>,</w:t>
      </w:r>
      <w:r w:rsidRPr="00CD2EEF">
        <w:rPr>
          <w:lang w:val="en-GB"/>
        </w:rPr>
        <w:t xml:space="preserve"> and the national authorities responsible for nuclear and radiation safety support and participate in educational programmes in the fields of physics, reactor engineering, nuclear safety, control of severe accidents </w:t>
      </w:r>
      <w:r w:rsidR="00594CF9">
        <w:rPr>
          <w:lang w:val="en-GB"/>
        </w:rPr>
        <w:t>due to</w:t>
      </w:r>
      <w:r w:rsidR="00594CF9" w:rsidRPr="00CD2EEF">
        <w:rPr>
          <w:lang w:val="en-GB"/>
        </w:rPr>
        <w:t xml:space="preserve"> </w:t>
      </w:r>
      <w:r w:rsidRPr="00CD2EEF">
        <w:rPr>
          <w:lang w:val="en-GB"/>
        </w:rPr>
        <w:t>core meltdown, technologies, nuclear decommissioning</w:t>
      </w:r>
      <w:r w:rsidR="00594CF9">
        <w:rPr>
          <w:lang w:val="en-GB"/>
        </w:rPr>
        <w:t>,</w:t>
      </w:r>
      <w:r w:rsidRPr="00CD2EEF">
        <w:rPr>
          <w:lang w:val="en-GB"/>
        </w:rPr>
        <w:t xml:space="preserve"> and radioactive waste management.</w:t>
      </w:r>
    </w:p>
    <w:p w14:paraId="1B36810C" w14:textId="3DC08ED3" w:rsidR="00412AFC" w:rsidRPr="00ED59DD" w:rsidRDefault="00412AFC" w:rsidP="007058B2">
      <w:pPr>
        <w:pStyle w:val="LPnaslovkrepko"/>
        <w:rPr>
          <w:lang w:val="en-GB"/>
        </w:rPr>
      </w:pPr>
      <w:r w:rsidRPr="00CD2EEF">
        <w:rPr>
          <w:lang w:val="en-GB"/>
        </w:rPr>
        <w:t xml:space="preserve">Realisation </w:t>
      </w:r>
      <w:r w:rsidRPr="00ED59DD">
        <w:rPr>
          <w:lang w:val="en-GB"/>
        </w:rPr>
        <w:t xml:space="preserve">in </w:t>
      </w:r>
      <w:r w:rsidR="002C184E" w:rsidRPr="00ED59DD">
        <w:rPr>
          <w:lang w:val="en-GB"/>
        </w:rPr>
        <w:t>2021</w:t>
      </w:r>
      <w:r w:rsidRPr="00ED59DD">
        <w:rPr>
          <w:lang w:val="en-GB"/>
        </w:rPr>
        <w:t>:</w:t>
      </w:r>
    </w:p>
    <w:p w14:paraId="15017351" w14:textId="20B65ADF" w:rsidR="00412AFC" w:rsidRPr="00CD2EEF" w:rsidRDefault="00412AFC" w:rsidP="007058B2">
      <w:pPr>
        <w:pStyle w:val="LPnavaden"/>
        <w:rPr>
          <w:lang w:val="en-GB"/>
        </w:rPr>
      </w:pPr>
      <w:r w:rsidRPr="00ED59DD">
        <w:rPr>
          <w:lang w:val="en-GB"/>
        </w:rPr>
        <w:t>At the Faculty of Mathematics</w:t>
      </w:r>
      <w:r w:rsidRPr="00CD2EEF">
        <w:rPr>
          <w:lang w:val="en-GB"/>
        </w:rPr>
        <w:t xml:space="preserve"> and Physics of the University of Ljubljana, within the framework of the Department of Physics, the two-stage master</w:t>
      </w:r>
      <w:r w:rsidR="00F21D56">
        <w:rPr>
          <w:lang w:val="en-GB"/>
        </w:rPr>
        <w:t>’</w:t>
      </w:r>
      <w:r w:rsidRPr="00CD2EEF">
        <w:rPr>
          <w:lang w:val="en-GB"/>
        </w:rPr>
        <w:t xml:space="preserve">s degree programme </w:t>
      </w:r>
      <w:r w:rsidR="00263D93">
        <w:rPr>
          <w:lang w:val="en-GB"/>
        </w:rPr>
        <w:t>“</w:t>
      </w:r>
      <w:r w:rsidRPr="00CD2EEF">
        <w:rPr>
          <w:lang w:val="en-GB"/>
        </w:rPr>
        <w:t>nuclear engineering</w:t>
      </w:r>
      <w:r w:rsidR="00263D93">
        <w:rPr>
          <w:lang w:val="en-GB"/>
        </w:rPr>
        <w:t>”</w:t>
      </w:r>
      <w:r w:rsidRPr="00CD2EEF">
        <w:rPr>
          <w:lang w:val="en-GB"/>
        </w:rPr>
        <w:t xml:space="preserve"> is carried out. In the school year 2021-22, three students enrolled in the programme, who, together with eight students in the second year and six foreign students</w:t>
      </w:r>
      <w:r w:rsidR="00594CF9">
        <w:rPr>
          <w:lang w:val="en-GB"/>
        </w:rPr>
        <w:t>,</w:t>
      </w:r>
      <w:r w:rsidRPr="00CD2EEF">
        <w:rPr>
          <w:lang w:val="en-GB"/>
        </w:rPr>
        <w:t xml:space="preserve"> are attending six modules of the nuclear engineering programme, while approximately half of the additional credits are received through courses from other study programmes. Some students were enrolled for an additional year. For reason of financial savings, lectures are only held for eight courses and even for those only in a cyclical mode, </w:t>
      </w:r>
      <w:r w:rsidR="00457753">
        <w:rPr>
          <w:lang w:val="en-GB"/>
        </w:rPr>
        <w:t xml:space="preserve">i.e. </w:t>
      </w:r>
      <w:r w:rsidRPr="00CD2EEF">
        <w:rPr>
          <w:lang w:val="en-GB"/>
        </w:rPr>
        <w:t xml:space="preserve">they are carried out every second year. In the year 2021, one graduate finished </w:t>
      </w:r>
      <w:r w:rsidR="00594CF9">
        <w:rPr>
          <w:lang w:val="en-GB"/>
        </w:rPr>
        <w:t>a</w:t>
      </w:r>
      <w:r w:rsidR="00594CF9" w:rsidRPr="00CD2EEF">
        <w:rPr>
          <w:lang w:val="en-GB"/>
        </w:rPr>
        <w:t xml:space="preserve"> </w:t>
      </w:r>
      <w:r w:rsidRPr="00CD2EEF">
        <w:rPr>
          <w:lang w:val="en-GB"/>
        </w:rPr>
        <w:t>master</w:t>
      </w:r>
      <w:r w:rsidR="00F21D56">
        <w:rPr>
          <w:lang w:val="en-GB"/>
        </w:rPr>
        <w:t>’</w:t>
      </w:r>
      <w:r w:rsidRPr="00CD2EEF">
        <w:rPr>
          <w:lang w:val="en-GB"/>
        </w:rPr>
        <w:t>s degree in nuclear engineering. The study programme was carried out by teachers who are members of the JSI, the Faculty of Electrical Engineering, and the Faculty of Mechanical Engineering. They are all involved in the programme through additional employment or contracts with the Faculty of Mathematics and Physics. No permanent position for a nuclear engineering professor was available at the University of Ljubljana.</w:t>
      </w:r>
    </w:p>
    <w:p w14:paraId="73B1A89D" w14:textId="77A7EA9B" w:rsidR="00412AFC" w:rsidRPr="00CD2EEF" w:rsidRDefault="00412AFC" w:rsidP="007058B2">
      <w:pPr>
        <w:pStyle w:val="LPnavaden"/>
        <w:rPr>
          <w:lang w:val="en-GB"/>
        </w:rPr>
      </w:pPr>
      <w:r w:rsidRPr="00CD2EEF">
        <w:rPr>
          <w:lang w:val="en-GB"/>
        </w:rPr>
        <w:t>In 2018, the University of Ljubljana and a consortium of three other European universities successfully applied for EU funding for the Erasmus Mundus tender for the international master</w:t>
      </w:r>
      <w:r w:rsidR="00F21D56">
        <w:rPr>
          <w:lang w:val="en-GB"/>
        </w:rPr>
        <w:t>’</w:t>
      </w:r>
      <w:r w:rsidRPr="00CD2EEF">
        <w:rPr>
          <w:lang w:val="en-GB"/>
        </w:rPr>
        <w:t>s degree study programme in nuclear engineering. The name of the programme is SARENA (</w:t>
      </w:r>
      <w:r w:rsidRPr="00CD2EEF">
        <w:rPr>
          <w:rStyle w:val="LPnavadenposevnoZnak"/>
          <w:lang w:val="en-GB"/>
        </w:rPr>
        <w:t>SAfe and REliable Nuclear Applications</w:t>
      </w:r>
      <w:r w:rsidRPr="00CD2EEF">
        <w:rPr>
          <w:lang w:val="en-GB"/>
        </w:rPr>
        <w:t xml:space="preserve">). In the 2020 school year, </w:t>
      </w:r>
      <w:r w:rsidRPr="005567E2">
        <w:rPr>
          <w:lang w:val="en-GB"/>
        </w:rPr>
        <w:t xml:space="preserve">four </w:t>
      </w:r>
      <w:r w:rsidR="001A3A0E" w:rsidRPr="005567E2">
        <w:rPr>
          <w:lang w:val="en-GB"/>
        </w:rPr>
        <w:t>students</w:t>
      </w:r>
      <w:r w:rsidRPr="005567E2">
        <w:rPr>
          <w:lang w:val="en-GB"/>
        </w:rPr>
        <w:t xml:space="preserve"> enrolled in the second year of the nuclear engineering master</w:t>
      </w:r>
      <w:r w:rsidR="00F21D56" w:rsidRPr="005567E2">
        <w:rPr>
          <w:lang w:val="en-GB"/>
        </w:rPr>
        <w:t>’</w:t>
      </w:r>
      <w:r w:rsidRPr="005567E2">
        <w:rPr>
          <w:lang w:val="en-GB"/>
        </w:rPr>
        <w:t xml:space="preserve">s programme in Ljubljana. In 2021, two </w:t>
      </w:r>
      <w:r w:rsidR="001A3A0E" w:rsidRPr="005567E2">
        <w:rPr>
          <w:lang w:val="en-GB"/>
        </w:rPr>
        <w:t xml:space="preserve">students </w:t>
      </w:r>
      <w:r w:rsidRPr="005567E2">
        <w:rPr>
          <w:lang w:val="en-GB"/>
        </w:rPr>
        <w:t>received</w:t>
      </w:r>
      <w:r w:rsidRPr="00CD2EEF">
        <w:rPr>
          <w:lang w:val="en-GB"/>
        </w:rPr>
        <w:t xml:space="preserve"> their master</w:t>
      </w:r>
      <w:r w:rsidR="00F21D56">
        <w:rPr>
          <w:lang w:val="en-GB"/>
        </w:rPr>
        <w:t>’</w:t>
      </w:r>
      <w:r w:rsidRPr="00CD2EEF">
        <w:rPr>
          <w:lang w:val="en-GB"/>
        </w:rPr>
        <w:t xml:space="preserve">s degree from the Nuclear Engineering </w:t>
      </w:r>
      <w:r w:rsidR="00AB71FB">
        <w:rPr>
          <w:lang w:val="en-GB"/>
        </w:rPr>
        <w:t xml:space="preserve">programme </w:t>
      </w:r>
      <w:r w:rsidRPr="00CD2EEF">
        <w:rPr>
          <w:lang w:val="en-GB"/>
        </w:rPr>
        <w:t>in Ljubljana, and two from the Finnish Lappeenranta University of Technology, and their master</w:t>
      </w:r>
      <w:r w:rsidR="00F21D56">
        <w:rPr>
          <w:lang w:val="en-GB"/>
        </w:rPr>
        <w:t>’</w:t>
      </w:r>
      <w:r w:rsidRPr="00CD2EEF">
        <w:rPr>
          <w:lang w:val="en-GB"/>
        </w:rPr>
        <w:t>s degree</w:t>
      </w:r>
      <w:r w:rsidR="001A3A0E">
        <w:rPr>
          <w:lang w:val="en-GB"/>
        </w:rPr>
        <w:t>s</w:t>
      </w:r>
      <w:r w:rsidRPr="00CD2EEF">
        <w:rPr>
          <w:lang w:val="en-GB"/>
        </w:rPr>
        <w:t xml:space="preserve"> were also recogn</w:t>
      </w:r>
      <w:r w:rsidR="00837F00">
        <w:rPr>
          <w:lang w:val="en-GB"/>
        </w:rPr>
        <w:t>ised</w:t>
      </w:r>
      <w:r w:rsidRPr="00CD2EEF">
        <w:rPr>
          <w:lang w:val="en-GB"/>
        </w:rPr>
        <w:t xml:space="preserve"> by the University of Ljubljana. In 2020-21, there </w:t>
      </w:r>
      <w:r w:rsidR="00856A9A">
        <w:rPr>
          <w:lang w:val="en-GB"/>
        </w:rPr>
        <w:t>were</w:t>
      </w:r>
      <w:r w:rsidR="00856A9A" w:rsidRPr="00CD2EEF">
        <w:rPr>
          <w:lang w:val="en-GB"/>
        </w:rPr>
        <w:t xml:space="preserve"> </w:t>
      </w:r>
      <w:r w:rsidRPr="00CD2EEF">
        <w:rPr>
          <w:lang w:val="en-GB"/>
        </w:rPr>
        <w:t xml:space="preserve">six foreign students in the second year of the SARENA </w:t>
      </w:r>
      <w:r w:rsidR="00AB71FB">
        <w:rPr>
          <w:lang w:val="en-GB"/>
        </w:rPr>
        <w:t xml:space="preserve">programme </w:t>
      </w:r>
      <w:r w:rsidRPr="00CD2EEF">
        <w:rPr>
          <w:lang w:val="en-GB"/>
        </w:rPr>
        <w:t>in Ljubljana. The change also has a positive effect on domestic students. In the school years 2020 to 2023, four professional subjects will be taught in English each year in the third semester, which are part of the nuclear engineering programme and part of the SARENA international nuclear engineering programme.</w:t>
      </w:r>
    </w:p>
    <w:p w14:paraId="019E861A" w14:textId="59307751" w:rsidR="00412AFC" w:rsidRPr="00CD2EEF" w:rsidRDefault="00412AFC" w:rsidP="007058B2">
      <w:pPr>
        <w:pStyle w:val="LPnavaden"/>
        <w:rPr>
          <w:lang w:val="en-GB"/>
        </w:rPr>
      </w:pPr>
      <w:r w:rsidRPr="00CD2EEF">
        <w:rPr>
          <w:lang w:val="en-GB"/>
        </w:rPr>
        <w:t xml:space="preserve">Currently, there are 10 students in the </w:t>
      </w:r>
      <w:r w:rsidR="00263D93">
        <w:rPr>
          <w:lang w:val="en-GB"/>
        </w:rPr>
        <w:t>“</w:t>
      </w:r>
      <w:r w:rsidRPr="00CD2EEF">
        <w:rPr>
          <w:lang w:val="en-GB"/>
        </w:rPr>
        <w:t>mathematics and physics</w:t>
      </w:r>
      <w:r w:rsidR="00263D93">
        <w:rPr>
          <w:lang w:val="en-GB"/>
        </w:rPr>
        <w:t>”</w:t>
      </w:r>
      <w:r w:rsidRPr="00CD2EEF">
        <w:rPr>
          <w:lang w:val="en-GB"/>
        </w:rPr>
        <w:t xml:space="preserve"> doctoral programme within the nuclear engineering module; in 2021 one student enrolled in the first year. In 2021, two students finished PhD studies. Two foreign students abandoned their PhD studies during the epidemic.</w:t>
      </w:r>
    </w:p>
    <w:p w14:paraId="398B38AF" w14:textId="77777777" w:rsidR="00412AFC" w:rsidRPr="00CD2EEF" w:rsidRDefault="00412AFC" w:rsidP="007058B2">
      <w:pPr>
        <w:pStyle w:val="LPnavaden"/>
        <w:rPr>
          <w:lang w:val="en-GB"/>
        </w:rPr>
      </w:pPr>
      <w:r w:rsidRPr="00CD2EEF">
        <w:rPr>
          <w:lang w:val="en-GB"/>
        </w:rPr>
        <w:t xml:space="preserve">We assess that in the current circumstances in Slovenia the scope of studies and the number of students provide an approximately sufficiently large staff base for the permanent needs of the profession. It should be noted that in the field of nuclear engineering there are also some engineers </w:t>
      </w:r>
      <w:r w:rsidRPr="00CD2EEF">
        <w:rPr>
          <w:lang w:val="en-GB"/>
        </w:rPr>
        <w:lastRenderedPageBreak/>
        <w:t>from other technical and natural science faculties who acquire nuclear knowledge outside faculties by means of post-employment training.</w:t>
      </w:r>
    </w:p>
    <w:p w14:paraId="2D0A75FB" w14:textId="77777777" w:rsidR="00412AFC" w:rsidRPr="00CD2EEF" w:rsidRDefault="00412AFC" w:rsidP="00340C0C">
      <w:pPr>
        <w:pStyle w:val="LPnaslovkrepko"/>
        <w:rPr>
          <w:i/>
          <w:lang w:val="en-GB"/>
        </w:rPr>
      </w:pPr>
      <w:bookmarkStart w:id="381" w:name="goal12"/>
      <w:r w:rsidRPr="00CD2EEF">
        <w:rPr>
          <w:lang w:val="en-GB"/>
        </w:rPr>
        <w:t>Goal 12</w:t>
      </w:r>
    </w:p>
    <w:bookmarkEnd w:id="381"/>
    <w:p w14:paraId="055CEC6A" w14:textId="4392787E" w:rsidR="00412AFC" w:rsidRPr="00CD2EEF" w:rsidRDefault="00412AFC" w:rsidP="00340C0C">
      <w:pPr>
        <w:pStyle w:val="LPnavadenposevno"/>
        <w:rPr>
          <w:lang w:val="en-GB"/>
        </w:rPr>
      </w:pPr>
      <w:r w:rsidRPr="00CD2EEF">
        <w:rPr>
          <w:lang w:val="en-GB"/>
        </w:rPr>
        <w:t xml:space="preserve">In the Republic of Slovenia, stable conditions for the financing and implementation of research and educational activities in the field of nuclear and radiation safety are established by which a </w:t>
      </w:r>
      <w:r w:rsidR="00263D93">
        <w:rPr>
          <w:lang w:val="en-GB"/>
        </w:rPr>
        <w:t>“</w:t>
      </w:r>
      <w:r w:rsidRPr="00CD2EEF">
        <w:rPr>
          <w:lang w:val="en-GB"/>
        </w:rPr>
        <w:t>critical mass</w:t>
      </w:r>
      <w:r w:rsidR="00263D93">
        <w:rPr>
          <w:lang w:val="en-GB"/>
        </w:rPr>
        <w:t>”</w:t>
      </w:r>
      <w:r w:rsidRPr="00CD2EEF">
        <w:rPr>
          <w:lang w:val="en-GB"/>
        </w:rPr>
        <w:t xml:space="preserve"> of experts that can competently cover all key aspects of the safe use of nuclear energy and ionising radiation sources is ensured.</w:t>
      </w:r>
    </w:p>
    <w:p w14:paraId="58E643E5" w14:textId="77777777" w:rsidR="00412AFC" w:rsidRPr="00CD2EEF" w:rsidRDefault="00412AFC" w:rsidP="007058B2">
      <w:pPr>
        <w:pStyle w:val="LPnaslovkrepko"/>
        <w:rPr>
          <w:lang w:val="en-GB"/>
        </w:rPr>
      </w:pPr>
      <w:r w:rsidRPr="00CD2EEF">
        <w:rPr>
          <w:lang w:val="en-GB"/>
        </w:rPr>
        <w:t>Measures to achieve the goal:</w:t>
      </w:r>
    </w:p>
    <w:p w14:paraId="14C79A89" w14:textId="4C0004E4" w:rsidR="00412AFC" w:rsidRPr="00CD2EEF" w:rsidRDefault="00412AFC" w:rsidP="007058B2">
      <w:pPr>
        <w:pStyle w:val="LPalineje"/>
        <w:rPr>
          <w:lang w:val="en-GB"/>
        </w:rPr>
      </w:pPr>
      <w:r w:rsidRPr="00CD2EEF">
        <w:rPr>
          <w:lang w:val="en-GB"/>
        </w:rPr>
        <w:t>The country actively supports and co-finances the participation of Slovenian scientific and research organi</w:t>
      </w:r>
      <w:r w:rsidR="00E9756B">
        <w:rPr>
          <w:lang w:val="en-GB"/>
        </w:rPr>
        <w:t>sation</w:t>
      </w:r>
      <w:r w:rsidRPr="00CD2EEF">
        <w:rPr>
          <w:lang w:val="en-GB"/>
        </w:rPr>
        <w:t>s in international research projects and programmes under the auspices of the EU, OECD/NEA, USNRC</w:t>
      </w:r>
      <w:r w:rsidR="00CC648B">
        <w:rPr>
          <w:lang w:val="en-GB"/>
        </w:rPr>
        <w:t>,</w:t>
      </w:r>
      <w:r w:rsidRPr="00CD2EEF">
        <w:rPr>
          <w:lang w:val="en-GB"/>
        </w:rPr>
        <w:t xml:space="preserve"> and similar recogn</w:t>
      </w:r>
      <w:r w:rsidR="00837F00">
        <w:rPr>
          <w:lang w:val="en-GB"/>
        </w:rPr>
        <w:t>ised</w:t>
      </w:r>
      <w:r w:rsidRPr="00CD2EEF">
        <w:rPr>
          <w:lang w:val="en-GB"/>
        </w:rPr>
        <w:t xml:space="preserve"> organi</w:t>
      </w:r>
      <w:r w:rsidR="00E9756B">
        <w:rPr>
          <w:lang w:val="en-GB"/>
        </w:rPr>
        <w:t>sation</w:t>
      </w:r>
      <w:r w:rsidRPr="00CD2EEF">
        <w:rPr>
          <w:lang w:val="en-GB"/>
        </w:rPr>
        <w:t>s.</w:t>
      </w:r>
    </w:p>
    <w:p w14:paraId="4880344A" w14:textId="77777777" w:rsidR="00412AFC" w:rsidRPr="00CD2EEF" w:rsidRDefault="00412AFC" w:rsidP="007058B2">
      <w:pPr>
        <w:pStyle w:val="LPalineje"/>
        <w:rPr>
          <w:lang w:val="en-GB"/>
        </w:rPr>
      </w:pPr>
      <w:r w:rsidRPr="00CD2EEF">
        <w:rPr>
          <w:lang w:val="en-GB"/>
        </w:rPr>
        <w:t>Research programmes financed from the state budget or other sources enable basic research in the field of nuclear and radiation safety.</w:t>
      </w:r>
    </w:p>
    <w:p w14:paraId="7962CF66" w14:textId="7C12C0D5" w:rsidR="00412AFC" w:rsidRPr="00CD2EEF" w:rsidRDefault="00412AFC" w:rsidP="007058B2">
      <w:pPr>
        <w:pStyle w:val="LPalineje"/>
        <w:rPr>
          <w:lang w:val="en-GB"/>
        </w:rPr>
      </w:pPr>
      <w:r w:rsidRPr="00CD2EEF">
        <w:rPr>
          <w:lang w:val="en-GB"/>
        </w:rPr>
        <w:t xml:space="preserve">Funds collected from the operators of nuclear and radiation facilities and </w:t>
      </w:r>
      <w:r w:rsidR="00CC648B">
        <w:rPr>
          <w:lang w:val="en-GB"/>
        </w:rPr>
        <w:t>augmented</w:t>
      </w:r>
      <w:r w:rsidR="00CC648B" w:rsidRPr="00CD2EEF">
        <w:rPr>
          <w:lang w:val="en-GB"/>
        </w:rPr>
        <w:t xml:space="preserve"> </w:t>
      </w:r>
      <w:r w:rsidRPr="00CD2EEF">
        <w:rPr>
          <w:lang w:val="en-GB"/>
        </w:rPr>
        <w:t>by means of the state budget enable applied research and development in support of resolving the ongoing challenges in the field of nuclear and radiation safety in the economy</w:t>
      </w:r>
      <w:r w:rsidR="00E63423">
        <w:rPr>
          <w:lang w:val="en-GB"/>
        </w:rPr>
        <w:t>. The SNSA</w:t>
      </w:r>
      <w:r w:rsidR="00CC648B">
        <w:rPr>
          <w:lang w:val="en-GB"/>
        </w:rPr>
        <w:t>,</w:t>
      </w:r>
      <w:r w:rsidRPr="00CD2EEF">
        <w:rPr>
          <w:lang w:val="en-GB"/>
        </w:rPr>
        <w:t xml:space="preserve"> in cooperation with the users</w:t>
      </w:r>
      <w:r w:rsidR="00CC648B">
        <w:rPr>
          <w:lang w:val="en-GB"/>
        </w:rPr>
        <w:t>,</w:t>
      </w:r>
      <w:r w:rsidRPr="00CD2EEF">
        <w:rPr>
          <w:lang w:val="en-GB"/>
        </w:rPr>
        <w:t xml:space="preserve"> set up a programme of research and development.</w:t>
      </w:r>
    </w:p>
    <w:p w14:paraId="5EBB780F" w14:textId="767CB638" w:rsidR="00412AFC" w:rsidRPr="00CD2EEF" w:rsidRDefault="00412AFC" w:rsidP="007058B2">
      <w:pPr>
        <w:pStyle w:val="LPalineje"/>
        <w:rPr>
          <w:lang w:val="en-GB"/>
        </w:rPr>
      </w:pPr>
      <w:r w:rsidRPr="00CD2EEF">
        <w:rPr>
          <w:lang w:val="en-GB"/>
        </w:rPr>
        <w:t>It is necessary to motivate research organi</w:t>
      </w:r>
      <w:r w:rsidR="00E9756B">
        <w:rPr>
          <w:lang w:val="en-GB"/>
        </w:rPr>
        <w:t>sation</w:t>
      </w:r>
      <w:r w:rsidRPr="00CD2EEF">
        <w:rPr>
          <w:lang w:val="en-GB"/>
        </w:rPr>
        <w:t>s to participate in applied research for the economy.</w:t>
      </w:r>
    </w:p>
    <w:p w14:paraId="58F9C8F7" w14:textId="77777777" w:rsidR="00412AFC" w:rsidRPr="00CD2EEF" w:rsidRDefault="00412AFC" w:rsidP="007058B2">
      <w:pPr>
        <w:pStyle w:val="LPnaslovkrepko"/>
        <w:rPr>
          <w:lang w:val="en-GB"/>
        </w:rPr>
      </w:pPr>
      <w:r w:rsidRPr="00CD2EEF">
        <w:rPr>
          <w:lang w:val="en-GB"/>
        </w:rPr>
        <w:t>Realisation in 2021</w:t>
      </w:r>
    </w:p>
    <w:p w14:paraId="019F8CB1" w14:textId="00A0E249" w:rsidR="00412AFC" w:rsidRPr="00CD2EEF" w:rsidRDefault="00A726E8" w:rsidP="007058B2">
      <w:pPr>
        <w:pStyle w:val="LPnavaden"/>
        <w:rPr>
          <w:lang w:val="en-GB"/>
        </w:rPr>
      </w:pPr>
      <w:r>
        <w:rPr>
          <w:lang w:val="en-GB"/>
        </w:rPr>
        <w:t>The</w:t>
      </w:r>
      <w:r w:rsidR="00E63423">
        <w:rPr>
          <w:lang w:val="en-GB"/>
        </w:rPr>
        <w:t xml:space="preserve"> SNSA</w:t>
      </w:r>
      <w:r w:rsidR="00412AFC" w:rsidRPr="00CD2EEF">
        <w:rPr>
          <w:lang w:val="en-GB"/>
        </w:rPr>
        <w:t xml:space="preserve"> regularly gathers data from major funders (in addition to the main nuclear facilities and state authorities) on how funds are disbursed to Slovenian organisations and authorised experts in the field of nuclear and radiation safety. The total amount for research studies from the Slovenian Research Agency (SRA) in 2021 was slightly less than EUR 2.7 million. Since the average cost of one expert, 1 FTE (FTE – Full Time Equivalent), is approximately EUR 75,000 per year, the amount represents sufficient funding for around 37 experts. The total amount for applied projects, research studies, and the legal obligations under the ZVISJV-1 in 2021 was EUR 11 million.</w:t>
      </w:r>
    </w:p>
    <w:p w14:paraId="60E5176C" w14:textId="590F86D5" w:rsidR="00412AFC" w:rsidRPr="00CD2EEF" w:rsidRDefault="00412AFC" w:rsidP="00340C0C">
      <w:pPr>
        <w:pStyle w:val="LPnavaden"/>
        <w:rPr>
          <w:lang w:val="en-GB"/>
        </w:rPr>
      </w:pPr>
      <w:r w:rsidRPr="00CD2EEF">
        <w:rPr>
          <w:lang w:val="en-GB"/>
        </w:rPr>
        <w:t xml:space="preserve">Funding for research activities, especially in the field of applied projects, is largely left to the needs of individual stakeholders (operators of nuclear facilities, investors, public institutions, the regulatory authority, etc.) and </w:t>
      </w:r>
      <w:r w:rsidRPr="005D6082">
        <w:rPr>
          <w:lang w:val="en-GB"/>
        </w:rPr>
        <w:t xml:space="preserve">market </w:t>
      </w:r>
      <w:r w:rsidR="00FC7284" w:rsidRPr="005D6082">
        <w:rPr>
          <w:lang w:val="en-GB"/>
        </w:rPr>
        <w:t xml:space="preserve">forces </w:t>
      </w:r>
      <w:r w:rsidRPr="005D6082">
        <w:rPr>
          <w:lang w:val="en-GB"/>
        </w:rPr>
        <w:t>in</w:t>
      </w:r>
      <w:r w:rsidRPr="00CD2EEF">
        <w:rPr>
          <w:lang w:val="en-GB"/>
        </w:rPr>
        <w:t xml:space="preserve"> ordering such services. To ensure equal and sufficient coverage of all areas of nuclear and radiation safety in the country, it would make sense to prepare a broader research and development strategy in the field of nuclear safety, which would be the basis for selecting research areas in SRA tenders and a reference point for concluding a director</w:t>
      </w:r>
      <w:r w:rsidR="00F21D56">
        <w:rPr>
          <w:lang w:val="en-GB"/>
        </w:rPr>
        <w:t>’</w:t>
      </w:r>
      <w:r w:rsidRPr="00CD2EEF">
        <w:rPr>
          <w:lang w:val="en-GB"/>
        </w:rPr>
        <w:t>s service contract for the developmental needs of individual clients.</w:t>
      </w:r>
    </w:p>
    <w:p w14:paraId="4FC0821F" w14:textId="1E609D7B" w:rsidR="00412AFC" w:rsidRPr="00CD2EEF" w:rsidRDefault="00A726E8" w:rsidP="00340C0C">
      <w:pPr>
        <w:pStyle w:val="LPnavaden"/>
        <w:rPr>
          <w:rStyle w:val="LPnavadenkrepko"/>
          <w:b w:val="0"/>
          <w:lang w:val="en-GB"/>
        </w:rPr>
      </w:pPr>
      <w:r>
        <w:rPr>
          <w:lang w:val="en-GB"/>
        </w:rPr>
        <w:t>The</w:t>
      </w:r>
      <w:r w:rsidR="00E63423">
        <w:rPr>
          <w:lang w:val="en-GB"/>
        </w:rPr>
        <w:t xml:space="preserve"> SNSA</w:t>
      </w:r>
      <w:r w:rsidR="00412AFC" w:rsidRPr="00CD2EEF">
        <w:rPr>
          <w:lang w:val="en-GB"/>
        </w:rPr>
        <w:t xml:space="preserve"> adopted the Research and Development Strategy at </w:t>
      </w:r>
      <w:r>
        <w:rPr>
          <w:lang w:val="en-GB"/>
        </w:rPr>
        <w:t>the</w:t>
      </w:r>
      <w:r w:rsidR="00E63423">
        <w:rPr>
          <w:lang w:val="en-GB"/>
        </w:rPr>
        <w:t xml:space="preserve"> SNSA</w:t>
      </w:r>
      <w:r w:rsidR="00412AFC" w:rsidRPr="00CD2EEF">
        <w:rPr>
          <w:lang w:val="en-GB"/>
        </w:rPr>
        <w:t xml:space="preserve"> in 2020, but unfortunately, the funds of </w:t>
      </w:r>
      <w:r>
        <w:rPr>
          <w:lang w:val="en-GB"/>
        </w:rPr>
        <w:t>the</w:t>
      </w:r>
      <w:r w:rsidR="00E63423">
        <w:rPr>
          <w:lang w:val="en-GB"/>
        </w:rPr>
        <w:t xml:space="preserve"> SNSA</w:t>
      </w:r>
      <w:r w:rsidR="00412AFC" w:rsidRPr="00CD2EEF">
        <w:rPr>
          <w:lang w:val="en-GB"/>
        </w:rPr>
        <w:t xml:space="preserve"> intended for financing development tasks are very limited. In 2021, </w:t>
      </w:r>
      <w:r w:rsidR="00E63423">
        <w:rPr>
          <w:lang w:val="en-GB"/>
        </w:rPr>
        <w:t>the SNSA</w:t>
      </w:r>
      <w:r w:rsidR="00412AFC" w:rsidRPr="00CD2EEF">
        <w:rPr>
          <w:lang w:val="en-GB"/>
        </w:rPr>
        <w:t xml:space="preserve"> ordered 4 research and development projects with a total amount of EUR 86,400.</w:t>
      </w:r>
    </w:p>
    <w:p w14:paraId="274CB62E" w14:textId="7B8628C2" w:rsidR="00412AFC" w:rsidRPr="00CD2EEF" w:rsidRDefault="00412AFC" w:rsidP="00E01C72">
      <w:pPr>
        <w:pStyle w:val="LPNaslov2"/>
        <w:rPr>
          <w:lang w:val="en-GB"/>
        </w:rPr>
      </w:pPr>
      <w:bookmarkStart w:id="382" w:name="_Toc126312035"/>
      <w:r w:rsidRPr="00CD2EEF">
        <w:rPr>
          <w:lang w:val="en-GB"/>
        </w:rPr>
        <w:lastRenderedPageBreak/>
        <w:t>IMPLEMENTATION OF THE RESOLUTION ON THE NATIONAL PROGRAMME FOR RADIOACTIVE WASTE AND SPENT NUCLEAR FUEL MANAGEMENT</w:t>
      </w:r>
      <w:bookmarkEnd w:id="382"/>
      <w:r w:rsidR="008A1E6B">
        <w:rPr>
          <w:lang w:val="en-GB"/>
        </w:rPr>
        <w:t xml:space="preserve"> </w:t>
      </w:r>
    </w:p>
    <w:p w14:paraId="44F5D129" w14:textId="77777777" w:rsidR="00412AFC" w:rsidRPr="00CD2EEF" w:rsidRDefault="00412AFC" w:rsidP="00E01C72">
      <w:pPr>
        <w:pStyle w:val="LPnavaden"/>
        <w:rPr>
          <w:lang w:val="en-GB"/>
        </w:rPr>
      </w:pPr>
      <w:r w:rsidRPr="00CD2EEF">
        <w:rPr>
          <w:lang w:val="en-GB"/>
        </w:rPr>
        <w:t xml:space="preserve">Below follows a summary of the implementation of the individual strategies under the Resolution on the National Programme for Radioactive Waste and Spent Nuclear Fuel Management for the 2016–2025 Period (ReNPRRO16–25). </w:t>
      </w:r>
    </w:p>
    <w:p w14:paraId="2565F28E" w14:textId="77777777" w:rsidR="00412AFC" w:rsidRPr="00CD2EEF" w:rsidRDefault="00412AFC" w:rsidP="00E01C72">
      <w:pPr>
        <w:pStyle w:val="LPnaslovkrepko"/>
        <w:rPr>
          <w:lang w:val="en-GB"/>
        </w:rPr>
      </w:pPr>
      <w:r w:rsidRPr="00CD2EEF">
        <w:rPr>
          <w:lang w:val="en-GB"/>
        </w:rPr>
        <w:t xml:space="preserve">Strategy 1 </w:t>
      </w:r>
    </w:p>
    <w:p w14:paraId="5316F133" w14:textId="77777777" w:rsidR="00412AFC" w:rsidRPr="00CD2EEF" w:rsidRDefault="00412AFC" w:rsidP="00E01C72">
      <w:pPr>
        <w:pStyle w:val="LPnavadenposevno"/>
        <w:rPr>
          <w:lang w:val="en-GB"/>
        </w:rPr>
      </w:pPr>
      <w:r w:rsidRPr="00CD2EEF">
        <w:rPr>
          <w:lang w:val="en-GB"/>
        </w:rPr>
        <w:t>The prime responsibility for radioactive waste management in nuclear and radiation facilities rests with the holders of operating licensees. Radioactive waste is to be managed in accordance with the approved safety analysis reports for the operation of individual nuclear facilities. Storage is to be implemented for the purpose of efficient and secure phased disposal at the LILW repository. In the field of radioactive waste management, the strategy promotes the concept of the clearance of radioactive materials from regulatory control in accordance with the prescribed criteria in order to avoid unnecessary generation of radioactive waste.</w:t>
      </w:r>
    </w:p>
    <w:p w14:paraId="32301389" w14:textId="77777777" w:rsidR="00412AFC" w:rsidRPr="00CD2EEF" w:rsidRDefault="00412AFC" w:rsidP="00F435EA">
      <w:pPr>
        <w:pStyle w:val="LPnaslovkrepko"/>
        <w:rPr>
          <w:lang w:val="en-GB"/>
        </w:rPr>
      </w:pPr>
      <w:r w:rsidRPr="00CD2EEF">
        <w:rPr>
          <w:lang w:val="en-GB"/>
        </w:rPr>
        <w:t xml:space="preserve">Measures to achieve the objectives: </w:t>
      </w:r>
    </w:p>
    <w:p w14:paraId="796A38B8" w14:textId="17D378B7" w:rsidR="00412AFC" w:rsidRPr="00CD2EEF" w:rsidRDefault="001B146F" w:rsidP="00F435EA">
      <w:pPr>
        <w:pStyle w:val="LPalineje"/>
        <w:rPr>
          <w:lang w:val="en-GB"/>
        </w:rPr>
      </w:pPr>
      <w:r>
        <w:rPr>
          <w:lang w:val="en-GB"/>
        </w:rPr>
        <w:t>The Krško NPP</w:t>
      </w:r>
      <w:r w:rsidR="00412AFC" w:rsidRPr="00CD2EEF">
        <w:rPr>
          <w:lang w:val="en-GB"/>
        </w:rPr>
        <w:t xml:space="preserve"> is to store LILW in the existing storage facility and use already established methods of storage and waste acceptance criteria, modified procedures for optimising the radioactive waste management and procedures for reducing the volume of already generated waste and using space for manipulation equipment and shipments of radioactive cargoes between the auxiliary building and the interim LILW storage facility – permanently until the removal of the LILW from the location. </w:t>
      </w:r>
    </w:p>
    <w:p w14:paraId="7B0EF5C2" w14:textId="4E4CF225" w:rsidR="00412AFC" w:rsidRPr="00CD2EEF" w:rsidRDefault="00412AFC" w:rsidP="00F435EA">
      <w:pPr>
        <w:pStyle w:val="LPalineje"/>
        <w:rPr>
          <w:lang w:val="en-GB"/>
        </w:rPr>
      </w:pPr>
      <w:r w:rsidRPr="00CD2EEF">
        <w:rPr>
          <w:lang w:val="en-GB"/>
        </w:rPr>
        <w:t xml:space="preserve">The construction of a facility for manipulation equipment and radioactive waste shipments between the auxiliary building and the interim LILW storage in </w:t>
      </w:r>
      <w:r w:rsidR="001B146F">
        <w:rPr>
          <w:lang w:val="en-GB"/>
        </w:rPr>
        <w:t>the Krško NPP</w:t>
      </w:r>
      <w:r w:rsidRPr="00CD2EEF">
        <w:rPr>
          <w:lang w:val="en-GB"/>
        </w:rPr>
        <w:t xml:space="preserve"> by 2016.</w:t>
      </w:r>
    </w:p>
    <w:p w14:paraId="07F70AB1" w14:textId="22085D8E" w:rsidR="00412AFC" w:rsidRPr="005D6082" w:rsidRDefault="00F81DB1" w:rsidP="00F435EA">
      <w:pPr>
        <w:pStyle w:val="LPalineje"/>
        <w:rPr>
          <w:lang w:val="en-GB"/>
        </w:rPr>
      </w:pPr>
      <w:r>
        <w:rPr>
          <w:lang w:val="en-GB"/>
        </w:rPr>
        <w:t>W</w:t>
      </w:r>
      <w:r w:rsidR="00412AFC" w:rsidRPr="00CD2EEF">
        <w:rPr>
          <w:lang w:val="en-GB"/>
        </w:rPr>
        <w:t xml:space="preserve">aste conditioning for the disposal of LILW from </w:t>
      </w:r>
      <w:r w:rsidR="001B146F">
        <w:rPr>
          <w:lang w:val="en-GB"/>
        </w:rPr>
        <w:t>the Krško NPP</w:t>
      </w:r>
      <w:r w:rsidR="00412AFC" w:rsidRPr="00CD2EEF">
        <w:rPr>
          <w:lang w:val="en-GB"/>
        </w:rPr>
        <w:t xml:space="preserve"> and LILW from other holders during the operation of the repository (envisaged between 2020 and 2025</w:t>
      </w:r>
      <w:r>
        <w:rPr>
          <w:lang w:val="en-GB"/>
        </w:rPr>
        <w:t>,</w:t>
      </w:r>
      <w:r w:rsidR="00412AFC" w:rsidRPr="00CD2EEF">
        <w:rPr>
          <w:lang w:val="en-GB"/>
        </w:rPr>
        <w:t xml:space="preserve"> or in 2028 in </w:t>
      </w:r>
      <w:r>
        <w:rPr>
          <w:lang w:val="en-GB"/>
        </w:rPr>
        <w:t xml:space="preserve">the </w:t>
      </w:r>
      <w:r w:rsidR="00412AFC" w:rsidRPr="00CD2EEF">
        <w:rPr>
          <w:lang w:val="en-GB"/>
        </w:rPr>
        <w:t xml:space="preserve">case of </w:t>
      </w:r>
      <w:r>
        <w:rPr>
          <w:lang w:val="en-GB"/>
        </w:rPr>
        <w:t xml:space="preserve">the </w:t>
      </w:r>
      <w:r w:rsidR="00412AFC" w:rsidRPr="00CD2EEF">
        <w:rPr>
          <w:lang w:val="en-GB"/>
        </w:rPr>
        <w:t xml:space="preserve">extended scenario for disposal) may also be implemented by </w:t>
      </w:r>
      <w:r w:rsidR="001B146F">
        <w:rPr>
          <w:lang w:val="en-GB"/>
        </w:rPr>
        <w:t>the Krško NPP</w:t>
      </w:r>
      <w:r w:rsidR="00412AFC" w:rsidRPr="00CD2EEF">
        <w:rPr>
          <w:lang w:val="en-GB"/>
        </w:rPr>
        <w:t xml:space="preserve"> on behalf of </w:t>
      </w:r>
      <w:r w:rsidR="00412AFC" w:rsidRPr="00CD2EEF">
        <w:rPr>
          <w:rStyle w:val="LPnavadenZnak"/>
          <w:lang w:val="en-GB"/>
        </w:rPr>
        <w:t xml:space="preserve">the </w:t>
      </w:r>
      <w:r w:rsidR="00412AFC" w:rsidRPr="005D6082">
        <w:rPr>
          <w:rStyle w:val="LPnavadenZnak"/>
          <w:lang w:val="en-GB"/>
        </w:rPr>
        <w:t>Service of General Economic Interest (SGEI)</w:t>
      </w:r>
      <w:r w:rsidR="00412AFC" w:rsidRPr="005D6082">
        <w:rPr>
          <w:lang w:val="en-GB"/>
        </w:rPr>
        <w:t xml:space="preserve"> provider of radioactive waste management.</w:t>
      </w:r>
    </w:p>
    <w:p w14:paraId="2B61DB7A" w14:textId="1D6E051A" w:rsidR="00412AFC" w:rsidRPr="00CD2EEF" w:rsidRDefault="00412AFC" w:rsidP="00F435EA">
      <w:pPr>
        <w:pStyle w:val="LPalineje"/>
        <w:rPr>
          <w:lang w:val="en-GB"/>
        </w:rPr>
      </w:pPr>
      <w:r w:rsidRPr="00CD2EEF">
        <w:rPr>
          <w:lang w:val="en-GB"/>
        </w:rPr>
        <w:t>The operator of the TRIGA Research Reactor is to manage the radioactive materials generated during the operation of the research reactor in accordance with the established procedures for collection, sorting, separation, clearance</w:t>
      </w:r>
      <w:r w:rsidR="00940701">
        <w:rPr>
          <w:lang w:val="en-GB"/>
        </w:rPr>
        <w:t>,</w:t>
      </w:r>
      <w:r w:rsidRPr="00CD2EEF">
        <w:rPr>
          <w:lang w:val="en-GB"/>
        </w:rPr>
        <w:t xml:space="preserve"> and temporary storage in the hot cell facility and the release of waste to the SGEI provider of radioactive waste management for the purpose of storing waste at the CSF and </w:t>
      </w:r>
      <w:r w:rsidRPr="00503B7E">
        <w:rPr>
          <w:lang w:val="en-GB"/>
        </w:rPr>
        <w:t>its final</w:t>
      </w:r>
      <w:r w:rsidR="008B7722" w:rsidRPr="005567E2">
        <w:rPr>
          <w:lang w:val="en-GB"/>
        </w:rPr>
        <w:t xml:space="preserve"> </w:t>
      </w:r>
      <w:r w:rsidR="008B7722" w:rsidRPr="00503B7E">
        <w:rPr>
          <w:lang w:val="en-GB"/>
        </w:rPr>
        <w:t>permanent</w:t>
      </w:r>
      <w:r w:rsidR="008B7722" w:rsidRPr="005567E2">
        <w:rPr>
          <w:lang w:val="en-GB"/>
        </w:rPr>
        <w:t xml:space="preserve"> </w:t>
      </w:r>
      <w:r w:rsidRPr="00503B7E">
        <w:rPr>
          <w:lang w:val="en-GB"/>
        </w:rPr>
        <w:t>disposal</w:t>
      </w:r>
      <w:r w:rsidRPr="00CD2EEF">
        <w:rPr>
          <w:lang w:val="en-GB"/>
        </w:rPr>
        <w:t>.</w:t>
      </w:r>
    </w:p>
    <w:p w14:paraId="642DB37B" w14:textId="77777777" w:rsidR="00412AFC" w:rsidRPr="00CD2EEF" w:rsidRDefault="00412AFC" w:rsidP="00F435EA">
      <w:pPr>
        <w:pStyle w:val="LPnaslovkrepko"/>
        <w:rPr>
          <w:lang w:val="en-GB"/>
        </w:rPr>
      </w:pPr>
      <w:r w:rsidRPr="00CD2EEF">
        <w:rPr>
          <w:lang w:val="en-GB"/>
        </w:rPr>
        <w:t>Realisation in 2021:</w:t>
      </w:r>
    </w:p>
    <w:p w14:paraId="484B5F8F" w14:textId="37A912A3" w:rsidR="00412AFC" w:rsidRPr="00CD2EEF" w:rsidRDefault="00412AFC" w:rsidP="00F435EA">
      <w:pPr>
        <w:pStyle w:val="LPnavaden"/>
        <w:rPr>
          <w:lang w:val="en-GB"/>
        </w:rPr>
      </w:pPr>
      <w:r w:rsidRPr="00CD2EEF">
        <w:rPr>
          <w:lang w:val="en-GB"/>
        </w:rPr>
        <w:t xml:space="preserve">The radioactive waste at </w:t>
      </w:r>
      <w:r w:rsidR="001B146F">
        <w:rPr>
          <w:lang w:val="en-GB"/>
        </w:rPr>
        <w:t>the Krško NPP</w:t>
      </w:r>
      <w:r w:rsidRPr="00CD2EEF">
        <w:rPr>
          <w:lang w:val="en-GB"/>
        </w:rPr>
        <w:t>, the TRIGA Mark II Research Reactor</w:t>
      </w:r>
      <w:r w:rsidRPr="005567E2">
        <w:rPr>
          <w:lang w:val="en-GB"/>
        </w:rPr>
        <w:t xml:space="preserve">, and </w:t>
      </w:r>
      <w:r w:rsidRPr="005567E2">
        <w:rPr>
          <w:rFonts w:eastAsia="Calibri"/>
          <w:lang w:val="en-GB"/>
        </w:rPr>
        <w:t>the CS</w:t>
      </w:r>
      <w:r w:rsidR="005567E2" w:rsidRPr="005567E2">
        <w:rPr>
          <w:rFonts w:eastAsia="Calibri"/>
          <w:lang w:val="en-GB"/>
        </w:rPr>
        <w:t>R</w:t>
      </w:r>
      <w:r w:rsidRPr="005567E2">
        <w:rPr>
          <w:rFonts w:eastAsia="Calibri"/>
          <w:lang w:val="en-GB"/>
        </w:rPr>
        <w:t>W is</w:t>
      </w:r>
      <w:r w:rsidRPr="00CD2EEF">
        <w:rPr>
          <w:rFonts w:eastAsia="Calibri"/>
          <w:lang w:val="en-GB"/>
        </w:rPr>
        <w:t xml:space="preserve"> managed in accordance with the operating licenses and requirements of the safety analysis reports. The concept of the clearance of radioactive materials from regulatory control is applied. In 2018, a Waste Manipulation Building in </w:t>
      </w:r>
      <w:r w:rsidR="00C5169D">
        <w:rPr>
          <w:rFonts w:eastAsia="Calibri"/>
          <w:lang w:val="en-GB"/>
        </w:rPr>
        <w:t>the Krško NPP</w:t>
      </w:r>
      <w:r w:rsidRPr="00CD2EEF">
        <w:rPr>
          <w:rFonts w:eastAsia="Calibri"/>
          <w:lang w:val="en-GB"/>
        </w:rPr>
        <w:t xml:space="preserve"> was constructed and equipped. </w:t>
      </w:r>
      <w:r w:rsidRPr="00CD2EEF">
        <w:rPr>
          <w:lang w:val="en-GB"/>
        </w:rPr>
        <w:t>Preparation for the disposal of LILW is planned later.</w:t>
      </w:r>
    </w:p>
    <w:p w14:paraId="0E9DBDAE" w14:textId="77777777" w:rsidR="00412AFC" w:rsidRPr="00CD2EEF" w:rsidRDefault="00412AFC" w:rsidP="00E01C72">
      <w:pPr>
        <w:pStyle w:val="LPnaslovkrepko"/>
        <w:rPr>
          <w:lang w:val="en-GB"/>
        </w:rPr>
      </w:pPr>
      <w:r w:rsidRPr="00CD2EEF">
        <w:rPr>
          <w:lang w:val="en-GB"/>
        </w:rPr>
        <w:t>Strategy 2</w:t>
      </w:r>
    </w:p>
    <w:p w14:paraId="54826FB0" w14:textId="77777777" w:rsidR="00412AFC" w:rsidRPr="00CD2EEF" w:rsidRDefault="00412AFC" w:rsidP="00E01C72">
      <w:pPr>
        <w:pStyle w:val="LPnavadenposevno"/>
        <w:rPr>
          <w:lang w:val="en-GB"/>
        </w:rPr>
      </w:pPr>
      <w:r w:rsidRPr="00CD2EEF">
        <w:rPr>
          <w:lang w:val="en-GB"/>
        </w:rPr>
        <w:t xml:space="preserve">After radioactive material is no longer in use, its users are to hand it over to the SGEI provider of radioactive waste management, return it to the supplier/manufacturer, or hand it over to another contractor carrying out a radiation </w:t>
      </w:r>
      <w:r w:rsidRPr="00CD2EEF">
        <w:rPr>
          <w:lang w:val="en-GB"/>
        </w:rPr>
        <w:lastRenderedPageBreak/>
        <w:t>practice. The radioactive material can be reprocessed or reused even if it is already stored in the CSF. The use of alternative methods in activities, where this is possible, is encouraged.</w:t>
      </w:r>
    </w:p>
    <w:p w14:paraId="2B03849C" w14:textId="77777777" w:rsidR="00412AFC" w:rsidRPr="00CD2EEF" w:rsidRDefault="00412AFC" w:rsidP="00F435EA">
      <w:pPr>
        <w:pStyle w:val="LPnaslovkrepko"/>
        <w:rPr>
          <w:lang w:val="en-GB"/>
        </w:rPr>
      </w:pPr>
      <w:r w:rsidRPr="00CD2EEF">
        <w:rPr>
          <w:lang w:val="en-GB"/>
        </w:rPr>
        <w:t xml:space="preserve">Measures to achieve the objectives: </w:t>
      </w:r>
    </w:p>
    <w:p w14:paraId="41032E10" w14:textId="20FAD500" w:rsidR="00412AFC" w:rsidRPr="00CD2EEF" w:rsidRDefault="00412AFC" w:rsidP="00F435EA">
      <w:pPr>
        <w:pStyle w:val="LPalineje"/>
        <w:rPr>
          <w:lang w:val="en-GB"/>
        </w:rPr>
      </w:pPr>
      <w:r w:rsidRPr="00CD2EEF">
        <w:rPr>
          <w:lang w:val="en-GB"/>
        </w:rPr>
        <w:t xml:space="preserve">Radiation sources are to be primarily returned to suppliers or manufacturers. Should this not be possible, they are to be </w:t>
      </w:r>
      <w:r w:rsidR="005567E2">
        <w:rPr>
          <w:lang w:val="en-GB"/>
        </w:rPr>
        <w:t>transferred to</w:t>
      </w:r>
      <w:r w:rsidR="003B1BA8" w:rsidRPr="00CD2EEF">
        <w:rPr>
          <w:lang w:val="en-GB"/>
        </w:rPr>
        <w:t xml:space="preserve"> </w:t>
      </w:r>
      <w:r w:rsidRPr="00CD2EEF">
        <w:rPr>
          <w:lang w:val="en-GB"/>
        </w:rPr>
        <w:t>the mandatory SGEI provider of radioactive waste management for appropriate treatment, conditioning</w:t>
      </w:r>
      <w:r w:rsidR="00DE1B6B">
        <w:rPr>
          <w:lang w:val="en-GB"/>
        </w:rPr>
        <w:t>,</w:t>
      </w:r>
      <w:r w:rsidRPr="00CD2EEF">
        <w:rPr>
          <w:lang w:val="en-GB"/>
        </w:rPr>
        <w:t xml:space="preserve"> and storage in the CSF – permanently.</w:t>
      </w:r>
    </w:p>
    <w:p w14:paraId="320AEA0A" w14:textId="77777777" w:rsidR="00412AFC" w:rsidRPr="00CD2EEF" w:rsidRDefault="00412AFC" w:rsidP="00F435EA">
      <w:pPr>
        <w:pStyle w:val="LPalineje"/>
        <w:rPr>
          <w:lang w:val="en-GB"/>
        </w:rPr>
      </w:pPr>
      <w:r w:rsidRPr="00CD2EEF">
        <w:rPr>
          <w:lang w:val="en-GB"/>
        </w:rPr>
        <w:t>The CSF operator is to arrange for a Periodic Safety Review, and the renewal and extension of the operating license of the CSF for another 10 years, before the end of 2018.</w:t>
      </w:r>
    </w:p>
    <w:p w14:paraId="67C14D62" w14:textId="000CD79A" w:rsidR="00412AFC" w:rsidRPr="00CD2EEF" w:rsidRDefault="00412AFC" w:rsidP="00E01C72">
      <w:pPr>
        <w:pStyle w:val="LPalineje"/>
        <w:rPr>
          <w:lang w:val="en-GB"/>
        </w:rPr>
      </w:pPr>
      <w:r w:rsidRPr="00CD2EEF">
        <w:rPr>
          <w:lang w:val="en-GB"/>
        </w:rPr>
        <w:t>The state is to ensure conditions for the regular SGEI provision of radioactive waste management from take over and transport to treatment, storage</w:t>
      </w:r>
      <w:r w:rsidR="00DE1B6B">
        <w:rPr>
          <w:lang w:val="en-GB"/>
        </w:rPr>
        <w:t>,</w:t>
      </w:r>
      <w:r w:rsidRPr="00CD2EEF">
        <w:rPr>
          <w:lang w:val="en-GB"/>
        </w:rPr>
        <w:t xml:space="preserve"> and disposal – permanently.</w:t>
      </w:r>
    </w:p>
    <w:p w14:paraId="7DC29AF0" w14:textId="52DCFA83" w:rsidR="00412AFC" w:rsidRPr="00CD2EEF" w:rsidRDefault="00412AFC" w:rsidP="00E01C72">
      <w:pPr>
        <w:pStyle w:val="LPnaslovkrepko"/>
        <w:rPr>
          <w:lang w:val="en-GB"/>
        </w:rPr>
      </w:pPr>
      <w:r w:rsidRPr="00CD2EEF">
        <w:rPr>
          <w:lang w:val="en-GB"/>
        </w:rPr>
        <w:t>Strategy 3</w:t>
      </w:r>
    </w:p>
    <w:p w14:paraId="2DBEF06F" w14:textId="50553FEE" w:rsidR="00412AFC" w:rsidRPr="00CD2EEF" w:rsidRDefault="00EB3F30" w:rsidP="00E01C72">
      <w:pPr>
        <w:pStyle w:val="LPnavadenposevno"/>
        <w:rPr>
          <w:lang w:val="en-GB"/>
        </w:rPr>
      </w:pPr>
      <w:r>
        <w:rPr>
          <w:lang w:val="en-GB"/>
        </w:rPr>
        <w:t>U</w:t>
      </w:r>
      <w:r w:rsidR="00412AFC" w:rsidRPr="00CD2EEF">
        <w:rPr>
          <w:lang w:val="en-GB"/>
        </w:rPr>
        <w:t xml:space="preserve">sers of sealed radiation sources will, as a rule, return used devices containing sealed radiation sources to the supplier/manufacturer. Failing that, sealed radiation sources are to be delivered to the SGEI provider of radioactive waste management and stored in the CSF. The clearance of radioactive material from regulatory control is recommended in accordance with the prescribed criteria in order to avoid the generation of excessive amounts of radioactive waste. Transitional liquid radioactive waste is to be managed according to the </w:t>
      </w:r>
      <w:r w:rsidR="00263D93">
        <w:rPr>
          <w:lang w:val="en-GB"/>
        </w:rPr>
        <w:t>“</w:t>
      </w:r>
      <w:r w:rsidR="00412AFC" w:rsidRPr="00CD2EEF">
        <w:rPr>
          <w:lang w:val="en-GB"/>
        </w:rPr>
        <w:t>dilute and disperse</w:t>
      </w:r>
      <w:r w:rsidR="00263D93">
        <w:rPr>
          <w:lang w:val="en-GB"/>
        </w:rPr>
        <w:t>”</w:t>
      </w:r>
      <w:r w:rsidR="00412AFC" w:rsidRPr="00CD2EEF">
        <w:rPr>
          <w:lang w:val="en-GB"/>
        </w:rPr>
        <w:t xml:space="preserve"> principle: the waste is diluted with water and dispersed into the sewerage system in accordance with the prescribed limit values for release into the environment.</w:t>
      </w:r>
    </w:p>
    <w:p w14:paraId="111AA6EC" w14:textId="77777777" w:rsidR="00412AFC" w:rsidRPr="00CD2EEF" w:rsidRDefault="00412AFC" w:rsidP="00F435EA">
      <w:pPr>
        <w:pStyle w:val="LPnaslovkrepko"/>
        <w:rPr>
          <w:lang w:val="en-GB"/>
        </w:rPr>
      </w:pPr>
      <w:r w:rsidRPr="00CD2EEF">
        <w:rPr>
          <w:lang w:val="en-GB"/>
        </w:rPr>
        <w:t>Measures to achieve the objectives:</w:t>
      </w:r>
    </w:p>
    <w:p w14:paraId="468261FB" w14:textId="77777777" w:rsidR="00412AFC" w:rsidRPr="00CD2EEF" w:rsidRDefault="00412AFC" w:rsidP="00F435EA">
      <w:pPr>
        <w:pStyle w:val="LPalineje"/>
        <w:rPr>
          <w:lang w:val="en-GB"/>
        </w:rPr>
      </w:pPr>
      <w:r w:rsidRPr="00CD2EEF">
        <w:rPr>
          <w:lang w:val="en-GB"/>
        </w:rPr>
        <w:t>Sealed radiation sources are to be returned primarily to suppliers or manufacturers. Failing that, they are to be delivered to the SGEI provider of radioactive waste management for storage in the CSF – permanently.</w:t>
      </w:r>
    </w:p>
    <w:p w14:paraId="12F5C782" w14:textId="71827E4D" w:rsidR="00412AFC" w:rsidRPr="00CD2EEF" w:rsidRDefault="00412AFC" w:rsidP="00F435EA">
      <w:pPr>
        <w:pStyle w:val="LPalineje"/>
        <w:rPr>
          <w:lang w:val="en-GB"/>
        </w:rPr>
      </w:pPr>
      <w:r w:rsidRPr="00CD2EEF">
        <w:rPr>
          <w:lang w:val="en-GB"/>
        </w:rPr>
        <w:t>Solid radioactive waste is to be stored primarily in storage rooms until reaching unconditional or conditional clearance levels. Failing that, it is to be handed over to the SGEI provider of radioactive waste management for storage in the CSF – permanently.</w:t>
      </w:r>
    </w:p>
    <w:p w14:paraId="79F37A39" w14:textId="77777777" w:rsidR="00412AFC" w:rsidRPr="00CD2EEF" w:rsidRDefault="00412AFC" w:rsidP="00F435EA">
      <w:pPr>
        <w:pStyle w:val="LPalineje"/>
        <w:rPr>
          <w:lang w:val="en-GB"/>
        </w:rPr>
      </w:pPr>
      <w:r w:rsidRPr="00CD2EEF">
        <w:rPr>
          <w:lang w:val="en-GB"/>
        </w:rPr>
        <w:t>The dilution and dispersion of transitional liquid radioactive waste and discharges of radioactive effluent into the sewerage system are to be in accordance with the authorised limits for release into the environment – permanently.</w:t>
      </w:r>
    </w:p>
    <w:p w14:paraId="0CA4DF29" w14:textId="77777777" w:rsidR="00412AFC" w:rsidRPr="00CD2EEF" w:rsidRDefault="00412AFC" w:rsidP="00370325">
      <w:pPr>
        <w:pStyle w:val="LPnaslovkrepko"/>
        <w:rPr>
          <w:lang w:val="en-GB"/>
        </w:rPr>
      </w:pPr>
      <w:r w:rsidRPr="00CD2EEF">
        <w:rPr>
          <w:lang w:val="en-GB"/>
        </w:rPr>
        <w:t>Strategy 4</w:t>
      </w:r>
    </w:p>
    <w:p w14:paraId="2C11E483" w14:textId="6CA34FBB" w:rsidR="00412AFC" w:rsidRPr="00CD2EEF" w:rsidRDefault="00412AFC" w:rsidP="00370325">
      <w:pPr>
        <w:pStyle w:val="LPnavadenposevno"/>
        <w:rPr>
          <w:lang w:val="en-GB"/>
        </w:rPr>
      </w:pPr>
      <w:r w:rsidRPr="00CD2EEF">
        <w:rPr>
          <w:lang w:val="en-GB"/>
        </w:rPr>
        <w:t xml:space="preserve">This strategy concerns the construction of the LILW repository, the disposal of the current LILW inventory in the repository as soon as possible, and the temporary closure of the repository. After </w:t>
      </w:r>
      <w:r w:rsidR="001B146F">
        <w:rPr>
          <w:lang w:val="en-GB"/>
        </w:rPr>
        <w:t>the Krško NPP</w:t>
      </w:r>
      <w:r w:rsidRPr="00CD2EEF">
        <w:rPr>
          <w:lang w:val="en-GB"/>
        </w:rPr>
        <w:t xml:space="preserve"> has ceased to operate, the repository is to be re-opened and, after all LILW has been disposed of, again closed. The conditioning of all LILW for disposal is to be carried out in </w:t>
      </w:r>
      <w:r w:rsidR="001B146F">
        <w:rPr>
          <w:lang w:val="en-GB"/>
        </w:rPr>
        <w:t>the Krško NPP</w:t>
      </w:r>
      <w:r w:rsidRPr="00CD2EEF">
        <w:rPr>
          <w:lang w:val="en-GB"/>
        </w:rPr>
        <w:t>.</w:t>
      </w:r>
    </w:p>
    <w:p w14:paraId="45784D68" w14:textId="77777777" w:rsidR="00412AFC" w:rsidRPr="00CD2EEF" w:rsidRDefault="00412AFC" w:rsidP="00370325">
      <w:pPr>
        <w:pStyle w:val="LPnaslovkrepko"/>
        <w:rPr>
          <w:lang w:val="en-GB"/>
        </w:rPr>
      </w:pPr>
      <w:r w:rsidRPr="00CD2EEF">
        <w:rPr>
          <w:lang w:val="en-GB"/>
        </w:rPr>
        <w:t xml:space="preserve">Measures to achieve the objectives: </w:t>
      </w:r>
    </w:p>
    <w:p w14:paraId="333E6420" w14:textId="2F3BCBC4" w:rsidR="00412AFC" w:rsidRPr="00CD2EEF" w:rsidRDefault="00412AFC" w:rsidP="00370325">
      <w:pPr>
        <w:pStyle w:val="LPalineje"/>
        <w:rPr>
          <w:lang w:val="en-GB"/>
        </w:rPr>
      </w:pPr>
      <w:r w:rsidRPr="00CD2EEF">
        <w:rPr>
          <w:lang w:val="en-GB"/>
        </w:rPr>
        <w:t xml:space="preserve">The Government is to ensure the conditions for </w:t>
      </w:r>
      <w:r w:rsidR="00C90EFF">
        <w:rPr>
          <w:lang w:val="en-GB"/>
        </w:rPr>
        <w:t xml:space="preserve">the </w:t>
      </w:r>
      <w:r w:rsidRPr="00CD2EEF">
        <w:rPr>
          <w:lang w:val="en-GB"/>
        </w:rPr>
        <w:t xml:space="preserve">regular operation of the intergovernmental commission as a body for monitoring the implementation of </w:t>
      </w:r>
      <w:r w:rsidR="00C90EFF">
        <w:rPr>
          <w:lang w:val="en-GB"/>
        </w:rPr>
        <w:t>t</w:t>
      </w:r>
      <w:r w:rsidRPr="00CD2EEF">
        <w:rPr>
          <w:lang w:val="en-GB"/>
        </w:rPr>
        <w:t xml:space="preserve">he Bilateral Slovenian-Croatian Agreement on </w:t>
      </w:r>
      <w:r w:rsidR="001B146F">
        <w:rPr>
          <w:lang w:val="en-GB"/>
        </w:rPr>
        <w:t>the Krško NPP</w:t>
      </w:r>
      <w:r w:rsidRPr="00CD2EEF">
        <w:rPr>
          <w:lang w:val="en-GB"/>
        </w:rPr>
        <w:t xml:space="preserve"> with a view to seeking safe, effective, and economical joint solutions – permanently.</w:t>
      </w:r>
    </w:p>
    <w:p w14:paraId="7B93F531" w14:textId="2404DBB9" w:rsidR="00412AFC" w:rsidRPr="00CD2EEF" w:rsidRDefault="00412AFC" w:rsidP="00370325">
      <w:pPr>
        <w:pStyle w:val="LPalineje"/>
        <w:rPr>
          <w:lang w:val="en-GB"/>
        </w:rPr>
      </w:pPr>
      <w:r w:rsidRPr="00CD2EEF">
        <w:rPr>
          <w:lang w:val="en-GB"/>
        </w:rPr>
        <w:t xml:space="preserve">LILW acceptance criteria are to be </w:t>
      </w:r>
      <w:r w:rsidR="00C90EFF">
        <w:rPr>
          <w:lang w:val="en-GB"/>
        </w:rPr>
        <w:t>determined</w:t>
      </w:r>
      <w:r w:rsidRPr="00CD2EEF">
        <w:rPr>
          <w:lang w:val="en-GB"/>
        </w:rPr>
        <w:t xml:space="preserve"> by 2017.</w:t>
      </w:r>
    </w:p>
    <w:p w14:paraId="76324345" w14:textId="77777777" w:rsidR="00412AFC" w:rsidRPr="00CD2EEF" w:rsidRDefault="00412AFC" w:rsidP="00370325">
      <w:pPr>
        <w:pStyle w:val="LPalineje"/>
        <w:rPr>
          <w:lang w:val="en-GB"/>
        </w:rPr>
      </w:pPr>
      <w:r w:rsidRPr="00CD2EEF">
        <w:rPr>
          <w:lang w:val="en-GB"/>
        </w:rPr>
        <w:t>A building permit for the repository shall be obtained by the end of 2017.</w:t>
      </w:r>
    </w:p>
    <w:p w14:paraId="014BB29E" w14:textId="1FD59CBC" w:rsidR="00412AFC" w:rsidRPr="00CD2EEF" w:rsidRDefault="00412AFC" w:rsidP="00370325">
      <w:pPr>
        <w:pStyle w:val="LPalineje"/>
        <w:rPr>
          <w:lang w:val="en-GB"/>
        </w:rPr>
      </w:pPr>
      <w:r w:rsidRPr="00CD2EEF">
        <w:rPr>
          <w:lang w:val="en-GB"/>
        </w:rPr>
        <w:lastRenderedPageBreak/>
        <w:t>The revision of the investment programme for the construction and operation of the LILW repository, in which it will be necessary to re-examine the volume of radioactive waste to be disposed</w:t>
      </w:r>
      <w:r w:rsidR="00DC6066">
        <w:rPr>
          <w:lang w:val="en-GB"/>
        </w:rPr>
        <w:t xml:space="preserve"> of</w:t>
      </w:r>
      <w:r w:rsidRPr="00CD2EEF">
        <w:rPr>
          <w:lang w:val="en-GB"/>
        </w:rPr>
        <w:t xml:space="preserve"> and the relationship between the various funders. A building permit shall be obtained by the end of 2017.</w:t>
      </w:r>
    </w:p>
    <w:p w14:paraId="50101750" w14:textId="77777777" w:rsidR="00412AFC" w:rsidRPr="005567E2" w:rsidRDefault="00412AFC" w:rsidP="00370325">
      <w:pPr>
        <w:pStyle w:val="LPalineje"/>
        <w:rPr>
          <w:lang w:val="en-GB"/>
        </w:rPr>
      </w:pPr>
      <w:r w:rsidRPr="005567E2">
        <w:rPr>
          <w:lang w:val="en-GB"/>
        </w:rPr>
        <w:t xml:space="preserve">The repository is to be constructed between 2017 and 2019. </w:t>
      </w:r>
    </w:p>
    <w:p w14:paraId="145B2F95" w14:textId="77777777" w:rsidR="00412AFC" w:rsidRPr="00CD2EEF" w:rsidRDefault="00412AFC" w:rsidP="00370325">
      <w:pPr>
        <w:pStyle w:val="LPalineje"/>
        <w:rPr>
          <w:lang w:val="en-GB"/>
        </w:rPr>
      </w:pPr>
      <w:r w:rsidRPr="00CD2EEF">
        <w:rPr>
          <w:lang w:val="en-GB"/>
        </w:rPr>
        <w:t>Trial operation of the repository in 2020 and 2021.</w:t>
      </w:r>
    </w:p>
    <w:p w14:paraId="093D2C11" w14:textId="696E008D" w:rsidR="00412AFC" w:rsidRPr="00CD2EEF" w:rsidRDefault="00412AFC" w:rsidP="00370325">
      <w:pPr>
        <w:pStyle w:val="LPalineje"/>
        <w:rPr>
          <w:lang w:val="en-GB"/>
        </w:rPr>
      </w:pPr>
      <w:r w:rsidRPr="00CD2EEF">
        <w:rPr>
          <w:lang w:val="en-GB"/>
        </w:rPr>
        <w:t xml:space="preserve">The storage of radioactive waste from small producers at the LILW repository site, provided that the feasibility study </w:t>
      </w:r>
      <w:r w:rsidR="001A7AD5">
        <w:rPr>
          <w:lang w:val="en-GB"/>
        </w:rPr>
        <w:t>regarding the</w:t>
      </w:r>
      <w:r w:rsidR="001A7AD5" w:rsidRPr="00CD2EEF">
        <w:rPr>
          <w:lang w:val="en-GB"/>
        </w:rPr>
        <w:t xml:space="preserve"> </w:t>
      </w:r>
      <w:r w:rsidRPr="00CD2EEF">
        <w:rPr>
          <w:lang w:val="en-GB"/>
        </w:rPr>
        <w:t>further operation of the CSF in 2024 shows that this is the most appropriate solution – with the disposal of waste to commence in 2025.</w:t>
      </w:r>
    </w:p>
    <w:p w14:paraId="0AD03FDA" w14:textId="77777777" w:rsidR="00412AFC" w:rsidRPr="00CD2EEF" w:rsidRDefault="00412AFC" w:rsidP="00370325">
      <w:pPr>
        <w:pStyle w:val="LP-navadenpodcrtan"/>
        <w:rPr>
          <w:lang w:val="en-GB"/>
        </w:rPr>
      </w:pPr>
      <w:r w:rsidRPr="00CD2EEF">
        <w:rPr>
          <w:lang w:val="en-GB"/>
        </w:rPr>
        <w:t>BASELINE SCENARIO (without an agreement with the Republic of Croatia)</w:t>
      </w:r>
    </w:p>
    <w:p w14:paraId="722E4018" w14:textId="02713F2C" w:rsidR="00412AFC" w:rsidRPr="00CD2EEF" w:rsidRDefault="00412AFC" w:rsidP="00370325">
      <w:pPr>
        <w:pStyle w:val="LPalineje"/>
        <w:rPr>
          <w:lang w:val="en-GB"/>
        </w:rPr>
      </w:pPr>
      <w:r w:rsidRPr="00CD2EEF">
        <w:rPr>
          <w:lang w:val="en-GB"/>
        </w:rPr>
        <w:t xml:space="preserve">Regular operation of the repository in the period between 2022 and 2025, during which the repository is to accommodate half of all LILW from </w:t>
      </w:r>
      <w:r w:rsidR="001B146F">
        <w:rPr>
          <w:lang w:val="en-GB"/>
        </w:rPr>
        <w:t>the Krško NPP</w:t>
      </w:r>
      <w:r w:rsidRPr="00CD2EEF">
        <w:rPr>
          <w:lang w:val="en-GB"/>
        </w:rPr>
        <w:t xml:space="preserve"> and the waste from the CSF.</w:t>
      </w:r>
    </w:p>
    <w:p w14:paraId="735DD7DF" w14:textId="1EEB8DF1" w:rsidR="00412AFC" w:rsidRPr="00CD2EEF" w:rsidRDefault="00412AFC" w:rsidP="00370325">
      <w:pPr>
        <w:pStyle w:val="LPalineje"/>
        <w:rPr>
          <w:lang w:val="en-GB"/>
        </w:rPr>
      </w:pPr>
      <w:r w:rsidRPr="00CD2EEF">
        <w:rPr>
          <w:lang w:val="en-GB"/>
        </w:rPr>
        <w:t>T</w:t>
      </w:r>
      <w:r w:rsidR="00DC53D8">
        <w:rPr>
          <w:lang w:val="en-GB"/>
        </w:rPr>
        <w:t>he t</w:t>
      </w:r>
      <w:r w:rsidRPr="00CD2EEF">
        <w:rPr>
          <w:lang w:val="en-GB"/>
        </w:rPr>
        <w:t xml:space="preserve">emporary standby period of the repository until 2050, during which </w:t>
      </w:r>
      <w:r w:rsidR="00DC53D8">
        <w:rPr>
          <w:lang w:val="en-GB"/>
        </w:rPr>
        <w:t xml:space="preserve">the </w:t>
      </w:r>
      <w:r w:rsidRPr="00CD2EEF">
        <w:rPr>
          <w:lang w:val="en-GB"/>
        </w:rPr>
        <w:t xml:space="preserve">operational storage of LILW in </w:t>
      </w:r>
      <w:r w:rsidR="001B146F">
        <w:rPr>
          <w:lang w:val="en-GB"/>
        </w:rPr>
        <w:t>the Krško NPP</w:t>
      </w:r>
      <w:r w:rsidRPr="00CD2EEF">
        <w:rPr>
          <w:lang w:val="en-GB"/>
        </w:rPr>
        <w:t xml:space="preserve"> and the CSF, or at the LILW repository site, will be carried out appropriately and when required (in accordance with the results of the eligibility study concerning the further operation of the CSF under </w:t>
      </w:r>
      <w:hyperlink w:anchor="strat8" w:history="1">
        <w:r w:rsidRPr="00CD2EEF">
          <w:rPr>
            <w:rStyle w:val="Hiperpovezava"/>
            <w:lang w:val="en-GB"/>
          </w:rPr>
          <w:t>Strategy 8</w:t>
        </w:r>
      </w:hyperlink>
      <w:r w:rsidRPr="00CD2EEF">
        <w:rPr>
          <w:lang w:val="en-GB"/>
        </w:rPr>
        <w:t>).</w:t>
      </w:r>
    </w:p>
    <w:p w14:paraId="722F694A" w14:textId="4DB10EAC" w:rsidR="00412AFC" w:rsidRPr="00CD2EEF" w:rsidRDefault="00412AFC" w:rsidP="00370325">
      <w:pPr>
        <w:pStyle w:val="LPalineje"/>
        <w:rPr>
          <w:lang w:val="en-GB"/>
        </w:rPr>
      </w:pPr>
      <w:r w:rsidRPr="00CD2EEF">
        <w:rPr>
          <w:lang w:val="en-GB"/>
        </w:rPr>
        <w:t>In 2050, the repository restart of operation</w:t>
      </w:r>
      <w:r w:rsidR="00002DBD">
        <w:rPr>
          <w:lang w:val="en-GB"/>
        </w:rPr>
        <w:t>s</w:t>
      </w:r>
      <w:r w:rsidRPr="00CD2EEF">
        <w:rPr>
          <w:lang w:val="en-GB"/>
        </w:rPr>
        <w:t xml:space="preserve"> is planned to accommodate the remaining radioactive waste from the NPP, </w:t>
      </w:r>
      <w:r w:rsidR="00002DBD">
        <w:rPr>
          <w:lang w:val="en-GB"/>
        </w:rPr>
        <w:t xml:space="preserve">the </w:t>
      </w:r>
      <w:r w:rsidRPr="00CD2EEF">
        <w:rPr>
          <w:lang w:val="en-GB"/>
        </w:rPr>
        <w:t>CSF</w:t>
      </w:r>
      <w:r w:rsidR="00002DBD">
        <w:rPr>
          <w:lang w:val="en-GB"/>
        </w:rPr>
        <w:t>,</w:t>
      </w:r>
      <w:r w:rsidRPr="00CD2EEF">
        <w:rPr>
          <w:lang w:val="en-GB"/>
        </w:rPr>
        <w:t xml:space="preserve"> and from the decommissioning of the TRIGA Research Reactor.</w:t>
      </w:r>
    </w:p>
    <w:p w14:paraId="1FE72FA6" w14:textId="77777777" w:rsidR="00412AFC" w:rsidRPr="00CD2EEF" w:rsidRDefault="00412AFC" w:rsidP="00370325">
      <w:pPr>
        <w:pStyle w:val="LPalineje"/>
        <w:rPr>
          <w:lang w:val="en-GB"/>
        </w:rPr>
      </w:pPr>
      <w:r w:rsidRPr="00CD2EEF">
        <w:rPr>
          <w:lang w:val="en-GB"/>
        </w:rPr>
        <w:t>The repository is to operate until 2061.</w:t>
      </w:r>
    </w:p>
    <w:p w14:paraId="031BBF36" w14:textId="77777777" w:rsidR="00412AFC" w:rsidRPr="00CD2EEF" w:rsidRDefault="00412AFC" w:rsidP="00370325">
      <w:pPr>
        <w:pStyle w:val="LPalineje"/>
        <w:rPr>
          <w:lang w:val="en-GB"/>
        </w:rPr>
      </w:pPr>
      <w:r w:rsidRPr="00CD2EEF">
        <w:rPr>
          <w:lang w:val="en-GB"/>
        </w:rPr>
        <w:t>According to the analysis results of the need for further disposal, the operation of the repository is to continue after 2061, otherwise the repository will be closed down in 2062, and long-term monitoring and maintenance will begin.</w:t>
      </w:r>
    </w:p>
    <w:p w14:paraId="5A832E2B" w14:textId="77777777" w:rsidR="00412AFC" w:rsidRPr="00CD2EEF" w:rsidRDefault="00412AFC" w:rsidP="00370325">
      <w:pPr>
        <w:pStyle w:val="LP-navadenpodcrtan"/>
        <w:rPr>
          <w:lang w:val="en-GB"/>
        </w:rPr>
      </w:pPr>
      <w:r w:rsidRPr="00CD2EEF">
        <w:rPr>
          <w:lang w:val="en-GB"/>
        </w:rPr>
        <w:t>EXTENDED SCENARIO (with an agreement with the Republic of Croatia by 2023)</w:t>
      </w:r>
    </w:p>
    <w:p w14:paraId="758F0043" w14:textId="503A784A" w:rsidR="00412AFC" w:rsidRPr="00CD2EEF" w:rsidRDefault="00412AFC" w:rsidP="00370325">
      <w:pPr>
        <w:pStyle w:val="LPalineje"/>
        <w:rPr>
          <w:lang w:val="en-GB"/>
        </w:rPr>
      </w:pPr>
      <w:r w:rsidRPr="00CD2EEF">
        <w:rPr>
          <w:lang w:val="en-GB"/>
        </w:rPr>
        <w:t>T</w:t>
      </w:r>
      <w:r w:rsidR="00471458">
        <w:rPr>
          <w:lang w:val="en-GB"/>
        </w:rPr>
        <w:t>he t</w:t>
      </w:r>
      <w:r w:rsidRPr="00CD2EEF">
        <w:rPr>
          <w:lang w:val="en-GB"/>
        </w:rPr>
        <w:t xml:space="preserve">emporary standby period of the repository until 2050 – radioactive waste generated from the operation of </w:t>
      </w:r>
      <w:r w:rsidR="001B146F">
        <w:rPr>
          <w:lang w:val="en-GB"/>
        </w:rPr>
        <w:t>the Krško NPP</w:t>
      </w:r>
      <w:r w:rsidRPr="00CD2EEF">
        <w:rPr>
          <w:lang w:val="en-GB"/>
        </w:rPr>
        <w:t xml:space="preserve"> is to be stored in </w:t>
      </w:r>
      <w:r w:rsidR="001B146F">
        <w:rPr>
          <w:lang w:val="en-GB"/>
        </w:rPr>
        <w:t>the Krško NPP</w:t>
      </w:r>
      <w:r w:rsidRPr="00CD2EEF">
        <w:rPr>
          <w:lang w:val="en-GB"/>
        </w:rPr>
        <w:t>.</w:t>
      </w:r>
    </w:p>
    <w:p w14:paraId="0A09F69D" w14:textId="6E2595AF" w:rsidR="00412AFC" w:rsidRPr="00CD2EEF" w:rsidRDefault="00412AFC" w:rsidP="00370325">
      <w:pPr>
        <w:pStyle w:val="LPalineje"/>
        <w:rPr>
          <w:lang w:val="en-GB"/>
        </w:rPr>
      </w:pPr>
      <w:r w:rsidRPr="00CD2EEF">
        <w:rPr>
          <w:lang w:val="en-GB"/>
        </w:rPr>
        <w:t xml:space="preserve">The construction of </w:t>
      </w:r>
      <w:r w:rsidR="00203429">
        <w:rPr>
          <w:lang w:val="en-GB"/>
        </w:rPr>
        <w:t>a</w:t>
      </w:r>
      <w:r w:rsidR="00203429" w:rsidRPr="00CD2EEF">
        <w:rPr>
          <w:lang w:val="en-GB"/>
        </w:rPr>
        <w:t xml:space="preserve"> </w:t>
      </w:r>
      <w:r w:rsidRPr="00CD2EEF">
        <w:rPr>
          <w:lang w:val="en-GB"/>
        </w:rPr>
        <w:t xml:space="preserve">second silo in the period between 2049 and 2050. </w:t>
      </w:r>
    </w:p>
    <w:p w14:paraId="3B46AAA5" w14:textId="3EFBDBBD" w:rsidR="00412AFC" w:rsidRPr="00CD2EEF" w:rsidRDefault="00412AFC" w:rsidP="00370325">
      <w:pPr>
        <w:pStyle w:val="LPalineje"/>
        <w:rPr>
          <w:lang w:val="en-GB"/>
        </w:rPr>
      </w:pPr>
      <w:r w:rsidRPr="00CD2EEF">
        <w:rPr>
          <w:lang w:val="en-GB"/>
        </w:rPr>
        <w:t xml:space="preserve">The restart of </w:t>
      </w:r>
      <w:r w:rsidR="00203429">
        <w:rPr>
          <w:lang w:val="en-GB"/>
        </w:rPr>
        <w:t xml:space="preserve">the </w:t>
      </w:r>
      <w:r w:rsidRPr="00CD2EEF">
        <w:rPr>
          <w:lang w:val="en-GB"/>
        </w:rPr>
        <w:t>operation</w:t>
      </w:r>
      <w:r w:rsidR="00EA12FE">
        <w:rPr>
          <w:lang w:val="en-GB"/>
        </w:rPr>
        <w:t>s</w:t>
      </w:r>
      <w:r w:rsidRPr="00CD2EEF">
        <w:rPr>
          <w:lang w:val="en-GB"/>
        </w:rPr>
        <w:t xml:space="preserve"> of the repository in the period between 2051 and 2061,</w:t>
      </w:r>
      <w:r w:rsidR="008A1E6B">
        <w:rPr>
          <w:lang w:val="en-GB"/>
        </w:rPr>
        <w:t xml:space="preserve"> </w:t>
      </w:r>
      <w:r w:rsidRPr="00CD2EEF">
        <w:rPr>
          <w:lang w:val="en-GB"/>
        </w:rPr>
        <w:t>during</w:t>
      </w:r>
      <w:r w:rsidR="008A1E6B">
        <w:rPr>
          <w:lang w:val="en-GB"/>
        </w:rPr>
        <w:t xml:space="preserve"> </w:t>
      </w:r>
      <w:r w:rsidRPr="00CD2EEF">
        <w:rPr>
          <w:lang w:val="en-GB"/>
        </w:rPr>
        <w:t>which</w:t>
      </w:r>
      <w:r w:rsidR="008A1E6B">
        <w:rPr>
          <w:lang w:val="en-GB"/>
        </w:rPr>
        <w:t xml:space="preserve"> </w:t>
      </w:r>
      <w:r w:rsidRPr="00CD2EEF">
        <w:rPr>
          <w:lang w:val="en-GB"/>
        </w:rPr>
        <w:t>the</w:t>
      </w:r>
      <w:r w:rsidR="008A1E6B">
        <w:rPr>
          <w:lang w:val="en-GB"/>
        </w:rPr>
        <w:t xml:space="preserve"> </w:t>
      </w:r>
      <w:r w:rsidRPr="00CD2EEF">
        <w:rPr>
          <w:lang w:val="en-GB"/>
        </w:rPr>
        <w:t>second</w:t>
      </w:r>
      <w:r w:rsidR="008A1E6B">
        <w:rPr>
          <w:lang w:val="en-GB"/>
        </w:rPr>
        <w:t xml:space="preserve"> </w:t>
      </w:r>
      <w:r w:rsidRPr="00CD2EEF">
        <w:rPr>
          <w:lang w:val="en-GB"/>
        </w:rPr>
        <w:t>half</w:t>
      </w:r>
      <w:r w:rsidR="008A1E6B">
        <w:rPr>
          <w:lang w:val="en-GB"/>
        </w:rPr>
        <w:t xml:space="preserve"> </w:t>
      </w:r>
      <w:r w:rsidRPr="00CD2EEF">
        <w:rPr>
          <w:lang w:val="en-GB"/>
        </w:rPr>
        <w:t>of</w:t>
      </w:r>
      <w:r w:rsidR="008A1E6B">
        <w:rPr>
          <w:lang w:val="en-GB"/>
        </w:rPr>
        <w:t xml:space="preserve"> </w:t>
      </w:r>
      <w:r w:rsidRPr="00CD2EEF">
        <w:rPr>
          <w:lang w:val="en-GB"/>
        </w:rPr>
        <w:t>the</w:t>
      </w:r>
      <w:r w:rsidR="008A1E6B">
        <w:rPr>
          <w:lang w:val="en-GB"/>
        </w:rPr>
        <w:t xml:space="preserve"> </w:t>
      </w:r>
      <w:r w:rsidRPr="00CD2EEF">
        <w:rPr>
          <w:lang w:val="en-GB"/>
        </w:rPr>
        <w:t>radioactive</w:t>
      </w:r>
      <w:r w:rsidR="008A1E6B">
        <w:rPr>
          <w:lang w:val="en-GB"/>
        </w:rPr>
        <w:t xml:space="preserve"> </w:t>
      </w:r>
      <w:r w:rsidRPr="00CD2EEF">
        <w:rPr>
          <w:lang w:val="en-GB"/>
        </w:rPr>
        <w:t>waste</w:t>
      </w:r>
      <w:r w:rsidR="008A1E6B">
        <w:rPr>
          <w:lang w:val="en-GB"/>
        </w:rPr>
        <w:t xml:space="preserve"> </w:t>
      </w:r>
      <w:r w:rsidRPr="00CD2EEF">
        <w:rPr>
          <w:lang w:val="en-GB"/>
        </w:rPr>
        <w:t>from</w:t>
      </w:r>
      <w:r w:rsidR="008A1E6B">
        <w:rPr>
          <w:lang w:val="en-GB"/>
        </w:rPr>
        <w:t xml:space="preserve"> </w:t>
      </w:r>
      <w:r w:rsidRPr="00CD2EEF">
        <w:rPr>
          <w:lang w:val="en-GB"/>
        </w:rPr>
        <w:t>the</w:t>
      </w:r>
      <w:r w:rsidR="008A1E6B">
        <w:rPr>
          <w:lang w:val="en-GB"/>
        </w:rPr>
        <w:t xml:space="preserve"> </w:t>
      </w:r>
      <w:r w:rsidRPr="00CD2EEF">
        <w:rPr>
          <w:lang w:val="en-GB"/>
        </w:rPr>
        <w:t>operation</w:t>
      </w:r>
      <w:r w:rsidR="008A1E6B">
        <w:rPr>
          <w:lang w:val="en-GB"/>
        </w:rPr>
        <w:t xml:space="preserve"> </w:t>
      </w:r>
      <w:r w:rsidRPr="00CD2EEF">
        <w:rPr>
          <w:lang w:val="en-GB"/>
        </w:rPr>
        <w:t xml:space="preserve">and decommissioning of </w:t>
      </w:r>
      <w:r w:rsidR="001B146F">
        <w:rPr>
          <w:lang w:val="en-GB"/>
        </w:rPr>
        <w:t>the Krško NPP</w:t>
      </w:r>
      <w:r w:rsidRPr="00CD2EEF">
        <w:rPr>
          <w:lang w:val="en-GB"/>
        </w:rPr>
        <w:t xml:space="preserve"> is to be disposed of, as well as the radioactive waste from small producers and the radioactive waste from the decommissioning of the TRIGA Research Reactor.</w:t>
      </w:r>
    </w:p>
    <w:p w14:paraId="210D4BF8" w14:textId="5F29C430" w:rsidR="00412AFC" w:rsidRPr="00CD2EEF" w:rsidRDefault="00412AFC" w:rsidP="00370325">
      <w:pPr>
        <w:pStyle w:val="LPalineje"/>
        <w:rPr>
          <w:lang w:val="en-GB"/>
        </w:rPr>
      </w:pPr>
      <w:r w:rsidRPr="00CD2EEF">
        <w:rPr>
          <w:lang w:val="en-GB"/>
        </w:rPr>
        <w:t xml:space="preserve">According to the analysis results </w:t>
      </w:r>
      <w:r w:rsidR="000D0AE8">
        <w:rPr>
          <w:lang w:val="en-GB"/>
        </w:rPr>
        <w:t>regarding</w:t>
      </w:r>
      <w:r w:rsidR="000D0AE8" w:rsidRPr="00CD2EEF">
        <w:rPr>
          <w:lang w:val="en-GB"/>
        </w:rPr>
        <w:t xml:space="preserve"> </w:t>
      </w:r>
      <w:r w:rsidRPr="00CD2EEF">
        <w:rPr>
          <w:lang w:val="en-GB"/>
        </w:rPr>
        <w:t>the need for further disposal, the operation of the repository is to continue after 2062, with the possibility of constructing additional silos, otherwise the repository is to be shut down in 2062 and long-term monitoring and maintenance will begin.</w:t>
      </w:r>
    </w:p>
    <w:p w14:paraId="16281C46" w14:textId="444CDB79" w:rsidR="00412AFC" w:rsidRPr="00CD2EEF" w:rsidRDefault="00412AFC" w:rsidP="00370325">
      <w:pPr>
        <w:pStyle w:val="LPnaslovkrepko"/>
        <w:rPr>
          <w:lang w:val="en-GB"/>
        </w:rPr>
      </w:pPr>
      <w:r w:rsidRPr="00CD2EEF">
        <w:rPr>
          <w:lang w:val="en-GB"/>
        </w:rPr>
        <w:t>Realisation in 2021:</w:t>
      </w:r>
    </w:p>
    <w:p w14:paraId="1BD15F3B" w14:textId="3715D079" w:rsidR="00412AFC" w:rsidRPr="00CD2EEF" w:rsidRDefault="00412AFC" w:rsidP="00370325">
      <w:pPr>
        <w:pStyle w:val="LPnavaden"/>
        <w:rPr>
          <w:lang w:val="en-GB"/>
        </w:rPr>
      </w:pPr>
      <w:r w:rsidRPr="00CD2EEF">
        <w:rPr>
          <w:lang w:val="en-GB"/>
        </w:rPr>
        <w:t xml:space="preserve">The Interstate Commission operates and regularly monitors the implementation of the BHRNEK interstate agreement and issues decisions for effective and safe solutions for </w:t>
      </w:r>
      <w:r w:rsidR="00226E21">
        <w:rPr>
          <w:lang w:val="en-GB"/>
        </w:rPr>
        <w:t xml:space="preserve">the </w:t>
      </w:r>
      <w:r w:rsidRPr="00CD2EEF">
        <w:rPr>
          <w:lang w:val="en-GB"/>
        </w:rPr>
        <w:t xml:space="preserve">management of radioactive waste and spent fuel. </w:t>
      </w:r>
      <w:r w:rsidR="00226E21">
        <w:rPr>
          <w:lang w:val="en-GB"/>
        </w:rPr>
        <w:t>The a</w:t>
      </w:r>
      <w:r w:rsidRPr="00CD2EEF">
        <w:rPr>
          <w:lang w:val="en-GB"/>
        </w:rPr>
        <w:t xml:space="preserve">cceptance criteria for disposal were prepared in 2017 and approved by </w:t>
      </w:r>
      <w:r w:rsidR="00A726E8">
        <w:rPr>
          <w:lang w:val="en-GB"/>
        </w:rPr>
        <w:t>the</w:t>
      </w:r>
      <w:r w:rsidR="00E63423">
        <w:rPr>
          <w:lang w:val="en-GB"/>
        </w:rPr>
        <w:t xml:space="preserve"> SNSA</w:t>
      </w:r>
      <w:r w:rsidRPr="00CD2EEF">
        <w:rPr>
          <w:lang w:val="en-GB"/>
        </w:rPr>
        <w:t xml:space="preserve"> within the framework of issuing an opinion on construction. The building permit </w:t>
      </w:r>
      <w:r w:rsidR="00AE3BCF" w:rsidRPr="00CD2EEF">
        <w:rPr>
          <w:lang w:val="en-GB"/>
        </w:rPr>
        <w:t>ha</w:t>
      </w:r>
      <w:r w:rsidR="00AE3BCF">
        <w:rPr>
          <w:lang w:val="en-GB"/>
        </w:rPr>
        <w:t>d</w:t>
      </w:r>
      <w:r w:rsidR="00AE3BCF" w:rsidRPr="00CD2EEF">
        <w:rPr>
          <w:lang w:val="en-GB"/>
        </w:rPr>
        <w:t xml:space="preserve"> </w:t>
      </w:r>
      <w:r w:rsidRPr="00CD2EEF">
        <w:rPr>
          <w:lang w:val="en-GB"/>
        </w:rPr>
        <w:t xml:space="preserve">not yet been issued </w:t>
      </w:r>
      <w:r w:rsidR="00AE3BCF">
        <w:rPr>
          <w:lang w:val="en-GB"/>
        </w:rPr>
        <w:t>by</w:t>
      </w:r>
      <w:r w:rsidR="00AE3BCF" w:rsidRPr="00CD2EEF">
        <w:rPr>
          <w:lang w:val="en-GB"/>
        </w:rPr>
        <w:t xml:space="preserve"> </w:t>
      </w:r>
      <w:r w:rsidRPr="00CD2EEF">
        <w:rPr>
          <w:lang w:val="en-GB"/>
        </w:rPr>
        <w:t xml:space="preserve">the end of 2021. In August 2021, the investment </w:t>
      </w:r>
      <w:r w:rsidR="00AB71FB">
        <w:rPr>
          <w:lang w:val="en-GB"/>
        </w:rPr>
        <w:t xml:space="preserve">programme </w:t>
      </w:r>
      <w:r w:rsidRPr="00CD2EEF">
        <w:rPr>
          <w:lang w:val="en-GB"/>
        </w:rPr>
        <w:t xml:space="preserve">for </w:t>
      </w:r>
      <w:r w:rsidRPr="00CD2EEF">
        <w:rPr>
          <w:lang w:val="en-GB"/>
        </w:rPr>
        <w:lastRenderedPageBreak/>
        <w:t xml:space="preserve">the LILW Vrbina repository, Krško, was approved, revision E, July 2021. </w:t>
      </w:r>
      <w:r w:rsidR="00F328EC">
        <w:rPr>
          <w:lang w:val="en-GB"/>
        </w:rPr>
        <w:t>The c</w:t>
      </w:r>
      <w:r w:rsidRPr="00CD2EEF">
        <w:rPr>
          <w:lang w:val="en-GB"/>
        </w:rPr>
        <w:t xml:space="preserve">onstruction and goals that follow the construction are planned later. Other options for preparing waste for disposal are being sought. Details are available in </w:t>
      </w:r>
      <w:hyperlink w:anchor="ch643" w:history="1">
        <w:r w:rsidRPr="00CD2EEF">
          <w:rPr>
            <w:rStyle w:val="Hiperpovezava"/>
            <w:lang w:val="en-GB"/>
          </w:rPr>
          <w:t>Chapter 6.4.3</w:t>
        </w:r>
      </w:hyperlink>
      <w:r w:rsidRPr="00CD2EEF">
        <w:rPr>
          <w:lang w:val="en-GB"/>
        </w:rPr>
        <w:t xml:space="preserve">. </w:t>
      </w:r>
    </w:p>
    <w:p w14:paraId="4A3F1DF2" w14:textId="77777777" w:rsidR="00412AFC" w:rsidRPr="00CD2EEF" w:rsidRDefault="00412AFC" w:rsidP="00370325">
      <w:pPr>
        <w:pStyle w:val="LPnaslovkrepko"/>
        <w:rPr>
          <w:lang w:val="en-GB"/>
        </w:rPr>
      </w:pPr>
      <w:r w:rsidRPr="00CD2EEF">
        <w:rPr>
          <w:lang w:val="en-GB"/>
        </w:rPr>
        <w:t xml:space="preserve">Strategy 5 </w:t>
      </w:r>
    </w:p>
    <w:p w14:paraId="726C99A3" w14:textId="1900070D" w:rsidR="00412AFC" w:rsidRPr="00CD2EEF" w:rsidRDefault="00412AFC" w:rsidP="00370325">
      <w:pPr>
        <w:pStyle w:val="LPnavadenposevno"/>
        <w:rPr>
          <w:lang w:val="en-GB"/>
        </w:rPr>
      </w:pPr>
      <w:r w:rsidRPr="00CD2EEF">
        <w:rPr>
          <w:lang w:val="en-GB"/>
        </w:rPr>
        <w:t xml:space="preserve">Spent fuel from </w:t>
      </w:r>
      <w:r w:rsidR="001B146F">
        <w:rPr>
          <w:lang w:val="en-GB"/>
        </w:rPr>
        <w:t>the Krško NPP</w:t>
      </w:r>
      <w:r w:rsidRPr="00CD2EEF">
        <w:rPr>
          <w:lang w:val="en-GB"/>
        </w:rPr>
        <w:t xml:space="preserve"> is to be stored in the spent fuel pool and </w:t>
      </w:r>
      <w:r w:rsidR="00915306">
        <w:rPr>
          <w:lang w:val="en-GB"/>
        </w:rPr>
        <w:t xml:space="preserve">in </w:t>
      </w:r>
      <w:r w:rsidRPr="00CD2EEF">
        <w:rPr>
          <w:lang w:val="en-GB"/>
        </w:rPr>
        <w:t>the spent fuel dry storage facility at the location of the power plant. The holder of the spent fuel is to examine the possibility of spent fuel processing. The SGEI provider of radioactive waste management is to monitor and actively participate in international and especially European developments in the field of the treatment, reprocessing, and final disposal of spent fuel or HLW generated from spent fuel reprocessing and implement activities for the construction of its own spent fuel and HLW repository.</w:t>
      </w:r>
    </w:p>
    <w:p w14:paraId="4B4F026B" w14:textId="311B45A8" w:rsidR="00412AFC" w:rsidRPr="00CD2EEF" w:rsidRDefault="00412AFC" w:rsidP="00370325">
      <w:pPr>
        <w:pStyle w:val="LPnaslovkrepko"/>
        <w:rPr>
          <w:lang w:val="en-GB"/>
        </w:rPr>
      </w:pPr>
      <w:r w:rsidRPr="00CD2EEF">
        <w:rPr>
          <w:lang w:val="en-GB"/>
        </w:rPr>
        <w:t>Measures to achieve the objectives:</w:t>
      </w:r>
    </w:p>
    <w:p w14:paraId="311C949E" w14:textId="7F8F9119" w:rsidR="00412AFC" w:rsidRPr="00CD2EEF" w:rsidRDefault="00412AFC" w:rsidP="00370325">
      <w:pPr>
        <w:pStyle w:val="LPalineje"/>
        <w:rPr>
          <w:lang w:val="en-GB"/>
        </w:rPr>
      </w:pPr>
      <w:r w:rsidRPr="00CD2EEF">
        <w:rPr>
          <w:lang w:val="en-GB"/>
        </w:rPr>
        <w:t xml:space="preserve">The Government is to ensure conditions for </w:t>
      </w:r>
      <w:r w:rsidR="00660066">
        <w:rPr>
          <w:lang w:val="en-GB"/>
        </w:rPr>
        <w:t xml:space="preserve">the </w:t>
      </w:r>
      <w:r w:rsidRPr="00CD2EEF">
        <w:rPr>
          <w:lang w:val="en-GB"/>
        </w:rPr>
        <w:t xml:space="preserve">regular operation of the intergovernmental commission as a body for monitoring the implementation of </w:t>
      </w:r>
      <w:r w:rsidR="001C290A">
        <w:rPr>
          <w:lang w:val="en-GB"/>
        </w:rPr>
        <w:t>t</w:t>
      </w:r>
      <w:r w:rsidRPr="00CD2EEF">
        <w:rPr>
          <w:lang w:val="en-GB"/>
        </w:rPr>
        <w:t xml:space="preserve">he Bilateral Slovenian-Croatian Agreement on </w:t>
      </w:r>
      <w:r w:rsidR="001B146F">
        <w:rPr>
          <w:lang w:val="en-GB"/>
        </w:rPr>
        <w:t>the Krško NPP</w:t>
      </w:r>
      <w:r w:rsidRPr="00CD2EEF">
        <w:rPr>
          <w:lang w:val="en-GB"/>
        </w:rPr>
        <w:t xml:space="preserve"> with a view to seeking safe, effective, and economical joint solutions – permanently.</w:t>
      </w:r>
    </w:p>
    <w:p w14:paraId="307E51C2" w14:textId="7F5FDE1D" w:rsidR="00412AFC" w:rsidRPr="005567E2" w:rsidRDefault="001B146F" w:rsidP="005567E2">
      <w:pPr>
        <w:pStyle w:val="LPalineje"/>
        <w:shd w:val="clear" w:color="auto" w:fill="auto"/>
        <w:rPr>
          <w:lang w:val="en-GB"/>
        </w:rPr>
      </w:pPr>
      <w:r>
        <w:rPr>
          <w:lang w:val="en-GB"/>
        </w:rPr>
        <w:t>The Krško NPP</w:t>
      </w:r>
      <w:r w:rsidR="00412AFC" w:rsidRPr="00CD2EEF">
        <w:rPr>
          <w:lang w:val="en-GB"/>
        </w:rPr>
        <w:t xml:space="preserve"> is to construct a dry storage facility for spent fuel at </w:t>
      </w:r>
      <w:r>
        <w:rPr>
          <w:lang w:val="en-GB"/>
        </w:rPr>
        <w:t>the Krško NPP</w:t>
      </w:r>
      <w:r w:rsidR="00412AFC" w:rsidRPr="00CD2EEF">
        <w:rPr>
          <w:lang w:val="en-GB"/>
        </w:rPr>
        <w:t xml:space="preserve"> site for an operational life of 60 years with the possibility of extending its operation</w:t>
      </w:r>
      <w:r w:rsidR="00412AFC" w:rsidRPr="005567E2">
        <w:rPr>
          <w:lang w:val="en-GB"/>
        </w:rPr>
        <w:t>. The dry storage facility is envisaged to become operational by 2018.</w:t>
      </w:r>
    </w:p>
    <w:p w14:paraId="79134994" w14:textId="6CDCDF69" w:rsidR="00412AFC" w:rsidRPr="00CD2EEF" w:rsidRDefault="001B146F" w:rsidP="00370325">
      <w:pPr>
        <w:pStyle w:val="LPalineje"/>
        <w:rPr>
          <w:lang w:val="en-GB"/>
        </w:rPr>
      </w:pPr>
      <w:r>
        <w:rPr>
          <w:lang w:val="en-GB"/>
        </w:rPr>
        <w:t>The Krško NPP</w:t>
      </w:r>
      <w:r w:rsidR="0004779A">
        <w:rPr>
          <w:lang w:val="en-GB"/>
        </w:rPr>
        <w:t>,</w:t>
      </w:r>
      <w:r w:rsidR="00412AFC" w:rsidRPr="00CD2EEF">
        <w:rPr>
          <w:lang w:val="en-GB"/>
        </w:rPr>
        <w:t xml:space="preserve"> as the holder of spent fuel</w:t>
      </w:r>
      <w:r w:rsidR="0004779A">
        <w:rPr>
          <w:lang w:val="en-GB"/>
        </w:rPr>
        <w:t>,</w:t>
      </w:r>
      <w:r w:rsidR="00412AFC" w:rsidRPr="00CD2EEF">
        <w:rPr>
          <w:lang w:val="en-GB"/>
        </w:rPr>
        <w:t xml:space="preserve"> is to carry out an analysis of the possibilities, safety, and economic feasibility of spent fuel reprocessing.</w:t>
      </w:r>
    </w:p>
    <w:p w14:paraId="73FAA541" w14:textId="209DCC65" w:rsidR="00412AFC" w:rsidRPr="00CD2EEF" w:rsidRDefault="00412AFC" w:rsidP="00370325">
      <w:pPr>
        <w:pStyle w:val="LPalineje"/>
        <w:rPr>
          <w:lang w:val="en-GB"/>
        </w:rPr>
      </w:pPr>
      <w:r w:rsidRPr="00CD2EEF">
        <w:rPr>
          <w:lang w:val="en-GB"/>
        </w:rPr>
        <w:t>The SGEI provider of radioactive waste management, research institutions</w:t>
      </w:r>
      <w:r w:rsidR="0004779A">
        <w:rPr>
          <w:lang w:val="en-GB"/>
        </w:rPr>
        <w:t>,</w:t>
      </w:r>
      <w:r w:rsidRPr="00CD2EEF">
        <w:rPr>
          <w:lang w:val="en-GB"/>
        </w:rPr>
        <w:t xml:space="preserve"> and author</w:t>
      </w:r>
      <w:r w:rsidR="00837F00">
        <w:rPr>
          <w:lang w:val="en-GB"/>
        </w:rPr>
        <w:t>ised</w:t>
      </w:r>
      <w:r w:rsidRPr="00CD2EEF">
        <w:rPr>
          <w:lang w:val="en-GB"/>
        </w:rPr>
        <w:t xml:space="preserve"> radiation protection experts are to monitor international developments </w:t>
      </w:r>
      <w:r w:rsidR="0004779A">
        <w:rPr>
          <w:lang w:val="en-GB"/>
        </w:rPr>
        <w:t>regarding</w:t>
      </w:r>
      <w:r w:rsidR="0004779A" w:rsidRPr="00CD2EEF">
        <w:rPr>
          <w:lang w:val="en-GB"/>
        </w:rPr>
        <w:t xml:space="preserve"> </w:t>
      </w:r>
      <w:r w:rsidRPr="00CD2EEF">
        <w:rPr>
          <w:lang w:val="en-GB"/>
        </w:rPr>
        <w:t>spent fuel and HLW management – permanently.</w:t>
      </w:r>
    </w:p>
    <w:p w14:paraId="71A29D6E" w14:textId="016AEDE1" w:rsidR="00412AFC" w:rsidRPr="00CD2EEF" w:rsidRDefault="00412AFC" w:rsidP="00370325">
      <w:pPr>
        <w:pStyle w:val="LPalineje"/>
        <w:rPr>
          <w:lang w:val="en-GB"/>
        </w:rPr>
      </w:pPr>
      <w:r w:rsidRPr="00CD2EEF">
        <w:rPr>
          <w:lang w:val="en-GB"/>
        </w:rPr>
        <w:t xml:space="preserve">The national spatial plan determining the location of </w:t>
      </w:r>
      <w:r w:rsidR="004B5099">
        <w:rPr>
          <w:lang w:val="en-GB"/>
        </w:rPr>
        <w:t>the</w:t>
      </w:r>
      <w:r w:rsidR="00FC1A8A">
        <w:rPr>
          <w:lang w:val="en-GB"/>
        </w:rPr>
        <w:t xml:space="preserve"> </w:t>
      </w:r>
      <w:r w:rsidRPr="00CD2EEF">
        <w:rPr>
          <w:lang w:val="en-GB"/>
        </w:rPr>
        <w:t>spent fuel and HLW repository is to be adopted by 2055.</w:t>
      </w:r>
    </w:p>
    <w:p w14:paraId="067E77AE" w14:textId="77777777" w:rsidR="00412AFC" w:rsidRPr="00CD2EEF" w:rsidRDefault="00412AFC" w:rsidP="00370325">
      <w:pPr>
        <w:pStyle w:val="LPalineje"/>
        <w:rPr>
          <w:lang w:val="en-GB"/>
        </w:rPr>
      </w:pPr>
      <w:r w:rsidRPr="00CD2EEF">
        <w:rPr>
          <w:lang w:val="en-GB"/>
        </w:rPr>
        <w:t>The spent fuel and HLW repository is to be constructed in the period between 2055 and 2065.</w:t>
      </w:r>
    </w:p>
    <w:p w14:paraId="3CC20549" w14:textId="77777777" w:rsidR="00412AFC" w:rsidRPr="00CD2EEF" w:rsidRDefault="00412AFC" w:rsidP="00370325">
      <w:pPr>
        <w:pStyle w:val="LPalineje"/>
        <w:rPr>
          <w:lang w:val="en-GB"/>
        </w:rPr>
      </w:pPr>
      <w:r w:rsidRPr="00CD2EEF">
        <w:rPr>
          <w:lang w:val="en-GB"/>
        </w:rPr>
        <w:t>The commissioning of the spent fuel repository is to start in 2065.</w:t>
      </w:r>
    </w:p>
    <w:p w14:paraId="7A518866" w14:textId="77777777" w:rsidR="00412AFC" w:rsidRPr="00CD2EEF" w:rsidRDefault="00412AFC" w:rsidP="00370325">
      <w:pPr>
        <w:pStyle w:val="LPalineje"/>
        <w:rPr>
          <w:lang w:val="en-GB"/>
        </w:rPr>
      </w:pPr>
      <w:r w:rsidRPr="00CD2EEF">
        <w:rPr>
          <w:lang w:val="en-GB"/>
        </w:rPr>
        <w:t>The closure of the repository and the commencement of the regulatory control and maintenance of the repository is to begin after 2075.</w:t>
      </w:r>
    </w:p>
    <w:p w14:paraId="24EAAAD1" w14:textId="77777777" w:rsidR="00412AFC" w:rsidRPr="00CD2EEF" w:rsidRDefault="00412AFC" w:rsidP="00370325">
      <w:pPr>
        <w:pStyle w:val="LPnaslovkrepko"/>
        <w:rPr>
          <w:lang w:val="en-GB"/>
        </w:rPr>
      </w:pPr>
      <w:r w:rsidRPr="00CD2EEF">
        <w:rPr>
          <w:lang w:val="en-GB"/>
        </w:rPr>
        <w:t>Realisation in 2021:</w:t>
      </w:r>
    </w:p>
    <w:p w14:paraId="59A7CDD8" w14:textId="31CCC137" w:rsidR="00412AFC" w:rsidRPr="00316742" w:rsidRDefault="00412AFC" w:rsidP="00370325">
      <w:pPr>
        <w:pStyle w:val="LPnavaden"/>
        <w:rPr>
          <w:lang w:val="en-GB"/>
        </w:rPr>
      </w:pPr>
      <w:r w:rsidRPr="00CD2EEF">
        <w:rPr>
          <w:lang w:val="en-GB"/>
        </w:rPr>
        <w:t xml:space="preserve">The spent fuel is stored in the spent fuel pool in Krško. Within the framework of </w:t>
      </w:r>
      <w:r w:rsidR="001B146F">
        <w:rPr>
          <w:lang w:val="en-GB"/>
        </w:rPr>
        <w:t>the Krško NPP</w:t>
      </w:r>
      <w:r w:rsidRPr="00CD2EEF">
        <w:rPr>
          <w:lang w:val="en-GB"/>
        </w:rPr>
        <w:t xml:space="preserve"> safety upgrade programme, intensive preparations are underway to build a new dry storage for spent fuel at </w:t>
      </w:r>
      <w:r w:rsidR="001B146F">
        <w:rPr>
          <w:lang w:val="en-GB"/>
        </w:rPr>
        <w:t>the Krško NPP</w:t>
      </w:r>
      <w:r w:rsidRPr="00CD2EEF">
        <w:rPr>
          <w:lang w:val="en-GB"/>
        </w:rPr>
        <w:t xml:space="preserve"> site. In 2020</w:t>
      </w:r>
      <w:r w:rsidRPr="002656F2">
        <w:rPr>
          <w:lang w:val="en-GB"/>
        </w:rPr>
        <w:t xml:space="preserve">, </w:t>
      </w:r>
      <w:r w:rsidR="00890B82" w:rsidRPr="002656F2">
        <w:rPr>
          <w:lang w:val="en-GB"/>
        </w:rPr>
        <w:t xml:space="preserve">the </w:t>
      </w:r>
      <w:r w:rsidRPr="002656F2">
        <w:rPr>
          <w:lang w:val="en-GB"/>
        </w:rPr>
        <w:t>MOP issued</w:t>
      </w:r>
      <w:r w:rsidRPr="00CD2EEF">
        <w:rPr>
          <w:lang w:val="en-GB"/>
        </w:rPr>
        <w:t xml:space="preserve"> a building permit for the facility. In 2021, the main focus was on the approval of the safety-relevant modification of the </w:t>
      </w:r>
      <w:r w:rsidR="00090819" w:rsidRPr="00CD2EEF">
        <w:rPr>
          <w:lang w:val="en-GB"/>
        </w:rPr>
        <w:t>Kršk</w:t>
      </w:r>
      <w:r w:rsidR="00090819">
        <w:rPr>
          <w:lang w:val="en-GB"/>
        </w:rPr>
        <w:t xml:space="preserve">o </w:t>
      </w:r>
      <w:r w:rsidRPr="00CD2EEF">
        <w:rPr>
          <w:lang w:val="en-GB"/>
        </w:rPr>
        <w:t>NPP, which is the new storage</w:t>
      </w:r>
      <w:r w:rsidR="00890B82">
        <w:rPr>
          <w:lang w:val="en-GB"/>
        </w:rPr>
        <w:t xml:space="preserve"> facility</w:t>
      </w:r>
      <w:r w:rsidRPr="00CD2EEF">
        <w:rPr>
          <w:lang w:val="en-GB"/>
        </w:rPr>
        <w:t xml:space="preserve"> </w:t>
      </w:r>
      <w:r w:rsidR="00890B82">
        <w:rPr>
          <w:lang w:val="en-GB"/>
        </w:rPr>
        <w:t>for</w:t>
      </w:r>
      <w:r w:rsidR="00890B82" w:rsidRPr="00CD2EEF">
        <w:rPr>
          <w:lang w:val="en-GB"/>
        </w:rPr>
        <w:t xml:space="preserve"> </w:t>
      </w:r>
      <w:r w:rsidRPr="00CD2EEF">
        <w:rPr>
          <w:lang w:val="en-GB"/>
        </w:rPr>
        <w:t xml:space="preserve">spent fuel, in accordance with the requirements of </w:t>
      </w:r>
      <w:r w:rsidR="00890B82">
        <w:rPr>
          <w:lang w:val="en-GB"/>
        </w:rPr>
        <w:t xml:space="preserve">the </w:t>
      </w:r>
      <w:r w:rsidRPr="00CD2EEF">
        <w:rPr>
          <w:lang w:val="en-GB"/>
        </w:rPr>
        <w:t>ZVISJV-1. It is an extensive administrative procedure that, in addition to the approval of the construction of a new building, also includes the approval of the transfer of spent fuel from the spent fuel pool to the new dry storage building</w:t>
      </w:r>
      <w:r w:rsidRPr="00316742">
        <w:rPr>
          <w:lang w:val="en-GB"/>
        </w:rPr>
        <w:t xml:space="preserve">. The procedure </w:t>
      </w:r>
      <w:r w:rsidR="001504C6" w:rsidRPr="00316742">
        <w:rPr>
          <w:lang w:val="en-GB"/>
        </w:rPr>
        <w:t xml:space="preserve">was not completed in </w:t>
      </w:r>
      <w:r w:rsidRPr="00316742">
        <w:rPr>
          <w:lang w:val="en-GB"/>
        </w:rPr>
        <w:t>2021. Construction of the dry spent fuel storage building began in early 2021. The dry storage building is expected to be completed in 2022, and the transfer of spent fuel elements from the spent fuel pool to the dry storage building (first transfer) is planned for 2023.</w:t>
      </w:r>
    </w:p>
    <w:p w14:paraId="1590C0F8" w14:textId="1ECA57B6" w:rsidR="00412AFC" w:rsidRPr="00CD2EEF" w:rsidRDefault="00412AFC" w:rsidP="00370325">
      <w:pPr>
        <w:pStyle w:val="LPnavaden"/>
        <w:rPr>
          <w:lang w:val="en-GB"/>
        </w:rPr>
      </w:pPr>
      <w:r w:rsidRPr="00316742">
        <w:rPr>
          <w:lang w:val="en-GB"/>
        </w:rPr>
        <w:t xml:space="preserve">The ARAO, as a contractor of the public service for the management of radioactive waste, monitors and participates in international developments in this field. As part of the preparation of the fourth revision of the Decommissioning </w:t>
      </w:r>
      <w:r w:rsidR="00040F58" w:rsidRPr="00316742">
        <w:rPr>
          <w:lang w:val="en-GB"/>
        </w:rPr>
        <w:t>Programme</w:t>
      </w:r>
      <w:r w:rsidRPr="00316742">
        <w:rPr>
          <w:lang w:val="en-GB"/>
        </w:rPr>
        <w:t xml:space="preserve"> and the</w:t>
      </w:r>
      <w:r w:rsidRPr="00CD2EEF">
        <w:rPr>
          <w:lang w:val="en-GB"/>
        </w:rPr>
        <w:t xml:space="preserve"> RAW and Spent Fuel Disposal </w:t>
      </w:r>
      <w:r w:rsidRPr="00CD2EEF">
        <w:rPr>
          <w:lang w:val="en-GB"/>
        </w:rPr>
        <w:lastRenderedPageBreak/>
        <w:t xml:space="preserve">Programme from </w:t>
      </w:r>
      <w:r w:rsidR="001B146F">
        <w:rPr>
          <w:lang w:val="en-GB"/>
        </w:rPr>
        <w:t>the Krško NPP</w:t>
      </w:r>
      <w:r w:rsidRPr="00CD2EEF">
        <w:rPr>
          <w:lang w:val="en-GB"/>
        </w:rPr>
        <w:t xml:space="preserve">, </w:t>
      </w:r>
      <w:r w:rsidR="002D1265">
        <w:rPr>
          <w:lang w:val="en-GB"/>
        </w:rPr>
        <w:t xml:space="preserve">the </w:t>
      </w:r>
      <w:r w:rsidRPr="00CD2EEF">
        <w:rPr>
          <w:lang w:val="en-GB"/>
        </w:rPr>
        <w:t xml:space="preserve">ARAO carries out activities that will serve as support for the preparation of both documents, such as </w:t>
      </w:r>
      <w:r w:rsidR="002D1265">
        <w:rPr>
          <w:lang w:val="en-GB"/>
        </w:rPr>
        <w:t xml:space="preserve">the </w:t>
      </w:r>
      <w:r w:rsidRPr="00CD2EEF">
        <w:rPr>
          <w:lang w:val="en-GB"/>
        </w:rPr>
        <w:t xml:space="preserve">disposal of RW and SF in deep wells, </w:t>
      </w:r>
      <w:r w:rsidR="002D1265">
        <w:rPr>
          <w:lang w:val="en-GB"/>
        </w:rPr>
        <w:t xml:space="preserve">the </w:t>
      </w:r>
      <w:r w:rsidRPr="00CD2EEF">
        <w:rPr>
          <w:lang w:val="en-GB"/>
        </w:rPr>
        <w:t xml:space="preserve">formation of scenarios for </w:t>
      </w:r>
      <w:r w:rsidR="002D1265">
        <w:rPr>
          <w:lang w:val="en-GB"/>
        </w:rPr>
        <w:t xml:space="preserve">the </w:t>
      </w:r>
      <w:r w:rsidRPr="00CD2EEF">
        <w:rPr>
          <w:lang w:val="en-GB"/>
        </w:rPr>
        <w:t>disposal of RW and SF in traditional repositories</w:t>
      </w:r>
      <w:r w:rsidR="002D1265">
        <w:rPr>
          <w:lang w:val="en-GB"/>
        </w:rPr>
        <w:t>,</w:t>
      </w:r>
      <w:r w:rsidRPr="00CD2EEF">
        <w:rPr>
          <w:lang w:val="en-GB"/>
        </w:rPr>
        <w:t xml:space="preserve"> and disposal in a regional or multinational repository. </w:t>
      </w:r>
      <w:r w:rsidR="002D1265">
        <w:rPr>
          <w:lang w:val="en-GB"/>
        </w:rPr>
        <w:t>The s</w:t>
      </w:r>
      <w:r w:rsidRPr="00CD2EEF">
        <w:rPr>
          <w:lang w:val="en-GB"/>
        </w:rPr>
        <w:t xml:space="preserve">iting of </w:t>
      </w:r>
      <w:r w:rsidR="002D1265">
        <w:rPr>
          <w:lang w:val="en-GB"/>
        </w:rPr>
        <w:t>such a</w:t>
      </w:r>
      <w:r w:rsidR="002D1265" w:rsidRPr="00CD2EEF">
        <w:rPr>
          <w:lang w:val="en-GB"/>
        </w:rPr>
        <w:t xml:space="preserve"> </w:t>
      </w:r>
      <w:r w:rsidRPr="00CD2EEF">
        <w:rPr>
          <w:lang w:val="en-GB"/>
        </w:rPr>
        <w:t>repository and the goals that follow this are foreseen</w:t>
      </w:r>
      <w:r w:rsidR="002D1265">
        <w:rPr>
          <w:lang w:val="en-GB"/>
        </w:rPr>
        <w:t xml:space="preserve"> for a</w:t>
      </w:r>
      <w:r w:rsidRPr="00CD2EEF">
        <w:rPr>
          <w:lang w:val="en-GB"/>
        </w:rPr>
        <w:t xml:space="preserve"> later</w:t>
      </w:r>
      <w:r w:rsidR="002D1265">
        <w:rPr>
          <w:lang w:val="en-GB"/>
        </w:rPr>
        <w:t xml:space="preserve"> date</w:t>
      </w:r>
      <w:r w:rsidRPr="00CD2EEF">
        <w:rPr>
          <w:lang w:val="en-GB"/>
        </w:rPr>
        <w:t>.</w:t>
      </w:r>
    </w:p>
    <w:p w14:paraId="6D47BA57" w14:textId="77777777" w:rsidR="00412AFC" w:rsidRPr="00CD2EEF" w:rsidRDefault="00412AFC" w:rsidP="00370325">
      <w:pPr>
        <w:pStyle w:val="LPnaslovkrepko"/>
        <w:rPr>
          <w:lang w:val="en-GB"/>
        </w:rPr>
      </w:pPr>
      <w:r w:rsidRPr="00CD2EEF">
        <w:rPr>
          <w:lang w:val="en-GB"/>
        </w:rPr>
        <w:t>Strategy 6</w:t>
      </w:r>
    </w:p>
    <w:p w14:paraId="73C48A0C" w14:textId="6571B177" w:rsidR="00412AFC" w:rsidRPr="00CD2EEF" w:rsidRDefault="00412AFC" w:rsidP="00370325">
      <w:pPr>
        <w:pStyle w:val="LPnavadenposevno"/>
        <w:rPr>
          <w:lang w:val="en-GB"/>
        </w:rPr>
      </w:pPr>
      <w:r w:rsidRPr="00CD2EEF">
        <w:rPr>
          <w:lang w:val="en-GB"/>
        </w:rPr>
        <w:t xml:space="preserve">The Programme for the Decommissioning of </w:t>
      </w:r>
      <w:r w:rsidR="001B146F">
        <w:rPr>
          <w:lang w:val="en-GB"/>
        </w:rPr>
        <w:t>the Krško NPP</w:t>
      </w:r>
      <w:r w:rsidRPr="00CD2EEF">
        <w:rPr>
          <w:lang w:val="en-GB"/>
        </w:rPr>
        <w:t xml:space="preserve"> and the Programme for the Disposal of LILW and Spent Nuclear Fuel are to be periodically revised in accordance with the Bilateral Slovenian-Croatian Agreement on </w:t>
      </w:r>
      <w:r w:rsidR="001B146F">
        <w:rPr>
          <w:lang w:val="en-GB"/>
        </w:rPr>
        <w:t>the Krško NPP</w:t>
      </w:r>
      <w:r w:rsidRPr="00CD2EEF">
        <w:rPr>
          <w:lang w:val="en-GB"/>
        </w:rPr>
        <w:t xml:space="preserve"> (BHRNEK). In addition to the strategy of </w:t>
      </w:r>
      <w:r w:rsidRPr="002656F2">
        <w:rPr>
          <w:lang w:val="en-GB"/>
        </w:rPr>
        <w:t>immediate dismantling, preparations for the revision of the decommissioning programme should also include an analysis of the possibility of a deferred dismantling strategy a</w:t>
      </w:r>
      <w:r w:rsidRPr="00CD2EEF">
        <w:rPr>
          <w:lang w:val="en-GB"/>
        </w:rPr>
        <w:t xml:space="preserve">fter the standby period following the shut-down of </w:t>
      </w:r>
      <w:r w:rsidR="001B146F">
        <w:rPr>
          <w:lang w:val="en-GB"/>
        </w:rPr>
        <w:t>the Krško NPP</w:t>
      </w:r>
      <w:r w:rsidRPr="00CD2EEF">
        <w:rPr>
          <w:lang w:val="en-GB"/>
        </w:rPr>
        <w:t>.</w:t>
      </w:r>
    </w:p>
    <w:p w14:paraId="55F0E4AC" w14:textId="77777777" w:rsidR="00412AFC" w:rsidRPr="00CD2EEF" w:rsidRDefault="00412AFC" w:rsidP="00370325">
      <w:pPr>
        <w:pStyle w:val="LPnaslovkrepko"/>
        <w:rPr>
          <w:lang w:val="en-GB"/>
        </w:rPr>
      </w:pPr>
      <w:r w:rsidRPr="00CD2EEF">
        <w:rPr>
          <w:lang w:val="en-GB"/>
        </w:rPr>
        <w:t xml:space="preserve">Measures to achieve the objectives: </w:t>
      </w:r>
    </w:p>
    <w:p w14:paraId="15816D22" w14:textId="2F982FE1" w:rsidR="00412AFC" w:rsidRPr="00CD2EEF" w:rsidRDefault="00412AFC" w:rsidP="00370325">
      <w:pPr>
        <w:pStyle w:val="LPalineje"/>
        <w:rPr>
          <w:lang w:val="en-GB"/>
        </w:rPr>
      </w:pPr>
      <w:r w:rsidRPr="00CD2EEF">
        <w:rPr>
          <w:lang w:val="en-GB"/>
        </w:rPr>
        <w:t xml:space="preserve">Updates of </w:t>
      </w:r>
      <w:r w:rsidR="00537AF1">
        <w:rPr>
          <w:lang w:val="en-GB"/>
        </w:rPr>
        <w:t>t</w:t>
      </w:r>
      <w:r w:rsidRPr="00CD2EEF">
        <w:rPr>
          <w:lang w:val="en-GB"/>
        </w:rPr>
        <w:t xml:space="preserve">he Programme for </w:t>
      </w:r>
      <w:r w:rsidR="001B146F">
        <w:rPr>
          <w:lang w:val="en-GB"/>
        </w:rPr>
        <w:t>the Krško NPP</w:t>
      </w:r>
      <w:r w:rsidRPr="00CD2EEF">
        <w:rPr>
          <w:lang w:val="en-GB"/>
        </w:rPr>
        <w:t xml:space="preserve"> Decommissioning and </w:t>
      </w:r>
      <w:r w:rsidR="000B0204">
        <w:rPr>
          <w:lang w:val="en-GB"/>
        </w:rPr>
        <w:t>t</w:t>
      </w:r>
      <w:r w:rsidRPr="00CD2EEF">
        <w:rPr>
          <w:lang w:val="en-GB"/>
        </w:rPr>
        <w:t>he Programme for the Disposal of LILW and Spent Nuclear Fuel are to be made, during the validity of this document, every five years – at the end of 2016 and at the end of 2021.</w:t>
      </w:r>
    </w:p>
    <w:p w14:paraId="2144723E" w14:textId="528D1DCF" w:rsidR="00412AFC" w:rsidRPr="00240BD0" w:rsidRDefault="00412AFC" w:rsidP="00370325">
      <w:pPr>
        <w:pStyle w:val="LPalineje"/>
        <w:rPr>
          <w:lang w:val="en-GB"/>
        </w:rPr>
      </w:pPr>
      <w:r w:rsidRPr="00CD2EEF">
        <w:rPr>
          <w:lang w:val="en-GB"/>
        </w:rPr>
        <w:t xml:space="preserve">In drawing up </w:t>
      </w:r>
      <w:r w:rsidR="000B0204">
        <w:rPr>
          <w:lang w:val="en-GB"/>
        </w:rPr>
        <w:t>t</w:t>
      </w:r>
      <w:r w:rsidRPr="00CD2EEF">
        <w:rPr>
          <w:lang w:val="en-GB"/>
        </w:rPr>
        <w:t xml:space="preserve">he Programme for </w:t>
      </w:r>
      <w:r w:rsidR="001B146F">
        <w:rPr>
          <w:lang w:val="en-GB"/>
        </w:rPr>
        <w:t>the Krško NPP</w:t>
      </w:r>
      <w:r w:rsidRPr="00CD2EEF">
        <w:rPr>
          <w:lang w:val="en-GB"/>
        </w:rPr>
        <w:t xml:space="preserve"> Decommissioning and </w:t>
      </w:r>
      <w:r w:rsidR="000B0204">
        <w:rPr>
          <w:lang w:val="en-GB"/>
        </w:rPr>
        <w:t>t</w:t>
      </w:r>
      <w:r w:rsidRPr="00CD2EEF">
        <w:rPr>
          <w:lang w:val="en-GB"/>
        </w:rPr>
        <w:t xml:space="preserve">he Programme for the Disposal of LILW and Spent Nuclear Fuel, it is necessary to consider new and changed facts, to introduce and apply new and improved methods </w:t>
      </w:r>
      <w:r w:rsidRPr="00240BD0">
        <w:rPr>
          <w:lang w:val="en-GB"/>
        </w:rPr>
        <w:t>of dismantling and decontamination, and to carry out an analysis of strategies regarding immediate and deferred dismantling.</w:t>
      </w:r>
    </w:p>
    <w:p w14:paraId="59DF7389" w14:textId="171C1874" w:rsidR="00412AFC" w:rsidRPr="00316742" w:rsidRDefault="00412AFC" w:rsidP="00316742">
      <w:pPr>
        <w:pStyle w:val="LPalineje"/>
        <w:shd w:val="clear" w:color="auto" w:fill="auto"/>
        <w:rPr>
          <w:lang w:val="en-GB"/>
        </w:rPr>
      </w:pPr>
      <w:r w:rsidRPr="00CD2EEF">
        <w:rPr>
          <w:lang w:val="en-GB"/>
        </w:rPr>
        <w:t xml:space="preserve">The ministry responsible for energy is to ensure the provision of regular financial resources to the Fund for the Decommissioning of </w:t>
      </w:r>
      <w:r w:rsidR="001B146F">
        <w:rPr>
          <w:lang w:val="en-GB"/>
        </w:rPr>
        <w:t>the Krško NPP</w:t>
      </w:r>
      <w:r w:rsidRPr="00CD2EEF">
        <w:rPr>
          <w:lang w:val="en-GB"/>
        </w:rPr>
        <w:t xml:space="preserve"> with a view to collecting the funds on time, taking into consideration all scenarios, including the </w:t>
      </w:r>
      <w:r w:rsidRPr="00316742">
        <w:rPr>
          <w:lang w:val="en-GB"/>
        </w:rPr>
        <w:t xml:space="preserve">reduction of compensation rates for the restricted use of land. Deadline: by the end of 2016 or until the approval of </w:t>
      </w:r>
      <w:r w:rsidR="00A80B65" w:rsidRPr="00316742">
        <w:rPr>
          <w:lang w:val="en-GB"/>
        </w:rPr>
        <w:t>t</w:t>
      </w:r>
      <w:r w:rsidRPr="00316742">
        <w:rPr>
          <w:lang w:val="en-GB"/>
        </w:rPr>
        <w:t xml:space="preserve">he Programme for </w:t>
      </w:r>
      <w:r w:rsidR="001B146F" w:rsidRPr="00316742">
        <w:rPr>
          <w:lang w:val="en-GB"/>
        </w:rPr>
        <w:t>the Krško NPP</w:t>
      </w:r>
      <w:r w:rsidRPr="00316742">
        <w:rPr>
          <w:lang w:val="en-GB"/>
        </w:rPr>
        <w:t xml:space="preserve"> Decommissioning and </w:t>
      </w:r>
      <w:r w:rsidR="00A80B65" w:rsidRPr="00316742">
        <w:rPr>
          <w:lang w:val="en-GB"/>
        </w:rPr>
        <w:t>t</w:t>
      </w:r>
      <w:r w:rsidRPr="00316742">
        <w:rPr>
          <w:lang w:val="en-GB"/>
        </w:rPr>
        <w:t>he Programme for the Disposal of LILW and Spent Nuclear Fuel.</w:t>
      </w:r>
    </w:p>
    <w:p w14:paraId="6C6045C1" w14:textId="6C806D83" w:rsidR="00412AFC" w:rsidRPr="00316742" w:rsidRDefault="00412AFC" w:rsidP="00316742">
      <w:pPr>
        <w:pStyle w:val="LPnaslovkrepko"/>
        <w:rPr>
          <w:lang w:val="en-GB"/>
        </w:rPr>
      </w:pPr>
      <w:r w:rsidRPr="00316742">
        <w:rPr>
          <w:lang w:val="en-GB"/>
        </w:rPr>
        <w:t>Realisation in 2021:</w:t>
      </w:r>
    </w:p>
    <w:p w14:paraId="4460E809" w14:textId="2C8F6D5F" w:rsidR="00412AFC" w:rsidRPr="00CD2EEF" w:rsidRDefault="00412AFC" w:rsidP="00316742">
      <w:pPr>
        <w:pStyle w:val="LPnavaden"/>
        <w:rPr>
          <w:rStyle w:val="LPpobarvan1"/>
          <w:lang w:val="en-GB"/>
        </w:rPr>
      </w:pPr>
      <w:r w:rsidRPr="00316742">
        <w:rPr>
          <w:lang w:val="en-GB"/>
        </w:rPr>
        <w:t xml:space="preserve">The </w:t>
      </w:r>
      <w:r w:rsidR="00316742" w:rsidRPr="00316742">
        <w:rPr>
          <w:lang w:val="en-GB"/>
        </w:rPr>
        <w:t>Programme for the Krško NPP Decommissioning</w:t>
      </w:r>
      <w:r w:rsidR="00316742" w:rsidRPr="00316742" w:rsidDel="00316742">
        <w:rPr>
          <w:lang w:val="en-GB"/>
        </w:rPr>
        <w:t xml:space="preserve"> </w:t>
      </w:r>
      <w:r w:rsidRPr="00316742">
        <w:rPr>
          <w:lang w:val="en-GB"/>
        </w:rPr>
        <w:t>and the Programme</w:t>
      </w:r>
      <w:r w:rsidRPr="00CD2EEF">
        <w:rPr>
          <w:lang w:val="en-GB"/>
        </w:rPr>
        <w:t xml:space="preserve"> for the Disposal of LILW and SF</w:t>
      </w:r>
      <w:r w:rsidR="00CD1A2F">
        <w:rPr>
          <w:lang w:val="en-GB"/>
        </w:rPr>
        <w:t>,</w:t>
      </w:r>
      <w:r w:rsidRPr="00CD2EEF">
        <w:rPr>
          <w:lang w:val="en-GB"/>
        </w:rPr>
        <w:t xml:space="preserve"> </w:t>
      </w:r>
      <w:r w:rsidR="00CD1A2F">
        <w:rPr>
          <w:lang w:val="en-GB"/>
        </w:rPr>
        <w:t xml:space="preserve">for </w:t>
      </w:r>
      <w:r w:rsidRPr="00CD2EEF">
        <w:rPr>
          <w:lang w:val="en-GB"/>
        </w:rPr>
        <w:t>both the third revision</w:t>
      </w:r>
      <w:r w:rsidR="00CD1A2F">
        <w:rPr>
          <w:lang w:val="en-GB"/>
        </w:rPr>
        <w:t xml:space="preserve"> thereof,</w:t>
      </w:r>
      <w:r w:rsidRPr="00CD2EEF">
        <w:rPr>
          <w:lang w:val="en-GB"/>
        </w:rPr>
        <w:t xml:space="preserve"> were approved at the 14</w:t>
      </w:r>
      <w:r w:rsidR="00CD1A2F" w:rsidRPr="00316742">
        <w:rPr>
          <w:vertAlign w:val="superscript"/>
          <w:lang w:val="en-GB"/>
        </w:rPr>
        <w:t>th</w:t>
      </w:r>
      <w:r w:rsidRPr="00CD2EEF">
        <w:rPr>
          <w:lang w:val="en-GB"/>
        </w:rPr>
        <w:t xml:space="preserve"> session of the Interstate Commission in July 2020. At the same session, the Interstate Commission also adopted the decision that the ARAO, </w:t>
      </w:r>
      <w:r w:rsidR="001B146F">
        <w:rPr>
          <w:lang w:val="en-GB"/>
        </w:rPr>
        <w:t>the Krško NPP</w:t>
      </w:r>
      <w:r w:rsidRPr="00CD2EEF">
        <w:rPr>
          <w:lang w:val="en-GB"/>
        </w:rPr>
        <w:t xml:space="preserve"> Fund</w:t>
      </w:r>
      <w:r w:rsidR="00CD1A2F">
        <w:rPr>
          <w:lang w:val="en-GB"/>
        </w:rPr>
        <w:t>,</w:t>
      </w:r>
      <w:r w:rsidRPr="00CD2EEF">
        <w:rPr>
          <w:lang w:val="en-GB"/>
        </w:rPr>
        <w:t xml:space="preserve"> and </w:t>
      </w:r>
      <w:r w:rsidR="001B146F">
        <w:rPr>
          <w:lang w:val="en-GB"/>
        </w:rPr>
        <w:t>Krško NPP</w:t>
      </w:r>
      <w:r w:rsidRPr="00CD2EEF">
        <w:rPr>
          <w:lang w:val="en-GB"/>
        </w:rPr>
        <w:t>, d.o.o., would begin activities to carry out the next, fourth</w:t>
      </w:r>
      <w:r w:rsidR="00CD1A2F">
        <w:rPr>
          <w:lang w:val="en-GB"/>
        </w:rPr>
        <w:t>,</w:t>
      </w:r>
      <w:r w:rsidRPr="00CD2EEF">
        <w:rPr>
          <w:lang w:val="en-GB"/>
        </w:rPr>
        <w:t xml:space="preserve"> revision of the Decommissioning Programme of </w:t>
      </w:r>
      <w:r w:rsidR="00C5169D">
        <w:rPr>
          <w:lang w:val="en-GB"/>
        </w:rPr>
        <w:t>the Krško NPP</w:t>
      </w:r>
      <w:r w:rsidRPr="00CD2EEF">
        <w:rPr>
          <w:lang w:val="en-GB"/>
        </w:rPr>
        <w:t xml:space="preserve"> and the Programme for the Disposal of LILW and SF. Based on the third revision of the Programme for the Disposal of LILW and SF</w:t>
      </w:r>
      <w:r w:rsidRPr="00CD2EEF" w:rsidDel="007539D4">
        <w:rPr>
          <w:lang w:val="en-GB"/>
        </w:rPr>
        <w:t xml:space="preserve"> </w:t>
      </w:r>
      <w:r w:rsidRPr="00CD2EEF">
        <w:rPr>
          <w:lang w:val="en-GB"/>
        </w:rPr>
        <w:t xml:space="preserve">and the Decommissioning Programme and other expert bases, a projection of the costs of RW and SF management </w:t>
      </w:r>
      <w:r w:rsidR="00CD1A2F">
        <w:rPr>
          <w:lang w:val="en-GB"/>
        </w:rPr>
        <w:t>for</w:t>
      </w:r>
      <w:r w:rsidR="00CD1A2F" w:rsidRPr="00CD2EEF">
        <w:rPr>
          <w:lang w:val="en-GB"/>
        </w:rPr>
        <w:t xml:space="preserve"> </w:t>
      </w:r>
      <w:r w:rsidR="001B146F">
        <w:rPr>
          <w:lang w:val="en-GB"/>
        </w:rPr>
        <w:t>the Krško NPP</w:t>
      </w:r>
      <w:r w:rsidRPr="00CD2EEF">
        <w:rPr>
          <w:lang w:val="en-GB"/>
        </w:rPr>
        <w:t xml:space="preserve"> was prepared for </w:t>
      </w:r>
      <w:r w:rsidR="001B146F">
        <w:rPr>
          <w:lang w:val="en-GB"/>
        </w:rPr>
        <w:t>the Krško NPP</w:t>
      </w:r>
      <w:r w:rsidRPr="00CD2EEF">
        <w:rPr>
          <w:lang w:val="en-GB"/>
        </w:rPr>
        <w:t xml:space="preserve"> Fund until the end of the life of all facilities</w:t>
      </w:r>
      <w:r w:rsidR="00CD1A2F">
        <w:rPr>
          <w:lang w:val="en-GB"/>
        </w:rPr>
        <w:t>,</w:t>
      </w:r>
      <w:r w:rsidRPr="00CD2EEF">
        <w:rPr>
          <w:lang w:val="en-GB"/>
        </w:rPr>
        <w:t xml:space="preserve"> and on this basis, by a decision of the Government of the Republic of Slovenia in July 2020, the amount of the contribution paid to the Fund by GEN energija, d.o.o., as the Slovenian owner of </w:t>
      </w:r>
      <w:r w:rsidR="001B146F">
        <w:rPr>
          <w:lang w:val="en-GB"/>
        </w:rPr>
        <w:t>the Krško NPP</w:t>
      </w:r>
      <w:r w:rsidRPr="00CD2EEF">
        <w:rPr>
          <w:lang w:val="en-GB"/>
        </w:rPr>
        <w:t xml:space="preserve">, was increased. More details are available in </w:t>
      </w:r>
      <w:hyperlink w:anchor="ch66" w:history="1">
        <w:r w:rsidRPr="00CD2EEF">
          <w:rPr>
            <w:rStyle w:val="Hiperpovezava"/>
            <w:lang w:val="en-GB"/>
          </w:rPr>
          <w:t>Chapter 6.6</w:t>
        </w:r>
      </w:hyperlink>
      <w:r w:rsidRPr="00CD2EEF">
        <w:rPr>
          <w:lang w:val="en-GB"/>
        </w:rPr>
        <w:t>.</w:t>
      </w:r>
    </w:p>
    <w:p w14:paraId="54B282E6" w14:textId="77777777" w:rsidR="00412AFC" w:rsidRPr="00CD2EEF" w:rsidRDefault="00412AFC" w:rsidP="00370325">
      <w:pPr>
        <w:pStyle w:val="LPnaslovkrepko"/>
        <w:rPr>
          <w:lang w:val="en-GB"/>
        </w:rPr>
      </w:pPr>
      <w:r w:rsidRPr="00CD2EEF">
        <w:rPr>
          <w:lang w:val="en-GB"/>
        </w:rPr>
        <w:t>Strategy 7</w:t>
      </w:r>
    </w:p>
    <w:p w14:paraId="5F54A564" w14:textId="4B85D30B" w:rsidR="00412AFC" w:rsidRDefault="00412AFC" w:rsidP="00370325">
      <w:pPr>
        <w:pStyle w:val="LPnavadenposevno"/>
        <w:rPr>
          <w:lang w:val="en-GB"/>
        </w:rPr>
      </w:pPr>
      <w:r w:rsidRPr="00CD2EEF">
        <w:rPr>
          <w:lang w:val="en-GB"/>
        </w:rPr>
        <w:t xml:space="preserve">All LILW resulting from the decommissioning of the TRIGA Research Reactor will be disposed of in the LILW repository in Vrbina, Krško. The spent fuel generated by the TRIGA Research Reactor is to be either repatriated to the state of origin or managed together with the spent fuel generated by </w:t>
      </w:r>
      <w:r w:rsidR="001B146F">
        <w:rPr>
          <w:lang w:val="en-GB"/>
        </w:rPr>
        <w:t>the Krško NPP</w:t>
      </w:r>
      <w:r w:rsidRPr="00CD2EEF">
        <w:rPr>
          <w:lang w:val="en-GB"/>
        </w:rPr>
        <w:t>.</w:t>
      </w:r>
    </w:p>
    <w:p w14:paraId="67FE27A8" w14:textId="77777777" w:rsidR="00643144" w:rsidRPr="00643144" w:rsidRDefault="00643144" w:rsidP="00643144">
      <w:pPr>
        <w:pStyle w:val="LPnavaden"/>
        <w:rPr>
          <w:lang w:val="en-GB"/>
        </w:rPr>
      </w:pPr>
    </w:p>
    <w:p w14:paraId="4D59E67D" w14:textId="77777777" w:rsidR="00412AFC" w:rsidRPr="00CD2EEF" w:rsidRDefault="00412AFC" w:rsidP="00370325">
      <w:pPr>
        <w:pStyle w:val="LPnaslovkrepko"/>
        <w:rPr>
          <w:lang w:val="en-GB"/>
        </w:rPr>
      </w:pPr>
      <w:r w:rsidRPr="00CD2EEF">
        <w:rPr>
          <w:lang w:val="en-GB"/>
        </w:rPr>
        <w:lastRenderedPageBreak/>
        <w:t>Measures to achieve the objectives:</w:t>
      </w:r>
    </w:p>
    <w:p w14:paraId="0CEC183D" w14:textId="6F792DBC" w:rsidR="00412AFC" w:rsidRPr="00CD2EEF" w:rsidRDefault="00412AFC" w:rsidP="00370325">
      <w:pPr>
        <w:pStyle w:val="LPalineje"/>
        <w:rPr>
          <w:lang w:val="en-GB"/>
        </w:rPr>
      </w:pPr>
      <w:r w:rsidRPr="00CD2EEF">
        <w:rPr>
          <w:lang w:val="en-GB"/>
        </w:rPr>
        <w:t xml:space="preserve">The operator and the owner of the TRIGA Research Reactor are to explore the possibility of extending the agreement with the USA on the repatriation of spent fuel originating </w:t>
      </w:r>
      <w:r w:rsidR="004C31AF">
        <w:rPr>
          <w:lang w:val="en-GB"/>
        </w:rPr>
        <w:t>from</w:t>
      </w:r>
      <w:r w:rsidR="004C31AF" w:rsidRPr="00CD2EEF">
        <w:rPr>
          <w:lang w:val="en-GB"/>
        </w:rPr>
        <w:t xml:space="preserve"> </w:t>
      </w:r>
      <w:r w:rsidRPr="00CD2EEF">
        <w:rPr>
          <w:lang w:val="en-GB"/>
        </w:rPr>
        <w:t>the U.S. by May 2019.</w:t>
      </w:r>
    </w:p>
    <w:p w14:paraId="586A92EE" w14:textId="77777777" w:rsidR="00412AFC" w:rsidRPr="00CD2EEF" w:rsidRDefault="00412AFC" w:rsidP="00370325">
      <w:pPr>
        <w:pStyle w:val="LPalineje"/>
        <w:rPr>
          <w:lang w:val="en-GB"/>
        </w:rPr>
      </w:pPr>
      <w:r w:rsidRPr="00CD2EEF">
        <w:rPr>
          <w:lang w:val="en-GB"/>
        </w:rPr>
        <w:t>If possible, the spent fuel from the TRIGA Research Reactor is to be returned to the United States two years after the shut-down of the TRIGA Research Reactor.</w:t>
      </w:r>
    </w:p>
    <w:p w14:paraId="0B93AC33" w14:textId="16DC6C2D" w:rsidR="00412AFC" w:rsidRPr="00CD2EEF" w:rsidRDefault="00412AFC" w:rsidP="00370325">
      <w:pPr>
        <w:pStyle w:val="LPalineje"/>
        <w:rPr>
          <w:lang w:val="en-GB"/>
        </w:rPr>
      </w:pPr>
      <w:r w:rsidRPr="00CD2EEF">
        <w:rPr>
          <w:lang w:val="en-GB"/>
        </w:rPr>
        <w:t>Should the return of spent fuel to the United States not be possible, the operator and the owner of the TRIGA Research Reactor and the SGEI provider of radioactive waste management are to jointly find a solution for the storage of spent fuel from the research reactor after the cessation of its operation. A solution is to be found by the end of 2022.</w:t>
      </w:r>
    </w:p>
    <w:p w14:paraId="3B41DE0B" w14:textId="77777777" w:rsidR="00412AFC" w:rsidRPr="00CD2EEF" w:rsidRDefault="00412AFC" w:rsidP="00370325">
      <w:pPr>
        <w:pStyle w:val="LPalineje"/>
        <w:rPr>
          <w:lang w:val="en-GB"/>
        </w:rPr>
      </w:pPr>
      <w:r w:rsidRPr="00CD2EEF">
        <w:rPr>
          <w:lang w:val="en-GB"/>
        </w:rPr>
        <w:t>A detailed decommissioning programme for the TRIGA Research Reactor is to be drawn up by 2020.</w:t>
      </w:r>
    </w:p>
    <w:p w14:paraId="68F02AB4" w14:textId="3703C1AE" w:rsidR="00412AFC" w:rsidRPr="00CD2EEF" w:rsidRDefault="00412AFC" w:rsidP="00370325">
      <w:pPr>
        <w:pStyle w:val="LPalineje"/>
        <w:rPr>
          <w:lang w:val="en-GB"/>
        </w:rPr>
      </w:pPr>
      <w:r w:rsidRPr="00CD2EEF">
        <w:rPr>
          <w:lang w:val="en-GB"/>
        </w:rPr>
        <w:t>The SGEI provider of radioactive waste management is to seek possible reprocessing, storage</w:t>
      </w:r>
      <w:r w:rsidR="004C31AF">
        <w:rPr>
          <w:lang w:val="en-GB"/>
        </w:rPr>
        <w:t>,</w:t>
      </w:r>
      <w:r w:rsidRPr="00CD2EEF">
        <w:rPr>
          <w:lang w:val="en-GB"/>
        </w:rPr>
        <w:t xml:space="preserve"> and disposal options for spent fuel from the TRIGA Research Reactor in </w:t>
      </w:r>
      <w:r w:rsidR="004C31AF" w:rsidRPr="00CD2EEF">
        <w:rPr>
          <w:lang w:val="en-GB"/>
        </w:rPr>
        <w:t>parallel</w:t>
      </w:r>
      <w:r w:rsidRPr="00CD2EEF">
        <w:rPr>
          <w:lang w:val="en-GB"/>
        </w:rPr>
        <w:t xml:space="preserve"> with seeking solutions for the final disposal of </w:t>
      </w:r>
      <w:r w:rsidR="004C31AF">
        <w:rPr>
          <w:lang w:val="en-GB"/>
        </w:rPr>
        <w:t xml:space="preserve">the </w:t>
      </w:r>
      <w:r w:rsidRPr="00CD2EEF">
        <w:rPr>
          <w:lang w:val="en-GB"/>
        </w:rPr>
        <w:t xml:space="preserve">spent fuel and HLW generated by </w:t>
      </w:r>
      <w:r w:rsidR="001B146F">
        <w:rPr>
          <w:lang w:val="en-GB"/>
        </w:rPr>
        <w:t>the Krško NPP</w:t>
      </w:r>
      <w:r w:rsidRPr="00CD2EEF">
        <w:rPr>
          <w:lang w:val="en-GB"/>
        </w:rPr>
        <w:t xml:space="preserve"> – permanently.</w:t>
      </w:r>
    </w:p>
    <w:p w14:paraId="60A32C02" w14:textId="77777777" w:rsidR="00412AFC" w:rsidRPr="00CD2EEF" w:rsidRDefault="00412AFC" w:rsidP="00370325">
      <w:pPr>
        <w:pStyle w:val="LPnaslovkrepko"/>
        <w:rPr>
          <w:lang w:val="en-GB"/>
        </w:rPr>
      </w:pPr>
      <w:r w:rsidRPr="00CD2EEF">
        <w:rPr>
          <w:lang w:val="en-GB"/>
        </w:rPr>
        <w:t>Realisation in 2021:</w:t>
      </w:r>
    </w:p>
    <w:p w14:paraId="6EDC22CA" w14:textId="77777777" w:rsidR="00412AFC" w:rsidRPr="00CD2EEF" w:rsidRDefault="00412AFC" w:rsidP="00370325">
      <w:pPr>
        <w:pStyle w:val="LPnavaden"/>
        <w:rPr>
          <w:lang w:val="en-GB"/>
        </w:rPr>
      </w:pPr>
      <w:r w:rsidRPr="00CD2EEF">
        <w:rPr>
          <w:lang w:val="en-GB"/>
        </w:rPr>
        <w:t>This goal will be met after the decommissioning of the TRIGA Mark II Research Reactor.</w:t>
      </w:r>
    </w:p>
    <w:p w14:paraId="0E2F85F7" w14:textId="77777777" w:rsidR="00412AFC" w:rsidRPr="00CD2EEF" w:rsidRDefault="00412AFC" w:rsidP="00370325">
      <w:pPr>
        <w:pStyle w:val="LPnaslovkrepko"/>
        <w:rPr>
          <w:lang w:val="en-GB"/>
        </w:rPr>
      </w:pPr>
      <w:bookmarkStart w:id="383" w:name="strat8"/>
      <w:r w:rsidRPr="00CD2EEF">
        <w:rPr>
          <w:lang w:val="en-GB"/>
        </w:rPr>
        <w:t xml:space="preserve">Strategy 8 </w:t>
      </w:r>
    </w:p>
    <w:bookmarkEnd w:id="383"/>
    <w:p w14:paraId="5032FB78" w14:textId="262A0D80" w:rsidR="00412AFC" w:rsidRPr="00CD2EEF" w:rsidRDefault="00412AFC" w:rsidP="00370325">
      <w:pPr>
        <w:pStyle w:val="LPnavadenposevno"/>
        <w:rPr>
          <w:lang w:val="en-GB"/>
        </w:rPr>
      </w:pPr>
      <w:r w:rsidRPr="00CD2EEF">
        <w:rPr>
          <w:lang w:val="en-GB"/>
        </w:rPr>
        <w:t xml:space="preserve">Slovenia is to maintain the operation of the CSF for radioactive waste that is not generated from the production of electricity in Slovenia for as long as such waste is generated and there is a need for its safe storage. After the disposal of radioactive waste from the CSF in the LILW repository, the need for the continuation of the operation of the CSF is to be re-examined. After final clearance and </w:t>
      </w:r>
      <w:r w:rsidR="00587CDA" w:rsidRPr="00CD2EEF">
        <w:rPr>
          <w:lang w:val="en-GB"/>
        </w:rPr>
        <w:t xml:space="preserve">the </w:t>
      </w:r>
      <w:r w:rsidRPr="00CD2EEF">
        <w:rPr>
          <w:lang w:val="en-GB"/>
        </w:rPr>
        <w:t>elimination of the need for storage, the facility is to be decontaminated and handed over for other purposes.</w:t>
      </w:r>
    </w:p>
    <w:p w14:paraId="4EE600E9" w14:textId="77777777" w:rsidR="00412AFC" w:rsidRPr="00CD2EEF" w:rsidRDefault="00412AFC" w:rsidP="00370325">
      <w:pPr>
        <w:pStyle w:val="LPnaslovkrepko"/>
        <w:rPr>
          <w:lang w:val="en-GB"/>
        </w:rPr>
      </w:pPr>
      <w:r w:rsidRPr="00CD2EEF">
        <w:rPr>
          <w:lang w:val="en-GB"/>
        </w:rPr>
        <w:t xml:space="preserve">Measures to achieve the objectives: </w:t>
      </w:r>
    </w:p>
    <w:p w14:paraId="68BDCE12" w14:textId="445E904C" w:rsidR="00412AFC" w:rsidRPr="00CD2EEF" w:rsidRDefault="00412AFC" w:rsidP="00370325">
      <w:pPr>
        <w:pStyle w:val="LPalineje"/>
        <w:rPr>
          <w:lang w:val="en-GB"/>
        </w:rPr>
      </w:pPr>
      <w:r w:rsidRPr="00CD2EEF">
        <w:rPr>
          <w:lang w:val="en-GB"/>
        </w:rPr>
        <w:t>The SGEI provider of radioactive waste management that manages the CSF is to conduct a</w:t>
      </w:r>
      <w:r w:rsidR="00576BD5">
        <w:rPr>
          <w:lang w:val="en-GB"/>
        </w:rPr>
        <w:t>n</w:t>
      </w:r>
      <w:r w:rsidRPr="00CD2EEF">
        <w:rPr>
          <w:lang w:val="en-GB"/>
        </w:rPr>
        <w:t xml:space="preserve"> eligibility analysis and assess the need for the continuation of the operation of the CSF after 2025</w:t>
      </w:r>
      <w:r w:rsidR="00576BD5">
        <w:rPr>
          <w:lang w:val="en-GB"/>
        </w:rPr>
        <w:t>,</w:t>
      </w:r>
      <w:r w:rsidRPr="00CD2EEF">
        <w:rPr>
          <w:lang w:val="en-GB"/>
        </w:rPr>
        <w:t xml:space="preserve"> when the disposal of radioactive waste from the CSF in the LILW repository is envisaged. The eligibility analysis is to be made by 2024.</w:t>
      </w:r>
    </w:p>
    <w:p w14:paraId="54978A2A" w14:textId="3654A072" w:rsidR="00412AFC" w:rsidRPr="00CD2EEF" w:rsidRDefault="00412AFC" w:rsidP="00370325">
      <w:pPr>
        <w:pStyle w:val="LPalineje"/>
        <w:rPr>
          <w:lang w:val="en-GB"/>
        </w:rPr>
      </w:pPr>
      <w:r w:rsidRPr="00CD2EEF">
        <w:rPr>
          <w:lang w:val="en-GB"/>
        </w:rPr>
        <w:t xml:space="preserve">Depending on the results of the eligibility analysis regarding the continuation of the operation of the CSF after 2025, either the procedures for </w:t>
      </w:r>
      <w:r w:rsidRPr="00F9363C">
        <w:rPr>
          <w:lang w:val="en-GB"/>
        </w:rPr>
        <w:t>the decontamination</w:t>
      </w:r>
      <w:r w:rsidR="00F9363C" w:rsidRPr="00F9363C">
        <w:rPr>
          <w:lang w:val="en-GB"/>
        </w:rPr>
        <w:t xml:space="preserve"> </w:t>
      </w:r>
      <w:r w:rsidRPr="00F9363C">
        <w:rPr>
          <w:lang w:val="en-GB"/>
        </w:rPr>
        <w:t>of the</w:t>
      </w:r>
      <w:r w:rsidRPr="00CD2EEF">
        <w:rPr>
          <w:lang w:val="en-GB"/>
        </w:rPr>
        <w:t xml:space="preserve"> CSF are to commence or the CSF is to continue its operation.</w:t>
      </w:r>
    </w:p>
    <w:p w14:paraId="549C503D" w14:textId="77777777" w:rsidR="00412AFC" w:rsidRPr="00CD2EEF" w:rsidRDefault="00412AFC" w:rsidP="00370325">
      <w:pPr>
        <w:pStyle w:val="LPalineje"/>
        <w:rPr>
          <w:lang w:val="en-GB"/>
        </w:rPr>
      </w:pPr>
      <w:r w:rsidRPr="00CD2EEF">
        <w:rPr>
          <w:lang w:val="en-GB"/>
        </w:rPr>
        <w:t>Radioactive waste from small producers is to be stored in the LILW repository site, provided that the aforementioned eligibility analysis shows that the continuation of the operation of the CSF is the most appropriate solution – the storage of waste is to commence in 2025.</w:t>
      </w:r>
    </w:p>
    <w:p w14:paraId="0BBF0BFB" w14:textId="77777777" w:rsidR="00412AFC" w:rsidRPr="00CD2EEF" w:rsidRDefault="00412AFC" w:rsidP="00370325">
      <w:pPr>
        <w:pStyle w:val="LPnaslovkrepko"/>
        <w:rPr>
          <w:lang w:val="en-GB"/>
        </w:rPr>
      </w:pPr>
      <w:r w:rsidRPr="00CD2EEF">
        <w:rPr>
          <w:lang w:val="en-GB"/>
        </w:rPr>
        <w:t>Realisation in 2021:</w:t>
      </w:r>
    </w:p>
    <w:p w14:paraId="3B3B4B2A" w14:textId="08DF4944" w:rsidR="00412AFC" w:rsidRPr="00CD2EEF" w:rsidRDefault="00412AFC" w:rsidP="00370325">
      <w:pPr>
        <w:pStyle w:val="LPnavaden"/>
        <w:rPr>
          <w:lang w:val="en-GB"/>
        </w:rPr>
      </w:pPr>
      <w:r w:rsidRPr="00CD2EEF">
        <w:rPr>
          <w:lang w:val="en-GB"/>
        </w:rPr>
        <w:t xml:space="preserve">The CSF operated without any complications. In February 2018, </w:t>
      </w:r>
      <w:r w:rsidR="00A726E8">
        <w:rPr>
          <w:lang w:val="en-GB"/>
        </w:rPr>
        <w:t>the</w:t>
      </w:r>
      <w:r w:rsidR="00E63423">
        <w:rPr>
          <w:lang w:val="en-GB"/>
        </w:rPr>
        <w:t xml:space="preserve"> SNSA</w:t>
      </w:r>
      <w:r w:rsidRPr="00CD2EEF">
        <w:rPr>
          <w:lang w:val="en-GB"/>
        </w:rPr>
        <w:t xml:space="preserve"> issued a decision approving the report on the periodic safety review, thus imposing on the operator the obligation to carry out the implementation plan for the next three years. The decision to approve the report on the periodic safety review was also the basis for the renewal of the operating license in April 2018 for the next ten years</w:t>
      </w:r>
      <w:r w:rsidRPr="00316742">
        <w:rPr>
          <w:lang w:val="en-GB"/>
        </w:rPr>
        <w:t xml:space="preserve">. </w:t>
      </w:r>
      <w:r w:rsidR="00F94C8A" w:rsidRPr="00316742">
        <w:rPr>
          <w:lang w:val="en-GB"/>
        </w:rPr>
        <w:t>The</w:t>
      </w:r>
      <w:r w:rsidRPr="00316742">
        <w:rPr>
          <w:lang w:val="en-GB"/>
        </w:rPr>
        <w:t xml:space="preserve"> </w:t>
      </w:r>
      <w:r w:rsidR="00F94C8A" w:rsidRPr="00316742">
        <w:rPr>
          <w:lang w:val="en-GB"/>
        </w:rPr>
        <w:t xml:space="preserve">preparation of an analysis of the </w:t>
      </w:r>
      <w:r w:rsidRPr="00316742">
        <w:rPr>
          <w:lang w:val="en-GB"/>
        </w:rPr>
        <w:t>justification and need for the continuation of</w:t>
      </w:r>
      <w:r w:rsidR="00F94C8A" w:rsidRPr="00316742">
        <w:rPr>
          <w:lang w:val="en-GB"/>
        </w:rPr>
        <w:t xml:space="preserve"> </w:t>
      </w:r>
      <w:r w:rsidRPr="00316742">
        <w:rPr>
          <w:lang w:val="en-GB"/>
        </w:rPr>
        <w:t>CSF operation after 2025 is planned later.</w:t>
      </w:r>
    </w:p>
    <w:p w14:paraId="6CBF5FD3" w14:textId="77777777" w:rsidR="00412AFC" w:rsidRPr="00CD2EEF" w:rsidRDefault="00412AFC" w:rsidP="00370325">
      <w:pPr>
        <w:pStyle w:val="LPnaslovkrepko"/>
        <w:rPr>
          <w:lang w:val="en-GB"/>
        </w:rPr>
      </w:pPr>
      <w:r w:rsidRPr="00CD2EEF">
        <w:rPr>
          <w:lang w:val="en-GB"/>
        </w:rPr>
        <w:lastRenderedPageBreak/>
        <w:t xml:space="preserve">Strategy 9 </w:t>
      </w:r>
    </w:p>
    <w:p w14:paraId="04CC0C21" w14:textId="77777777" w:rsidR="00412AFC" w:rsidRPr="00CD2EEF" w:rsidRDefault="00412AFC" w:rsidP="00370325">
      <w:pPr>
        <w:pStyle w:val="LPnavaden"/>
        <w:rPr>
          <w:lang w:val="en-GB"/>
        </w:rPr>
      </w:pPr>
      <w:r w:rsidRPr="00CD2EEF">
        <w:rPr>
          <w:rStyle w:val="LPnavadenposevnoZnak"/>
          <w:lang w:val="en-GB"/>
        </w:rPr>
        <w:t>The Jazbec mine tailings disposal site and the Boršt hydrometallurgical tailings disposal site are to be closed. After their closure, the two disposal sites are to be subject to long-term monitoring and maintenance by the Agency for Radwaste Management (ARAO) as the SGEI provider of radioactive waste management</w:t>
      </w:r>
      <w:r w:rsidRPr="00CD2EEF">
        <w:rPr>
          <w:lang w:val="en-GB"/>
        </w:rPr>
        <w:t>.</w:t>
      </w:r>
    </w:p>
    <w:p w14:paraId="22FA05D0" w14:textId="77777777" w:rsidR="00412AFC" w:rsidRPr="00CD2EEF" w:rsidRDefault="00412AFC" w:rsidP="00370325">
      <w:pPr>
        <w:pStyle w:val="LPnaslovkrepko"/>
        <w:rPr>
          <w:lang w:val="en-GB"/>
        </w:rPr>
      </w:pPr>
      <w:r w:rsidRPr="00CD2EEF">
        <w:rPr>
          <w:lang w:val="en-GB"/>
        </w:rPr>
        <w:t xml:space="preserve">Measures to achieve the objectives: </w:t>
      </w:r>
    </w:p>
    <w:p w14:paraId="6CBDBC66" w14:textId="1EF2C318" w:rsidR="00412AFC" w:rsidRPr="00CD2EEF" w:rsidRDefault="00412AFC" w:rsidP="00370325">
      <w:pPr>
        <w:pStyle w:val="LPalineje"/>
        <w:rPr>
          <w:lang w:val="en-GB"/>
        </w:rPr>
      </w:pPr>
      <w:r w:rsidRPr="00CD2EEF">
        <w:rPr>
          <w:lang w:val="en-GB"/>
        </w:rPr>
        <w:t>The SGEI provider of radioactive waste management is to perform long-term</w:t>
      </w:r>
      <w:r w:rsidR="008A1E6B">
        <w:rPr>
          <w:lang w:val="en-GB"/>
        </w:rPr>
        <w:t xml:space="preserve"> </w:t>
      </w:r>
      <w:r w:rsidRPr="00CD2EEF">
        <w:rPr>
          <w:lang w:val="en-GB"/>
        </w:rPr>
        <w:t>monitoring</w:t>
      </w:r>
      <w:r w:rsidR="008A1E6B">
        <w:rPr>
          <w:lang w:val="en-GB"/>
        </w:rPr>
        <w:t xml:space="preserve"> </w:t>
      </w:r>
      <w:r w:rsidRPr="00CD2EEF">
        <w:rPr>
          <w:lang w:val="en-GB"/>
        </w:rPr>
        <w:t>and maintenance</w:t>
      </w:r>
      <w:r w:rsidR="008A1E6B">
        <w:rPr>
          <w:lang w:val="en-GB"/>
        </w:rPr>
        <w:t xml:space="preserve"> </w:t>
      </w:r>
      <w:r w:rsidRPr="00CD2EEF">
        <w:rPr>
          <w:lang w:val="en-GB"/>
        </w:rPr>
        <w:t>of</w:t>
      </w:r>
      <w:r w:rsidR="008A1E6B">
        <w:rPr>
          <w:lang w:val="en-GB"/>
        </w:rPr>
        <w:t xml:space="preserve"> </w:t>
      </w:r>
      <w:r w:rsidRPr="00CD2EEF">
        <w:rPr>
          <w:lang w:val="en-GB"/>
        </w:rPr>
        <w:t>the</w:t>
      </w:r>
      <w:r w:rsidR="008A1E6B">
        <w:rPr>
          <w:lang w:val="en-GB"/>
        </w:rPr>
        <w:t xml:space="preserve"> </w:t>
      </w:r>
      <w:r w:rsidRPr="00CD2EEF">
        <w:rPr>
          <w:lang w:val="en-GB"/>
        </w:rPr>
        <w:t>national</w:t>
      </w:r>
      <w:r w:rsidR="008A1E6B">
        <w:rPr>
          <w:lang w:val="en-GB"/>
        </w:rPr>
        <w:t xml:space="preserve"> </w:t>
      </w:r>
      <w:r w:rsidRPr="00CD2EEF">
        <w:rPr>
          <w:lang w:val="en-GB"/>
        </w:rPr>
        <w:t>infrastructure facility</w:t>
      </w:r>
      <w:r w:rsidR="008A1E6B">
        <w:rPr>
          <w:lang w:val="en-GB"/>
        </w:rPr>
        <w:t xml:space="preserve"> </w:t>
      </w:r>
      <w:r w:rsidRPr="00CD2EEF">
        <w:rPr>
          <w:lang w:val="en-GB"/>
        </w:rPr>
        <w:t>–</w:t>
      </w:r>
      <w:r w:rsidR="008A1E6B">
        <w:rPr>
          <w:lang w:val="en-GB"/>
        </w:rPr>
        <w:t xml:space="preserve"> </w:t>
      </w:r>
      <w:r w:rsidRPr="00CD2EEF">
        <w:rPr>
          <w:lang w:val="en-GB"/>
        </w:rPr>
        <w:t>the Jazbec mine tailings disposal site – permanently.</w:t>
      </w:r>
    </w:p>
    <w:p w14:paraId="45F18BF7" w14:textId="77777777" w:rsidR="00412AFC" w:rsidRPr="00316742" w:rsidRDefault="00412AFC" w:rsidP="00370325">
      <w:pPr>
        <w:pStyle w:val="LPalineje"/>
        <w:rPr>
          <w:lang w:val="en-GB"/>
        </w:rPr>
      </w:pPr>
      <w:r w:rsidRPr="00CD2EEF">
        <w:rPr>
          <w:lang w:val="en-GB"/>
        </w:rPr>
        <w:t xml:space="preserve">The Žirovski Vrh Mine (RŽV d.o.o.) is to carry out the remediation of the Boršt hydro-metallurgical tailings disposal </w:t>
      </w:r>
      <w:r w:rsidRPr="00316742">
        <w:rPr>
          <w:lang w:val="en-GB"/>
        </w:rPr>
        <w:t>site by applying measures necessary to fulfil the conditions for the closure of the Boršt disposal site by the end of 2017.</w:t>
      </w:r>
    </w:p>
    <w:p w14:paraId="5E9366C2" w14:textId="62334463" w:rsidR="00412AFC" w:rsidRPr="00316742" w:rsidRDefault="00412AFC" w:rsidP="00370325">
      <w:pPr>
        <w:pStyle w:val="LPalineje"/>
        <w:rPr>
          <w:lang w:val="en-GB"/>
        </w:rPr>
      </w:pPr>
      <w:r w:rsidRPr="00316742">
        <w:rPr>
          <w:lang w:val="en-GB"/>
        </w:rPr>
        <w:t>The SGEI provider of radioactive waste management is to begin long-term monitoring and maintenance of the national infrastructure facility – the Boršt hydro-metallurgical tailings disposal site – and conclude the task by 2018.</w:t>
      </w:r>
    </w:p>
    <w:p w14:paraId="57DA0D1F" w14:textId="411E56B2" w:rsidR="00412AFC" w:rsidRPr="00CD2EEF" w:rsidRDefault="00412AFC" w:rsidP="00370325">
      <w:pPr>
        <w:pStyle w:val="LPalineje"/>
        <w:rPr>
          <w:lang w:val="en-GB"/>
        </w:rPr>
      </w:pPr>
      <w:r w:rsidRPr="00CD2EEF">
        <w:rPr>
          <w:lang w:val="en-GB"/>
        </w:rPr>
        <w:t>The SGEI provider of radioactive waste management is to perform long-term monitoring and maintenance of the Boršt hydro-metallurgical tailings disposal site – permanently.</w:t>
      </w:r>
    </w:p>
    <w:p w14:paraId="633646A3" w14:textId="1E2D6F4B" w:rsidR="00412AFC" w:rsidRPr="00CD2EEF" w:rsidRDefault="00412AFC" w:rsidP="00370325">
      <w:pPr>
        <w:pStyle w:val="LPnaslovkrepko"/>
        <w:rPr>
          <w:lang w:val="en-GB"/>
        </w:rPr>
      </w:pPr>
      <w:r w:rsidRPr="00CD2EEF">
        <w:rPr>
          <w:lang w:val="en-GB"/>
        </w:rPr>
        <w:t>Achieving the goal in 2021</w:t>
      </w:r>
    </w:p>
    <w:p w14:paraId="3440B607" w14:textId="426E38E0" w:rsidR="00412AFC" w:rsidRPr="00CD2EEF" w:rsidRDefault="00412AFC" w:rsidP="00370325">
      <w:pPr>
        <w:pStyle w:val="LPnavaden"/>
        <w:rPr>
          <w:lang w:val="en-GB"/>
        </w:rPr>
      </w:pPr>
      <w:r w:rsidRPr="00CD2EEF">
        <w:rPr>
          <w:lang w:val="en-GB"/>
        </w:rPr>
        <w:t xml:space="preserve">The Jazbec disposal site is closed; the ARAO assumed long-term surveillance and monitoring. In September 2019, the new long-term control of discharges from the Jazbec disposal site was approved. </w:t>
      </w:r>
      <w:r w:rsidR="006D6E8D">
        <w:rPr>
          <w:lang w:val="en-GB"/>
        </w:rPr>
        <w:t>R</w:t>
      </w:r>
      <w:r w:rsidR="006D6E8D" w:rsidRPr="00CD2EEF">
        <w:rPr>
          <w:lang w:val="en-GB"/>
        </w:rPr>
        <w:t>emediation works are mostly finished</w:t>
      </w:r>
      <w:r w:rsidR="006D6E8D" w:rsidRPr="00CD2EEF" w:rsidDel="006D6E8D">
        <w:rPr>
          <w:lang w:val="en-GB"/>
        </w:rPr>
        <w:t xml:space="preserve"> </w:t>
      </w:r>
      <w:r w:rsidR="006D6E8D">
        <w:rPr>
          <w:lang w:val="en-GB"/>
        </w:rPr>
        <w:t>a</w:t>
      </w:r>
      <w:r w:rsidRPr="00CD2EEF">
        <w:rPr>
          <w:lang w:val="en-GB"/>
        </w:rPr>
        <w:t>t the Boršt hydrometallurgical tailings disposal site. The effectiveness of the intervention measures carried out in 2017 (additional drainage wells) will be assessed by continuous monitoring of the flow and stability of the disposal site in the following years. In 2021, the revisions of the Safety Report for the Boršt disposal site and the expert opinion for the Safety Report without the first chapter, which refers to the scope of the state infrastructure facility and the ownership of land, were also carried out. In 2021, the company GeoTrias</w:t>
      </w:r>
      <w:r w:rsidRPr="00015393">
        <w:rPr>
          <w:lang w:val="en-GB"/>
        </w:rPr>
        <w:t xml:space="preserve">, d.o.o., </w:t>
      </w:r>
      <w:r w:rsidR="00CB7FE8" w:rsidRPr="00015393">
        <w:rPr>
          <w:lang w:val="en-GB"/>
        </w:rPr>
        <w:t xml:space="preserve">carried out </w:t>
      </w:r>
      <w:r w:rsidRPr="00015393">
        <w:rPr>
          <w:lang w:val="en-GB"/>
        </w:rPr>
        <w:t>a stud</w:t>
      </w:r>
      <w:r w:rsidR="00CB7FE8" w:rsidRPr="00316742">
        <w:rPr>
          <w:lang w:val="en-GB"/>
        </w:rPr>
        <w:t xml:space="preserve">y entitled </w:t>
      </w:r>
      <w:r w:rsidR="00A57B4D" w:rsidRPr="00316742">
        <w:rPr>
          <w:lang w:val="en-GB"/>
        </w:rPr>
        <w:t xml:space="preserve">The </w:t>
      </w:r>
      <w:r w:rsidRPr="00015393">
        <w:rPr>
          <w:lang w:val="en-GB"/>
        </w:rPr>
        <w:t xml:space="preserve">Variants and </w:t>
      </w:r>
      <w:r w:rsidR="00CB7FE8" w:rsidRPr="00316742">
        <w:rPr>
          <w:lang w:val="en-GB"/>
        </w:rPr>
        <w:t>P</w:t>
      </w:r>
      <w:r w:rsidRPr="00015393">
        <w:rPr>
          <w:lang w:val="en-GB"/>
        </w:rPr>
        <w:t xml:space="preserve">robability of </w:t>
      </w:r>
      <w:r w:rsidR="00A57B4D" w:rsidRPr="00316742">
        <w:rPr>
          <w:lang w:val="en-GB"/>
        </w:rPr>
        <w:t xml:space="preserve">the </w:t>
      </w:r>
      <w:r w:rsidR="00CB7FE8" w:rsidRPr="00316742">
        <w:rPr>
          <w:lang w:val="en-GB"/>
        </w:rPr>
        <w:t>S</w:t>
      </w:r>
      <w:r w:rsidRPr="00015393">
        <w:rPr>
          <w:lang w:val="en-GB"/>
        </w:rPr>
        <w:t xml:space="preserve">cenarios of </w:t>
      </w:r>
      <w:r w:rsidR="00CB7FE8" w:rsidRPr="00015393">
        <w:rPr>
          <w:lang w:val="en-GB"/>
        </w:rPr>
        <w:t>P</w:t>
      </w:r>
      <w:r w:rsidRPr="00015393">
        <w:rPr>
          <w:lang w:val="en-GB"/>
        </w:rPr>
        <w:t xml:space="preserve">ossible </w:t>
      </w:r>
      <w:r w:rsidR="00CB7FE8" w:rsidRPr="00015393">
        <w:rPr>
          <w:lang w:val="en-GB"/>
        </w:rPr>
        <w:t>M</w:t>
      </w:r>
      <w:r w:rsidRPr="00015393">
        <w:rPr>
          <w:lang w:val="en-GB"/>
        </w:rPr>
        <w:t xml:space="preserve">ovements of the Boršt </w:t>
      </w:r>
      <w:r w:rsidR="00CB7FE8" w:rsidRPr="00015393">
        <w:rPr>
          <w:lang w:val="en-GB"/>
        </w:rPr>
        <w:t>L</w:t>
      </w:r>
      <w:r w:rsidRPr="00015393">
        <w:rPr>
          <w:lang w:val="en-GB"/>
        </w:rPr>
        <w:t>andslide,</w:t>
      </w:r>
      <w:r w:rsidRPr="00CD2EEF">
        <w:rPr>
          <w:lang w:val="en-GB"/>
        </w:rPr>
        <w:t xml:space="preserve"> in which </w:t>
      </w:r>
      <w:r w:rsidR="00A57B4D">
        <w:rPr>
          <w:lang w:val="en-GB"/>
        </w:rPr>
        <w:t>it</w:t>
      </w:r>
      <w:r w:rsidR="00A57B4D" w:rsidRPr="00CD2EEF">
        <w:rPr>
          <w:lang w:val="en-GB"/>
        </w:rPr>
        <w:t xml:space="preserve"> </w:t>
      </w:r>
      <w:r w:rsidRPr="00CD2EEF">
        <w:rPr>
          <w:lang w:val="en-GB"/>
        </w:rPr>
        <w:t xml:space="preserve">checked the probability of the occurrence of the most </w:t>
      </w:r>
      <w:r w:rsidR="00DE68AE" w:rsidRPr="00CD2EEF">
        <w:rPr>
          <w:lang w:val="en-GB"/>
        </w:rPr>
        <w:t>unfavourable</w:t>
      </w:r>
      <w:r w:rsidRPr="00CD2EEF">
        <w:rPr>
          <w:lang w:val="en-GB"/>
        </w:rPr>
        <w:t xml:space="preserve"> scenario, in which the landslide would slide into the valley of the Potoška grapa, </w:t>
      </w:r>
      <w:r w:rsidR="00015393" w:rsidRPr="00CD2EEF">
        <w:rPr>
          <w:lang w:val="en-GB"/>
        </w:rPr>
        <w:t>the Todračica</w:t>
      </w:r>
      <w:r w:rsidR="00015393" w:rsidRPr="00A57B4D">
        <w:rPr>
          <w:lang w:val="en-GB"/>
        </w:rPr>
        <w:t xml:space="preserve"> </w:t>
      </w:r>
      <w:r w:rsidR="00015393">
        <w:rPr>
          <w:lang w:val="en-GB"/>
        </w:rPr>
        <w:t>R</w:t>
      </w:r>
      <w:r w:rsidR="00015393" w:rsidRPr="00CD2EEF">
        <w:rPr>
          <w:lang w:val="en-GB"/>
        </w:rPr>
        <w:t xml:space="preserve">iver </w:t>
      </w:r>
      <w:r w:rsidR="00015393">
        <w:rPr>
          <w:lang w:val="en-GB"/>
        </w:rPr>
        <w:t xml:space="preserve">would be </w:t>
      </w:r>
      <w:r w:rsidRPr="00CD2EEF">
        <w:rPr>
          <w:lang w:val="en-GB"/>
        </w:rPr>
        <w:t>temporar</w:t>
      </w:r>
      <w:r w:rsidR="00015393">
        <w:rPr>
          <w:lang w:val="en-GB"/>
        </w:rPr>
        <w:t>il</w:t>
      </w:r>
      <w:r w:rsidRPr="00CD2EEF">
        <w:rPr>
          <w:lang w:val="en-GB"/>
        </w:rPr>
        <w:t>y dam</w:t>
      </w:r>
      <w:r w:rsidR="00015393">
        <w:rPr>
          <w:lang w:val="en-GB"/>
        </w:rPr>
        <w:t>ned</w:t>
      </w:r>
      <w:r w:rsidR="00A57B4D">
        <w:rPr>
          <w:lang w:val="en-GB"/>
        </w:rPr>
        <w:t>,</w:t>
      </w:r>
      <w:r w:rsidRPr="00CD2EEF">
        <w:rPr>
          <w:lang w:val="en-GB"/>
        </w:rPr>
        <w:t xml:space="preserve"> and the</w:t>
      </w:r>
      <w:r w:rsidR="00015393">
        <w:rPr>
          <w:lang w:val="en-GB"/>
        </w:rPr>
        <w:t>re would be a</w:t>
      </w:r>
      <w:r w:rsidRPr="00CD2EEF">
        <w:rPr>
          <w:lang w:val="en-GB"/>
        </w:rPr>
        <w:t xml:space="preserve"> breakthrough of the resulting barrier, as well as the release of radioactive material from the hydrometallurgical tailings disposal site, downstream. The study concluded that there is a very low probability of</w:t>
      </w:r>
      <w:r w:rsidR="00015393">
        <w:rPr>
          <w:lang w:val="en-GB"/>
        </w:rPr>
        <w:t xml:space="preserve"> the</w:t>
      </w:r>
      <w:r w:rsidRPr="00CD2EEF">
        <w:rPr>
          <w:lang w:val="en-GB"/>
        </w:rPr>
        <w:t xml:space="preserve"> damming the Todračica </w:t>
      </w:r>
      <w:r w:rsidR="00DE68AE">
        <w:rPr>
          <w:lang w:val="en-GB"/>
        </w:rPr>
        <w:t>R</w:t>
      </w:r>
      <w:r w:rsidRPr="00CD2EEF">
        <w:rPr>
          <w:lang w:val="en-GB"/>
        </w:rPr>
        <w:t xml:space="preserve">iver, and to a limited extent. The authors of the study assume that only a portion of the landslide material would travel to the valley, so </w:t>
      </w:r>
      <w:r w:rsidR="007944B4">
        <w:rPr>
          <w:lang w:val="en-GB"/>
        </w:rPr>
        <w:t xml:space="preserve">the </w:t>
      </w:r>
      <w:r w:rsidRPr="00CD2EEF">
        <w:rPr>
          <w:lang w:val="en-GB"/>
        </w:rPr>
        <w:t>damming of the stream in the sense of complete damming would not occur.</w:t>
      </w:r>
    </w:p>
    <w:p w14:paraId="31940A14" w14:textId="77777777" w:rsidR="00412AFC" w:rsidRPr="00CD2EEF" w:rsidRDefault="00412AFC" w:rsidP="000E5342">
      <w:pPr>
        <w:pStyle w:val="LPnaslovkrepko"/>
        <w:rPr>
          <w:lang w:val="en-GB"/>
        </w:rPr>
      </w:pPr>
      <w:r w:rsidRPr="00CD2EEF">
        <w:rPr>
          <w:lang w:val="en-GB"/>
        </w:rPr>
        <w:t>Strategy 10</w:t>
      </w:r>
    </w:p>
    <w:p w14:paraId="17536B73" w14:textId="1988C996" w:rsidR="00412AFC" w:rsidRPr="00CD2EEF" w:rsidRDefault="00412AFC" w:rsidP="000E5342">
      <w:pPr>
        <w:pStyle w:val="LPnavadenposevno"/>
        <w:rPr>
          <w:lang w:val="en-GB"/>
        </w:rPr>
      </w:pPr>
      <w:r w:rsidRPr="00CD2EEF">
        <w:rPr>
          <w:lang w:val="en-GB"/>
        </w:rPr>
        <w:t>Materials that are usually not regarded as radioactive but which contain naturally occurring radionuclides are to be regularly monitored in terms of their impact on the population and the environment. If the permissible impacts are exceeded, measures are to be taken to rectify the situation. Radioactive waste containing naturally occurring radionuclides is to be managed in accordance with the established level of radioactivity and other waste properties.</w:t>
      </w:r>
    </w:p>
    <w:p w14:paraId="764DC782" w14:textId="77777777" w:rsidR="00412AFC" w:rsidRPr="00CD2EEF" w:rsidRDefault="00412AFC" w:rsidP="000E5342">
      <w:pPr>
        <w:pStyle w:val="LPnaslovkrepko"/>
        <w:rPr>
          <w:lang w:val="en-GB"/>
        </w:rPr>
      </w:pPr>
      <w:r w:rsidRPr="00CD2EEF">
        <w:rPr>
          <w:lang w:val="en-GB"/>
        </w:rPr>
        <w:t>Measures to achieve the objectives:</w:t>
      </w:r>
    </w:p>
    <w:p w14:paraId="20EBB0ED" w14:textId="77777777" w:rsidR="00412AFC" w:rsidRPr="00CD2EEF" w:rsidRDefault="00412AFC" w:rsidP="000E5342">
      <w:pPr>
        <w:pStyle w:val="LPalineje"/>
        <w:rPr>
          <w:lang w:val="en-GB"/>
        </w:rPr>
      </w:pPr>
      <w:r w:rsidRPr="00CD2EEF">
        <w:rPr>
          <w:lang w:val="en-GB"/>
        </w:rPr>
        <w:t>The authorities responsible for nuclear and radiation safety are to implement the programme for the systematic screening of the living and working environment [19] – permanently.</w:t>
      </w:r>
    </w:p>
    <w:p w14:paraId="0CEF40C1" w14:textId="77777777" w:rsidR="00412AFC" w:rsidRPr="00CD2EEF" w:rsidRDefault="00412AFC" w:rsidP="000E5342">
      <w:pPr>
        <w:pStyle w:val="LPalineje"/>
        <w:rPr>
          <w:lang w:val="en-GB"/>
        </w:rPr>
      </w:pPr>
      <w:r w:rsidRPr="00CD2EEF">
        <w:rPr>
          <w:lang w:val="en-GB"/>
        </w:rPr>
        <w:lastRenderedPageBreak/>
        <w:t>The programme for the systematic screening of the living and working environment is to also ensure the detection of materials/activities that generate materials/waste containing naturally occurring radionuclides.</w:t>
      </w:r>
    </w:p>
    <w:p w14:paraId="5193D89F" w14:textId="77777777" w:rsidR="00412AFC" w:rsidRPr="00CD2EEF" w:rsidRDefault="00412AFC" w:rsidP="000E5342">
      <w:pPr>
        <w:pStyle w:val="LPnaslovkrepko"/>
        <w:rPr>
          <w:lang w:val="en-GB"/>
        </w:rPr>
      </w:pPr>
      <w:r w:rsidRPr="00CD2EEF">
        <w:rPr>
          <w:lang w:val="en-GB"/>
        </w:rPr>
        <w:t>Realisation in 2021:</w:t>
      </w:r>
    </w:p>
    <w:p w14:paraId="2FEA218E" w14:textId="1C37742C" w:rsidR="00412AFC" w:rsidRPr="00CD2EEF" w:rsidRDefault="00412AFC" w:rsidP="00416476">
      <w:pPr>
        <w:pStyle w:val="LPnavaden"/>
        <w:rPr>
          <w:lang w:val="en-GB"/>
        </w:rPr>
      </w:pPr>
      <w:r w:rsidRPr="00CD2EEF">
        <w:rPr>
          <w:lang w:val="en-GB"/>
        </w:rPr>
        <w:t xml:space="preserve">Activities are ongoing and described in </w:t>
      </w:r>
      <w:hyperlink w:anchor="ch342" w:history="1">
        <w:r w:rsidRPr="00CD2EEF">
          <w:rPr>
            <w:rStyle w:val="Hiperpovezava"/>
            <w:lang w:val="en-GB"/>
          </w:rPr>
          <w:t>Chapter 3.4.2</w:t>
        </w:r>
      </w:hyperlink>
      <w:r w:rsidRPr="00CD2EEF">
        <w:rPr>
          <w:lang w:val="en-GB"/>
        </w:rPr>
        <w:t xml:space="preserve"> and </w:t>
      </w:r>
      <w:hyperlink w:anchor="ch343" w:history="1">
        <w:r w:rsidRPr="00CD2EEF">
          <w:rPr>
            <w:rStyle w:val="Hiperpovezava"/>
            <w:lang w:val="en-GB"/>
          </w:rPr>
          <w:t>Chapter 3.4.3</w:t>
        </w:r>
      </w:hyperlink>
      <w:r w:rsidRPr="00CD2EEF">
        <w:rPr>
          <w:lang w:val="en-GB"/>
        </w:rPr>
        <w:t>.</w:t>
      </w:r>
    </w:p>
    <w:p w14:paraId="44161D9A" w14:textId="77777777" w:rsidR="00412AFC" w:rsidRPr="00CD2EEF" w:rsidRDefault="00412AFC" w:rsidP="00E01C72">
      <w:pPr>
        <w:pStyle w:val="LPnaslovkrepko"/>
        <w:rPr>
          <w:lang w:val="en-GB"/>
        </w:rPr>
      </w:pPr>
      <w:r w:rsidRPr="00CD2EEF">
        <w:rPr>
          <w:lang w:val="en-GB"/>
        </w:rPr>
        <w:t>Strategy 11</w:t>
      </w:r>
    </w:p>
    <w:p w14:paraId="1F7A6EB2" w14:textId="77777777" w:rsidR="00412AFC" w:rsidRPr="00CD2EEF" w:rsidRDefault="00412AFC" w:rsidP="00E01C72">
      <w:pPr>
        <w:pStyle w:val="LPnavadenposevno"/>
        <w:rPr>
          <w:lang w:val="en-GB"/>
        </w:rPr>
      </w:pPr>
      <w:r w:rsidRPr="00CD2EEF">
        <w:rPr>
          <w:lang w:val="en-GB"/>
        </w:rPr>
        <w:t>The discharge of radioactive waste into the environment is to be carried out in accordance with the prescribed limits for individual nuclear or radiation facilities and radiation practices, whereby the holder of the radioactive waste must ensure that the release of liquid and gaseous radioactive waste into the environment is controlled and minimised within the prescribed limits. An increase in the prescribed limits is not envisaged.</w:t>
      </w:r>
    </w:p>
    <w:p w14:paraId="36F55CA9" w14:textId="77777777" w:rsidR="00412AFC" w:rsidRPr="00CD2EEF" w:rsidRDefault="00412AFC" w:rsidP="00416476">
      <w:pPr>
        <w:pStyle w:val="LPnaslovkrepko"/>
        <w:rPr>
          <w:lang w:val="en-GB"/>
        </w:rPr>
      </w:pPr>
      <w:r w:rsidRPr="00CD2EEF">
        <w:rPr>
          <w:lang w:val="en-GB"/>
        </w:rPr>
        <w:t>Measures to achieve the objectives:</w:t>
      </w:r>
    </w:p>
    <w:p w14:paraId="7DF0897F" w14:textId="77777777" w:rsidR="00412AFC" w:rsidRPr="00CD2EEF" w:rsidRDefault="00412AFC" w:rsidP="00416476">
      <w:pPr>
        <w:pStyle w:val="LPalineje"/>
        <w:rPr>
          <w:lang w:val="en-GB"/>
        </w:rPr>
      </w:pPr>
      <w:r w:rsidRPr="00CD2EEF">
        <w:rPr>
          <w:lang w:val="en-GB"/>
        </w:rPr>
        <w:t>The discharge of liquid and gaseous radioactive waste into the environment if such waste is generated by nuclear and radiation facilities and radiation practices in accordance with the prescribed limits – permanently.</w:t>
      </w:r>
    </w:p>
    <w:p w14:paraId="0FD7BFA1" w14:textId="77777777" w:rsidR="00412AFC" w:rsidRPr="00CD2EEF" w:rsidRDefault="00412AFC" w:rsidP="00416476">
      <w:pPr>
        <w:pStyle w:val="LPalineje"/>
        <w:rPr>
          <w:lang w:val="en-GB"/>
        </w:rPr>
      </w:pPr>
      <w:r w:rsidRPr="00CD2EEF">
        <w:rPr>
          <w:lang w:val="en-GB"/>
        </w:rPr>
        <w:t>The holders of radioactive waste must ensure minimal and controlled release of radioactive waste into the environment – permanently.</w:t>
      </w:r>
    </w:p>
    <w:p w14:paraId="62DF4BF1" w14:textId="77777777" w:rsidR="00412AFC" w:rsidRPr="00CD2EEF" w:rsidRDefault="00412AFC" w:rsidP="00416476">
      <w:pPr>
        <w:pStyle w:val="LPalineje"/>
        <w:rPr>
          <w:lang w:val="en-GB"/>
        </w:rPr>
      </w:pPr>
      <w:r w:rsidRPr="00CD2EEF">
        <w:rPr>
          <w:lang w:val="en-GB"/>
        </w:rPr>
        <w:t>Any changes to the prescribed limits must be made in accordance with the rules and in a transparent manner.</w:t>
      </w:r>
    </w:p>
    <w:p w14:paraId="2B714F31" w14:textId="77777777" w:rsidR="00412AFC" w:rsidRPr="00CD2EEF" w:rsidRDefault="00412AFC" w:rsidP="00416476">
      <w:pPr>
        <w:pStyle w:val="LPnaslovkrepko"/>
        <w:rPr>
          <w:lang w:val="en-GB"/>
        </w:rPr>
      </w:pPr>
      <w:r w:rsidRPr="00CD2EEF">
        <w:rPr>
          <w:lang w:val="en-GB"/>
        </w:rPr>
        <w:t>Realisation in 2021:</w:t>
      </w:r>
    </w:p>
    <w:p w14:paraId="34F7E132" w14:textId="30BF96C4" w:rsidR="00412AFC" w:rsidRPr="00CD2EEF" w:rsidRDefault="00412AFC" w:rsidP="00416476">
      <w:pPr>
        <w:pStyle w:val="LPnavaden"/>
        <w:rPr>
          <w:lang w:val="en-GB"/>
        </w:rPr>
      </w:pPr>
      <w:r w:rsidRPr="00CD2EEF">
        <w:rPr>
          <w:lang w:val="en-GB"/>
        </w:rPr>
        <w:t xml:space="preserve">Performers of radiation activities transfer sources after they stop using them to the CSF operated by the ARAO or return them to the foreign supplier. The ARAO performs the national public service of radioactive waste management. In February 2018, </w:t>
      </w:r>
      <w:r w:rsidR="00A726E8">
        <w:rPr>
          <w:lang w:val="en-GB"/>
        </w:rPr>
        <w:t>the</w:t>
      </w:r>
      <w:r w:rsidR="00E63423">
        <w:rPr>
          <w:lang w:val="en-GB"/>
        </w:rPr>
        <w:t xml:space="preserve"> SNSA</w:t>
      </w:r>
      <w:r w:rsidRPr="00CD2EEF">
        <w:rPr>
          <w:lang w:val="en-GB"/>
        </w:rPr>
        <w:t xml:space="preserve"> issued a decision approving the report on the periodic safety review, thus imposing on the operator the implementation of the implementation plan for the next three years. The decision to approve the report on the periodic safety review was also the basis for extending the operating license in April 2018. Releases of radioactivity into the environment were within the permitted limits. The concept of clearance is applied. In 2021, in order to reduce the volume of RAW in the CSFW and create storage space, the ARAO sent 2,080 ionisation smoke detectors for recycling abroad, where they will also remain.</w:t>
      </w:r>
    </w:p>
    <w:p w14:paraId="2486FF33" w14:textId="77777777" w:rsidR="00412AFC" w:rsidRPr="00CD2EEF" w:rsidRDefault="00412AFC" w:rsidP="00E01C72">
      <w:pPr>
        <w:pStyle w:val="LPnaslovkrepko"/>
        <w:rPr>
          <w:lang w:val="en-GB"/>
        </w:rPr>
      </w:pPr>
      <w:r w:rsidRPr="00CD2EEF">
        <w:rPr>
          <w:lang w:val="en-GB"/>
        </w:rPr>
        <w:t>Strategy 12</w:t>
      </w:r>
    </w:p>
    <w:p w14:paraId="69F91EAB" w14:textId="77777777" w:rsidR="00412AFC" w:rsidRPr="00CD2EEF" w:rsidRDefault="00412AFC" w:rsidP="00416476">
      <w:pPr>
        <w:pStyle w:val="LPnavadenposevno"/>
        <w:rPr>
          <w:lang w:val="en-GB"/>
        </w:rPr>
      </w:pPr>
      <w:r w:rsidRPr="00CD2EEF">
        <w:rPr>
          <w:lang w:val="en-GB"/>
        </w:rPr>
        <w:t>The State is to maintain and update the legislative and institutional framework, ensure the research and development required for the implementation of the national programme and provide information to the public on progress in the implementation of this programme.</w:t>
      </w:r>
    </w:p>
    <w:p w14:paraId="151A697B" w14:textId="77777777" w:rsidR="00412AFC" w:rsidRPr="00CD2EEF" w:rsidRDefault="00412AFC" w:rsidP="00416476">
      <w:pPr>
        <w:pStyle w:val="LPnaslovkrepko"/>
        <w:rPr>
          <w:lang w:val="en-GB"/>
        </w:rPr>
      </w:pPr>
      <w:r w:rsidRPr="00CD2EEF">
        <w:rPr>
          <w:lang w:val="en-GB"/>
        </w:rPr>
        <w:t xml:space="preserve">Measures to achieve the objectives: </w:t>
      </w:r>
    </w:p>
    <w:p w14:paraId="314D419E" w14:textId="77777777" w:rsidR="00412AFC" w:rsidRPr="00CD2EEF" w:rsidRDefault="00412AFC" w:rsidP="00416476">
      <w:pPr>
        <w:pStyle w:val="LPalineje"/>
        <w:rPr>
          <w:lang w:val="en-GB"/>
        </w:rPr>
      </w:pPr>
      <w:r w:rsidRPr="00CD2EEF">
        <w:rPr>
          <w:lang w:val="en-GB"/>
        </w:rPr>
        <w:t>National authorities are to monitor the adequacy of the legislative and institutional solutions and, where appropriate, propose amendments thereto – permanently.</w:t>
      </w:r>
    </w:p>
    <w:p w14:paraId="1D471529" w14:textId="1C444FFE" w:rsidR="00412AFC" w:rsidRDefault="00412AFC" w:rsidP="00416476">
      <w:pPr>
        <w:pStyle w:val="LPalineje"/>
        <w:rPr>
          <w:lang w:val="en-GB"/>
        </w:rPr>
      </w:pPr>
      <w:r w:rsidRPr="00CD2EEF">
        <w:rPr>
          <w:lang w:val="en-GB"/>
        </w:rPr>
        <w:t>The state is to ensure that research and development activities be carried out in the field of radioactive waste and spent fuel management through the ARAO or as part of a wider research programme implemented in accordance with the Resolution on Nuclear and Radiation Safety – permanently.</w:t>
      </w:r>
    </w:p>
    <w:p w14:paraId="03BD95B3" w14:textId="77777777" w:rsidR="00643144" w:rsidRPr="00643144" w:rsidRDefault="00643144" w:rsidP="00643144">
      <w:pPr>
        <w:rPr>
          <w:lang w:val="en-GB"/>
        </w:rPr>
      </w:pPr>
    </w:p>
    <w:p w14:paraId="4B037879" w14:textId="77777777" w:rsidR="00412AFC" w:rsidRPr="00CD2EEF" w:rsidRDefault="00412AFC" w:rsidP="00416476">
      <w:pPr>
        <w:pStyle w:val="LPnaslovkrepko"/>
        <w:rPr>
          <w:lang w:val="en-GB"/>
        </w:rPr>
      </w:pPr>
      <w:r w:rsidRPr="00CD2EEF">
        <w:rPr>
          <w:lang w:val="en-GB"/>
        </w:rPr>
        <w:lastRenderedPageBreak/>
        <w:t>Realisation in 2021:</w:t>
      </w:r>
    </w:p>
    <w:p w14:paraId="5F3184BC" w14:textId="57EDA015" w:rsidR="00412AFC" w:rsidRPr="00CD2EEF" w:rsidRDefault="00412AFC" w:rsidP="00416476">
      <w:pPr>
        <w:pStyle w:val="LPnavaden"/>
        <w:rPr>
          <w:lang w:val="en-GB"/>
        </w:rPr>
      </w:pPr>
      <w:r w:rsidRPr="00CD2EEF">
        <w:rPr>
          <w:lang w:val="en-GB"/>
        </w:rPr>
        <w:t xml:space="preserve">The strategy is ongoing; the details can be found in </w:t>
      </w:r>
      <w:hyperlink w:anchor="ch83" w:history="1">
        <w:r w:rsidRPr="00CD2EEF">
          <w:rPr>
            <w:rStyle w:val="Hiperpovezava"/>
            <w:lang w:val="en-GB"/>
          </w:rPr>
          <w:t>Chapter 8.3</w:t>
        </w:r>
      </w:hyperlink>
      <w:r w:rsidRPr="00CD2EEF">
        <w:rPr>
          <w:lang w:val="en-GB"/>
        </w:rPr>
        <w:t xml:space="preserve"> and </w:t>
      </w:r>
      <w:hyperlink w:anchor="ch84" w:history="1">
        <w:r w:rsidRPr="00CD2EEF">
          <w:rPr>
            <w:rStyle w:val="Hiperpovezava"/>
            <w:lang w:val="en-GB"/>
          </w:rPr>
          <w:t>Chapter 8.4</w:t>
        </w:r>
      </w:hyperlink>
      <w:r w:rsidRPr="00CD2EEF">
        <w:rPr>
          <w:lang w:val="en-GB"/>
        </w:rPr>
        <w:t>.</w:t>
      </w:r>
    </w:p>
    <w:p w14:paraId="09BE04C8" w14:textId="77777777" w:rsidR="00412AFC" w:rsidRPr="00CD2EEF" w:rsidRDefault="00412AFC" w:rsidP="00F57737">
      <w:pPr>
        <w:pStyle w:val="LPNaslov2"/>
        <w:rPr>
          <w:lang w:val="en-GB"/>
        </w:rPr>
      </w:pPr>
      <w:bookmarkStart w:id="384" w:name="ch83"/>
      <w:bookmarkStart w:id="385" w:name="_Toc126312036"/>
      <w:r w:rsidRPr="00CD2EEF">
        <w:rPr>
          <w:lang w:val="en-GB"/>
        </w:rPr>
        <w:t>LEGISLATION IN THE FIELD OF NUCLEAR AND RADIATION SAFETY</w:t>
      </w:r>
      <w:bookmarkEnd w:id="385"/>
    </w:p>
    <w:bookmarkEnd w:id="384"/>
    <w:p w14:paraId="59CA1005" w14:textId="77777777" w:rsidR="00412AFC" w:rsidRPr="00CD2EEF" w:rsidRDefault="00412AFC" w:rsidP="00B83108">
      <w:pPr>
        <w:pStyle w:val="LPnavaden"/>
        <w:rPr>
          <w:lang w:val="en-GB"/>
        </w:rPr>
      </w:pPr>
      <w:r w:rsidRPr="00CD2EEF">
        <w:rPr>
          <w:lang w:val="en-GB"/>
        </w:rPr>
        <w:t xml:space="preserve">The most important regulation in the field of nuclear and radiation safety in the Republic of Slovenia is the </w:t>
      </w:r>
      <w:r w:rsidRPr="00CD2EEF">
        <w:rPr>
          <w:rStyle w:val="LPnavadenposevnoZnak"/>
          <w:lang w:val="en-GB"/>
        </w:rPr>
        <w:t>Ionising Radiation Protection and Nuclear Safety Act</w:t>
      </w:r>
      <w:r w:rsidRPr="00CD2EEF">
        <w:rPr>
          <w:lang w:val="en-GB"/>
        </w:rPr>
        <w:t>. It was adopted in 2002 (ZVISJV, Official Gazette of the Republic of Slovenia, No. 67/02), first amended in 2003 (ZVISJV-A, Official Gazette of the Republic of Slovenia, No. 24/03), for the second time in 2004 (ZVISJV-B, Official Gazette of the Republic of Slovenia, No. 46/04), for the third time in 2011 (ZVISJV-C, Official Gazette of the Republic of Slovenia, No. 60/11) and for the fourth time in 2015 (ZVISJV-D, Official Gazette of the Republic of Slovenia, No. 74/15).</w:t>
      </w:r>
    </w:p>
    <w:p w14:paraId="37D585D4" w14:textId="41D19FD3" w:rsidR="00412AFC" w:rsidRPr="00CD2EEF" w:rsidRDefault="00412AFC" w:rsidP="00B83108">
      <w:pPr>
        <w:pStyle w:val="LPnavaden"/>
        <w:rPr>
          <w:lang w:val="en-GB"/>
        </w:rPr>
      </w:pPr>
      <w:r w:rsidRPr="00CD2EEF">
        <w:rPr>
          <w:lang w:val="en-GB"/>
        </w:rPr>
        <w:t xml:space="preserve">Following a series of amendments to the 2002 Act, the new </w:t>
      </w:r>
      <w:r w:rsidRPr="00CD2EEF">
        <w:rPr>
          <w:rStyle w:val="LPnavadenposevnoZnak"/>
          <w:lang w:val="en-GB"/>
        </w:rPr>
        <w:t>Ionising Radiation Protection and Nuclear Safety Act</w:t>
      </w:r>
      <w:r w:rsidRPr="00CD2EEF">
        <w:rPr>
          <w:lang w:val="en-GB"/>
        </w:rPr>
        <w:t xml:space="preserve"> (ZVISJV-1) was adopted and published in the Official Gazette of the Republic of Slovenia, No. 76</w:t>
      </w:r>
      <w:r w:rsidR="00F103ED">
        <w:rPr>
          <w:lang w:val="en-GB"/>
        </w:rPr>
        <w:t>,</w:t>
      </w:r>
      <w:r w:rsidRPr="00CD2EEF">
        <w:rPr>
          <w:lang w:val="en-GB"/>
        </w:rPr>
        <w:t xml:space="preserve"> on 22 December 2017, and entered into force on 6 November 2018. The amendment to the Act </w:t>
      </w:r>
      <w:r w:rsidR="00F103ED" w:rsidRPr="00CD2EEF">
        <w:rPr>
          <w:lang w:val="en-GB"/>
        </w:rPr>
        <w:t xml:space="preserve">already </w:t>
      </w:r>
      <w:r w:rsidRPr="00CD2EEF">
        <w:rPr>
          <w:lang w:val="en-GB"/>
        </w:rPr>
        <w:t>followed in the following year, when the ZVISJV-1A was published in the Official Gazette of the Republic of Slovenia, No. 26/19 of 26 April 2019, and entered into force on 11 May 2019. The adopted amendment to the Act regulated the security clearance procedure for foreign nationals in a substantively similar manner as determined for citizens of the Republic Slovenia.</w:t>
      </w:r>
    </w:p>
    <w:p w14:paraId="157BF314" w14:textId="11FFFFFC" w:rsidR="00412AFC" w:rsidRPr="00CD2EEF" w:rsidRDefault="00412AFC" w:rsidP="00B83108">
      <w:pPr>
        <w:pStyle w:val="LPnavaden"/>
        <w:rPr>
          <w:lang w:val="en-GB"/>
        </w:rPr>
      </w:pPr>
      <w:r w:rsidRPr="00CD2EEF">
        <w:rPr>
          <w:lang w:val="en-GB"/>
        </w:rPr>
        <w:t xml:space="preserve">Even in the following years, unfortunately, the basic law in the field of nuclear and radiation safety in the country was not without interventions. Thus, in 2020, </w:t>
      </w:r>
      <w:r w:rsidR="00A726E8">
        <w:rPr>
          <w:lang w:val="en-GB"/>
        </w:rPr>
        <w:t>the</w:t>
      </w:r>
      <w:r w:rsidR="00E63423">
        <w:rPr>
          <w:lang w:val="en-GB"/>
        </w:rPr>
        <w:t xml:space="preserve"> SNSA</w:t>
      </w:r>
      <w:r w:rsidRPr="00CD2EEF">
        <w:rPr>
          <w:lang w:val="en-GB"/>
        </w:rPr>
        <w:t xml:space="preserve"> prepared a proposal for the </w:t>
      </w:r>
      <w:r w:rsidRPr="00CD2EEF">
        <w:rPr>
          <w:i/>
          <w:iCs/>
          <w:lang w:val="en-GB"/>
        </w:rPr>
        <w:t>Amendments to the Act on Protection against I</w:t>
      </w:r>
      <w:r w:rsidR="00837F00">
        <w:rPr>
          <w:i/>
          <w:iCs/>
          <w:lang w:val="en-GB"/>
        </w:rPr>
        <w:t>onis</w:t>
      </w:r>
      <w:r w:rsidRPr="00CD2EEF">
        <w:rPr>
          <w:i/>
          <w:iCs/>
          <w:lang w:val="en-GB"/>
        </w:rPr>
        <w:t>ing Radiation and Nuclear Safety (ZVISJV-1B</w:t>
      </w:r>
      <w:r w:rsidRPr="00CD2EEF">
        <w:rPr>
          <w:lang w:val="en-GB"/>
        </w:rPr>
        <w:t xml:space="preserve">). The proposed amendments to the </w:t>
      </w:r>
      <w:r w:rsidR="00F103ED">
        <w:rPr>
          <w:lang w:val="en-GB"/>
        </w:rPr>
        <w:t>A</w:t>
      </w:r>
      <w:r w:rsidRPr="00CD2EEF">
        <w:rPr>
          <w:lang w:val="en-GB"/>
        </w:rPr>
        <w:t xml:space="preserve">ct were published on the </w:t>
      </w:r>
      <w:hyperlink r:id="rId60" w:history="1">
        <w:r w:rsidRPr="00CD2EEF">
          <w:rPr>
            <w:rStyle w:val="Hiperpovezava"/>
            <w:lang w:val="en-GB"/>
          </w:rPr>
          <w:t>eDemocracy</w:t>
        </w:r>
      </w:hyperlink>
      <w:r w:rsidRPr="00CD2EEF">
        <w:rPr>
          <w:lang w:val="en-GB"/>
        </w:rPr>
        <w:t xml:space="preserve"> website on 16 November 2020, and at the end of December 2020, before the internal legal procedure for its adoption continued, the draft </w:t>
      </w:r>
      <w:r w:rsidRPr="009B2130">
        <w:rPr>
          <w:lang w:val="en-GB"/>
        </w:rPr>
        <w:t xml:space="preserve">was sent, in accordance with Article 33 of the </w:t>
      </w:r>
      <w:r w:rsidRPr="009B2130">
        <w:rPr>
          <w:rStyle w:val="LPnavadenposevnoZnak"/>
          <w:lang w:val="en-GB"/>
        </w:rPr>
        <w:t>Treaty on the Establishment of the European Atomic Energy Community (Euratom)</w:t>
      </w:r>
      <w:r w:rsidR="007722B4" w:rsidRPr="009B2130">
        <w:rPr>
          <w:rStyle w:val="LPnavadenposevnoZnak"/>
          <w:i w:val="0"/>
          <w:iCs/>
          <w:lang w:val="en-GB"/>
        </w:rPr>
        <w:t>,</w:t>
      </w:r>
      <w:r w:rsidRPr="009B2130">
        <w:rPr>
          <w:lang w:val="en-GB"/>
        </w:rPr>
        <w:t xml:space="preserve"> via the Slovenian Permanent Representation in Brussels</w:t>
      </w:r>
      <w:r w:rsidR="003E6FD3" w:rsidRPr="00980AEC">
        <w:rPr>
          <w:lang w:val="en-GB"/>
        </w:rPr>
        <w:t>,</w:t>
      </w:r>
      <w:r w:rsidRPr="009B2130">
        <w:rPr>
          <w:lang w:val="en-GB"/>
        </w:rPr>
        <w:t xml:space="preserve"> also to the</w:t>
      </w:r>
      <w:r w:rsidRPr="00CD2EEF">
        <w:rPr>
          <w:lang w:val="en-GB"/>
        </w:rPr>
        <w:t xml:space="preserve"> European Commission, Directorate for Energy. The adoption process then continued in 2021 and ended with the publication of the ZVISJV-1B in the Official Gazette of the Republic of Slovenia, </w:t>
      </w:r>
      <w:r w:rsidR="00610B9D">
        <w:rPr>
          <w:lang w:val="en-GB"/>
        </w:rPr>
        <w:t xml:space="preserve">No. </w:t>
      </w:r>
      <w:r w:rsidRPr="00CD2EEF">
        <w:rPr>
          <w:lang w:val="en-GB"/>
        </w:rPr>
        <w:t>172/21 of 29 October 2021, which entered into force on 13 November 2021.</w:t>
      </w:r>
    </w:p>
    <w:p w14:paraId="4F2910AB" w14:textId="1B9D9822" w:rsidR="00412AFC" w:rsidRPr="00CD2EEF" w:rsidRDefault="00412AFC" w:rsidP="00B83108">
      <w:pPr>
        <w:pStyle w:val="LPnavaden"/>
        <w:rPr>
          <w:lang w:val="en-GB"/>
        </w:rPr>
      </w:pPr>
      <w:r w:rsidRPr="00CD2EEF">
        <w:rPr>
          <w:lang w:val="en-GB"/>
        </w:rPr>
        <w:t xml:space="preserve">At the end of 2020, Slovenia received a letter of formal notice from the European Commission due to </w:t>
      </w:r>
      <w:r w:rsidR="00DC0DA4">
        <w:rPr>
          <w:lang w:val="en-GB"/>
        </w:rPr>
        <w:t xml:space="preserve">the </w:t>
      </w:r>
      <w:r w:rsidRPr="00CD2EEF">
        <w:rPr>
          <w:lang w:val="en-GB"/>
        </w:rPr>
        <w:t xml:space="preserve">non-notification of all regulations for the transposition of the so-called BSS Directive (Council Directive 2013/59/Euratom of </w:t>
      </w:r>
      <w:r w:rsidR="00DC0DA4">
        <w:rPr>
          <w:lang w:val="en-GB"/>
        </w:rPr>
        <w:t xml:space="preserve">5 </w:t>
      </w:r>
      <w:r w:rsidRPr="00CD2EEF">
        <w:rPr>
          <w:lang w:val="en-GB"/>
        </w:rPr>
        <w:t>December 2013, on the establishment of basic safety standards for protection against the dangers of i</w:t>
      </w:r>
      <w:r w:rsidR="00837F00">
        <w:rPr>
          <w:lang w:val="en-GB"/>
        </w:rPr>
        <w:t>onis</w:t>
      </w:r>
      <w:r w:rsidRPr="00CD2EEF">
        <w:rPr>
          <w:lang w:val="en-GB"/>
        </w:rPr>
        <w:t>ing radiation and on the repeal of Directives 89/618/Euratom, 90/641/Euratom, 96/29/Euratom, 97/43/Euratom</w:t>
      </w:r>
      <w:r w:rsidR="00DC0DA4">
        <w:rPr>
          <w:lang w:val="en-GB"/>
        </w:rPr>
        <w:t>,</w:t>
      </w:r>
      <w:r w:rsidRPr="00CD2EEF">
        <w:rPr>
          <w:lang w:val="en-GB"/>
        </w:rPr>
        <w:t xml:space="preserve"> and 2003/122/Euratom). In response to the letter of formal notice, Slovenia undertook to eliminate the alleged violations by adopting amendments to some valid regulations and by adopting a new one; the commitment specifically referred to:</w:t>
      </w:r>
    </w:p>
    <w:p w14:paraId="7571581E" w14:textId="07E20807" w:rsidR="00412AFC" w:rsidRPr="00CD2EEF" w:rsidRDefault="00412AFC" w:rsidP="00B83108">
      <w:pPr>
        <w:pStyle w:val="LPalineje"/>
        <w:rPr>
          <w:lang w:val="en-GB"/>
        </w:rPr>
      </w:pPr>
      <w:r w:rsidRPr="00CD2EEF">
        <w:rPr>
          <w:lang w:val="en-GB"/>
        </w:rPr>
        <w:t>amendments to the Act on Protection against I</w:t>
      </w:r>
      <w:r w:rsidR="00837F00">
        <w:rPr>
          <w:lang w:val="en-GB"/>
        </w:rPr>
        <w:t>onis</w:t>
      </w:r>
      <w:r w:rsidRPr="00CD2EEF">
        <w:rPr>
          <w:lang w:val="en-GB"/>
        </w:rPr>
        <w:t>ing Radiation and Nuclear Safety,</w:t>
      </w:r>
    </w:p>
    <w:p w14:paraId="184E7B99" w14:textId="77777777" w:rsidR="00412AFC" w:rsidRPr="00CD2EEF" w:rsidRDefault="00412AFC" w:rsidP="00B83108">
      <w:pPr>
        <w:pStyle w:val="LPalineje"/>
        <w:rPr>
          <w:lang w:val="en-GB"/>
        </w:rPr>
      </w:pPr>
      <w:r w:rsidRPr="00CD2EEF">
        <w:rPr>
          <w:lang w:val="en-GB"/>
        </w:rPr>
        <w:t xml:space="preserve">amendments to the </w:t>
      </w:r>
      <w:r w:rsidRPr="00CD2EEF">
        <w:rPr>
          <w:rFonts w:cs="Arial"/>
          <w:shd w:val="clear" w:color="auto" w:fill="FFFFFF"/>
          <w:lang w:val="en-GB"/>
        </w:rPr>
        <w:t>Rules on special radiation protection requirements and the method of dose assessment,</w:t>
      </w:r>
    </w:p>
    <w:p w14:paraId="15E86A6F" w14:textId="6CA63DE1" w:rsidR="00412AFC" w:rsidRPr="00CD2EEF" w:rsidRDefault="00412AFC" w:rsidP="00B83108">
      <w:pPr>
        <w:pStyle w:val="LPalineje"/>
        <w:rPr>
          <w:lang w:val="en-GB"/>
        </w:rPr>
      </w:pPr>
      <w:r w:rsidRPr="00CD2EEF">
        <w:rPr>
          <w:lang w:val="en-GB"/>
        </w:rPr>
        <w:t xml:space="preserve">new </w:t>
      </w:r>
      <w:r w:rsidRPr="00980AEC">
        <w:rPr>
          <w:rFonts w:cs="Arial"/>
          <w:shd w:val="clear" w:color="auto" w:fill="FFFFFF"/>
          <w:lang w:val="en-GB"/>
        </w:rPr>
        <w:t>Rules on radioactive waste and spent fuel management</w:t>
      </w:r>
      <w:r w:rsidR="00F10D67" w:rsidRPr="00980AEC">
        <w:rPr>
          <w:rFonts w:cs="Arial"/>
          <w:shd w:val="clear" w:color="auto" w:fill="FFFFFF"/>
          <w:lang w:val="en-GB"/>
        </w:rPr>
        <w:t>,</w:t>
      </w:r>
      <w:r w:rsidRPr="00980AEC">
        <w:rPr>
          <w:rFonts w:cs="Arial"/>
          <w:shd w:val="clear" w:color="auto" w:fill="FFFFFF"/>
          <w:lang w:val="en-GB"/>
        </w:rPr>
        <w:t xml:space="preserve"> and</w:t>
      </w:r>
      <w:r w:rsidRPr="00CD2EEF">
        <w:rPr>
          <w:rFonts w:cs="Arial"/>
          <w:shd w:val="clear" w:color="auto" w:fill="FFFFFF"/>
          <w:lang w:val="en-GB"/>
        </w:rPr>
        <w:t xml:space="preserve"> </w:t>
      </w:r>
    </w:p>
    <w:p w14:paraId="1047F39A" w14:textId="01B03C35" w:rsidR="00412AFC" w:rsidRPr="00CD2EEF" w:rsidRDefault="00412AFC" w:rsidP="00B83108">
      <w:pPr>
        <w:pStyle w:val="LPalineje"/>
        <w:rPr>
          <w:lang w:val="en-GB"/>
        </w:rPr>
      </w:pPr>
      <w:r w:rsidRPr="00CD2EEF">
        <w:rPr>
          <w:rFonts w:cs="Arial"/>
          <w:shd w:val="clear" w:color="auto" w:fill="FFFFFF"/>
          <w:lang w:val="en-GB"/>
        </w:rPr>
        <w:t xml:space="preserve">Rules on requirements for new constructions and interventions in existing buildings in order to protect </w:t>
      </w:r>
      <w:r w:rsidR="002B6381" w:rsidRPr="00000F35">
        <w:rPr>
          <w:rFonts w:cs="Arial"/>
          <w:shd w:val="clear" w:color="auto" w:fill="FFFFFF"/>
          <w:lang w:val="en-GB"/>
        </w:rPr>
        <w:t xml:space="preserve">the </w:t>
      </w:r>
      <w:r w:rsidRPr="00000F35">
        <w:rPr>
          <w:rFonts w:cs="Arial"/>
          <w:shd w:val="clear" w:color="auto" w:fill="FFFFFF"/>
          <w:lang w:val="en-GB"/>
        </w:rPr>
        <w:t>health</w:t>
      </w:r>
      <w:r w:rsidR="002B6381" w:rsidRPr="00000F35">
        <w:rPr>
          <w:rFonts w:cs="Arial"/>
          <w:shd w:val="clear" w:color="auto" w:fill="FFFFFF"/>
          <w:lang w:val="en-GB"/>
        </w:rPr>
        <w:t xml:space="preserve"> of individuals</w:t>
      </w:r>
      <w:r w:rsidRPr="00000F35">
        <w:rPr>
          <w:rFonts w:cs="Arial"/>
          <w:shd w:val="clear" w:color="auto" w:fill="FFFFFF"/>
          <w:lang w:val="en-GB"/>
        </w:rPr>
        <w:t xml:space="preserve"> from</w:t>
      </w:r>
      <w:r w:rsidRPr="00CD2EEF">
        <w:rPr>
          <w:rFonts w:cs="Arial"/>
          <w:shd w:val="clear" w:color="auto" w:fill="FFFFFF"/>
          <w:lang w:val="en-GB"/>
        </w:rPr>
        <w:t xml:space="preserve"> the harmful effects of radon</w:t>
      </w:r>
      <w:r w:rsidRPr="00CD2EEF">
        <w:rPr>
          <w:lang w:val="en-GB"/>
        </w:rPr>
        <w:t>.</w:t>
      </w:r>
    </w:p>
    <w:p w14:paraId="3359152A" w14:textId="61027A18" w:rsidR="00412AFC" w:rsidRPr="00CD2EEF" w:rsidRDefault="00412AFC" w:rsidP="00B83108">
      <w:pPr>
        <w:pStyle w:val="LPnavaden"/>
        <w:rPr>
          <w:lang w:val="en-GB"/>
        </w:rPr>
      </w:pPr>
      <w:r w:rsidRPr="00CD2EEF">
        <w:rPr>
          <w:lang w:val="en-GB"/>
        </w:rPr>
        <w:lastRenderedPageBreak/>
        <w:t xml:space="preserve">By the end of 2021, three of the above-mentioned regulations </w:t>
      </w:r>
      <w:r w:rsidR="0047281C">
        <w:rPr>
          <w:lang w:val="en-GB"/>
        </w:rPr>
        <w:t>had</w:t>
      </w:r>
      <w:r w:rsidR="0047281C" w:rsidRPr="00CD2EEF">
        <w:rPr>
          <w:lang w:val="en-GB"/>
        </w:rPr>
        <w:t xml:space="preserve"> </w:t>
      </w:r>
      <w:r w:rsidRPr="00CD2EEF">
        <w:rPr>
          <w:lang w:val="en-GB"/>
        </w:rPr>
        <w:t>been adopted, published in</w:t>
      </w:r>
      <w:r w:rsidR="00434EFE">
        <w:rPr>
          <w:lang w:val="en-GB"/>
        </w:rPr>
        <w:t xml:space="preserve"> </w:t>
      </w:r>
      <w:r w:rsidR="0099518A">
        <w:rPr>
          <w:lang w:val="en-GB"/>
        </w:rPr>
        <w:t>the</w:t>
      </w:r>
      <w:r w:rsidRPr="00CD2EEF">
        <w:rPr>
          <w:lang w:val="en-GB"/>
        </w:rPr>
        <w:t xml:space="preserve"> Official Gazette, and entered into force.</w:t>
      </w:r>
    </w:p>
    <w:p w14:paraId="7B8DCB43" w14:textId="583F6661" w:rsidR="00412AFC" w:rsidRPr="00CD2EEF" w:rsidRDefault="00412AFC" w:rsidP="00B83108">
      <w:pPr>
        <w:pStyle w:val="LPnavaden"/>
        <w:rPr>
          <w:lang w:val="en-GB"/>
        </w:rPr>
      </w:pPr>
      <w:r w:rsidRPr="00CD2EEF">
        <w:rPr>
          <w:lang w:val="en-GB"/>
        </w:rPr>
        <w:t xml:space="preserve">Thus, already at the beginning of March 2021, the amendments to the </w:t>
      </w:r>
      <w:r w:rsidRPr="00CD2EEF">
        <w:rPr>
          <w:rFonts w:cs="Arial"/>
          <w:i/>
          <w:iCs/>
          <w:shd w:val="clear" w:color="auto" w:fill="FFFFFF"/>
          <w:lang w:val="en-GB"/>
        </w:rPr>
        <w:t>Rules on special radiation protection requirements and the method of dose assessment</w:t>
      </w:r>
      <w:r w:rsidRPr="00CD2EEF">
        <w:rPr>
          <w:lang w:val="en-GB"/>
        </w:rPr>
        <w:t xml:space="preserve">, adopted by the Minister of Health and prepared by the SRPA and </w:t>
      </w:r>
      <w:r w:rsidR="00E63423">
        <w:rPr>
          <w:lang w:val="en-GB"/>
        </w:rPr>
        <w:t>the SNSA</w:t>
      </w:r>
      <w:r w:rsidRPr="00CD2EEF">
        <w:rPr>
          <w:lang w:val="en-GB"/>
        </w:rPr>
        <w:t xml:space="preserve">, </w:t>
      </w:r>
      <w:r w:rsidR="00000F35">
        <w:rPr>
          <w:lang w:val="en-GB"/>
        </w:rPr>
        <w:t>were</w:t>
      </w:r>
      <w:r w:rsidR="00000F35" w:rsidRPr="00CD2EEF">
        <w:rPr>
          <w:lang w:val="en-GB"/>
        </w:rPr>
        <w:t xml:space="preserve"> </w:t>
      </w:r>
      <w:r w:rsidRPr="00CD2EEF">
        <w:rPr>
          <w:lang w:val="en-GB"/>
        </w:rPr>
        <w:t xml:space="preserve">published in the Official Gazette of the Republic of Slovenia, No. 30/21. In addition to some minor editorial corrections, the adopted amendments mainly relate to the scope and content of the assessment of eligibility for the use of a new type of radiation activity, the use of a new type of radiation source, or the implementing of a new method of using an already tested radiation source. Another more extensive and substantively important amendment concerns the assessment of doses </w:t>
      </w:r>
      <w:r w:rsidR="009165D7">
        <w:rPr>
          <w:lang w:val="en-GB"/>
        </w:rPr>
        <w:t>during</w:t>
      </w:r>
      <w:r w:rsidRPr="00CD2EEF">
        <w:rPr>
          <w:lang w:val="en-GB"/>
        </w:rPr>
        <w:t xml:space="preserve"> </w:t>
      </w:r>
      <w:r w:rsidR="009165D7">
        <w:rPr>
          <w:lang w:val="en-GB"/>
        </w:rPr>
        <w:t xml:space="preserve">an </w:t>
      </w:r>
      <w:r w:rsidRPr="00CD2EEF">
        <w:rPr>
          <w:lang w:val="en-GB"/>
        </w:rPr>
        <w:t>emergency, in which protection and rescue plans are used in the event of a nuclear or radiological accident.</w:t>
      </w:r>
    </w:p>
    <w:p w14:paraId="09BBD5D6" w14:textId="5898CEFA" w:rsidR="00412AFC" w:rsidRPr="00CD2EEF" w:rsidRDefault="00412AFC" w:rsidP="00B83108">
      <w:pPr>
        <w:pStyle w:val="LPnavaden"/>
        <w:rPr>
          <w:lang w:val="en-GB"/>
        </w:rPr>
      </w:pPr>
      <w:r w:rsidRPr="00CD2EEF">
        <w:rPr>
          <w:lang w:val="en-GB"/>
        </w:rPr>
        <w:t xml:space="preserve">On </w:t>
      </w:r>
      <w:r w:rsidR="009165D7">
        <w:rPr>
          <w:lang w:val="en-GB"/>
        </w:rPr>
        <w:t xml:space="preserve">30 </w:t>
      </w:r>
      <w:r w:rsidRPr="00CD2EEF">
        <w:rPr>
          <w:lang w:val="en-GB"/>
        </w:rPr>
        <w:t xml:space="preserve">July 2021, </w:t>
      </w:r>
      <w:r w:rsidR="00946D28">
        <w:rPr>
          <w:lang w:val="en-GB"/>
        </w:rPr>
        <w:t>the</w:t>
      </w:r>
      <w:r w:rsidR="00946D28" w:rsidRPr="00CD2EEF">
        <w:rPr>
          <w:lang w:val="en-GB"/>
        </w:rPr>
        <w:t xml:space="preserve"> </w:t>
      </w:r>
      <w:r w:rsidRPr="00CD2EEF">
        <w:rPr>
          <w:lang w:val="en-GB"/>
        </w:rPr>
        <w:t xml:space="preserve">new </w:t>
      </w:r>
      <w:r w:rsidRPr="00CD2EEF">
        <w:rPr>
          <w:rFonts w:cs="Arial"/>
          <w:i/>
          <w:iCs/>
          <w:shd w:val="clear" w:color="auto" w:fill="FFFFFF"/>
          <w:lang w:val="en-GB"/>
        </w:rPr>
        <w:t>Rules on radioactive waste and spent fuel management</w:t>
      </w:r>
      <w:r w:rsidRPr="00CD2EEF">
        <w:rPr>
          <w:rFonts w:cs="Arial"/>
          <w:shd w:val="clear" w:color="auto" w:fill="FFFFFF"/>
          <w:lang w:val="en-GB"/>
        </w:rPr>
        <w:t xml:space="preserve"> </w:t>
      </w:r>
      <w:r w:rsidR="00946D28">
        <w:rPr>
          <w:rFonts w:cs="Arial"/>
          <w:shd w:val="clear" w:color="auto" w:fill="FFFFFF"/>
          <w:lang w:val="en-GB"/>
        </w:rPr>
        <w:t>were</w:t>
      </w:r>
      <w:r w:rsidR="00946D28" w:rsidRPr="00CD2EEF">
        <w:rPr>
          <w:lang w:val="en-GB"/>
        </w:rPr>
        <w:t xml:space="preserve"> </w:t>
      </w:r>
      <w:r w:rsidRPr="00CD2EEF">
        <w:rPr>
          <w:lang w:val="en-GB"/>
        </w:rPr>
        <w:t xml:space="preserve">published in the Official Gazette, which came into force on </w:t>
      </w:r>
      <w:r w:rsidR="00946D28">
        <w:rPr>
          <w:lang w:val="en-GB"/>
        </w:rPr>
        <w:t xml:space="preserve">14 </w:t>
      </w:r>
      <w:r w:rsidRPr="00CD2EEF">
        <w:rPr>
          <w:lang w:val="en-GB"/>
        </w:rPr>
        <w:t xml:space="preserve">August 2021. The new Rules basically follow the rules from 2006. With the new </w:t>
      </w:r>
      <w:r w:rsidR="00946D28">
        <w:rPr>
          <w:lang w:val="en-GB"/>
        </w:rPr>
        <w:t>R</w:t>
      </w:r>
      <w:r w:rsidRPr="00CD2EEF">
        <w:rPr>
          <w:lang w:val="en-GB"/>
        </w:rPr>
        <w:t>ules, the requirements of WENRA (</w:t>
      </w:r>
      <w:r w:rsidRPr="00CD2EEF">
        <w:rPr>
          <w:rFonts w:cs="Calibri"/>
          <w:shd w:val="clear" w:color="auto" w:fill="FFFFFF"/>
          <w:lang w:val="en-GB"/>
        </w:rPr>
        <w:t>Western European Nuclear Regulators Association</w:t>
      </w:r>
      <w:r w:rsidRPr="00CD2EEF">
        <w:rPr>
          <w:lang w:val="en-GB"/>
        </w:rPr>
        <w:t xml:space="preserve">) and provisions regarding the determination of releases of radioactive substances into the environment in accordance with the BSS directive are transposed to the Slovenian legal system. Also, some other provisions have been supplemented with </w:t>
      </w:r>
      <w:r w:rsidR="00946D28">
        <w:rPr>
          <w:lang w:val="en-GB"/>
        </w:rPr>
        <w:t xml:space="preserve">the </w:t>
      </w:r>
      <w:r w:rsidRPr="00CD2EEF">
        <w:rPr>
          <w:lang w:val="en-GB"/>
        </w:rPr>
        <w:t>knowledge and experience</w:t>
      </w:r>
      <w:r w:rsidR="00946D28">
        <w:rPr>
          <w:lang w:val="en-GB"/>
        </w:rPr>
        <w:t>s</w:t>
      </w:r>
      <w:r w:rsidRPr="00CD2EEF">
        <w:rPr>
          <w:lang w:val="en-GB"/>
        </w:rPr>
        <w:t xml:space="preserve"> from years of use of the current </w:t>
      </w:r>
      <w:r w:rsidR="00F55AE3">
        <w:rPr>
          <w:lang w:val="en-GB"/>
        </w:rPr>
        <w:t>R</w:t>
      </w:r>
      <w:r w:rsidRPr="00CD2EEF">
        <w:rPr>
          <w:lang w:val="en-GB"/>
        </w:rPr>
        <w:t xml:space="preserve">ules and alignment with the ZVISJV-1A. The </w:t>
      </w:r>
      <w:r w:rsidR="00F55AE3">
        <w:rPr>
          <w:lang w:val="en-GB"/>
        </w:rPr>
        <w:t>R</w:t>
      </w:r>
      <w:r w:rsidRPr="00CD2EEF">
        <w:rPr>
          <w:lang w:val="en-GB"/>
        </w:rPr>
        <w:t xml:space="preserve">ules also prescribe new requirements regarding acceptance criteria for the storage and disposal of radioactive waste and spent fuel. The public service provider must make changes to the acceptance criteria within three years </w:t>
      </w:r>
      <w:r w:rsidR="00FC0A99">
        <w:rPr>
          <w:lang w:val="en-GB"/>
        </w:rPr>
        <w:t>of</w:t>
      </w:r>
      <w:r w:rsidR="00FC0A99" w:rsidRPr="00CD2EEF">
        <w:rPr>
          <w:lang w:val="en-GB"/>
        </w:rPr>
        <w:t xml:space="preserve"> </w:t>
      </w:r>
      <w:r w:rsidRPr="00CD2EEF">
        <w:rPr>
          <w:lang w:val="en-GB"/>
        </w:rPr>
        <w:t xml:space="preserve">the entry into force of </w:t>
      </w:r>
      <w:r w:rsidR="00FA3D71">
        <w:rPr>
          <w:lang w:val="en-GB"/>
        </w:rPr>
        <w:t xml:space="preserve">the </w:t>
      </w:r>
      <w:r w:rsidRPr="00CD2EEF">
        <w:rPr>
          <w:lang w:val="en-GB"/>
        </w:rPr>
        <w:t xml:space="preserve">new </w:t>
      </w:r>
      <w:r w:rsidR="00FC0A99">
        <w:rPr>
          <w:lang w:val="en-GB"/>
        </w:rPr>
        <w:t>R</w:t>
      </w:r>
      <w:r w:rsidRPr="00CD2EEF">
        <w:rPr>
          <w:lang w:val="en-GB"/>
        </w:rPr>
        <w:t>ules.</w:t>
      </w:r>
    </w:p>
    <w:p w14:paraId="0607160A" w14:textId="35DDB6EE" w:rsidR="00412AFC" w:rsidRPr="00CD2EEF" w:rsidRDefault="00412AFC" w:rsidP="00B83108">
      <w:pPr>
        <w:pStyle w:val="LPnavaden"/>
        <w:rPr>
          <w:lang w:val="en-GB"/>
        </w:rPr>
      </w:pPr>
      <w:r w:rsidRPr="00CD2EEF">
        <w:rPr>
          <w:lang w:val="en-GB"/>
        </w:rPr>
        <w:t>Amendments to the ZVISJV refer to amendments to Article 3 (with the addition of a new definition of the term radiological object), Article 42 (with cooperation between author</w:t>
      </w:r>
      <w:r w:rsidR="00837F00">
        <w:rPr>
          <w:lang w:val="en-GB"/>
        </w:rPr>
        <w:t>ised</w:t>
      </w:r>
      <w:r w:rsidRPr="00CD2EEF">
        <w:rPr>
          <w:lang w:val="en-GB"/>
        </w:rPr>
        <w:t xml:space="preserve"> experts in radiation protection and author</w:t>
      </w:r>
      <w:r w:rsidR="00837F00">
        <w:rPr>
          <w:lang w:val="en-GB"/>
        </w:rPr>
        <w:t>ised</w:t>
      </w:r>
      <w:r w:rsidRPr="00CD2EEF">
        <w:rPr>
          <w:lang w:val="en-GB"/>
        </w:rPr>
        <w:t xml:space="preserve"> experts in medical physics), Article 49 (with additions to the</w:t>
      </w:r>
      <w:r w:rsidR="008A1E6B">
        <w:rPr>
          <w:lang w:val="en-GB"/>
        </w:rPr>
        <w:t xml:space="preserve"> </w:t>
      </w:r>
      <w:r w:rsidRPr="00CD2EEF">
        <w:rPr>
          <w:lang w:val="en-GB"/>
        </w:rPr>
        <w:t xml:space="preserve">data contained in the database on personal doses of exposed workers), Article 54 (with mandatory data on radiation doses received in the current calendar year and in the last five calendar years, which the external contractor must send to the operator of the facility or the radiation contractor before starting work </w:t>
      </w:r>
      <w:r w:rsidR="00E51355">
        <w:rPr>
          <w:lang w:val="en-GB"/>
        </w:rPr>
        <w:t>on</w:t>
      </w:r>
      <w:r w:rsidR="00E51355" w:rsidRPr="00CD2EEF">
        <w:rPr>
          <w:lang w:val="en-GB"/>
        </w:rPr>
        <w:t xml:space="preserve"> </w:t>
      </w:r>
      <w:r w:rsidRPr="00CD2EEF">
        <w:rPr>
          <w:lang w:val="en-GB"/>
        </w:rPr>
        <w:t>controlled area activities)</w:t>
      </w:r>
      <w:r w:rsidR="00E51355">
        <w:rPr>
          <w:lang w:val="en-GB"/>
        </w:rPr>
        <w:t>,</w:t>
      </w:r>
      <w:r w:rsidRPr="00CD2EEF">
        <w:rPr>
          <w:lang w:val="en-GB"/>
        </w:rPr>
        <w:t xml:space="preserve"> and Article 137 (with the addition of the content of the permit for the use of </w:t>
      </w:r>
      <w:r w:rsidR="00E51355">
        <w:rPr>
          <w:lang w:val="en-GB"/>
        </w:rPr>
        <w:t>a</w:t>
      </w:r>
      <w:r w:rsidR="00E51355" w:rsidRPr="00CD2EEF">
        <w:rPr>
          <w:lang w:val="en-GB"/>
        </w:rPr>
        <w:t xml:space="preserve"> </w:t>
      </w:r>
      <w:r w:rsidRPr="00CD2EEF">
        <w:rPr>
          <w:lang w:val="en-GB"/>
        </w:rPr>
        <w:t xml:space="preserve">radiation source, which, in terms of operating conditions and restrictions </w:t>
      </w:r>
      <w:r w:rsidR="00E51355">
        <w:rPr>
          <w:lang w:val="en-GB"/>
        </w:rPr>
        <w:t>regarding</w:t>
      </w:r>
      <w:r w:rsidR="00E51355" w:rsidRPr="00CD2EEF">
        <w:rPr>
          <w:lang w:val="en-GB"/>
        </w:rPr>
        <w:t xml:space="preserve"> </w:t>
      </w:r>
      <w:r w:rsidRPr="00CD2EEF">
        <w:rPr>
          <w:lang w:val="en-GB"/>
        </w:rPr>
        <w:t>highly active radiation sources, must also contain minimum criteria for the efficiency of the source, source container</w:t>
      </w:r>
      <w:r w:rsidR="00DD01C6">
        <w:rPr>
          <w:lang w:val="en-GB"/>
        </w:rPr>
        <w:t>,</w:t>
      </w:r>
      <w:r w:rsidRPr="00CD2EEF">
        <w:rPr>
          <w:lang w:val="en-GB"/>
        </w:rPr>
        <w:t xml:space="preserve"> and additional equipment). In addition, the provisions regarding regulated professions have also been changed, </w:t>
      </w:r>
      <w:r w:rsidR="00457753">
        <w:rPr>
          <w:lang w:val="en-GB"/>
        </w:rPr>
        <w:t xml:space="preserve">i.e. </w:t>
      </w:r>
      <w:r w:rsidRPr="00CD2EEF">
        <w:rPr>
          <w:lang w:val="en-GB"/>
        </w:rPr>
        <w:t>Articles 13, 14</w:t>
      </w:r>
      <w:r w:rsidR="00DD01C6">
        <w:rPr>
          <w:lang w:val="en-GB"/>
        </w:rPr>
        <w:t>,</w:t>
      </w:r>
      <w:r w:rsidRPr="00CD2EEF">
        <w:rPr>
          <w:lang w:val="en-GB"/>
        </w:rPr>
        <w:t xml:space="preserve"> and 15, as they contained, </w:t>
      </w:r>
      <w:r w:rsidR="00DD01C6" w:rsidRPr="00980AEC">
        <w:rPr>
          <w:i/>
          <w:iCs/>
          <w:lang w:val="en-GB"/>
        </w:rPr>
        <w:t>inter alia</w:t>
      </w:r>
      <w:r w:rsidRPr="00CD2EEF">
        <w:rPr>
          <w:lang w:val="en-GB"/>
        </w:rPr>
        <w:t>, references to articles of the Act that do not regulate regulated professions.</w:t>
      </w:r>
      <w:r w:rsidR="008A1E6B">
        <w:rPr>
          <w:lang w:val="en-GB"/>
        </w:rPr>
        <w:t xml:space="preserve"> </w:t>
      </w:r>
      <w:r w:rsidRPr="00DB24DC">
        <w:rPr>
          <w:lang w:val="en-GB"/>
        </w:rPr>
        <w:t>Terminologically</w:t>
      </w:r>
      <w:r w:rsidR="00457187" w:rsidRPr="00DB24DC">
        <w:rPr>
          <w:lang w:val="en-GB"/>
        </w:rPr>
        <w:t>,</w:t>
      </w:r>
      <w:r w:rsidRPr="00DB24DC">
        <w:rPr>
          <w:lang w:val="en-GB"/>
        </w:rPr>
        <w:t xml:space="preserve"> the texts of Articles</w:t>
      </w:r>
      <w:r w:rsidRPr="00CD2EEF">
        <w:rPr>
          <w:lang w:val="en-GB"/>
        </w:rPr>
        <w:t xml:space="preserve"> 158 and 159 of the Act (on the monitoring of radioactivity in the environment) </w:t>
      </w:r>
      <w:r w:rsidR="00457187">
        <w:rPr>
          <w:lang w:val="en-GB"/>
        </w:rPr>
        <w:t>were</w:t>
      </w:r>
      <w:r w:rsidR="00457187" w:rsidRPr="00CD2EEF">
        <w:rPr>
          <w:lang w:val="en-GB"/>
        </w:rPr>
        <w:t xml:space="preserve"> </w:t>
      </w:r>
      <w:r w:rsidRPr="00CD2EEF">
        <w:rPr>
          <w:lang w:val="en-GB"/>
        </w:rPr>
        <w:t>harm</w:t>
      </w:r>
      <w:r w:rsidR="00837F00">
        <w:rPr>
          <w:lang w:val="en-GB"/>
        </w:rPr>
        <w:t>onis</w:t>
      </w:r>
      <w:r w:rsidRPr="00CD2EEF">
        <w:rPr>
          <w:lang w:val="en-GB"/>
        </w:rPr>
        <w:t>ed. The provision on checking the effectiveness of measures to reduce radon concentrations in Article 68 of the Act was somewhat amended and the terminologically harm</w:t>
      </w:r>
      <w:r w:rsidR="00837F00">
        <w:rPr>
          <w:lang w:val="en-GB"/>
        </w:rPr>
        <w:t>onis</w:t>
      </w:r>
      <w:r w:rsidRPr="00CD2EEF">
        <w:rPr>
          <w:lang w:val="en-GB"/>
        </w:rPr>
        <w:t>ed text in Articles 66, 70</w:t>
      </w:r>
      <w:r w:rsidR="00457187">
        <w:rPr>
          <w:lang w:val="en-GB"/>
        </w:rPr>
        <w:t>,</w:t>
      </w:r>
      <w:r w:rsidRPr="00CD2EEF">
        <w:rPr>
          <w:lang w:val="en-GB"/>
        </w:rPr>
        <w:t xml:space="preserve"> and 181 of the Act regarding exposure to radon </w:t>
      </w:r>
      <w:r w:rsidR="00457187">
        <w:rPr>
          <w:lang w:val="en-GB"/>
        </w:rPr>
        <w:t>was also</w:t>
      </w:r>
      <w:r w:rsidRPr="00CD2EEF">
        <w:rPr>
          <w:lang w:val="en-GB"/>
        </w:rPr>
        <w:t xml:space="preserve"> supplemented. Furthermore, the provision of Article 178 regarding the inspection supervision of </w:t>
      </w:r>
      <w:r w:rsidRPr="00DB24DC">
        <w:rPr>
          <w:lang w:val="en-GB"/>
        </w:rPr>
        <w:t xml:space="preserve">construction measures for new buildings and interventions in existing buildings </w:t>
      </w:r>
      <w:r w:rsidR="004C4A5D" w:rsidRPr="00980AEC">
        <w:rPr>
          <w:lang w:val="en-GB"/>
        </w:rPr>
        <w:t>was</w:t>
      </w:r>
      <w:r w:rsidRPr="00DB24DC">
        <w:rPr>
          <w:lang w:val="en-GB"/>
        </w:rPr>
        <w:t xml:space="preserve"> added to protect people</w:t>
      </w:r>
      <w:r w:rsidR="00F21D56">
        <w:rPr>
          <w:lang w:val="en-GB"/>
        </w:rPr>
        <w:t>’</w:t>
      </w:r>
      <w:r w:rsidRPr="00CD2EEF">
        <w:rPr>
          <w:lang w:val="en-GB"/>
        </w:rPr>
        <w:t xml:space="preserve">s health from the harmful effects of radon. </w:t>
      </w:r>
      <w:r w:rsidRPr="001401CE">
        <w:rPr>
          <w:lang w:val="en-GB"/>
        </w:rPr>
        <w:t>Th</w:t>
      </w:r>
      <w:r w:rsidR="008D11BD" w:rsidRPr="00980AEC">
        <w:rPr>
          <w:lang w:val="en-GB"/>
        </w:rPr>
        <w:t>ese</w:t>
      </w:r>
      <w:r w:rsidRPr="001401CE">
        <w:rPr>
          <w:lang w:val="en-GB"/>
        </w:rPr>
        <w:t xml:space="preserve"> amendments to the Act also change the</w:t>
      </w:r>
      <w:r w:rsidRPr="00CD2EEF">
        <w:rPr>
          <w:lang w:val="en-GB"/>
        </w:rPr>
        <w:t xml:space="preserve"> ministry responsible for supervising the operations of the mandatory state economic public service for radioactive waste management in Article 122 of the Act. The amendment to the Act (ZVISJV-1B) was published in the Official Gazette of the Republic of Slovenia, No. 172/21 of 29 October 2021, and entered into force on 13 November 2021.</w:t>
      </w:r>
    </w:p>
    <w:p w14:paraId="58E51FF3" w14:textId="563FDC90" w:rsidR="00412AFC" w:rsidRPr="00CD2EEF" w:rsidRDefault="00412AFC" w:rsidP="007B47ED">
      <w:pPr>
        <w:pStyle w:val="LPnavaden"/>
        <w:rPr>
          <w:lang w:val="en-GB"/>
        </w:rPr>
      </w:pPr>
      <w:r w:rsidRPr="00CD2EEF">
        <w:rPr>
          <w:lang w:val="en-GB"/>
        </w:rPr>
        <w:t xml:space="preserve">The last of the regulations, </w:t>
      </w:r>
      <w:r w:rsidR="001816DE">
        <w:rPr>
          <w:lang w:val="en-GB"/>
        </w:rPr>
        <w:t>whose</w:t>
      </w:r>
      <w:r w:rsidR="001816DE" w:rsidRPr="00CD2EEF">
        <w:rPr>
          <w:lang w:val="en-GB"/>
        </w:rPr>
        <w:t xml:space="preserve"> </w:t>
      </w:r>
      <w:r w:rsidRPr="00CD2EEF">
        <w:rPr>
          <w:lang w:val="en-GB"/>
        </w:rPr>
        <w:t xml:space="preserve">adoption and implementation announced the elimination of the alleged violation in the transposition of the BSS directive, is the </w:t>
      </w:r>
      <w:r w:rsidRPr="00CD2EEF">
        <w:rPr>
          <w:rStyle w:val="LPnavadenposevnoZnak"/>
          <w:lang w:val="en-GB"/>
        </w:rPr>
        <w:t>Rules on requirements for new constructions and interventions in existing buildings to protect human health from the harmful effects of radon</w:t>
      </w:r>
      <w:r w:rsidRPr="00CD2EEF">
        <w:rPr>
          <w:lang w:val="en-GB"/>
        </w:rPr>
        <w:t xml:space="preserve">. The legal basis for the adoption of the Rules is </w:t>
      </w:r>
      <w:r w:rsidR="00716D19">
        <w:rPr>
          <w:lang w:val="en-GB"/>
        </w:rPr>
        <w:t xml:space="preserve">the </w:t>
      </w:r>
      <w:r w:rsidRPr="00CD2EEF">
        <w:rPr>
          <w:lang w:val="en-GB"/>
        </w:rPr>
        <w:t xml:space="preserve">ZVISJV-1B, which in the third paragraph of Article 70 stipulate that the minister responsible for construction and the minister responsible for health determine the requirements for new buildings and interventions in existing buildings, which ensure </w:t>
      </w:r>
      <w:r w:rsidRPr="00CD2EEF">
        <w:rPr>
          <w:lang w:val="en-GB"/>
        </w:rPr>
        <w:lastRenderedPageBreak/>
        <w:t xml:space="preserve">the protection of human health from </w:t>
      </w:r>
      <w:r w:rsidR="00716D19">
        <w:rPr>
          <w:lang w:val="en-GB"/>
        </w:rPr>
        <w:t xml:space="preserve">the </w:t>
      </w:r>
      <w:r w:rsidRPr="00CD2EEF">
        <w:rPr>
          <w:lang w:val="en-GB"/>
        </w:rPr>
        <w:t xml:space="preserve">harmful effects of radon. </w:t>
      </w:r>
      <w:r w:rsidR="001816DE" w:rsidRPr="00261752">
        <w:rPr>
          <w:lang w:val="en-GB"/>
        </w:rPr>
        <w:t>A</w:t>
      </w:r>
      <w:r w:rsidRPr="00261752">
        <w:rPr>
          <w:lang w:val="en-GB"/>
        </w:rPr>
        <w:t xml:space="preserve"> green light </w:t>
      </w:r>
      <w:r w:rsidR="00AE0874" w:rsidRPr="00261752">
        <w:rPr>
          <w:lang w:val="en-GB"/>
        </w:rPr>
        <w:t xml:space="preserve">for the proposal of the Rules </w:t>
      </w:r>
      <w:r w:rsidRPr="00261752">
        <w:rPr>
          <w:lang w:val="en-GB"/>
        </w:rPr>
        <w:t>had to be obtained</w:t>
      </w:r>
      <w:r w:rsidR="001816DE" w:rsidRPr="00261752">
        <w:rPr>
          <w:lang w:val="en-GB"/>
        </w:rPr>
        <w:t xml:space="preserve"> </w:t>
      </w:r>
      <w:r w:rsidR="00AE0874" w:rsidRPr="00261752">
        <w:rPr>
          <w:lang w:val="en-GB"/>
        </w:rPr>
        <w:t xml:space="preserve">from the European Commission </w:t>
      </w:r>
      <w:r w:rsidR="001816DE" w:rsidRPr="00261752">
        <w:rPr>
          <w:lang w:val="en-GB"/>
        </w:rPr>
        <w:t>in two separate procedures</w:t>
      </w:r>
      <w:r w:rsidRPr="00CD2EEF">
        <w:rPr>
          <w:lang w:val="en-GB"/>
        </w:rPr>
        <w:t xml:space="preserve">: on the basis of Article 33 of the Euratom Treaty, as well as in accordance with Directive (EU) 2015/1535 of the European Parliament and of the Council of </w:t>
      </w:r>
      <w:r w:rsidR="00633437">
        <w:rPr>
          <w:lang w:val="en-GB"/>
        </w:rPr>
        <w:t xml:space="preserve">9 </w:t>
      </w:r>
      <w:r w:rsidRPr="00CD2EEF">
        <w:rPr>
          <w:lang w:val="en-GB"/>
        </w:rPr>
        <w:t xml:space="preserve">September 2015 </w:t>
      </w:r>
      <w:r w:rsidRPr="00CD2EEF">
        <w:rPr>
          <w:shd w:val="clear" w:color="auto" w:fill="FFFFFF"/>
          <w:lang w:val="en-GB"/>
        </w:rPr>
        <w:t>laying down a procedure for the provision of information in the field of technical regulations and of rules on Information Society services (codification)</w:t>
      </w:r>
      <w:r w:rsidRPr="00CD2EEF">
        <w:rPr>
          <w:lang w:val="en-GB"/>
        </w:rPr>
        <w:t xml:space="preserve">. While waiting for a positive response from the Commission (in both cases, the deadline is three months), a public discussion and interdepartmental coordination </w:t>
      </w:r>
      <w:r w:rsidR="00633437">
        <w:rPr>
          <w:lang w:val="en-GB"/>
        </w:rPr>
        <w:t>were</w:t>
      </w:r>
      <w:r w:rsidR="00633437" w:rsidRPr="00CD2EEF">
        <w:rPr>
          <w:lang w:val="en-GB"/>
        </w:rPr>
        <w:t xml:space="preserve"> </w:t>
      </w:r>
      <w:r w:rsidRPr="00CD2EEF">
        <w:rPr>
          <w:lang w:val="en-GB"/>
        </w:rPr>
        <w:t xml:space="preserve">held, but </w:t>
      </w:r>
      <w:r w:rsidR="00261752">
        <w:rPr>
          <w:lang w:val="en-GB"/>
        </w:rPr>
        <w:t>had</w:t>
      </w:r>
      <w:r w:rsidR="00633437" w:rsidRPr="00CD2EEF">
        <w:rPr>
          <w:lang w:val="en-GB"/>
        </w:rPr>
        <w:t xml:space="preserve"> not</w:t>
      </w:r>
      <w:r w:rsidR="00261752">
        <w:rPr>
          <w:lang w:val="en-GB"/>
        </w:rPr>
        <w:t xml:space="preserve"> been</w:t>
      </w:r>
      <w:r w:rsidR="00633437" w:rsidRPr="00CD2EEF">
        <w:rPr>
          <w:lang w:val="en-GB"/>
        </w:rPr>
        <w:t xml:space="preserve"> completed </w:t>
      </w:r>
      <w:r w:rsidRPr="00CD2EEF">
        <w:rPr>
          <w:lang w:val="en-GB"/>
        </w:rPr>
        <w:t>by the end of 2021.</w:t>
      </w:r>
    </w:p>
    <w:p w14:paraId="69078E75" w14:textId="1EBEC47F" w:rsidR="00412AFC" w:rsidRPr="00CD2EEF" w:rsidRDefault="00412AFC" w:rsidP="007B47ED">
      <w:pPr>
        <w:pStyle w:val="LPnavaden"/>
        <w:rPr>
          <w:lang w:val="en-GB"/>
        </w:rPr>
      </w:pPr>
      <w:r w:rsidRPr="00CD2EEF">
        <w:rPr>
          <w:lang w:val="en-GB"/>
        </w:rPr>
        <w:t xml:space="preserve">In 2021, after several years of preparation, </w:t>
      </w:r>
      <w:r w:rsidR="00A726E8">
        <w:rPr>
          <w:lang w:val="en-GB"/>
        </w:rPr>
        <w:t>the</w:t>
      </w:r>
      <w:r w:rsidR="00E63423">
        <w:rPr>
          <w:lang w:val="en-GB"/>
        </w:rPr>
        <w:t xml:space="preserve"> SNSA</w:t>
      </w:r>
      <w:r w:rsidR="00CE3070">
        <w:rPr>
          <w:lang w:val="en-GB"/>
        </w:rPr>
        <w:t>,</w:t>
      </w:r>
      <w:r w:rsidRPr="00CD2EEF">
        <w:rPr>
          <w:lang w:val="en-GB"/>
        </w:rPr>
        <w:t xml:space="preserve"> in cooperation with the Ministry of Infrastructure and the Ministry of Finance</w:t>
      </w:r>
      <w:r w:rsidR="00CE3070">
        <w:rPr>
          <w:lang w:val="en-GB"/>
        </w:rPr>
        <w:t>,</w:t>
      </w:r>
      <w:r w:rsidRPr="00CD2EEF">
        <w:rPr>
          <w:lang w:val="en-GB"/>
        </w:rPr>
        <w:t xml:space="preserve"> intensively coordinated the proposal for the new </w:t>
      </w:r>
      <w:r w:rsidRPr="00CD2EEF">
        <w:rPr>
          <w:rStyle w:val="LPnavadenposevnoZnak"/>
          <w:lang w:val="en-GB"/>
        </w:rPr>
        <w:t xml:space="preserve">Decree on the method and subject of and conditions for performing </w:t>
      </w:r>
      <w:r w:rsidR="00CE3070">
        <w:rPr>
          <w:rStyle w:val="LPnavadenposevnoZnak"/>
          <w:lang w:val="en-GB"/>
        </w:rPr>
        <w:t>the</w:t>
      </w:r>
      <w:r w:rsidR="00CE3070" w:rsidRPr="00CD2EEF">
        <w:rPr>
          <w:rStyle w:val="LPnavadenposevnoZnak"/>
          <w:lang w:val="en-GB"/>
        </w:rPr>
        <w:t xml:space="preserve"> </w:t>
      </w:r>
      <w:r w:rsidRPr="00CD2EEF">
        <w:rPr>
          <w:rStyle w:val="LPnavadenposevnoZnak"/>
          <w:lang w:val="en-GB"/>
        </w:rPr>
        <w:t>public utility service of radioactive waste management</w:t>
      </w:r>
      <w:r w:rsidRPr="00CD2EEF">
        <w:rPr>
          <w:rFonts w:cs="Arial"/>
          <w:shd w:val="clear" w:color="auto" w:fill="FFFFFF"/>
          <w:lang w:val="en-GB"/>
        </w:rPr>
        <w:t xml:space="preserve"> </w:t>
      </w:r>
      <w:r w:rsidRPr="00CD2EEF">
        <w:rPr>
          <w:lang w:val="en-GB"/>
        </w:rPr>
        <w:t xml:space="preserve">and the new </w:t>
      </w:r>
      <w:r w:rsidRPr="00CD2EEF">
        <w:rPr>
          <w:rFonts w:cs="Arial"/>
          <w:shd w:val="clear" w:color="auto" w:fill="FFFFFF"/>
          <w:lang w:val="en-GB"/>
        </w:rPr>
        <w:t xml:space="preserve">Ordinance establishing </w:t>
      </w:r>
      <w:r w:rsidR="003F7670">
        <w:rPr>
          <w:rFonts w:cs="Arial"/>
          <w:shd w:val="clear" w:color="auto" w:fill="FFFFFF"/>
          <w:lang w:val="en-GB"/>
        </w:rPr>
        <w:t xml:space="preserve">a </w:t>
      </w:r>
      <w:r w:rsidRPr="00CD2EEF">
        <w:rPr>
          <w:rFonts w:cs="Arial"/>
          <w:shd w:val="clear" w:color="auto" w:fill="FFFFFF"/>
          <w:lang w:val="en-GB"/>
        </w:rPr>
        <w:t>public service for radioactive waste management</w:t>
      </w:r>
      <w:r w:rsidR="008342C3">
        <w:rPr>
          <w:rFonts w:cs="Arial"/>
          <w:shd w:val="clear" w:color="auto" w:fill="FFFFFF"/>
          <w:lang w:val="en-GB"/>
        </w:rPr>
        <w:t xml:space="preserve"> – </w:t>
      </w:r>
      <w:r w:rsidR="003F7670">
        <w:rPr>
          <w:rFonts w:cs="Arial"/>
          <w:shd w:val="clear" w:color="auto" w:fill="FFFFFF"/>
          <w:lang w:val="en-GB"/>
        </w:rPr>
        <w:t xml:space="preserve">the </w:t>
      </w:r>
      <w:r w:rsidRPr="00CD2EEF">
        <w:rPr>
          <w:rFonts w:cs="Arial"/>
          <w:shd w:val="clear" w:color="auto" w:fill="FFFFFF"/>
          <w:lang w:val="en-GB"/>
        </w:rPr>
        <w:t>ARAO.</w:t>
      </w:r>
      <w:r w:rsidRPr="00CD2EEF">
        <w:rPr>
          <w:rFonts w:ascii="Arial" w:hAnsi="Arial" w:cs="Arial"/>
          <w:sz w:val="18"/>
          <w:szCs w:val="18"/>
          <w:shd w:val="clear" w:color="auto" w:fill="FFFFFF"/>
          <w:lang w:val="en-GB"/>
        </w:rPr>
        <w:t xml:space="preserve"> </w:t>
      </w:r>
      <w:r w:rsidRPr="00CD2EEF">
        <w:rPr>
          <w:lang w:val="en-GB"/>
        </w:rPr>
        <w:t>One of the main goals of the new regulations is to determine the organi</w:t>
      </w:r>
      <w:r w:rsidR="00E9756B">
        <w:rPr>
          <w:lang w:val="en-GB"/>
        </w:rPr>
        <w:t>sation</w:t>
      </w:r>
      <w:r w:rsidRPr="00CD2EEF">
        <w:rPr>
          <w:lang w:val="en-GB"/>
        </w:rPr>
        <w:t xml:space="preserve">al form and conditions for the operation of </w:t>
      </w:r>
      <w:r w:rsidR="00CE3070">
        <w:rPr>
          <w:lang w:val="en-GB"/>
        </w:rPr>
        <w:t xml:space="preserve">the </w:t>
      </w:r>
      <w:r w:rsidRPr="00CD2EEF">
        <w:rPr>
          <w:lang w:val="en-GB"/>
        </w:rPr>
        <w:t xml:space="preserve">Radwaste Agency, which will enable it to perform its tasks more efficiently, especially activities related to the construction </w:t>
      </w:r>
      <w:r w:rsidRPr="00261752">
        <w:rPr>
          <w:lang w:val="en-GB"/>
        </w:rPr>
        <w:t xml:space="preserve">of </w:t>
      </w:r>
      <w:r w:rsidR="00CE3070" w:rsidRPr="00261752">
        <w:rPr>
          <w:lang w:val="en-GB"/>
        </w:rPr>
        <w:t xml:space="preserve">a </w:t>
      </w:r>
      <w:r w:rsidR="00720326" w:rsidRPr="00261752">
        <w:rPr>
          <w:lang w:val="en-GB"/>
        </w:rPr>
        <w:t xml:space="preserve">low- and intermediate-level </w:t>
      </w:r>
      <w:r w:rsidRPr="00261752">
        <w:rPr>
          <w:lang w:val="en-GB"/>
        </w:rPr>
        <w:t>waste disposal site in V</w:t>
      </w:r>
      <w:r w:rsidRPr="00CD2EEF">
        <w:rPr>
          <w:lang w:val="en-GB"/>
        </w:rPr>
        <w:t xml:space="preserve">rbina. Instead of the current form (public service), the transformation of </w:t>
      </w:r>
      <w:r w:rsidR="003F7670">
        <w:rPr>
          <w:lang w:val="en-GB"/>
        </w:rPr>
        <w:t xml:space="preserve">the </w:t>
      </w:r>
      <w:r w:rsidRPr="00CD2EEF">
        <w:rPr>
          <w:lang w:val="en-GB"/>
        </w:rPr>
        <w:t>ARAO into a public company has been proposed from the</w:t>
      </w:r>
      <w:r w:rsidR="004E7227">
        <w:rPr>
          <w:lang w:val="en-GB"/>
        </w:rPr>
        <w:t xml:space="preserve"> very</w:t>
      </w:r>
      <w:r w:rsidRPr="00CD2EEF">
        <w:rPr>
          <w:lang w:val="en-GB"/>
        </w:rPr>
        <w:t xml:space="preserve"> beginning. However, </w:t>
      </w:r>
      <w:r w:rsidR="004E7227">
        <w:rPr>
          <w:lang w:val="en-GB"/>
        </w:rPr>
        <w:t>this</w:t>
      </w:r>
      <w:r w:rsidR="004E7227" w:rsidRPr="00CD2EEF">
        <w:rPr>
          <w:lang w:val="en-GB"/>
        </w:rPr>
        <w:t xml:space="preserve"> </w:t>
      </w:r>
      <w:r w:rsidRPr="00CD2EEF">
        <w:rPr>
          <w:lang w:val="en-GB"/>
        </w:rPr>
        <w:t>intention was abandoned during interdepartmental coordination with the Government Service for Legislation, and so no change in the organi</w:t>
      </w:r>
      <w:r w:rsidR="00E9756B">
        <w:rPr>
          <w:lang w:val="en-GB"/>
        </w:rPr>
        <w:t>sation</w:t>
      </w:r>
      <w:r w:rsidRPr="00CD2EEF">
        <w:rPr>
          <w:lang w:val="en-GB"/>
        </w:rPr>
        <w:t xml:space="preserve">al form of the mandatory state public service </w:t>
      </w:r>
      <w:r w:rsidR="000067FC">
        <w:rPr>
          <w:lang w:val="en-GB"/>
        </w:rPr>
        <w:t>of</w:t>
      </w:r>
      <w:r w:rsidR="000067FC" w:rsidRPr="00CD2EEF">
        <w:rPr>
          <w:lang w:val="en-GB"/>
        </w:rPr>
        <w:t xml:space="preserve"> </w:t>
      </w:r>
      <w:r w:rsidRPr="00CD2EEF">
        <w:rPr>
          <w:lang w:val="en-GB"/>
        </w:rPr>
        <w:t xml:space="preserve">radioactive waste management took place, and it was therefore envisaged that it </w:t>
      </w:r>
      <w:r w:rsidR="004E7227">
        <w:rPr>
          <w:lang w:val="en-GB"/>
        </w:rPr>
        <w:t>would</w:t>
      </w:r>
      <w:r w:rsidR="004E7227" w:rsidRPr="00CD2EEF">
        <w:rPr>
          <w:lang w:val="en-GB"/>
        </w:rPr>
        <w:t xml:space="preserve"> </w:t>
      </w:r>
      <w:r w:rsidRPr="00CD2EEF">
        <w:rPr>
          <w:lang w:val="en-GB"/>
        </w:rPr>
        <w:t xml:space="preserve">continue to be implemented in the form of a public service. However, one of the changes in the new Decree and new Ordinance, which is in accordance with the latest amendments to the ZVISJV, is the transfer of the authority to supervise the operations of </w:t>
      </w:r>
      <w:r w:rsidR="003878D6">
        <w:rPr>
          <w:lang w:val="en-GB"/>
        </w:rPr>
        <w:t xml:space="preserve">the </w:t>
      </w:r>
      <w:r w:rsidRPr="00CD2EEF">
        <w:rPr>
          <w:lang w:val="en-GB"/>
        </w:rPr>
        <w:t xml:space="preserve">Radwaste Agency from the previous Ministry of Infrastructure </w:t>
      </w:r>
      <w:r w:rsidRPr="00980AEC">
        <w:rPr>
          <w:lang w:val="en-GB"/>
        </w:rPr>
        <w:t>to the Ministry of</w:t>
      </w:r>
      <w:r w:rsidR="00980AEC" w:rsidRPr="00980AEC">
        <w:rPr>
          <w:lang w:val="en-GB"/>
        </w:rPr>
        <w:t xml:space="preserve"> the Environment</w:t>
      </w:r>
      <w:r w:rsidRPr="00980AEC">
        <w:rPr>
          <w:lang w:val="en-GB"/>
        </w:rPr>
        <w:t>and Spatial Planning, and</w:t>
      </w:r>
      <w:r w:rsidRPr="00CD2EEF">
        <w:rPr>
          <w:lang w:val="en-GB"/>
        </w:rPr>
        <w:t xml:space="preserve"> the second is that the seat of the Radwaste Agency is now in Krško and no longer in Ljubljana. Although repeated interdepartmental coordination was already completed at the beginning of 2021, the process of adopting both regulations in the field of the mandatory state public service of radioactive waste management was not fully completed in 2021.</w:t>
      </w:r>
    </w:p>
    <w:p w14:paraId="61F10EE5" w14:textId="2920FA1E" w:rsidR="00412AFC" w:rsidRPr="00CD2EEF" w:rsidRDefault="00412AFC" w:rsidP="007B47ED">
      <w:pPr>
        <w:pStyle w:val="LPnavaden"/>
        <w:rPr>
          <w:lang w:val="en-GB"/>
        </w:rPr>
      </w:pPr>
      <w:r w:rsidRPr="00CD2EEF">
        <w:rPr>
          <w:lang w:val="en-GB"/>
        </w:rPr>
        <w:t xml:space="preserve">In 2018, the European Commission issued a letter of formal notice to the Republic of Slovenia </w:t>
      </w:r>
      <w:r w:rsidR="00B133FB">
        <w:rPr>
          <w:lang w:val="en-GB"/>
        </w:rPr>
        <w:t>due to the</w:t>
      </w:r>
      <w:r w:rsidR="00B133FB" w:rsidRPr="00CD2EEF">
        <w:rPr>
          <w:lang w:val="en-GB"/>
        </w:rPr>
        <w:t xml:space="preserve"> </w:t>
      </w:r>
      <w:r w:rsidRPr="00CD2EEF">
        <w:rPr>
          <w:lang w:val="en-GB"/>
        </w:rPr>
        <w:t xml:space="preserve">non-fulfilment of obligations </w:t>
      </w:r>
      <w:r w:rsidR="00B133FB">
        <w:rPr>
          <w:lang w:val="en-GB"/>
        </w:rPr>
        <w:t>referred to in</w:t>
      </w:r>
      <w:r w:rsidR="00B133FB" w:rsidRPr="00CD2EEF">
        <w:rPr>
          <w:lang w:val="en-GB"/>
        </w:rPr>
        <w:t xml:space="preserve"> </w:t>
      </w:r>
      <w:r w:rsidRPr="00CD2EEF">
        <w:rPr>
          <w:lang w:val="en-GB"/>
        </w:rPr>
        <w:t xml:space="preserve">certain provisions of Directive 2011/70 Euratom </w:t>
      </w:r>
      <w:r w:rsidRPr="00CD2EEF">
        <w:rPr>
          <w:color w:val="333333"/>
          <w:shd w:val="clear" w:color="auto" w:fill="FFFFFF"/>
          <w:lang w:val="en-GB"/>
        </w:rPr>
        <w:t>of 19 July 2011 establishing</w:t>
      </w:r>
      <w:r w:rsidRPr="00CD2EEF">
        <w:rPr>
          <w:lang w:val="en-GB"/>
        </w:rPr>
        <w:t xml:space="preserve"> a Community framework for the responsible and safe management of spent fuel and radioactive waste, which relate to the content of the</w:t>
      </w:r>
      <w:r w:rsidR="008A1E6B">
        <w:rPr>
          <w:lang w:val="en-GB"/>
        </w:rPr>
        <w:t xml:space="preserve"> </w:t>
      </w:r>
      <w:r w:rsidRPr="00CD2EEF">
        <w:rPr>
          <w:lang w:val="en-GB"/>
        </w:rPr>
        <w:t xml:space="preserve">Slovenian </w:t>
      </w:r>
      <w:r w:rsidRPr="00CD2EEF">
        <w:rPr>
          <w:rStyle w:val="LPnavadenposevnoZnak"/>
          <w:lang w:val="en-GB"/>
        </w:rPr>
        <w:t xml:space="preserve">Resolution on the National </w:t>
      </w:r>
      <w:r w:rsidR="00AF06F8">
        <w:rPr>
          <w:rStyle w:val="LPnavadenposevnoZnak"/>
          <w:lang w:val="en-GB"/>
        </w:rPr>
        <w:t xml:space="preserve">Programme </w:t>
      </w:r>
      <w:r w:rsidRPr="00CD2EEF">
        <w:rPr>
          <w:rStyle w:val="LPnavadenposevnoZnak"/>
          <w:lang w:val="en-GB"/>
        </w:rPr>
        <w:t>for the Management of Radioactive Waste and Spent Fuel (for the period 2016</w:t>
      </w:r>
      <w:r w:rsidR="00AD02E0">
        <w:rPr>
          <w:rStyle w:val="LPnavadenposevnoZnak"/>
          <w:lang w:val="en-GB"/>
        </w:rPr>
        <w:t>–20</w:t>
      </w:r>
      <w:r w:rsidRPr="00CD2EEF">
        <w:rPr>
          <w:rStyle w:val="LPnavadenposevnoZnak"/>
          <w:lang w:val="en-GB"/>
        </w:rPr>
        <w:t>25)</w:t>
      </w:r>
      <w:r w:rsidRPr="00CD2EEF">
        <w:rPr>
          <w:lang w:val="en-GB"/>
        </w:rPr>
        <w:t>. In response to the letter of formal notice, the Republic of Slovenia clarified and eliminated some of the Commission</w:t>
      </w:r>
      <w:r w:rsidR="00F21D56">
        <w:rPr>
          <w:lang w:val="en-GB"/>
        </w:rPr>
        <w:t>’</w:t>
      </w:r>
      <w:r w:rsidRPr="00CD2EEF">
        <w:rPr>
          <w:lang w:val="en-GB"/>
        </w:rPr>
        <w:t xml:space="preserve">s findings, while for others it undertook to eliminate them by adopting a new resolution, the preparation of which it intends to initiate, even though the current resolution </w:t>
      </w:r>
      <w:r w:rsidR="00777FAF">
        <w:rPr>
          <w:lang w:val="en-GB"/>
        </w:rPr>
        <w:t>was</w:t>
      </w:r>
      <w:r w:rsidR="00B133FB" w:rsidRPr="00CD2EEF">
        <w:rPr>
          <w:lang w:val="en-GB"/>
        </w:rPr>
        <w:t xml:space="preserve"> </w:t>
      </w:r>
      <w:r w:rsidRPr="00CD2EEF">
        <w:rPr>
          <w:lang w:val="en-GB"/>
        </w:rPr>
        <w:t xml:space="preserve">adopted for the period from 2016 until 2025. According to the timeline, which is also known to the European Commission, the new resolution should be adopted by the National Assembly by the end of 2022. In 2021, </w:t>
      </w:r>
      <w:r w:rsidR="00B133FB">
        <w:rPr>
          <w:lang w:val="en-GB"/>
        </w:rPr>
        <w:t xml:space="preserve">the </w:t>
      </w:r>
      <w:r w:rsidRPr="00CD2EEF">
        <w:rPr>
          <w:lang w:val="en-GB"/>
        </w:rPr>
        <w:t xml:space="preserve">Radwaste Agency, as a provider of the mandatory state public service </w:t>
      </w:r>
      <w:r w:rsidR="00B133FB">
        <w:rPr>
          <w:lang w:val="en-GB"/>
        </w:rPr>
        <w:t>of</w:t>
      </w:r>
      <w:r w:rsidR="00B133FB" w:rsidRPr="00CD2EEF">
        <w:rPr>
          <w:lang w:val="en-GB"/>
        </w:rPr>
        <w:t xml:space="preserve"> </w:t>
      </w:r>
      <w:r w:rsidRPr="00CD2EEF">
        <w:rPr>
          <w:lang w:val="en-GB"/>
        </w:rPr>
        <w:t xml:space="preserve">radioactive waste management, in accordance with ZVISJV-1, prepared the professional basis for the Resolution on the National </w:t>
      </w:r>
      <w:r w:rsidR="00AF06F8">
        <w:rPr>
          <w:lang w:val="en-GB"/>
        </w:rPr>
        <w:t xml:space="preserve">Programme </w:t>
      </w:r>
      <w:r w:rsidRPr="00CD2EEF">
        <w:rPr>
          <w:lang w:val="en-GB"/>
        </w:rPr>
        <w:t xml:space="preserve">for the Management of Radioactive Waste and Spent Fuel for the </w:t>
      </w:r>
      <w:r w:rsidR="00B133FB">
        <w:rPr>
          <w:lang w:val="en-GB"/>
        </w:rPr>
        <w:t>P</w:t>
      </w:r>
      <w:r w:rsidRPr="00CD2EEF">
        <w:rPr>
          <w:lang w:val="en-GB"/>
        </w:rPr>
        <w:t>eriod 2023</w:t>
      </w:r>
      <w:r w:rsidR="008536B8">
        <w:rPr>
          <w:lang w:val="en-GB"/>
        </w:rPr>
        <w:t>–</w:t>
      </w:r>
      <w:r w:rsidRPr="00CD2EEF">
        <w:rPr>
          <w:lang w:val="en-GB"/>
        </w:rPr>
        <w:t>2032</w:t>
      </w:r>
      <w:r w:rsidR="00237C61">
        <w:rPr>
          <w:lang w:val="en-GB"/>
        </w:rPr>
        <w:t>,</w:t>
      </w:r>
      <w:r w:rsidRPr="00CD2EEF">
        <w:rPr>
          <w:lang w:val="en-GB"/>
        </w:rPr>
        <w:t xml:space="preserve"> with a more detailed breakdown of </w:t>
      </w:r>
      <w:r w:rsidR="00B133FB">
        <w:rPr>
          <w:lang w:val="en-GB"/>
        </w:rPr>
        <w:t xml:space="preserve">the </w:t>
      </w:r>
      <w:r w:rsidRPr="00CD2EEF">
        <w:rPr>
          <w:lang w:val="en-GB"/>
        </w:rPr>
        <w:t xml:space="preserve">measures for </w:t>
      </w:r>
      <w:r w:rsidR="00237C61" w:rsidRPr="00CD2EEF">
        <w:rPr>
          <w:lang w:val="en-GB"/>
        </w:rPr>
        <w:t>reduc</w:t>
      </w:r>
      <w:r w:rsidR="00237C61">
        <w:rPr>
          <w:lang w:val="en-GB"/>
        </w:rPr>
        <w:t>ing</w:t>
      </w:r>
      <w:r w:rsidR="00B133FB" w:rsidRPr="00CD2EEF">
        <w:rPr>
          <w:lang w:val="en-GB"/>
        </w:rPr>
        <w:t xml:space="preserve"> </w:t>
      </w:r>
      <w:r w:rsidRPr="00CD2EEF">
        <w:rPr>
          <w:lang w:val="en-GB"/>
        </w:rPr>
        <w:t>the generation of radioactive waste, its processing before disposal</w:t>
      </w:r>
      <w:r w:rsidR="00B133FB">
        <w:rPr>
          <w:lang w:val="en-GB"/>
        </w:rPr>
        <w:t>,</w:t>
      </w:r>
      <w:r w:rsidRPr="00CD2EEF">
        <w:rPr>
          <w:lang w:val="en-GB"/>
        </w:rPr>
        <w:t xml:space="preserve"> and its disposal, as well as measures for the processing and disposal of radioactive waste. In mid</w:t>
      </w:r>
      <w:r w:rsidR="003232F7">
        <w:rPr>
          <w:lang w:val="en-GB"/>
        </w:rPr>
        <w:t xml:space="preserve"> </w:t>
      </w:r>
      <w:r w:rsidRPr="00CD2EEF">
        <w:rPr>
          <w:lang w:val="en-GB"/>
        </w:rPr>
        <w:t xml:space="preserve">September 2021, </w:t>
      </w:r>
      <w:r w:rsidR="00A726E8">
        <w:rPr>
          <w:lang w:val="en-GB"/>
        </w:rPr>
        <w:t>the</w:t>
      </w:r>
      <w:r w:rsidR="00E63423">
        <w:rPr>
          <w:lang w:val="en-GB"/>
        </w:rPr>
        <w:t xml:space="preserve"> SNSA</w:t>
      </w:r>
      <w:r w:rsidRPr="00CD2EEF">
        <w:rPr>
          <w:lang w:val="en-GB"/>
        </w:rPr>
        <w:t xml:space="preserve"> issued a consent for these expert bases and (in accordance with ZVISJV-1) sent them to the MESP and the Ministry of Infrastructure, which </w:t>
      </w:r>
      <w:r w:rsidRPr="00980AEC">
        <w:rPr>
          <w:lang w:val="en-GB"/>
        </w:rPr>
        <w:t>prepare</w:t>
      </w:r>
      <w:r w:rsidR="00237C61" w:rsidRPr="00980AEC">
        <w:rPr>
          <w:lang w:val="en-GB"/>
        </w:rPr>
        <w:t>d</w:t>
      </w:r>
      <w:r w:rsidRPr="00980AEC">
        <w:rPr>
          <w:lang w:val="en-GB"/>
        </w:rPr>
        <w:t xml:space="preserve"> the</w:t>
      </w:r>
      <w:r w:rsidRPr="00CD2EEF">
        <w:rPr>
          <w:lang w:val="en-GB"/>
        </w:rPr>
        <w:t xml:space="preserve"> National Program</w:t>
      </w:r>
      <w:r w:rsidR="00237C61">
        <w:rPr>
          <w:lang w:val="en-GB"/>
        </w:rPr>
        <w:t>me</w:t>
      </w:r>
      <w:r w:rsidRPr="00CD2EEF">
        <w:rPr>
          <w:lang w:val="en-GB"/>
        </w:rPr>
        <w:t xml:space="preserve"> for the Management of Radioactive Waste and Spent Fuel for acceptance by the Government of the Republic of Slovenia and later </w:t>
      </w:r>
      <w:r w:rsidR="00237C61">
        <w:rPr>
          <w:lang w:val="en-GB"/>
        </w:rPr>
        <w:t>by</w:t>
      </w:r>
      <w:r w:rsidR="00237C61" w:rsidRPr="00CD2EEF">
        <w:rPr>
          <w:lang w:val="en-GB"/>
        </w:rPr>
        <w:t xml:space="preserve"> </w:t>
      </w:r>
      <w:r w:rsidRPr="00CD2EEF">
        <w:rPr>
          <w:lang w:val="en-GB"/>
        </w:rPr>
        <w:t>the National Assembly. Together with expert bases for the National Program</w:t>
      </w:r>
      <w:r w:rsidR="00AB71FB">
        <w:rPr>
          <w:lang w:val="en-GB"/>
        </w:rPr>
        <w:t>me</w:t>
      </w:r>
      <w:r w:rsidRPr="00CD2EEF">
        <w:rPr>
          <w:lang w:val="en-GB"/>
        </w:rPr>
        <w:t xml:space="preserve">, </w:t>
      </w:r>
      <w:r w:rsidR="00A726E8">
        <w:rPr>
          <w:lang w:val="en-GB"/>
        </w:rPr>
        <w:t>the</w:t>
      </w:r>
      <w:r w:rsidR="00E63423">
        <w:rPr>
          <w:lang w:val="en-GB"/>
        </w:rPr>
        <w:t xml:space="preserve"> SNSA</w:t>
      </w:r>
      <w:r w:rsidRPr="00CD2EEF">
        <w:rPr>
          <w:lang w:val="en-GB"/>
        </w:rPr>
        <w:t xml:space="preserve"> also sent an explanation of its opinion to the Ministry of Environmental Protection and Spatial Planning for the purpose of deciding whether a comprehensive </w:t>
      </w:r>
      <w:r w:rsidRPr="00CD2EEF">
        <w:rPr>
          <w:lang w:val="en-GB"/>
        </w:rPr>
        <w:lastRenderedPageBreak/>
        <w:t>environmental impact assessment should be carried out for the National Program</w:t>
      </w:r>
      <w:r w:rsidR="00237C61">
        <w:rPr>
          <w:lang w:val="en-GB"/>
        </w:rPr>
        <w:t>me</w:t>
      </w:r>
      <w:r w:rsidRPr="00CD2EEF">
        <w:rPr>
          <w:lang w:val="en-GB"/>
        </w:rPr>
        <w:t xml:space="preserve"> for the Management of Radioactive Waste and Spent Fuel. The further procedures necessary for the adoption of the resolution did not continue in 2021.</w:t>
      </w:r>
    </w:p>
    <w:p w14:paraId="77D552B6" w14:textId="43173979" w:rsidR="00412AFC" w:rsidRPr="00CD2EEF" w:rsidRDefault="00AF06F8" w:rsidP="007B47ED">
      <w:pPr>
        <w:pStyle w:val="LPnavaden"/>
        <w:rPr>
          <w:lang w:val="en-GB"/>
        </w:rPr>
      </w:pPr>
      <w:r>
        <w:rPr>
          <w:lang w:val="en-GB"/>
        </w:rPr>
        <w:t>Ano</w:t>
      </w:r>
      <w:r w:rsidR="00412AFC" w:rsidRPr="00CD2EEF">
        <w:rPr>
          <w:lang w:val="en-GB"/>
        </w:rPr>
        <w:t xml:space="preserve">ther important resolution, </w:t>
      </w:r>
      <w:r w:rsidR="00457753">
        <w:rPr>
          <w:lang w:val="en-GB"/>
        </w:rPr>
        <w:t xml:space="preserve">i.e. </w:t>
      </w:r>
      <w:r w:rsidR="00412AFC" w:rsidRPr="00CD2EEF">
        <w:rPr>
          <w:lang w:val="en-GB"/>
        </w:rPr>
        <w:t xml:space="preserve">the </w:t>
      </w:r>
      <w:r w:rsidR="00412AFC" w:rsidRPr="00CD2EEF">
        <w:rPr>
          <w:rStyle w:val="LPnavadenposevnoZnak"/>
          <w:lang w:val="en-GB"/>
        </w:rPr>
        <w:t>Resolution on Nuclear and Radiation Safety</w:t>
      </w:r>
      <w:r w:rsidR="00412AFC" w:rsidRPr="00CD2EEF">
        <w:rPr>
          <w:lang w:val="en-GB"/>
        </w:rPr>
        <w:t>, which was adopted in mid</w:t>
      </w:r>
      <w:r w:rsidR="00253CB8">
        <w:rPr>
          <w:lang w:val="en-GB"/>
        </w:rPr>
        <w:t xml:space="preserve"> </w:t>
      </w:r>
      <w:r w:rsidR="00AD02E0">
        <w:rPr>
          <w:lang w:val="en-GB"/>
        </w:rPr>
        <w:t>20</w:t>
      </w:r>
      <w:r w:rsidR="00412AFC" w:rsidRPr="00CD2EEF">
        <w:rPr>
          <w:lang w:val="en-GB"/>
        </w:rPr>
        <w:t xml:space="preserve">13 and is valid until 2023, is slowly approaching the end of </w:t>
      </w:r>
      <w:r w:rsidR="00253CB8">
        <w:rPr>
          <w:lang w:val="en-GB"/>
        </w:rPr>
        <w:t xml:space="preserve">its </w:t>
      </w:r>
      <w:r w:rsidR="00412AFC" w:rsidRPr="00CD2EEF">
        <w:rPr>
          <w:lang w:val="en-GB"/>
        </w:rPr>
        <w:t xml:space="preserve">validity, and therefore in the second half of 2021 </w:t>
      </w:r>
      <w:r w:rsidR="00A726E8">
        <w:rPr>
          <w:lang w:val="en-GB"/>
        </w:rPr>
        <w:t>the</w:t>
      </w:r>
      <w:r w:rsidR="00E63423">
        <w:rPr>
          <w:lang w:val="en-GB"/>
        </w:rPr>
        <w:t xml:space="preserve"> SNSA</w:t>
      </w:r>
      <w:r w:rsidR="00412AFC" w:rsidRPr="00CD2EEF">
        <w:rPr>
          <w:lang w:val="en-GB"/>
        </w:rPr>
        <w:t xml:space="preserve"> started internal activities to prepare a new resolution for a new ten-year period. Thus, the first draft was prepared in November, and the internal discussion and process of coordination at the level of </w:t>
      </w:r>
      <w:r w:rsidR="00A726E8">
        <w:rPr>
          <w:lang w:val="en-GB"/>
        </w:rPr>
        <w:t>the</w:t>
      </w:r>
      <w:r w:rsidR="00E63423">
        <w:rPr>
          <w:lang w:val="en-GB"/>
        </w:rPr>
        <w:t xml:space="preserve"> SNSA</w:t>
      </w:r>
      <w:r w:rsidR="00412AFC" w:rsidRPr="00CD2EEF">
        <w:rPr>
          <w:lang w:val="en-GB"/>
        </w:rPr>
        <w:t xml:space="preserve"> will be the basis for the proposal, which will be sent for public discussion in 2022 and the formal continuation of the legislative process, which is expected to be completed by the end of 2023 with </w:t>
      </w:r>
      <w:r w:rsidR="00DC08A8">
        <w:rPr>
          <w:lang w:val="en-GB"/>
        </w:rPr>
        <w:t xml:space="preserve">its </w:t>
      </w:r>
      <w:r w:rsidR="00412AFC" w:rsidRPr="00CD2EEF">
        <w:rPr>
          <w:lang w:val="en-GB"/>
        </w:rPr>
        <w:t xml:space="preserve">adoption </w:t>
      </w:r>
      <w:r w:rsidR="00DC08A8">
        <w:rPr>
          <w:lang w:val="en-GB"/>
        </w:rPr>
        <w:t>by</w:t>
      </w:r>
      <w:r w:rsidR="00DC08A8" w:rsidRPr="00CD2EEF">
        <w:rPr>
          <w:lang w:val="en-GB"/>
        </w:rPr>
        <w:t xml:space="preserve"> </w:t>
      </w:r>
      <w:r w:rsidR="00412AFC" w:rsidRPr="00CD2EEF">
        <w:rPr>
          <w:lang w:val="en-GB"/>
        </w:rPr>
        <w:t>the National Assembly of the Republic of Slovenia.</w:t>
      </w:r>
    </w:p>
    <w:p w14:paraId="4DD3030F" w14:textId="02D0CD64" w:rsidR="00412AFC" w:rsidRPr="00CD2EEF" w:rsidRDefault="00412AFC" w:rsidP="007B47ED">
      <w:pPr>
        <w:pStyle w:val="LPnavaden"/>
        <w:rPr>
          <w:lang w:val="en-GB"/>
        </w:rPr>
      </w:pPr>
      <w:r w:rsidRPr="00CD2EEF">
        <w:rPr>
          <w:lang w:val="en-GB"/>
        </w:rPr>
        <w:t xml:space="preserve">In 2021, </w:t>
      </w:r>
      <w:r w:rsidR="00A726E8">
        <w:rPr>
          <w:lang w:val="en-GB"/>
        </w:rPr>
        <w:t>the</w:t>
      </w:r>
      <w:r w:rsidR="00E63423">
        <w:rPr>
          <w:lang w:val="en-GB"/>
        </w:rPr>
        <w:t xml:space="preserve"> SNSA</w:t>
      </w:r>
      <w:r w:rsidRPr="00CD2EEF">
        <w:rPr>
          <w:lang w:val="en-GB"/>
        </w:rPr>
        <w:t xml:space="preserve"> also started a more extensive review of two fundamental regulations from the narrower field of nuclear safety, </w:t>
      </w:r>
      <w:r w:rsidR="00457753">
        <w:rPr>
          <w:lang w:val="en-GB"/>
        </w:rPr>
        <w:t xml:space="preserve">i.e. </w:t>
      </w:r>
      <w:r w:rsidRPr="00CD2EEF">
        <w:rPr>
          <w:lang w:val="en-GB"/>
        </w:rPr>
        <w:t xml:space="preserve">the </w:t>
      </w:r>
      <w:r w:rsidRPr="00CD2EEF">
        <w:rPr>
          <w:rStyle w:val="LPnavadenposevnoZnak"/>
          <w:lang w:val="en-GB"/>
        </w:rPr>
        <w:t>Rules on radiation and nuclear safety factors</w:t>
      </w:r>
      <w:r w:rsidRPr="00CD2EEF">
        <w:rPr>
          <w:lang w:val="en-GB"/>
        </w:rPr>
        <w:t xml:space="preserve"> and the </w:t>
      </w:r>
      <w:r w:rsidRPr="00CD2EEF">
        <w:rPr>
          <w:rStyle w:val="LPnavadenposevnoZnak"/>
          <w:lang w:val="en-GB"/>
        </w:rPr>
        <w:t>Rules on ensuring safety after the start of operation of radiation or nuclear facilities</w:t>
      </w:r>
      <w:r w:rsidRPr="00CD2EEF">
        <w:rPr>
          <w:lang w:val="en-GB"/>
        </w:rPr>
        <w:t xml:space="preserve">. Both regulations were not amended after </w:t>
      </w:r>
      <w:r w:rsidR="004807F4">
        <w:rPr>
          <w:lang w:val="en-GB"/>
        </w:rPr>
        <w:t xml:space="preserve">the </w:t>
      </w:r>
      <w:r w:rsidRPr="00CD2EEF">
        <w:rPr>
          <w:lang w:val="en-GB"/>
        </w:rPr>
        <w:t xml:space="preserve">ZVISJV-1 was adopted in 2017, as they underwent thorough updates in 2016. Nevertheless, according to the judgement of </w:t>
      </w:r>
      <w:r w:rsidR="00A726E8">
        <w:rPr>
          <w:lang w:val="en-GB"/>
        </w:rPr>
        <w:t>the</w:t>
      </w:r>
      <w:r w:rsidR="00E63423">
        <w:rPr>
          <w:lang w:val="en-GB"/>
        </w:rPr>
        <w:t xml:space="preserve"> SNSA</w:t>
      </w:r>
      <w:r w:rsidRPr="00CD2EEF">
        <w:rPr>
          <w:lang w:val="en-GB"/>
        </w:rPr>
        <w:t xml:space="preserve">, both regulations need to be updated again, which primarily means alignment with </w:t>
      </w:r>
      <w:r w:rsidR="004807F4">
        <w:rPr>
          <w:lang w:val="en-GB"/>
        </w:rPr>
        <w:t xml:space="preserve">the </w:t>
      </w:r>
      <w:r w:rsidRPr="00CD2EEF">
        <w:rPr>
          <w:lang w:val="en-GB"/>
        </w:rPr>
        <w:t>WENRA reference levels (requirements) and established international standards, especially those adopted within the framework of the IAEA. Of course, during the implementation of the</w:t>
      </w:r>
      <w:r w:rsidR="004807F4">
        <w:rPr>
          <w:lang w:val="en-GB"/>
        </w:rPr>
        <w:t>se</w:t>
      </w:r>
      <w:r w:rsidRPr="00CD2EEF">
        <w:rPr>
          <w:lang w:val="en-GB"/>
        </w:rPr>
        <w:t xml:space="preserve"> two regulations, the need for some additional editorial corrections and adjustments also became apparent. After the completion of the internal coordination of the draft of the two regulations at </w:t>
      </w:r>
      <w:r w:rsidR="00A726E8">
        <w:rPr>
          <w:lang w:val="en-GB"/>
        </w:rPr>
        <w:t>the</w:t>
      </w:r>
      <w:r w:rsidR="00E63423">
        <w:rPr>
          <w:lang w:val="en-GB"/>
        </w:rPr>
        <w:t xml:space="preserve"> SNSA</w:t>
      </w:r>
      <w:r w:rsidRPr="00CD2EEF">
        <w:rPr>
          <w:lang w:val="en-GB"/>
        </w:rPr>
        <w:t xml:space="preserve"> level, both were published at the end of 2021 on the e-Democracy website and on </w:t>
      </w:r>
      <w:r w:rsidR="00A726E8">
        <w:rPr>
          <w:lang w:val="en-GB"/>
        </w:rPr>
        <w:t>the</w:t>
      </w:r>
      <w:r w:rsidR="00E63423">
        <w:rPr>
          <w:lang w:val="en-GB"/>
        </w:rPr>
        <w:t xml:space="preserve"> SNSA</w:t>
      </w:r>
      <w:r w:rsidRPr="00CD2EEF">
        <w:rPr>
          <w:lang w:val="en-GB"/>
        </w:rPr>
        <w:t xml:space="preserve"> website, but the public debate was not completed in 2021.</w:t>
      </w:r>
    </w:p>
    <w:p w14:paraId="33292281" w14:textId="4D7A10A7" w:rsidR="00412AFC" w:rsidRPr="00CD2EEF" w:rsidRDefault="00412AFC" w:rsidP="007B47ED">
      <w:pPr>
        <w:pStyle w:val="LPnavaden"/>
        <w:rPr>
          <w:lang w:val="en-GB"/>
        </w:rPr>
      </w:pPr>
      <w:r w:rsidRPr="00CD2EEF">
        <w:rPr>
          <w:lang w:val="en-GB"/>
        </w:rPr>
        <w:t xml:space="preserve">In 2021, the work of the representatives of the Ministry of the Interior and </w:t>
      </w:r>
      <w:r w:rsidR="00A726E8">
        <w:rPr>
          <w:lang w:val="en-GB"/>
        </w:rPr>
        <w:t>the</w:t>
      </w:r>
      <w:r w:rsidR="00E63423">
        <w:rPr>
          <w:lang w:val="en-GB"/>
        </w:rPr>
        <w:t xml:space="preserve"> </w:t>
      </w:r>
      <w:r w:rsidR="00E63423" w:rsidRPr="00980AEC">
        <w:rPr>
          <w:lang w:val="en-GB"/>
        </w:rPr>
        <w:t>SNSA</w:t>
      </w:r>
      <w:r w:rsidRPr="00980AEC">
        <w:rPr>
          <w:lang w:val="en-GB"/>
        </w:rPr>
        <w:t xml:space="preserve"> on </w:t>
      </w:r>
      <w:r w:rsidR="00A75BA2" w:rsidRPr="00980AEC">
        <w:rPr>
          <w:lang w:val="en-GB"/>
        </w:rPr>
        <w:t xml:space="preserve">the </w:t>
      </w:r>
      <w:r w:rsidRPr="00980AEC">
        <w:rPr>
          <w:lang w:val="en-GB"/>
        </w:rPr>
        <w:t>review</w:t>
      </w:r>
      <w:r w:rsidR="00A75BA2" w:rsidRPr="00980AEC">
        <w:rPr>
          <w:lang w:val="en-GB"/>
        </w:rPr>
        <w:t xml:space="preserve"> of</w:t>
      </w:r>
      <w:r w:rsidRPr="00980AEC">
        <w:rPr>
          <w:lang w:val="en-GB"/>
        </w:rPr>
        <w:t xml:space="preserve"> regulations in the field of physical protection continued. The review and excha</w:t>
      </w:r>
      <w:r w:rsidRPr="00CD2EEF">
        <w:rPr>
          <w:lang w:val="en-GB"/>
        </w:rPr>
        <w:t xml:space="preserve">nge of expert opinions </w:t>
      </w:r>
      <w:r w:rsidR="00234EC9">
        <w:rPr>
          <w:lang w:val="en-GB"/>
        </w:rPr>
        <w:t>hitherto</w:t>
      </w:r>
      <w:r w:rsidRPr="00CD2EEF">
        <w:rPr>
          <w:lang w:val="en-GB"/>
        </w:rPr>
        <w:t xml:space="preserve"> indicated that after eight years of </w:t>
      </w:r>
      <w:r w:rsidR="00234EC9">
        <w:rPr>
          <w:lang w:val="en-GB"/>
        </w:rPr>
        <w:t xml:space="preserve">the </w:t>
      </w:r>
      <w:r w:rsidRPr="00CD2EEF">
        <w:rPr>
          <w:lang w:val="en-GB"/>
        </w:rPr>
        <w:t>application of both regulations (</w:t>
      </w:r>
      <w:r w:rsidRPr="00CD2EEF">
        <w:rPr>
          <w:rStyle w:val="LPnavadenposevnoZnak"/>
          <w:lang w:val="en-GB"/>
        </w:rPr>
        <w:t>Rules on the physical protection of nuclear facilities, nuclear and radioactive substances</w:t>
      </w:r>
      <w:r w:rsidR="00234EC9">
        <w:rPr>
          <w:rStyle w:val="LPnavadenposevnoZnak"/>
          <w:lang w:val="en-GB"/>
        </w:rPr>
        <w:t>,</w:t>
      </w:r>
      <w:r w:rsidRPr="00CD2EEF">
        <w:rPr>
          <w:rStyle w:val="LPnavadenposevnoZnak"/>
          <w:lang w:val="en-GB"/>
        </w:rPr>
        <w:t xml:space="preserve"> and the transport of nuclear substances</w:t>
      </w:r>
      <w:r w:rsidRPr="00CD2EEF">
        <w:rPr>
          <w:lang w:val="en-GB"/>
        </w:rPr>
        <w:t xml:space="preserve"> and the </w:t>
      </w:r>
      <w:r w:rsidRPr="00CD2EEF">
        <w:rPr>
          <w:rStyle w:val="LPnavadenposevnoZnak"/>
          <w:lang w:val="en-GB"/>
        </w:rPr>
        <w:t xml:space="preserve">Order on determining the </w:t>
      </w:r>
      <w:r w:rsidR="00AB71FB">
        <w:rPr>
          <w:rStyle w:val="LPnavadenposevnoZnak"/>
          <w:lang w:val="en-GB"/>
        </w:rPr>
        <w:t xml:space="preserve">programme </w:t>
      </w:r>
      <w:r w:rsidRPr="00CD2EEF">
        <w:rPr>
          <w:rStyle w:val="LPnavadenposevnoZnak"/>
          <w:lang w:val="en-GB"/>
        </w:rPr>
        <w:t xml:space="preserve">of basic professional training and the </w:t>
      </w:r>
      <w:r w:rsidR="00AB71FB">
        <w:rPr>
          <w:rStyle w:val="LPnavadenposevnoZnak"/>
          <w:lang w:val="en-GB"/>
        </w:rPr>
        <w:t xml:space="preserve">programme </w:t>
      </w:r>
      <w:r w:rsidRPr="00CD2EEF">
        <w:rPr>
          <w:rStyle w:val="LPnavadenposevnoZnak"/>
          <w:lang w:val="en-GB"/>
        </w:rPr>
        <w:t>of periodic professional development of security personnel, which carries out the physical protection of nuclear facilities, nuclear or radioactive substances</w:t>
      </w:r>
      <w:r w:rsidR="00234EC9">
        <w:rPr>
          <w:rStyle w:val="LPnavadenposevnoZnak"/>
          <w:lang w:val="en-GB"/>
        </w:rPr>
        <w:t>,</w:t>
      </w:r>
      <w:r w:rsidRPr="00CD2EEF">
        <w:rPr>
          <w:rStyle w:val="LPnavadenposevnoZnak"/>
          <w:lang w:val="en-GB"/>
        </w:rPr>
        <w:t xml:space="preserve"> and </w:t>
      </w:r>
      <w:r w:rsidR="00234EC9">
        <w:rPr>
          <w:rStyle w:val="LPnavadenposevnoZnak"/>
          <w:lang w:val="en-GB"/>
        </w:rPr>
        <w:t xml:space="preserve">the </w:t>
      </w:r>
      <w:r w:rsidRPr="00CD2EEF">
        <w:rPr>
          <w:rStyle w:val="LPnavadenposevnoZnak"/>
          <w:lang w:val="en-GB"/>
        </w:rPr>
        <w:t>transport of nuclear substances</w:t>
      </w:r>
      <w:r w:rsidRPr="00CD2EEF">
        <w:rPr>
          <w:lang w:val="en-GB"/>
        </w:rPr>
        <w:t xml:space="preserve">) many changes and corrections were necessary, which, however, will not drastically change the way the area is regulated. Regarding the Rules, changes are indicated, </w:t>
      </w:r>
      <w:r w:rsidR="00727B93">
        <w:rPr>
          <w:lang w:val="en-GB"/>
        </w:rPr>
        <w:t xml:space="preserve">such </w:t>
      </w:r>
      <w:r w:rsidRPr="00CD2EEF">
        <w:rPr>
          <w:lang w:val="en-GB"/>
        </w:rPr>
        <w:t xml:space="preserve">as </w:t>
      </w:r>
      <w:r w:rsidR="00727B93">
        <w:rPr>
          <w:lang w:val="en-GB"/>
        </w:rPr>
        <w:t xml:space="preserve">regarding </w:t>
      </w:r>
      <w:r w:rsidRPr="00CD2EEF">
        <w:rPr>
          <w:lang w:val="en-GB"/>
        </w:rPr>
        <w:t xml:space="preserve">physical and technical security measures in the protected area, the preparation and content of </w:t>
      </w:r>
      <w:r w:rsidR="00154002">
        <w:rPr>
          <w:lang w:val="en-GB"/>
        </w:rPr>
        <w:t>a</w:t>
      </w:r>
      <w:r w:rsidR="00154002" w:rsidRPr="00CD2EEF">
        <w:rPr>
          <w:lang w:val="en-GB"/>
        </w:rPr>
        <w:t xml:space="preserve"> </w:t>
      </w:r>
      <w:r w:rsidRPr="00CD2EEF">
        <w:rPr>
          <w:lang w:val="en-GB"/>
        </w:rPr>
        <w:t>threat assessment</w:t>
      </w:r>
      <w:r w:rsidR="00154002">
        <w:rPr>
          <w:lang w:val="en-GB"/>
        </w:rPr>
        <w:t>,</w:t>
      </w:r>
      <w:r w:rsidRPr="00CD2EEF">
        <w:rPr>
          <w:lang w:val="en-GB"/>
        </w:rPr>
        <w:t xml:space="preserve"> and </w:t>
      </w:r>
      <w:r w:rsidR="00154002">
        <w:rPr>
          <w:lang w:val="en-GB"/>
        </w:rPr>
        <w:t>the</w:t>
      </w:r>
      <w:r w:rsidR="00154002" w:rsidRPr="00CD2EEF">
        <w:rPr>
          <w:lang w:val="en-GB"/>
        </w:rPr>
        <w:t xml:space="preserve"> </w:t>
      </w:r>
      <w:r w:rsidRPr="00CD2EEF">
        <w:rPr>
          <w:lang w:val="en-GB"/>
        </w:rPr>
        <w:t xml:space="preserve">content of physical protection plans. Regarding the Order, the proponents supplemented the basic professional training </w:t>
      </w:r>
      <w:r w:rsidR="00AB71FB">
        <w:rPr>
          <w:lang w:val="en-GB"/>
        </w:rPr>
        <w:t xml:space="preserve">programme </w:t>
      </w:r>
      <w:r w:rsidRPr="00CD2EEF">
        <w:rPr>
          <w:lang w:val="en-GB"/>
        </w:rPr>
        <w:t>for security personnel and the periodic professional development program</w:t>
      </w:r>
      <w:r w:rsidR="00AB71FB">
        <w:rPr>
          <w:lang w:val="en-GB"/>
        </w:rPr>
        <w:t>me</w:t>
      </w:r>
      <w:r w:rsidRPr="00CD2EEF">
        <w:rPr>
          <w:lang w:val="en-GB"/>
        </w:rPr>
        <w:t xml:space="preserve">; some new training content </w:t>
      </w:r>
      <w:r w:rsidR="00154002">
        <w:rPr>
          <w:lang w:val="en-GB"/>
        </w:rPr>
        <w:t>was</w:t>
      </w:r>
      <w:r w:rsidR="00154002" w:rsidRPr="00CD2EEF">
        <w:rPr>
          <w:lang w:val="en-GB"/>
        </w:rPr>
        <w:t xml:space="preserve"> </w:t>
      </w:r>
      <w:r w:rsidRPr="00CD2EEF">
        <w:rPr>
          <w:lang w:val="en-GB"/>
        </w:rPr>
        <w:t xml:space="preserve">added, and concepts were adjusted based on the starting points from </w:t>
      </w:r>
      <w:r w:rsidR="00154002">
        <w:rPr>
          <w:lang w:val="en-GB"/>
        </w:rPr>
        <w:t xml:space="preserve">the </w:t>
      </w:r>
      <w:r w:rsidRPr="00CD2EEF">
        <w:rPr>
          <w:lang w:val="en-GB"/>
        </w:rPr>
        <w:t xml:space="preserve">ZVISJV-1 (e.g. </w:t>
      </w:r>
      <w:r w:rsidR="00154002">
        <w:rPr>
          <w:lang w:val="en-GB"/>
        </w:rPr>
        <w:t xml:space="preserve">the </w:t>
      </w:r>
      <w:r w:rsidRPr="00CD2EEF">
        <w:rPr>
          <w:lang w:val="en-GB"/>
        </w:rPr>
        <w:t>security culture). The process of adopting both regulations was not completed in 2021.</w:t>
      </w:r>
    </w:p>
    <w:p w14:paraId="4C1D705A" w14:textId="458CC569" w:rsidR="00412AFC" w:rsidRPr="00CD2EEF" w:rsidRDefault="00412AFC" w:rsidP="00F57737">
      <w:pPr>
        <w:pStyle w:val="LPNaslov2"/>
        <w:rPr>
          <w:lang w:val="en-GB"/>
        </w:rPr>
      </w:pPr>
      <w:bookmarkStart w:id="386" w:name="ch84"/>
      <w:bookmarkStart w:id="387" w:name="_Toc126312037"/>
      <w:r w:rsidRPr="00CD2EEF">
        <w:rPr>
          <w:lang w:val="en-GB"/>
        </w:rPr>
        <w:t>THE EXPERT COUNCIL FOR RADIATION AND NUCLEAR SAFETY</w:t>
      </w:r>
      <w:bookmarkEnd w:id="387"/>
    </w:p>
    <w:bookmarkEnd w:id="386"/>
    <w:p w14:paraId="206BFD18" w14:textId="041C14D6" w:rsidR="00412AFC" w:rsidRPr="00CD2EEF" w:rsidRDefault="00412AFC" w:rsidP="00F57737">
      <w:pPr>
        <w:pStyle w:val="LPnavaden"/>
        <w:rPr>
          <w:lang w:val="en-GB"/>
        </w:rPr>
      </w:pPr>
      <w:r w:rsidRPr="00CD2EEF">
        <w:rPr>
          <w:lang w:val="en-GB"/>
        </w:rPr>
        <w:t>The Expert Council for Radiation and Nuclear Safety provides expert advice to</w:t>
      </w:r>
      <w:r w:rsidR="00843F42">
        <w:rPr>
          <w:lang w:val="en-GB"/>
        </w:rPr>
        <w:t xml:space="preserve"> the</w:t>
      </w:r>
      <w:r w:rsidRPr="00CD2EEF">
        <w:rPr>
          <w:lang w:val="en-GB"/>
        </w:rPr>
        <w:t xml:space="preserve"> MESP and to the Slovenian Nuclear Safety Administration in the fields of radiation and nuclear safety, the physical protection of nuclear materials and facilities, safeguards, radioactivity in the environment, radiation protection of the environment, intervention measures and mitigation of the consequences of emergencies</w:t>
      </w:r>
      <w:r w:rsidR="00733DC2">
        <w:rPr>
          <w:lang w:val="en-GB"/>
        </w:rPr>
        <w:t>,</w:t>
      </w:r>
      <w:r w:rsidRPr="00CD2EEF">
        <w:rPr>
          <w:lang w:val="en-GB"/>
        </w:rPr>
        <w:t xml:space="preserve"> and the use of radiation sources other than those used in health and veterinary care.</w:t>
      </w:r>
    </w:p>
    <w:p w14:paraId="69D957BC" w14:textId="75198CA2" w:rsidR="00412AFC" w:rsidRPr="00CD2EEF" w:rsidRDefault="00412AFC" w:rsidP="00F57737">
      <w:pPr>
        <w:pStyle w:val="LPnavaden"/>
        <w:rPr>
          <w:lang w:val="en-GB"/>
        </w:rPr>
      </w:pPr>
      <w:r w:rsidRPr="00CD2EEF">
        <w:rPr>
          <w:lang w:val="en-GB"/>
        </w:rPr>
        <w:lastRenderedPageBreak/>
        <w:t>In 2021, the Expert Council for Radiation and Nuclear Safety convened one regular session, which was held virtually, and three correspondence sessions. At the regular session</w:t>
      </w:r>
      <w:r w:rsidR="00733DC2">
        <w:rPr>
          <w:lang w:val="en-GB"/>
        </w:rPr>
        <w:t>,</w:t>
      </w:r>
      <w:r w:rsidRPr="00CD2EEF">
        <w:rPr>
          <w:lang w:val="en-GB"/>
        </w:rPr>
        <w:t xml:space="preserve"> </w:t>
      </w:r>
      <w:r w:rsidR="00A726E8">
        <w:rPr>
          <w:lang w:val="en-GB"/>
        </w:rPr>
        <w:t>the</w:t>
      </w:r>
      <w:r w:rsidR="00E63423">
        <w:rPr>
          <w:lang w:val="en-GB"/>
        </w:rPr>
        <w:t xml:space="preserve"> SNSA</w:t>
      </w:r>
      <w:r w:rsidRPr="00CD2EEF">
        <w:rPr>
          <w:lang w:val="en-GB"/>
        </w:rPr>
        <w:t xml:space="preserve"> director reported on the status of nuclear and radiation safety. The Council took note of amendments to the draft of the I</w:t>
      </w:r>
      <w:r w:rsidR="00837F00">
        <w:rPr>
          <w:lang w:val="en-GB"/>
        </w:rPr>
        <w:t>onis</w:t>
      </w:r>
      <w:r w:rsidRPr="00CD2EEF">
        <w:rPr>
          <w:lang w:val="en-GB"/>
        </w:rPr>
        <w:t xml:space="preserve">ing Radiation Protection and Nuclear Safety Act, considered the proposals for new Rules on Radioactive Waste and Spent Fuel Management, for </w:t>
      </w:r>
      <w:r w:rsidR="00733DC2">
        <w:rPr>
          <w:lang w:val="en-GB"/>
        </w:rPr>
        <w:t xml:space="preserve">the </w:t>
      </w:r>
      <w:r w:rsidRPr="00CD2EEF">
        <w:rPr>
          <w:rStyle w:val="LPpobarvan2"/>
          <w:shd w:val="clear" w:color="auto" w:fill="auto"/>
          <w:lang w:val="en-GB"/>
        </w:rPr>
        <w:t>Protection Strategy in the Event of a Nuclear and Radiological Emergency</w:t>
      </w:r>
      <w:r w:rsidRPr="00CD2EEF">
        <w:rPr>
          <w:rStyle w:val="LPnavadenpoevno"/>
          <w:lang w:val="en-GB"/>
        </w:rPr>
        <w:t xml:space="preserve">, </w:t>
      </w:r>
      <w:r w:rsidRPr="00CD2EEF">
        <w:rPr>
          <w:lang w:val="en-GB"/>
        </w:rPr>
        <w:t xml:space="preserve">as well as for </w:t>
      </w:r>
      <w:r w:rsidR="00733DC2">
        <w:rPr>
          <w:lang w:val="en-GB"/>
        </w:rPr>
        <w:t xml:space="preserve">the </w:t>
      </w:r>
      <w:r w:rsidRPr="00CD2EEF">
        <w:rPr>
          <w:rStyle w:val="LPpobarvan2"/>
          <w:shd w:val="clear" w:color="auto" w:fill="auto"/>
          <w:lang w:val="en-GB"/>
        </w:rPr>
        <w:t>Rules on requirements for new constructions, interventions, or renovations of existing buildings</w:t>
      </w:r>
      <w:r w:rsidRPr="00CD2EEF">
        <w:rPr>
          <w:lang w:val="en-GB"/>
        </w:rPr>
        <w:t xml:space="preserve"> in order to protect human health from </w:t>
      </w:r>
      <w:r w:rsidR="00733DC2">
        <w:rPr>
          <w:lang w:val="en-GB"/>
        </w:rPr>
        <w:t xml:space="preserve">the </w:t>
      </w:r>
      <w:r w:rsidRPr="00CD2EEF">
        <w:rPr>
          <w:lang w:val="en-GB"/>
        </w:rPr>
        <w:t>adverse effects of radon. The Council also considered and approved the 2020 Annual Report on Radiation and Nuclear Safety in the Republic of Slovenia, the Third National Report of the Republic of Slovenia in accordance with Council Directive 2011/70/Euratom on the responsible and safe management of spent fuel and radioactive waste.</w:t>
      </w:r>
    </w:p>
    <w:p w14:paraId="5207B537" w14:textId="11B62DDC" w:rsidR="00412AFC" w:rsidRPr="00CD2EEF" w:rsidRDefault="00412AFC" w:rsidP="00F57737">
      <w:pPr>
        <w:pStyle w:val="LPNaslov2"/>
        <w:rPr>
          <w:lang w:val="en-GB"/>
        </w:rPr>
      </w:pPr>
      <w:bookmarkStart w:id="388" w:name="_Toc126312038"/>
      <w:r w:rsidRPr="00CD2EEF">
        <w:rPr>
          <w:lang w:val="en-GB"/>
        </w:rPr>
        <w:t>THE SLOVENIAN NUCLEAR SAFETY ADMINISTRATION</w:t>
      </w:r>
      <w:bookmarkEnd w:id="388"/>
    </w:p>
    <w:p w14:paraId="0CBFEABB" w14:textId="70350D9F" w:rsidR="00412AFC" w:rsidRPr="00CD2EEF" w:rsidRDefault="00412AFC" w:rsidP="00F57737">
      <w:pPr>
        <w:pStyle w:val="LPnavaden"/>
        <w:rPr>
          <w:lang w:val="en-GB"/>
        </w:rPr>
      </w:pPr>
      <w:r w:rsidRPr="00CD2EEF">
        <w:rPr>
          <w:rStyle w:val="LPnavadenposevnoZnak"/>
          <w:lang w:val="en-GB"/>
        </w:rPr>
        <w:t>The Decree on bodies within the ministries</w:t>
      </w:r>
      <w:r w:rsidRPr="00CD2EEF">
        <w:rPr>
          <w:lang w:val="en-GB"/>
        </w:rPr>
        <w:t xml:space="preserve"> (Official Gazette of the Republic of Slovenia, Nos. 35/15, 62/15, 84/16, 41/17, 53/17, 52/18, 84/18, 10/19, 64/19, 64/21, 90/21, 101/21</w:t>
      </w:r>
      <w:r w:rsidR="00926224">
        <w:rPr>
          <w:lang w:val="en-GB"/>
        </w:rPr>
        <w:t>,</w:t>
      </w:r>
      <w:r w:rsidRPr="00CD2EEF">
        <w:rPr>
          <w:lang w:val="en-GB"/>
        </w:rPr>
        <w:t xml:space="preserve"> and 117/21) determines that the Slovenian Nuclear Safety Administration (</w:t>
      </w:r>
      <w:r w:rsidR="00E63423">
        <w:rPr>
          <w:lang w:val="en-GB"/>
        </w:rPr>
        <w:t>the SNSA</w:t>
      </w:r>
      <w:r w:rsidRPr="00CD2EEF">
        <w:rPr>
          <w:lang w:val="en-GB"/>
        </w:rPr>
        <w:t>) performs administrative and developmental tasks in the field of nuclear and radiation safety, radiation practices, and the use of radiation sources (with the exception of medicine and veterinary medicine), environmental protection against ionising radiation, the physical protection of nuclear materials and facilities, the non-proliferation and security of nuclear materials, radiation monitoring, and liability for nuclear damage; it also carries out inspection duties in the above areas and cooperates in radiological and nuclear emergency events with the State Civil Protection Headquarters to determine protective measures for the population and informs the public regarding such matters.</w:t>
      </w:r>
    </w:p>
    <w:p w14:paraId="399CC30E" w14:textId="562B8AA5" w:rsidR="00412AFC" w:rsidRPr="00CD2EEF" w:rsidRDefault="00412AFC" w:rsidP="00F57737">
      <w:pPr>
        <w:pStyle w:val="LPnavaden"/>
        <w:rPr>
          <w:lang w:val="en-GB"/>
        </w:rPr>
      </w:pPr>
      <w:r w:rsidRPr="00CD2EEF">
        <w:rPr>
          <w:lang w:val="en-GB"/>
        </w:rPr>
        <w:t xml:space="preserve">The legal basis for administrative and professional tasks in the field of nuclear and radiation protection and for inspections in this field is provided by the ZVIJSV-1 and the implementing regulations adopted on the basis thereof, the </w:t>
      </w:r>
      <w:r w:rsidRPr="00CD2EEF">
        <w:rPr>
          <w:rStyle w:val="LPnavadenposevnoZnak"/>
          <w:lang w:val="en-GB"/>
        </w:rPr>
        <w:t>Nuclear Damage Liability Act</w:t>
      </w:r>
      <w:r w:rsidRPr="00CD2EEF">
        <w:rPr>
          <w:lang w:val="en-GB"/>
        </w:rPr>
        <w:t xml:space="preserve"> (Official Gazette of the SFRY, Nos. 22/78 and 34/79), and the </w:t>
      </w:r>
      <w:r w:rsidRPr="00CD2EEF">
        <w:rPr>
          <w:rStyle w:val="LPnavadenposevnoZnak"/>
          <w:lang w:val="en-GB"/>
        </w:rPr>
        <w:t>Nuclear Damage Liability Insurance Act</w:t>
      </w:r>
      <w:r w:rsidRPr="00CD2EEF">
        <w:rPr>
          <w:lang w:val="en-GB"/>
        </w:rPr>
        <w:t xml:space="preserve"> (Official Gazette of the SRS, No. 12/80), both of which will remain valid until the full entry into force of the new </w:t>
      </w:r>
      <w:r w:rsidRPr="00CD2EEF">
        <w:rPr>
          <w:rStyle w:val="LPnavadenposevnoZnak"/>
          <w:lang w:val="en-GB"/>
        </w:rPr>
        <w:t xml:space="preserve">Nuclear </w:t>
      </w:r>
      <w:r w:rsidR="00D939BC">
        <w:rPr>
          <w:rStyle w:val="LPnavadenposevnoZnak"/>
          <w:lang w:val="en-GB"/>
        </w:rPr>
        <w:t>D</w:t>
      </w:r>
      <w:r w:rsidRPr="00CD2EEF">
        <w:rPr>
          <w:rStyle w:val="LPnavadenposevnoZnak"/>
          <w:lang w:val="en-GB"/>
        </w:rPr>
        <w:t>amage Liability Act</w:t>
      </w:r>
      <w:r w:rsidRPr="00CD2EEF">
        <w:rPr>
          <w:lang w:val="en-GB"/>
        </w:rPr>
        <w:t xml:space="preserve"> (ZOJed-1, Official Gazette of the SRS, No. 77/10), the </w:t>
      </w:r>
      <w:r w:rsidRPr="00CD2EEF">
        <w:rPr>
          <w:rStyle w:val="LPnavadenposevnoZnak"/>
          <w:lang w:val="en-GB"/>
        </w:rPr>
        <w:t>Transport of Dangerous Goods Act</w:t>
      </w:r>
      <w:r w:rsidRPr="00CD2EEF">
        <w:rPr>
          <w:lang w:val="en-GB"/>
        </w:rPr>
        <w:t xml:space="preserve"> (Official Gazette of the Republic of Slovenia, Nos. 33/06 – UPB1, 41/09, 97/10</w:t>
      </w:r>
      <w:r w:rsidR="00D939BC">
        <w:rPr>
          <w:lang w:val="en-GB"/>
        </w:rPr>
        <w:t>,</w:t>
      </w:r>
      <w:r w:rsidRPr="00CD2EEF">
        <w:rPr>
          <w:lang w:val="en-GB"/>
        </w:rPr>
        <w:t xml:space="preserve"> and 56/15) and the regulations in the wider field of nuclear and radiation safety and ratified and published international </w:t>
      </w:r>
      <w:r w:rsidR="00D939BC">
        <w:rPr>
          <w:lang w:val="en-GB"/>
        </w:rPr>
        <w:t>treaties</w:t>
      </w:r>
      <w:r w:rsidR="00D939BC" w:rsidRPr="00CD2EEF">
        <w:rPr>
          <w:lang w:val="en-GB"/>
        </w:rPr>
        <w:t xml:space="preserve"> </w:t>
      </w:r>
      <w:r w:rsidRPr="00CD2EEF">
        <w:rPr>
          <w:lang w:val="en-GB"/>
        </w:rPr>
        <w:t xml:space="preserve">in the field of nuclear energy and nuclear and radiation safety. A more detailed overview of the current legislation, including the relevant acquis in this area, </w:t>
      </w:r>
      <w:r w:rsidRPr="0039357D">
        <w:rPr>
          <w:lang w:val="en-GB"/>
        </w:rPr>
        <w:t xml:space="preserve">can be found on the </w:t>
      </w:r>
      <w:hyperlink r:id="rId61" w:history="1">
        <w:r w:rsidRPr="0039357D">
          <w:rPr>
            <w:rStyle w:val="Hiperpovezava"/>
            <w:lang w:val="en-GB"/>
          </w:rPr>
          <w:t>SNSA website</w:t>
        </w:r>
      </w:hyperlink>
      <w:r w:rsidRPr="0039357D">
        <w:rPr>
          <w:lang w:val="en-GB"/>
        </w:rPr>
        <w:t>.</w:t>
      </w:r>
    </w:p>
    <w:p w14:paraId="4DF3AFA0" w14:textId="15E03819" w:rsidR="00412AFC" w:rsidRPr="00CD2EEF" w:rsidRDefault="00A726E8" w:rsidP="00F57737">
      <w:pPr>
        <w:pStyle w:val="LPnavaden"/>
        <w:rPr>
          <w:lang w:val="en-GB"/>
        </w:rPr>
      </w:pPr>
      <w:r>
        <w:rPr>
          <w:lang w:val="en-GB"/>
        </w:rPr>
        <w:t>The</w:t>
      </w:r>
      <w:r w:rsidR="00E63423">
        <w:rPr>
          <w:lang w:val="en-GB"/>
        </w:rPr>
        <w:t xml:space="preserve"> SNSA</w:t>
      </w:r>
      <w:r w:rsidR="00412AFC" w:rsidRPr="00CD2EEF">
        <w:rPr>
          <w:lang w:val="en-GB"/>
        </w:rPr>
        <w:t xml:space="preserve"> has implemented a management system in accordance with the ISO 9001 standard and concurrently with the IAEA standard </w:t>
      </w:r>
      <w:r w:rsidR="00412AFC" w:rsidRPr="00CD2EEF">
        <w:rPr>
          <w:rStyle w:val="LPnavadenposevnoZnak"/>
          <w:lang w:val="en-GB"/>
        </w:rPr>
        <w:t>GSR Part 2 Leadership and Management for Safety</w:t>
      </w:r>
      <w:r w:rsidR="00412AFC" w:rsidRPr="00CD2EEF">
        <w:rPr>
          <w:lang w:val="en-GB"/>
        </w:rPr>
        <w:t xml:space="preserve">. The management system of </w:t>
      </w:r>
      <w:r>
        <w:rPr>
          <w:lang w:val="en-GB"/>
        </w:rPr>
        <w:t>the</w:t>
      </w:r>
      <w:r w:rsidR="00E63423">
        <w:rPr>
          <w:lang w:val="en-GB"/>
        </w:rPr>
        <w:t xml:space="preserve"> SNSA</w:t>
      </w:r>
      <w:r w:rsidR="00412AFC" w:rsidRPr="00CD2EEF">
        <w:rPr>
          <w:lang w:val="en-GB"/>
        </w:rPr>
        <w:t xml:space="preserve"> is described in the Rules of Procedure of </w:t>
      </w:r>
      <w:r>
        <w:rPr>
          <w:lang w:val="en-GB"/>
        </w:rPr>
        <w:t>the</w:t>
      </w:r>
      <w:r w:rsidR="00E63423">
        <w:rPr>
          <w:lang w:val="en-GB"/>
        </w:rPr>
        <w:t xml:space="preserve"> SNSA</w:t>
      </w:r>
      <w:r w:rsidR="00412AFC" w:rsidRPr="00CD2EEF">
        <w:rPr>
          <w:lang w:val="en-GB"/>
        </w:rPr>
        <w:t xml:space="preserve"> and related procedures.</w:t>
      </w:r>
    </w:p>
    <w:p w14:paraId="18A5682A" w14:textId="0AC72312" w:rsidR="00412AFC" w:rsidRPr="00CD2EEF" w:rsidRDefault="005D1129" w:rsidP="00E61567">
      <w:pPr>
        <w:pStyle w:val="LPNaslov3"/>
        <w:rPr>
          <w:lang w:val="en-GB"/>
        </w:rPr>
      </w:pPr>
      <w:bookmarkStart w:id="389" w:name="_Toc84321662"/>
      <w:bookmarkStart w:id="390" w:name="_Toc46257239"/>
      <w:bookmarkStart w:id="391" w:name="_Toc47694682"/>
      <w:bookmarkStart w:id="392" w:name="_Toc126312039"/>
      <w:r>
        <w:rPr>
          <w:lang w:val="en-GB"/>
        </w:rPr>
        <w:t>T</w:t>
      </w:r>
      <w:r w:rsidR="00E63423">
        <w:rPr>
          <w:lang w:val="en-GB"/>
        </w:rPr>
        <w:t>he SNSA</w:t>
      </w:r>
      <w:r w:rsidR="00412AFC" w:rsidRPr="00CD2EEF">
        <w:rPr>
          <w:lang w:val="en-GB"/>
        </w:rPr>
        <w:t xml:space="preserve"> </w:t>
      </w:r>
      <w:r w:rsidR="00980AEC">
        <w:rPr>
          <w:lang w:val="en-GB"/>
        </w:rPr>
        <w:t>D</w:t>
      </w:r>
      <w:r w:rsidR="00412AFC" w:rsidRPr="00CD2EEF">
        <w:rPr>
          <w:lang w:val="en-GB"/>
        </w:rPr>
        <w:t xml:space="preserve">uring the Covid-19 </w:t>
      </w:r>
      <w:r w:rsidR="00980AEC">
        <w:rPr>
          <w:lang w:val="en-GB"/>
        </w:rPr>
        <w:t>E</w:t>
      </w:r>
      <w:r w:rsidR="00412AFC" w:rsidRPr="00CD2EEF">
        <w:rPr>
          <w:lang w:val="en-GB"/>
        </w:rPr>
        <w:t>pidemic</w:t>
      </w:r>
      <w:bookmarkEnd w:id="389"/>
      <w:bookmarkEnd w:id="392"/>
    </w:p>
    <w:p w14:paraId="1C99E156" w14:textId="17A798A2" w:rsidR="00412AFC" w:rsidRPr="00CD2EEF" w:rsidRDefault="00412AFC" w:rsidP="00FD0159">
      <w:pPr>
        <w:pStyle w:val="LPnavaden"/>
        <w:rPr>
          <w:lang w:val="en-GB"/>
        </w:rPr>
      </w:pPr>
      <w:r w:rsidRPr="00CD2EEF">
        <w:rPr>
          <w:lang w:val="en-GB"/>
        </w:rPr>
        <w:t xml:space="preserve">In 2021, the Covid-19 </w:t>
      </w:r>
      <w:r w:rsidR="00BE025A">
        <w:rPr>
          <w:lang w:val="en-GB"/>
        </w:rPr>
        <w:t>epi</w:t>
      </w:r>
      <w:r w:rsidRPr="00CD2EEF">
        <w:rPr>
          <w:lang w:val="en-GB"/>
        </w:rPr>
        <w:t xml:space="preserve">demic also strongly affected life and work both at </w:t>
      </w:r>
      <w:r w:rsidR="00A726E8">
        <w:rPr>
          <w:lang w:val="en-GB"/>
        </w:rPr>
        <w:t>the</w:t>
      </w:r>
      <w:r w:rsidR="00E63423">
        <w:rPr>
          <w:lang w:val="en-GB"/>
        </w:rPr>
        <w:t xml:space="preserve"> SNSA</w:t>
      </w:r>
      <w:r w:rsidRPr="00CD2EEF">
        <w:rPr>
          <w:lang w:val="en-GB"/>
        </w:rPr>
        <w:t xml:space="preserve"> </w:t>
      </w:r>
      <w:r w:rsidR="00F76A0F">
        <w:rPr>
          <w:lang w:val="en-GB"/>
        </w:rPr>
        <w:t>and</w:t>
      </w:r>
      <w:r w:rsidRPr="00CD2EEF">
        <w:rPr>
          <w:lang w:val="en-GB"/>
        </w:rPr>
        <w:t xml:space="preserve"> in Slovenia and elsewhere in the world.</w:t>
      </w:r>
    </w:p>
    <w:p w14:paraId="56665E0F" w14:textId="080D25D9" w:rsidR="00412AFC" w:rsidRPr="00CD2EEF" w:rsidRDefault="00412AFC" w:rsidP="00FD0159">
      <w:pPr>
        <w:pStyle w:val="LPnavaden"/>
        <w:rPr>
          <w:lang w:val="en-GB"/>
        </w:rPr>
      </w:pPr>
      <w:r w:rsidRPr="00CD2EEF">
        <w:rPr>
          <w:lang w:val="en-GB"/>
        </w:rPr>
        <w:t xml:space="preserve">In 2021, </w:t>
      </w:r>
      <w:r w:rsidR="00A726E8">
        <w:rPr>
          <w:lang w:val="en-GB"/>
        </w:rPr>
        <w:t>the</w:t>
      </w:r>
      <w:r w:rsidR="00E63423">
        <w:rPr>
          <w:lang w:val="en-GB"/>
        </w:rPr>
        <w:t xml:space="preserve"> SNSA</w:t>
      </w:r>
      <w:r w:rsidRPr="00CD2EEF">
        <w:rPr>
          <w:lang w:val="en-GB"/>
        </w:rPr>
        <w:t xml:space="preserve"> was also forced, </w:t>
      </w:r>
      <w:r w:rsidR="002019E3">
        <w:rPr>
          <w:lang w:val="en-GB"/>
        </w:rPr>
        <w:t>as were</w:t>
      </w:r>
      <w:r w:rsidR="002019E3" w:rsidRPr="00CD2EEF">
        <w:rPr>
          <w:lang w:val="en-GB"/>
        </w:rPr>
        <w:t xml:space="preserve"> </w:t>
      </w:r>
      <w:r w:rsidRPr="00CD2EEF">
        <w:rPr>
          <w:lang w:val="en-GB"/>
        </w:rPr>
        <w:t>other areas of the state administration, to organi</w:t>
      </w:r>
      <w:r w:rsidR="00837F00">
        <w:rPr>
          <w:lang w:val="en-GB"/>
        </w:rPr>
        <w:t>s</w:t>
      </w:r>
      <w:r w:rsidRPr="00CD2EEF">
        <w:rPr>
          <w:lang w:val="en-GB"/>
        </w:rPr>
        <w:t>e work at home, while the implementation of key matters was also ensured at the headquarters of the administration. This type of work organi</w:t>
      </w:r>
      <w:r w:rsidR="00E9756B">
        <w:rPr>
          <w:lang w:val="en-GB"/>
        </w:rPr>
        <w:t>sation</w:t>
      </w:r>
      <w:r w:rsidRPr="00CD2EEF">
        <w:rPr>
          <w:lang w:val="en-GB"/>
        </w:rPr>
        <w:t xml:space="preserve"> was </w:t>
      </w:r>
      <w:r w:rsidR="002019E3">
        <w:rPr>
          <w:lang w:val="en-GB"/>
        </w:rPr>
        <w:t>carried out</w:t>
      </w:r>
      <w:r w:rsidR="002019E3" w:rsidRPr="00CD2EEF">
        <w:rPr>
          <w:lang w:val="en-GB"/>
        </w:rPr>
        <w:t xml:space="preserve"> </w:t>
      </w:r>
      <w:r w:rsidRPr="00CD2EEF">
        <w:rPr>
          <w:lang w:val="en-GB"/>
        </w:rPr>
        <w:t xml:space="preserve">for almost the entire first half </w:t>
      </w:r>
      <w:r w:rsidRPr="00CD2EEF">
        <w:rPr>
          <w:lang w:val="en-GB"/>
        </w:rPr>
        <w:lastRenderedPageBreak/>
        <w:t>of 2021, and after a partial normali</w:t>
      </w:r>
      <w:r w:rsidR="00E9756B">
        <w:rPr>
          <w:lang w:val="en-GB"/>
        </w:rPr>
        <w:t>sation</w:t>
      </w:r>
      <w:r w:rsidRPr="00CD2EEF">
        <w:rPr>
          <w:lang w:val="en-GB"/>
        </w:rPr>
        <w:t xml:space="preserve"> of life, in the second part of the year it was necessary to switch to </w:t>
      </w:r>
      <w:r w:rsidR="0039357D">
        <w:rPr>
          <w:lang w:val="en-GB"/>
        </w:rPr>
        <w:t>a</w:t>
      </w:r>
      <w:r w:rsidR="002019E3">
        <w:rPr>
          <w:lang w:val="en-GB"/>
        </w:rPr>
        <w:t xml:space="preserve"> </w:t>
      </w:r>
      <w:r w:rsidRPr="00CD2EEF">
        <w:rPr>
          <w:lang w:val="en-GB"/>
        </w:rPr>
        <w:t xml:space="preserve">so-called </w:t>
      </w:r>
      <w:r w:rsidR="00263D93">
        <w:rPr>
          <w:lang w:val="en-GB"/>
        </w:rPr>
        <w:t>“</w:t>
      </w:r>
      <w:r w:rsidRPr="00CD2EEF">
        <w:rPr>
          <w:lang w:val="en-GB"/>
        </w:rPr>
        <w:t>on duty</w:t>
      </w:r>
      <w:r w:rsidR="00263D93">
        <w:rPr>
          <w:lang w:val="en-GB"/>
        </w:rPr>
        <w:t>”</w:t>
      </w:r>
      <w:r w:rsidRPr="00CD2EEF">
        <w:rPr>
          <w:lang w:val="en-GB"/>
        </w:rPr>
        <w:t xml:space="preserve"> organi</w:t>
      </w:r>
      <w:r w:rsidR="00E9756B">
        <w:rPr>
          <w:lang w:val="en-GB"/>
        </w:rPr>
        <w:t>sation</w:t>
      </w:r>
      <w:r w:rsidRPr="00CD2EEF">
        <w:rPr>
          <w:lang w:val="en-GB"/>
        </w:rPr>
        <w:t xml:space="preserve"> of work, which lasted until the end of the year.</w:t>
      </w:r>
    </w:p>
    <w:p w14:paraId="303339AB" w14:textId="0667B53A" w:rsidR="00412AFC" w:rsidRPr="00CD2EEF" w:rsidRDefault="00412AFC" w:rsidP="00FD0159">
      <w:pPr>
        <w:pStyle w:val="LPnavaden"/>
        <w:rPr>
          <w:lang w:val="en-GB"/>
        </w:rPr>
      </w:pPr>
      <w:r w:rsidRPr="003741CE">
        <w:rPr>
          <w:lang w:val="en-GB"/>
        </w:rPr>
        <w:t>The organi</w:t>
      </w:r>
      <w:r w:rsidR="00E9756B" w:rsidRPr="003741CE">
        <w:rPr>
          <w:lang w:val="en-GB"/>
        </w:rPr>
        <w:t>sation</w:t>
      </w:r>
      <w:r w:rsidRPr="003741CE">
        <w:rPr>
          <w:lang w:val="en-GB"/>
        </w:rPr>
        <w:t xml:space="preserve"> of work carried out in </w:t>
      </w:r>
      <w:r w:rsidR="002019E3" w:rsidRPr="003741CE">
        <w:rPr>
          <w:lang w:val="en-GB"/>
        </w:rPr>
        <w:t>such manner</w:t>
      </w:r>
      <w:r w:rsidRPr="003741CE">
        <w:rPr>
          <w:lang w:val="en-GB"/>
        </w:rPr>
        <w:t xml:space="preserve"> did not pose a particular challenge for </w:t>
      </w:r>
      <w:r w:rsidR="00A726E8" w:rsidRPr="003741CE">
        <w:rPr>
          <w:lang w:val="en-GB"/>
        </w:rPr>
        <w:t>the</w:t>
      </w:r>
      <w:r w:rsidR="00E63423" w:rsidRPr="003741CE">
        <w:rPr>
          <w:lang w:val="en-GB"/>
        </w:rPr>
        <w:t xml:space="preserve"> SNSA</w:t>
      </w:r>
      <w:r w:rsidRPr="003741CE">
        <w:rPr>
          <w:lang w:val="en-GB"/>
        </w:rPr>
        <w:t xml:space="preserve"> management, as </w:t>
      </w:r>
      <w:r w:rsidR="00A726E8" w:rsidRPr="003741CE">
        <w:rPr>
          <w:lang w:val="en-GB"/>
        </w:rPr>
        <w:t>the</w:t>
      </w:r>
      <w:r w:rsidR="00E63423" w:rsidRPr="003741CE">
        <w:rPr>
          <w:lang w:val="en-GB"/>
        </w:rPr>
        <w:t xml:space="preserve"> SNSA</w:t>
      </w:r>
      <w:r w:rsidRPr="003741CE">
        <w:rPr>
          <w:lang w:val="en-GB"/>
        </w:rPr>
        <w:t xml:space="preserve"> was already well organ</w:t>
      </w:r>
      <w:r w:rsidR="00837F00" w:rsidRPr="003741CE">
        <w:rPr>
          <w:lang w:val="en-GB"/>
        </w:rPr>
        <w:t>ised</w:t>
      </w:r>
      <w:r w:rsidRPr="003741CE">
        <w:rPr>
          <w:lang w:val="en-GB"/>
        </w:rPr>
        <w:t xml:space="preserve"> in 2020</w:t>
      </w:r>
      <w:r w:rsidR="002019E3" w:rsidRPr="003741CE">
        <w:rPr>
          <w:lang w:val="en-GB"/>
        </w:rPr>
        <w:t>;</w:t>
      </w:r>
      <w:r w:rsidRPr="003741CE">
        <w:rPr>
          <w:lang w:val="en-GB"/>
        </w:rPr>
        <w:t xml:space="preserve"> the determination of </w:t>
      </w:r>
      <w:r w:rsidR="00263D93" w:rsidRPr="003741CE">
        <w:rPr>
          <w:lang w:val="en-GB"/>
        </w:rPr>
        <w:t>“</w:t>
      </w:r>
      <w:r w:rsidRPr="003741CE">
        <w:rPr>
          <w:lang w:val="en-GB"/>
        </w:rPr>
        <w:t>teams</w:t>
      </w:r>
      <w:r w:rsidR="00263D93" w:rsidRPr="003741CE">
        <w:rPr>
          <w:lang w:val="en-GB"/>
        </w:rPr>
        <w:t>”</w:t>
      </w:r>
      <w:r w:rsidRPr="003741CE">
        <w:rPr>
          <w:lang w:val="en-GB"/>
        </w:rPr>
        <w:t xml:space="preserve"> (those working at home and</w:t>
      </w:r>
      <w:r w:rsidR="00464F26" w:rsidRPr="00980AEC">
        <w:rPr>
          <w:lang w:val="en-GB"/>
        </w:rPr>
        <w:t>,</w:t>
      </w:r>
      <w:r w:rsidRPr="003741CE">
        <w:rPr>
          <w:lang w:val="en-GB"/>
        </w:rPr>
        <w:t xml:space="preserve"> in parallel</w:t>
      </w:r>
      <w:r w:rsidR="00464F26" w:rsidRPr="00980AEC">
        <w:rPr>
          <w:lang w:val="en-GB"/>
        </w:rPr>
        <w:t>,</w:t>
      </w:r>
      <w:r w:rsidRPr="003741CE">
        <w:rPr>
          <w:lang w:val="en-GB"/>
        </w:rPr>
        <w:t xml:space="preserve"> those working at </w:t>
      </w:r>
      <w:r w:rsidR="00A726E8" w:rsidRPr="003741CE">
        <w:rPr>
          <w:lang w:val="en-GB"/>
        </w:rPr>
        <w:t>the</w:t>
      </w:r>
      <w:r w:rsidR="00E63423" w:rsidRPr="003741CE">
        <w:rPr>
          <w:lang w:val="en-GB"/>
        </w:rPr>
        <w:t xml:space="preserve"> SNSA</w:t>
      </w:r>
      <w:r w:rsidRPr="003741CE">
        <w:rPr>
          <w:lang w:val="en-GB"/>
        </w:rPr>
        <w:t xml:space="preserve"> Headquarters) went smoothly, through the long-term planning of employees, who were included in the relevant lists according to weekly schedules, which were </w:t>
      </w:r>
      <w:r w:rsidR="00464F26" w:rsidRPr="00980AEC">
        <w:rPr>
          <w:lang w:val="en-GB"/>
        </w:rPr>
        <w:t xml:space="preserve">included in </w:t>
      </w:r>
      <w:r w:rsidRPr="003741CE">
        <w:rPr>
          <w:lang w:val="en-GB"/>
        </w:rPr>
        <w:t xml:space="preserve">an attachment to the issued decision on work at </w:t>
      </w:r>
      <w:r w:rsidR="00A726E8" w:rsidRPr="003741CE">
        <w:rPr>
          <w:lang w:val="en-GB"/>
        </w:rPr>
        <w:t>the</w:t>
      </w:r>
      <w:r w:rsidR="00E63423" w:rsidRPr="003741CE">
        <w:rPr>
          <w:lang w:val="en-GB"/>
        </w:rPr>
        <w:t xml:space="preserve"> SNSA</w:t>
      </w:r>
      <w:r w:rsidRPr="003741CE">
        <w:rPr>
          <w:lang w:val="en-GB"/>
        </w:rPr>
        <w:t xml:space="preserve"> and the order </w:t>
      </w:r>
      <w:r w:rsidR="002019E3" w:rsidRPr="003741CE">
        <w:rPr>
          <w:lang w:val="en-GB"/>
        </w:rPr>
        <w:t xml:space="preserve">to </w:t>
      </w:r>
      <w:r w:rsidRPr="003741CE">
        <w:rPr>
          <w:lang w:val="en-GB"/>
        </w:rPr>
        <w:t>work at home. The</w:t>
      </w:r>
      <w:r w:rsidRPr="00CD2EEF">
        <w:rPr>
          <w:lang w:val="en-GB"/>
        </w:rPr>
        <w:t xml:space="preserve"> equipment of </w:t>
      </w:r>
      <w:r w:rsidR="00C36C0D">
        <w:rPr>
          <w:lang w:val="en-GB"/>
        </w:rPr>
        <w:t>work associates,</w:t>
      </w:r>
      <w:r w:rsidRPr="00CD2EEF">
        <w:rPr>
          <w:lang w:val="en-GB"/>
        </w:rPr>
        <w:t xml:space="preserve"> </w:t>
      </w:r>
      <w:r w:rsidR="00C36C0D">
        <w:rPr>
          <w:lang w:val="en-GB"/>
        </w:rPr>
        <w:t>who had</w:t>
      </w:r>
      <w:r w:rsidR="00C36C0D" w:rsidRPr="00CD2EEF">
        <w:rPr>
          <w:lang w:val="en-GB"/>
        </w:rPr>
        <w:t xml:space="preserve"> </w:t>
      </w:r>
      <w:r w:rsidRPr="00CD2EEF">
        <w:rPr>
          <w:lang w:val="en-GB"/>
        </w:rPr>
        <w:t>the necessary laptops</w:t>
      </w:r>
      <w:r w:rsidR="00C36C0D">
        <w:rPr>
          <w:lang w:val="en-GB"/>
        </w:rPr>
        <w:t>,</w:t>
      </w:r>
      <w:r w:rsidRPr="00CD2EEF">
        <w:rPr>
          <w:lang w:val="en-GB"/>
        </w:rPr>
        <w:t xml:space="preserve"> mobile phones</w:t>
      </w:r>
      <w:r w:rsidR="00C36C0D">
        <w:rPr>
          <w:lang w:val="en-GB"/>
        </w:rPr>
        <w:t>,</w:t>
      </w:r>
      <w:r w:rsidRPr="00CD2EEF">
        <w:rPr>
          <w:lang w:val="en-GB"/>
        </w:rPr>
        <w:t xml:space="preserve"> and other necessary IT equipment</w:t>
      </w:r>
      <w:r w:rsidR="00C36C0D">
        <w:rPr>
          <w:lang w:val="en-GB"/>
        </w:rPr>
        <w:t>,</w:t>
      </w:r>
      <w:r w:rsidRPr="00CD2EEF">
        <w:rPr>
          <w:lang w:val="en-GB"/>
        </w:rPr>
        <w:t xml:space="preserve"> was also above average, all of which provided the basis for the smooth organi</w:t>
      </w:r>
      <w:r w:rsidR="00E9756B">
        <w:rPr>
          <w:lang w:val="en-GB"/>
        </w:rPr>
        <w:t>sation</w:t>
      </w:r>
      <w:r w:rsidRPr="00CD2EEF">
        <w:rPr>
          <w:lang w:val="en-GB"/>
        </w:rPr>
        <w:t xml:space="preserve"> of remote work.</w:t>
      </w:r>
    </w:p>
    <w:p w14:paraId="38383541" w14:textId="28F83FB8" w:rsidR="00412AFC" w:rsidRPr="00CD2EEF" w:rsidRDefault="00412AFC" w:rsidP="00FD0159">
      <w:pPr>
        <w:pStyle w:val="LPnavaden"/>
        <w:rPr>
          <w:lang w:val="en-GB"/>
        </w:rPr>
      </w:pPr>
      <w:r w:rsidRPr="00CD2EEF">
        <w:rPr>
          <w:lang w:val="en-GB"/>
        </w:rPr>
        <w:t xml:space="preserve">Throughout the year, </w:t>
      </w:r>
      <w:r w:rsidR="00A726E8">
        <w:rPr>
          <w:lang w:val="en-GB"/>
        </w:rPr>
        <w:t>the</w:t>
      </w:r>
      <w:r w:rsidR="00E63423">
        <w:rPr>
          <w:lang w:val="en-GB"/>
        </w:rPr>
        <w:t xml:space="preserve"> SNSA</w:t>
      </w:r>
      <w:r w:rsidRPr="00CD2EEF">
        <w:rPr>
          <w:lang w:val="en-GB"/>
        </w:rPr>
        <w:t xml:space="preserve"> headquarters had enough protective masks (</w:t>
      </w:r>
      <w:r w:rsidR="00807E6F">
        <w:rPr>
          <w:lang w:val="en-GB"/>
        </w:rPr>
        <w:t xml:space="preserve">some of which were </w:t>
      </w:r>
      <w:r w:rsidRPr="00CD2EEF">
        <w:rPr>
          <w:lang w:val="en-GB"/>
        </w:rPr>
        <w:t>received from the released commodity reserves) and disinfectants.</w:t>
      </w:r>
    </w:p>
    <w:p w14:paraId="5F5FDA2D" w14:textId="76018FA0" w:rsidR="00412AFC" w:rsidRPr="00CD2EEF" w:rsidRDefault="00412AFC" w:rsidP="00FD0159">
      <w:pPr>
        <w:pStyle w:val="LPnavaden"/>
        <w:rPr>
          <w:lang w:val="en-GB"/>
        </w:rPr>
      </w:pPr>
      <w:r w:rsidRPr="00CD2EEF">
        <w:rPr>
          <w:lang w:val="en-GB"/>
        </w:rPr>
        <w:t xml:space="preserve">According to an internal assessment, approximately 90% of the employees of </w:t>
      </w:r>
      <w:r w:rsidR="00A726E8">
        <w:rPr>
          <w:lang w:val="en-GB"/>
        </w:rPr>
        <w:t>the</w:t>
      </w:r>
      <w:r w:rsidR="00E63423">
        <w:rPr>
          <w:lang w:val="en-GB"/>
        </w:rPr>
        <w:t xml:space="preserve"> SNSA</w:t>
      </w:r>
      <w:r w:rsidRPr="00CD2EEF">
        <w:rPr>
          <w:lang w:val="en-GB"/>
        </w:rPr>
        <w:t xml:space="preserve"> were vaccinated. This fact, as well as other measures and conditions (</w:t>
      </w:r>
      <w:r w:rsidR="00807E6F">
        <w:rPr>
          <w:lang w:val="en-GB"/>
        </w:rPr>
        <w:t xml:space="preserve">the </w:t>
      </w:r>
      <w:r w:rsidRPr="00CD2EEF">
        <w:rPr>
          <w:lang w:val="en-GB"/>
        </w:rPr>
        <w:t>organi</w:t>
      </w:r>
      <w:r w:rsidR="00E9756B">
        <w:rPr>
          <w:lang w:val="en-GB"/>
        </w:rPr>
        <w:t>sation</w:t>
      </w:r>
      <w:r w:rsidRPr="00CD2EEF">
        <w:rPr>
          <w:lang w:val="en-GB"/>
        </w:rPr>
        <w:t xml:space="preserve"> of work at home, sufficient equipment with protective equipment, committed adherence to </w:t>
      </w:r>
      <w:r w:rsidR="00807E6F">
        <w:rPr>
          <w:lang w:val="en-GB"/>
        </w:rPr>
        <w:t xml:space="preserve">the </w:t>
      </w:r>
      <w:r w:rsidRPr="00CD2EEF">
        <w:rPr>
          <w:lang w:val="en-GB"/>
        </w:rPr>
        <w:t xml:space="preserve">recommended measures by colleagues), is also to be attributed to the fact that only four cases of self-isolation due to risky contacts were recorded during the year, of which three then </w:t>
      </w:r>
      <w:r w:rsidR="00BC7C6F">
        <w:rPr>
          <w:lang w:val="en-GB"/>
        </w:rPr>
        <w:t>resulted</w:t>
      </w:r>
      <w:r w:rsidR="00BC7C6F" w:rsidRPr="00CD2EEF">
        <w:rPr>
          <w:lang w:val="en-GB"/>
        </w:rPr>
        <w:t xml:space="preserve"> </w:t>
      </w:r>
      <w:r w:rsidRPr="00CD2EEF">
        <w:rPr>
          <w:lang w:val="en-GB"/>
        </w:rPr>
        <w:t>in infections (a total of five cases).</w:t>
      </w:r>
    </w:p>
    <w:p w14:paraId="7B41C8D6" w14:textId="75F7205F" w:rsidR="00412AFC" w:rsidRPr="00CD2EEF" w:rsidRDefault="00412AFC" w:rsidP="00FD0159">
      <w:pPr>
        <w:jc w:val="both"/>
        <w:rPr>
          <w:rFonts w:ascii="Garamond" w:hAnsi="Garamond"/>
          <w:lang w:val="en-GB"/>
        </w:rPr>
      </w:pPr>
      <w:r w:rsidRPr="00CD2EEF">
        <w:rPr>
          <w:rFonts w:ascii="Garamond" w:hAnsi="Garamond"/>
          <w:lang w:val="en-GB"/>
        </w:rPr>
        <w:t xml:space="preserve">Due to the emergence of </w:t>
      </w:r>
      <w:r w:rsidR="003741CE">
        <w:rPr>
          <w:rFonts w:ascii="Garamond" w:hAnsi="Garamond"/>
          <w:lang w:val="en-GB"/>
        </w:rPr>
        <w:t>the</w:t>
      </w:r>
      <w:r w:rsidR="003741CE" w:rsidRPr="00CD2EEF">
        <w:rPr>
          <w:rFonts w:ascii="Garamond" w:hAnsi="Garamond"/>
          <w:lang w:val="en-GB"/>
        </w:rPr>
        <w:t xml:space="preserve"> </w:t>
      </w:r>
      <w:r w:rsidRPr="00CD2EEF">
        <w:rPr>
          <w:rFonts w:ascii="Garamond" w:hAnsi="Garamond"/>
          <w:lang w:val="en-GB"/>
        </w:rPr>
        <w:t xml:space="preserve">much more virulent </w:t>
      </w:r>
      <w:r w:rsidR="003741CE">
        <w:rPr>
          <w:rFonts w:ascii="Garamond" w:hAnsi="Garamond"/>
          <w:lang w:val="en-GB"/>
        </w:rPr>
        <w:t>strain</w:t>
      </w:r>
      <w:r w:rsidR="003741CE" w:rsidRPr="00CD2EEF">
        <w:rPr>
          <w:rFonts w:ascii="Garamond" w:hAnsi="Garamond"/>
          <w:lang w:val="en-GB"/>
        </w:rPr>
        <w:t xml:space="preserve"> </w:t>
      </w:r>
      <w:r w:rsidRPr="00CD2EEF">
        <w:rPr>
          <w:rFonts w:ascii="Garamond" w:hAnsi="Garamond"/>
          <w:lang w:val="en-GB"/>
        </w:rPr>
        <w:t xml:space="preserve">of </w:t>
      </w:r>
      <w:r w:rsidRPr="003741CE">
        <w:rPr>
          <w:rFonts w:ascii="Garamond" w:hAnsi="Garamond"/>
          <w:lang w:val="en-GB"/>
        </w:rPr>
        <w:t>the new delta</w:t>
      </w:r>
      <w:r w:rsidR="00BC7C6F" w:rsidRPr="003741CE">
        <w:rPr>
          <w:rFonts w:ascii="Garamond" w:hAnsi="Garamond"/>
          <w:lang w:val="en-GB"/>
        </w:rPr>
        <w:t xml:space="preserve"> variant of the Covid-19</w:t>
      </w:r>
      <w:r w:rsidRPr="003741CE">
        <w:rPr>
          <w:rFonts w:ascii="Garamond" w:hAnsi="Garamond"/>
          <w:lang w:val="en-GB"/>
        </w:rPr>
        <w:t xml:space="preserve"> virus, in mid</w:t>
      </w:r>
      <w:r w:rsidR="003232F7" w:rsidRPr="003741CE">
        <w:rPr>
          <w:rFonts w:ascii="Garamond" w:hAnsi="Garamond"/>
          <w:lang w:val="en-GB"/>
        </w:rPr>
        <w:t xml:space="preserve"> </w:t>
      </w:r>
      <w:r w:rsidRPr="003741CE">
        <w:rPr>
          <w:rFonts w:ascii="Garamond" w:hAnsi="Garamond"/>
          <w:lang w:val="en-GB"/>
        </w:rPr>
        <w:t xml:space="preserve">2021 the </w:t>
      </w:r>
      <w:r w:rsidR="005A2EB6" w:rsidRPr="003741CE">
        <w:rPr>
          <w:rFonts w:ascii="Garamond" w:hAnsi="Garamond"/>
          <w:lang w:val="en-GB"/>
        </w:rPr>
        <w:t>G</w:t>
      </w:r>
      <w:r w:rsidRPr="003741CE">
        <w:rPr>
          <w:rFonts w:ascii="Garamond" w:hAnsi="Garamond"/>
          <w:lang w:val="en-GB"/>
        </w:rPr>
        <w:t>overnment</w:t>
      </w:r>
      <w:r w:rsidRPr="00CD2EEF">
        <w:rPr>
          <w:rFonts w:ascii="Garamond" w:hAnsi="Garamond"/>
          <w:lang w:val="en-GB"/>
        </w:rPr>
        <w:t xml:space="preserve"> prescribed the mandatory fulfilment of one of the conditions for work, </w:t>
      </w:r>
      <w:r w:rsidR="00457753">
        <w:rPr>
          <w:rFonts w:ascii="Garamond" w:hAnsi="Garamond"/>
          <w:lang w:val="en-GB"/>
        </w:rPr>
        <w:t>i.e</w:t>
      </w:r>
      <w:r w:rsidR="00457753" w:rsidRPr="003741CE">
        <w:rPr>
          <w:rFonts w:ascii="Garamond" w:hAnsi="Garamond"/>
          <w:lang w:val="en-GB"/>
        </w:rPr>
        <w:t xml:space="preserve">. </w:t>
      </w:r>
      <w:r w:rsidR="00BC7C6F" w:rsidRPr="003741CE">
        <w:rPr>
          <w:rFonts w:ascii="Garamond" w:hAnsi="Garamond"/>
          <w:lang w:val="en-GB"/>
        </w:rPr>
        <w:t xml:space="preserve">recovery </w:t>
      </w:r>
      <w:r w:rsidRPr="003741CE">
        <w:rPr>
          <w:rFonts w:ascii="Garamond" w:hAnsi="Garamond"/>
          <w:lang w:val="en-GB"/>
        </w:rPr>
        <w:t>or previous illness or vaccination</w:t>
      </w:r>
      <w:r w:rsidRPr="00CD2EEF">
        <w:rPr>
          <w:rFonts w:ascii="Garamond" w:hAnsi="Garamond"/>
          <w:lang w:val="en-GB"/>
        </w:rPr>
        <w:t xml:space="preserve">, which </w:t>
      </w:r>
      <w:r w:rsidR="0081220D">
        <w:rPr>
          <w:rFonts w:ascii="Garamond" w:hAnsi="Garamond"/>
          <w:lang w:val="en-GB"/>
        </w:rPr>
        <w:t>was</w:t>
      </w:r>
      <w:r w:rsidR="0081220D" w:rsidRPr="00CD2EEF">
        <w:rPr>
          <w:rFonts w:ascii="Garamond" w:hAnsi="Garamond"/>
          <w:lang w:val="en-GB"/>
        </w:rPr>
        <w:t xml:space="preserve"> </w:t>
      </w:r>
      <w:r w:rsidRPr="00CD2EEF">
        <w:rPr>
          <w:rFonts w:ascii="Garamond" w:hAnsi="Garamond"/>
          <w:lang w:val="en-GB"/>
        </w:rPr>
        <w:t>also mandatory for work in the state administration since mid</w:t>
      </w:r>
      <w:r w:rsidR="0081220D">
        <w:rPr>
          <w:rFonts w:ascii="Garamond" w:hAnsi="Garamond"/>
          <w:lang w:val="en-GB"/>
        </w:rPr>
        <w:t xml:space="preserve"> </w:t>
      </w:r>
      <w:r w:rsidRPr="00CD2EEF">
        <w:rPr>
          <w:rFonts w:ascii="Garamond" w:hAnsi="Garamond"/>
          <w:lang w:val="en-GB"/>
        </w:rPr>
        <w:t>September. Thus, based on the</w:t>
      </w:r>
      <w:r w:rsidRPr="00CD2EEF">
        <w:rPr>
          <w:rFonts w:ascii="Arial" w:hAnsi="Arial" w:cs="Arial"/>
          <w:color w:val="626060"/>
          <w:sz w:val="18"/>
          <w:szCs w:val="18"/>
          <w:shd w:val="clear" w:color="auto" w:fill="FFFFFF"/>
          <w:lang w:val="en-GB"/>
        </w:rPr>
        <w:t xml:space="preserve"> </w:t>
      </w:r>
      <w:r w:rsidRPr="00CD2EEF">
        <w:rPr>
          <w:rFonts w:ascii="Garamond" w:hAnsi="Garamond" w:cs="Arial"/>
          <w:i/>
          <w:iCs/>
          <w:shd w:val="clear" w:color="auto" w:fill="FFFFFF"/>
          <w:lang w:val="en-GB"/>
        </w:rPr>
        <w:t>Ordinance on the method of meeting the condition of morbidity, vaccination and testing to curb the spread of SARS-CoV-2 virus infections</w:t>
      </w:r>
      <w:r w:rsidRPr="00CD2EEF">
        <w:rPr>
          <w:rFonts w:ascii="Garamond" w:hAnsi="Garamond"/>
          <w:lang w:val="en-GB"/>
        </w:rPr>
        <w:t xml:space="preserve">, </w:t>
      </w:r>
      <w:r w:rsidR="00A726E8">
        <w:rPr>
          <w:rFonts w:ascii="Garamond" w:hAnsi="Garamond"/>
          <w:lang w:val="en-GB"/>
        </w:rPr>
        <w:t>the</w:t>
      </w:r>
      <w:r w:rsidR="00E63423">
        <w:rPr>
          <w:rFonts w:ascii="Garamond" w:hAnsi="Garamond"/>
          <w:lang w:val="en-GB"/>
        </w:rPr>
        <w:t xml:space="preserve"> SNSA</w:t>
      </w:r>
      <w:r w:rsidRPr="00CD2EEF">
        <w:rPr>
          <w:rFonts w:ascii="Garamond" w:hAnsi="Garamond"/>
          <w:lang w:val="en-GB"/>
        </w:rPr>
        <w:t xml:space="preserve"> also adopted the Protocol for the prevention of the spread of infections with the SARS-CoV-2 virus at </w:t>
      </w:r>
      <w:r w:rsidR="00A726E8">
        <w:rPr>
          <w:rFonts w:ascii="Garamond" w:hAnsi="Garamond"/>
          <w:lang w:val="en-GB"/>
        </w:rPr>
        <w:t>the</w:t>
      </w:r>
      <w:r w:rsidR="00E63423">
        <w:rPr>
          <w:rFonts w:ascii="Garamond" w:hAnsi="Garamond"/>
          <w:lang w:val="en-GB"/>
        </w:rPr>
        <w:t xml:space="preserve"> SNSA</w:t>
      </w:r>
      <w:r w:rsidRPr="00CD2EEF">
        <w:rPr>
          <w:rFonts w:ascii="Garamond" w:hAnsi="Garamond"/>
          <w:lang w:val="en-GB"/>
        </w:rPr>
        <w:t xml:space="preserve"> on 21 September 2021.</w:t>
      </w:r>
    </w:p>
    <w:p w14:paraId="25C2A770" w14:textId="77777777" w:rsidR="00412AFC" w:rsidRPr="00CD2EEF" w:rsidRDefault="00412AFC" w:rsidP="00FD0159">
      <w:pPr>
        <w:jc w:val="both"/>
        <w:rPr>
          <w:rFonts w:ascii="Garamond" w:hAnsi="Garamond"/>
          <w:lang w:val="en-GB"/>
        </w:rPr>
      </w:pPr>
    </w:p>
    <w:p w14:paraId="379E4A88" w14:textId="2921F4C1" w:rsidR="00412AFC" w:rsidRPr="00CD2EEF" w:rsidRDefault="00412AFC" w:rsidP="00FD0159">
      <w:pPr>
        <w:pStyle w:val="LPnavaden"/>
        <w:rPr>
          <w:lang w:val="en-GB"/>
        </w:rPr>
      </w:pPr>
      <w:r w:rsidRPr="00CD2EEF">
        <w:rPr>
          <w:lang w:val="en-GB"/>
        </w:rPr>
        <w:t>Also in 2021, the internal procedure OP 1.32</w:t>
      </w:r>
      <w:r w:rsidRPr="00CD2EEF">
        <w:rPr>
          <w:i/>
          <w:iCs/>
          <w:lang w:val="en-GB"/>
        </w:rPr>
        <w:t xml:space="preserve"> Operation of </w:t>
      </w:r>
      <w:r w:rsidR="00A726E8">
        <w:rPr>
          <w:i/>
          <w:iCs/>
          <w:lang w:val="en-GB"/>
        </w:rPr>
        <w:t>the</w:t>
      </w:r>
      <w:r w:rsidR="00E63423">
        <w:rPr>
          <w:i/>
          <w:iCs/>
          <w:lang w:val="en-GB"/>
        </w:rPr>
        <w:t xml:space="preserve"> SNSA</w:t>
      </w:r>
      <w:r w:rsidRPr="00CD2EEF">
        <w:rPr>
          <w:i/>
          <w:iCs/>
          <w:lang w:val="en-GB"/>
        </w:rPr>
        <w:t xml:space="preserve"> in exceptional circumstances</w:t>
      </w:r>
      <w:r w:rsidRPr="00CD2EEF">
        <w:rPr>
          <w:lang w:val="en-GB"/>
        </w:rPr>
        <w:t xml:space="preserve">, which </w:t>
      </w:r>
      <w:r w:rsidR="00A726E8">
        <w:rPr>
          <w:lang w:val="en-GB"/>
        </w:rPr>
        <w:t>the</w:t>
      </w:r>
      <w:r w:rsidR="00E63423">
        <w:rPr>
          <w:lang w:val="en-GB"/>
        </w:rPr>
        <w:t xml:space="preserve"> SNSA</w:t>
      </w:r>
      <w:r w:rsidRPr="00CD2EEF">
        <w:rPr>
          <w:lang w:val="en-GB"/>
        </w:rPr>
        <w:t xml:space="preserve"> prepared and adopted during the first wave of the epidemic in 2020, was implemented. It covers the organi</w:t>
      </w:r>
      <w:r w:rsidR="00E9756B">
        <w:rPr>
          <w:lang w:val="en-GB"/>
        </w:rPr>
        <w:t>sation</w:t>
      </w:r>
      <w:r w:rsidRPr="00CD2EEF">
        <w:rPr>
          <w:lang w:val="en-GB"/>
        </w:rPr>
        <w:t xml:space="preserve"> of work from home, the employer</w:t>
      </w:r>
      <w:r w:rsidR="00F21D56">
        <w:rPr>
          <w:lang w:val="en-GB"/>
        </w:rPr>
        <w:t>’</w:t>
      </w:r>
      <w:r w:rsidRPr="00CD2EEF">
        <w:rPr>
          <w:lang w:val="en-GB"/>
        </w:rPr>
        <w:t xml:space="preserve">s obligation to ensure a safe and healthy working environment, the obligation to perform other work due to exceptional circumstances, </w:t>
      </w:r>
      <w:r w:rsidR="004C6F46">
        <w:rPr>
          <w:lang w:val="en-GB"/>
        </w:rPr>
        <w:t xml:space="preserve">the </w:t>
      </w:r>
      <w:r w:rsidRPr="00CD2EEF">
        <w:rPr>
          <w:lang w:val="en-GB"/>
        </w:rPr>
        <w:t xml:space="preserve">use of annual leave in exceptional circumstances, </w:t>
      </w:r>
      <w:r w:rsidR="004C6F46">
        <w:rPr>
          <w:lang w:val="en-GB"/>
        </w:rPr>
        <w:t xml:space="preserve">the </w:t>
      </w:r>
      <w:r w:rsidRPr="00CD2EEF">
        <w:rPr>
          <w:lang w:val="en-GB"/>
        </w:rPr>
        <w:t>allowance for work in risky conditions, public procurement during exceptional circumstances</w:t>
      </w:r>
      <w:r w:rsidR="004C6F46">
        <w:rPr>
          <w:lang w:val="en-GB"/>
        </w:rPr>
        <w:t>,</w:t>
      </w:r>
      <w:r w:rsidRPr="00CD2EEF">
        <w:rPr>
          <w:lang w:val="en-GB"/>
        </w:rPr>
        <w:t xml:space="preserve"> and other specifics of work in exceptional circumstances, such as the use of videoconferencing systems, </w:t>
      </w:r>
      <w:r w:rsidR="004C6F46">
        <w:rPr>
          <w:lang w:val="en-GB"/>
        </w:rPr>
        <w:t xml:space="preserve">the </w:t>
      </w:r>
      <w:r w:rsidRPr="00CD2EEF">
        <w:rPr>
          <w:lang w:val="en-GB"/>
        </w:rPr>
        <w:t xml:space="preserve">cancellation of business trips and meetings, </w:t>
      </w:r>
      <w:r w:rsidR="004C6F46">
        <w:rPr>
          <w:lang w:val="en-GB"/>
        </w:rPr>
        <w:t xml:space="preserve">the </w:t>
      </w:r>
      <w:r w:rsidRPr="00CD2EEF">
        <w:rPr>
          <w:lang w:val="en-GB"/>
        </w:rPr>
        <w:t xml:space="preserve">publication of notices about </w:t>
      </w:r>
      <w:r w:rsidR="004C6F46">
        <w:rPr>
          <w:lang w:val="en-GB"/>
        </w:rPr>
        <w:t xml:space="preserve">the </w:t>
      </w:r>
      <w:r w:rsidRPr="00CD2EEF">
        <w:rPr>
          <w:lang w:val="en-GB"/>
        </w:rPr>
        <w:t xml:space="preserve">operation of </w:t>
      </w:r>
      <w:r w:rsidR="00A726E8">
        <w:rPr>
          <w:lang w:val="en-GB"/>
        </w:rPr>
        <w:t>the</w:t>
      </w:r>
      <w:r w:rsidR="00E63423">
        <w:rPr>
          <w:lang w:val="en-GB"/>
        </w:rPr>
        <w:t xml:space="preserve"> SNSA</w:t>
      </w:r>
      <w:r w:rsidRPr="00CD2EEF">
        <w:rPr>
          <w:lang w:val="en-GB"/>
        </w:rPr>
        <w:t xml:space="preserve"> for </w:t>
      </w:r>
      <w:r w:rsidR="004C6F46">
        <w:rPr>
          <w:lang w:val="en-GB"/>
        </w:rPr>
        <w:t>clients</w:t>
      </w:r>
      <w:r w:rsidR="004C6F46" w:rsidRPr="00CD2EEF">
        <w:rPr>
          <w:lang w:val="en-GB"/>
        </w:rPr>
        <w:t xml:space="preserve"> </w:t>
      </w:r>
      <w:r w:rsidRPr="00CD2EEF">
        <w:rPr>
          <w:lang w:val="en-GB"/>
        </w:rPr>
        <w:t xml:space="preserve">and other notices on the website, as well as conducting inspections. The entire procedure is described, from the declaration of exceptional circumstances at the national level, the implementation of </w:t>
      </w:r>
      <w:r w:rsidR="004C6F46">
        <w:rPr>
          <w:lang w:val="en-GB"/>
        </w:rPr>
        <w:t xml:space="preserve">the </w:t>
      </w:r>
      <w:r w:rsidRPr="00CD2EEF">
        <w:rPr>
          <w:lang w:val="en-GB"/>
        </w:rPr>
        <w:t>ordered protective measures</w:t>
      </w:r>
      <w:r w:rsidR="004C6F46">
        <w:rPr>
          <w:lang w:val="en-GB"/>
        </w:rPr>
        <w:t>,</w:t>
      </w:r>
      <w:r w:rsidRPr="00CD2EEF">
        <w:rPr>
          <w:lang w:val="en-GB"/>
        </w:rPr>
        <w:t xml:space="preserve"> to the relaxation of the ordered measures and the return of employees to work </w:t>
      </w:r>
      <w:r w:rsidR="00547896">
        <w:rPr>
          <w:lang w:val="en-GB"/>
        </w:rPr>
        <w:t>on</w:t>
      </w:r>
      <w:r w:rsidR="00547896" w:rsidRPr="00CD2EEF">
        <w:rPr>
          <w:lang w:val="en-GB"/>
        </w:rPr>
        <w:t xml:space="preserve"> </w:t>
      </w:r>
      <w:r w:rsidR="004C6F46">
        <w:rPr>
          <w:lang w:val="en-GB"/>
        </w:rPr>
        <w:t xml:space="preserve">the </w:t>
      </w:r>
      <w:r w:rsidRPr="00CD2EEF">
        <w:rPr>
          <w:lang w:val="en-GB"/>
        </w:rPr>
        <w:t>business premises.</w:t>
      </w:r>
    </w:p>
    <w:p w14:paraId="4E9E0AE3" w14:textId="5E85CDB3" w:rsidR="00412AFC" w:rsidRPr="00CD2EEF" w:rsidRDefault="00412AFC" w:rsidP="00FD0159">
      <w:pPr>
        <w:pStyle w:val="LPnavaden"/>
        <w:rPr>
          <w:lang w:val="en-GB"/>
        </w:rPr>
      </w:pPr>
      <w:r w:rsidRPr="00CD2EEF">
        <w:rPr>
          <w:lang w:val="en-GB"/>
        </w:rPr>
        <w:t xml:space="preserve">In 2021, despite the exceptional circumstances due to </w:t>
      </w:r>
      <w:r w:rsidR="00E20800" w:rsidRPr="00980AEC">
        <w:rPr>
          <w:lang w:val="en-GB"/>
        </w:rPr>
        <w:t xml:space="preserve">the </w:t>
      </w:r>
      <w:r w:rsidRPr="00980AEC">
        <w:rPr>
          <w:lang w:val="en-GB"/>
        </w:rPr>
        <w:t>Covid-19</w:t>
      </w:r>
      <w:r w:rsidR="00E20800" w:rsidRPr="00980AEC">
        <w:rPr>
          <w:lang w:val="en-GB"/>
        </w:rPr>
        <w:t xml:space="preserve"> </w:t>
      </w:r>
      <w:r w:rsidR="00BE025A" w:rsidRPr="00980AEC">
        <w:rPr>
          <w:lang w:val="en-GB"/>
        </w:rPr>
        <w:t>epi</w:t>
      </w:r>
      <w:r w:rsidR="00E20800" w:rsidRPr="00980AEC">
        <w:rPr>
          <w:lang w:val="en-GB"/>
        </w:rPr>
        <w:t>demi</w:t>
      </w:r>
      <w:r w:rsidR="00C2550E" w:rsidRPr="00980AEC">
        <w:rPr>
          <w:lang w:val="en-GB"/>
        </w:rPr>
        <w:t>c</w:t>
      </w:r>
      <w:r w:rsidRPr="00CD2EEF">
        <w:rPr>
          <w:lang w:val="en-GB"/>
        </w:rPr>
        <w:t xml:space="preserve">, </w:t>
      </w:r>
      <w:r w:rsidR="00A726E8">
        <w:rPr>
          <w:lang w:val="en-GB"/>
        </w:rPr>
        <w:t>the</w:t>
      </w:r>
      <w:r w:rsidR="00E63423">
        <w:rPr>
          <w:lang w:val="en-GB"/>
        </w:rPr>
        <w:t xml:space="preserve"> SNSA</w:t>
      </w:r>
      <w:r w:rsidRPr="00CD2EEF">
        <w:rPr>
          <w:lang w:val="en-GB"/>
        </w:rPr>
        <w:t xml:space="preserve"> </w:t>
      </w:r>
      <w:r w:rsidR="00E20800">
        <w:rPr>
          <w:lang w:val="en-GB"/>
        </w:rPr>
        <w:t>carried out</w:t>
      </w:r>
      <w:r w:rsidR="00E20800" w:rsidRPr="00CD2EEF">
        <w:rPr>
          <w:lang w:val="en-GB"/>
        </w:rPr>
        <w:t xml:space="preserve"> </w:t>
      </w:r>
      <w:r w:rsidRPr="00CD2EEF">
        <w:rPr>
          <w:lang w:val="en-GB"/>
        </w:rPr>
        <w:t xml:space="preserve">all administrative functions </w:t>
      </w:r>
      <w:r w:rsidR="00E20800">
        <w:rPr>
          <w:lang w:val="en-GB"/>
        </w:rPr>
        <w:t>in</w:t>
      </w:r>
      <w:r w:rsidR="00E20800" w:rsidRPr="00CD2EEF">
        <w:rPr>
          <w:lang w:val="en-GB"/>
        </w:rPr>
        <w:t xml:space="preserve"> </w:t>
      </w:r>
      <w:r w:rsidRPr="00CD2EEF">
        <w:rPr>
          <w:lang w:val="en-GB"/>
        </w:rPr>
        <w:t>an unreduced extent and within the legal deadlines</w:t>
      </w:r>
      <w:r w:rsidR="00E54507">
        <w:rPr>
          <w:lang w:val="en-GB"/>
        </w:rPr>
        <w:t>, as well as</w:t>
      </w:r>
      <w:r w:rsidRPr="00CD2EEF">
        <w:rPr>
          <w:lang w:val="en-GB"/>
        </w:rPr>
        <w:t xml:space="preserve"> </w:t>
      </w:r>
      <w:r w:rsidR="00E54507">
        <w:rPr>
          <w:lang w:val="en-GB"/>
        </w:rPr>
        <w:t>all</w:t>
      </w:r>
      <w:r w:rsidRPr="00CD2EEF">
        <w:rPr>
          <w:lang w:val="en-GB"/>
        </w:rPr>
        <w:t xml:space="preserve"> (emergency) inspections.</w:t>
      </w:r>
    </w:p>
    <w:p w14:paraId="20148B3F" w14:textId="16F94A07" w:rsidR="00412AFC" w:rsidRPr="00CD2EEF" w:rsidRDefault="00412AFC" w:rsidP="00FD0159">
      <w:pPr>
        <w:pStyle w:val="LPnavaden"/>
        <w:rPr>
          <w:lang w:val="en-GB"/>
        </w:rPr>
      </w:pPr>
      <w:r w:rsidRPr="00CD2EEF">
        <w:rPr>
          <w:lang w:val="en-GB"/>
        </w:rPr>
        <w:t xml:space="preserve">Regular services and procedures related to the issuance of permits and registrations of radiation sources were carried out by </w:t>
      </w:r>
      <w:r w:rsidR="00A726E8">
        <w:rPr>
          <w:lang w:val="en-GB"/>
        </w:rPr>
        <w:t>the</w:t>
      </w:r>
      <w:r w:rsidR="00E63423">
        <w:rPr>
          <w:lang w:val="en-GB"/>
        </w:rPr>
        <w:t xml:space="preserve"> SNSA</w:t>
      </w:r>
      <w:r w:rsidRPr="00CD2EEF">
        <w:rPr>
          <w:lang w:val="en-GB"/>
        </w:rPr>
        <w:t>, as usual, electronically or by mail, and as a result there was no extension of the deadlines otherwise permitted by the government</w:t>
      </w:r>
      <w:r w:rsidR="005A2EB6">
        <w:rPr>
          <w:lang w:val="en-GB"/>
        </w:rPr>
        <w:t>al</w:t>
      </w:r>
      <w:r w:rsidRPr="00CD2EEF">
        <w:rPr>
          <w:lang w:val="en-GB"/>
        </w:rPr>
        <w:t xml:space="preserve"> decree. </w:t>
      </w:r>
      <w:r w:rsidR="00A726E8">
        <w:rPr>
          <w:lang w:val="en-GB"/>
        </w:rPr>
        <w:t>The</w:t>
      </w:r>
      <w:r w:rsidR="00E63423">
        <w:rPr>
          <w:lang w:val="en-GB"/>
        </w:rPr>
        <w:t xml:space="preserve"> SNSA</w:t>
      </w:r>
      <w:r w:rsidRPr="00CD2EEF">
        <w:rPr>
          <w:lang w:val="en-GB"/>
        </w:rPr>
        <w:t xml:space="preserve"> regularly monitored the operation of nuclear and radiation facilities and was in daily contact with </w:t>
      </w:r>
      <w:r w:rsidR="00C5169D">
        <w:rPr>
          <w:lang w:val="en-GB"/>
        </w:rPr>
        <w:t>the Krško NPP</w:t>
      </w:r>
      <w:r w:rsidRPr="00CD2EEF">
        <w:rPr>
          <w:lang w:val="en-GB"/>
        </w:rPr>
        <w:t xml:space="preserve"> and, if necessary, also with other operators. Inspections were not interrupted. Gradually, virtual inspections also began to be carried out. Inspectors also </w:t>
      </w:r>
      <w:r w:rsidRPr="006D7612">
        <w:rPr>
          <w:lang w:val="en-GB"/>
        </w:rPr>
        <w:t>check</w:t>
      </w:r>
      <w:r w:rsidR="008273F4" w:rsidRPr="006D7612">
        <w:rPr>
          <w:lang w:val="en-GB"/>
        </w:rPr>
        <w:t>ed</w:t>
      </w:r>
      <w:r w:rsidRPr="006D7612">
        <w:rPr>
          <w:lang w:val="en-GB"/>
        </w:rPr>
        <w:t xml:space="preserve"> compliance</w:t>
      </w:r>
      <w:r w:rsidRPr="00CD2EEF">
        <w:rPr>
          <w:lang w:val="en-GB"/>
        </w:rPr>
        <w:t xml:space="preserve"> with measures to limit the spread of </w:t>
      </w:r>
      <w:r w:rsidR="008273F4">
        <w:rPr>
          <w:lang w:val="en-GB"/>
        </w:rPr>
        <w:t xml:space="preserve">the </w:t>
      </w:r>
      <w:r w:rsidR="001829DD">
        <w:rPr>
          <w:lang w:val="en-GB"/>
        </w:rPr>
        <w:t>Covid</w:t>
      </w:r>
      <w:r w:rsidRPr="00CD2EEF">
        <w:rPr>
          <w:lang w:val="en-GB"/>
        </w:rPr>
        <w:t xml:space="preserve">-19 </w:t>
      </w:r>
      <w:r w:rsidR="006D7612" w:rsidRPr="00CD2EEF">
        <w:rPr>
          <w:lang w:val="en-GB"/>
        </w:rPr>
        <w:t>infecti</w:t>
      </w:r>
      <w:r w:rsidR="006D7612">
        <w:rPr>
          <w:lang w:val="en-GB"/>
        </w:rPr>
        <w:t>ous</w:t>
      </w:r>
      <w:r w:rsidR="008273F4">
        <w:rPr>
          <w:lang w:val="en-GB"/>
        </w:rPr>
        <w:t xml:space="preserve"> disease</w:t>
      </w:r>
      <w:r w:rsidRPr="00CD2EEF">
        <w:rPr>
          <w:lang w:val="en-GB"/>
        </w:rPr>
        <w:t xml:space="preserve">. Some more demanding inspections </w:t>
      </w:r>
      <w:r w:rsidR="00EB144C">
        <w:rPr>
          <w:lang w:val="en-GB"/>
        </w:rPr>
        <w:t>were</w:t>
      </w:r>
      <w:r w:rsidRPr="00CD2EEF">
        <w:rPr>
          <w:lang w:val="en-GB"/>
        </w:rPr>
        <w:t xml:space="preserve"> postponed, and some are planned in such a way that one inspector is present on site, while other </w:t>
      </w:r>
      <w:r w:rsidRPr="00CD2EEF">
        <w:rPr>
          <w:lang w:val="en-GB"/>
        </w:rPr>
        <w:lastRenderedPageBreak/>
        <w:t>inspectors and professional colleagues participate remotely via video conference or entirely via video conference.</w:t>
      </w:r>
    </w:p>
    <w:p w14:paraId="4F2EAF20" w14:textId="1E0408D6" w:rsidR="00412AFC" w:rsidRPr="00CD2EEF" w:rsidRDefault="00412AFC" w:rsidP="00F57737">
      <w:pPr>
        <w:pStyle w:val="LPnavaden"/>
        <w:rPr>
          <w:lang w:val="en-GB"/>
        </w:rPr>
      </w:pPr>
      <w:r w:rsidRPr="00CD2EEF">
        <w:rPr>
          <w:lang w:val="en-GB"/>
        </w:rPr>
        <w:t>All business trips, training</w:t>
      </w:r>
      <w:r w:rsidR="00EB144C">
        <w:rPr>
          <w:lang w:val="en-GB"/>
        </w:rPr>
        <w:t xml:space="preserve"> courses</w:t>
      </w:r>
      <w:r w:rsidRPr="00CD2EEF">
        <w:rPr>
          <w:lang w:val="en-GB"/>
        </w:rPr>
        <w:t>, education</w:t>
      </w:r>
      <w:r w:rsidR="00EB144C">
        <w:rPr>
          <w:lang w:val="en-GB"/>
        </w:rPr>
        <w:t xml:space="preserve"> courses</w:t>
      </w:r>
      <w:r w:rsidRPr="00CD2EEF">
        <w:rPr>
          <w:lang w:val="en-GB"/>
        </w:rPr>
        <w:t xml:space="preserve">, workshops, </w:t>
      </w:r>
      <w:r w:rsidR="00EB144C">
        <w:rPr>
          <w:lang w:val="en-GB"/>
        </w:rPr>
        <w:t xml:space="preserve">and </w:t>
      </w:r>
      <w:r w:rsidRPr="00CD2EEF">
        <w:rPr>
          <w:lang w:val="en-GB"/>
        </w:rPr>
        <w:t xml:space="preserve">seminars were generally cancelled or, </w:t>
      </w:r>
      <w:r w:rsidR="00EB144C">
        <w:rPr>
          <w:lang w:val="en-GB"/>
        </w:rPr>
        <w:t>as</w:t>
      </w:r>
      <w:r w:rsidR="00EB144C" w:rsidRPr="00CD2EEF">
        <w:rPr>
          <w:lang w:val="en-GB"/>
        </w:rPr>
        <w:t xml:space="preserve"> </w:t>
      </w:r>
      <w:r w:rsidRPr="00CD2EEF">
        <w:rPr>
          <w:lang w:val="en-GB"/>
        </w:rPr>
        <w:t>in 2020, carried out virtually.</w:t>
      </w:r>
    </w:p>
    <w:p w14:paraId="4D014427" w14:textId="74E462E0" w:rsidR="00412AFC" w:rsidRPr="00CD2EEF" w:rsidRDefault="00412AFC" w:rsidP="00E61567">
      <w:pPr>
        <w:pStyle w:val="LPNaslov3"/>
        <w:rPr>
          <w:lang w:val="en-GB"/>
        </w:rPr>
      </w:pPr>
      <w:bookmarkStart w:id="393" w:name="_Toc126312040"/>
      <w:r w:rsidRPr="00CD2EEF">
        <w:rPr>
          <w:lang w:val="en-GB"/>
        </w:rPr>
        <w:t xml:space="preserve">Organisational </w:t>
      </w:r>
      <w:r w:rsidR="00980AEC">
        <w:rPr>
          <w:lang w:val="en-GB"/>
        </w:rPr>
        <w:t>C</w:t>
      </w:r>
      <w:r w:rsidRPr="00CD2EEF">
        <w:rPr>
          <w:lang w:val="en-GB"/>
        </w:rPr>
        <w:t xml:space="preserve">hart of </w:t>
      </w:r>
      <w:bookmarkEnd w:id="390"/>
      <w:bookmarkEnd w:id="391"/>
      <w:r w:rsidR="00A726E8">
        <w:rPr>
          <w:lang w:val="en-GB"/>
        </w:rPr>
        <w:t>the</w:t>
      </w:r>
      <w:r w:rsidR="00E63423">
        <w:rPr>
          <w:lang w:val="en-GB"/>
        </w:rPr>
        <w:t xml:space="preserve"> SNSA</w:t>
      </w:r>
      <w:bookmarkEnd w:id="393"/>
    </w:p>
    <w:p w14:paraId="44A06ABA" w14:textId="27799974" w:rsidR="00412AFC" w:rsidRPr="00CD2EEF" w:rsidRDefault="00412AFC" w:rsidP="00FD0159">
      <w:pPr>
        <w:pStyle w:val="LPnavaden"/>
        <w:rPr>
          <w:lang w:val="en-GB"/>
        </w:rPr>
      </w:pPr>
      <w:r w:rsidRPr="00CD2EEF">
        <w:rPr>
          <w:lang w:val="en-GB"/>
        </w:rPr>
        <w:t xml:space="preserve">The Personnel Plan of the MESP for the years 2021 and 2022 also shows the unchanged personnel policy for </w:t>
      </w:r>
      <w:r w:rsidR="00A726E8">
        <w:rPr>
          <w:lang w:val="en-GB"/>
        </w:rPr>
        <w:t>the</w:t>
      </w:r>
      <w:r w:rsidR="00E63423">
        <w:rPr>
          <w:lang w:val="en-GB"/>
        </w:rPr>
        <w:t xml:space="preserve"> SNSA</w:t>
      </w:r>
      <w:r w:rsidRPr="00CD2EEF">
        <w:rPr>
          <w:lang w:val="en-GB"/>
        </w:rPr>
        <w:t xml:space="preserve"> and set a quota of 41 employees. </w:t>
      </w:r>
      <w:r w:rsidR="00A726E8">
        <w:rPr>
          <w:lang w:val="en-GB"/>
        </w:rPr>
        <w:t>The</w:t>
      </w:r>
      <w:r w:rsidR="00E63423">
        <w:rPr>
          <w:lang w:val="en-GB"/>
        </w:rPr>
        <w:t xml:space="preserve"> SNSA</w:t>
      </w:r>
      <w:r w:rsidRPr="00CD2EEF">
        <w:rPr>
          <w:lang w:val="en-GB"/>
        </w:rPr>
        <w:t xml:space="preserve"> continues to </w:t>
      </w:r>
      <w:r w:rsidR="00F84EEA">
        <w:rPr>
          <w:lang w:val="en-GB"/>
        </w:rPr>
        <w:t>re</w:t>
      </w:r>
      <w:r w:rsidRPr="00CD2EEF">
        <w:rPr>
          <w:lang w:val="en-GB"/>
        </w:rPr>
        <w:t>solve the staff shortage with short-term project jobs.</w:t>
      </w:r>
    </w:p>
    <w:p w14:paraId="592B4440" w14:textId="03CACBA4" w:rsidR="00412AFC" w:rsidRPr="00CD2EEF" w:rsidRDefault="00412AFC" w:rsidP="00FD0159">
      <w:pPr>
        <w:pStyle w:val="LPnavaden"/>
        <w:rPr>
          <w:lang w:val="en-GB"/>
        </w:rPr>
      </w:pPr>
      <w:r w:rsidRPr="00CD2EEF">
        <w:rPr>
          <w:lang w:val="en-GB"/>
        </w:rPr>
        <w:t xml:space="preserve">At the beginning of 2021, 43 civil servants were employed at </w:t>
      </w:r>
      <w:r w:rsidR="00A726E8">
        <w:rPr>
          <w:lang w:val="en-GB"/>
        </w:rPr>
        <w:t>the</w:t>
      </w:r>
      <w:r w:rsidR="00E63423">
        <w:rPr>
          <w:lang w:val="en-GB"/>
        </w:rPr>
        <w:t xml:space="preserve"> SNSA</w:t>
      </w:r>
      <w:r w:rsidRPr="00CD2EEF">
        <w:rPr>
          <w:lang w:val="en-GB"/>
        </w:rPr>
        <w:t xml:space="preserve">, and 46 civil servants were employed in the middle of the year and at the end of the year. During the year, 3 civil servants left, of which 1 civil servant retired. The number of employees includes all employees who are employed for a fixed or indefinite period, regardless of the source of funding. As of </w:t>
      </w:r>
      <w:r w:rsidR="002F74FC">
        <w:rPr>
          <w:lang w:val="en-GB"/>
        </w:rPr>
        <w:t xml:space="preserve">31 </w:t>
      </w:r>
      <w:r w:rsidRPr="00CD2EEF">
        <w:rPr>
          <w:lang w:val="en-GB"/>
        </w:rPr>
        <w:t xml:space="preserve">December  2021, 3 civil servants were financed from project jobs, 1 </w:t>
      </w:r>
      <w:r w:rsidR="002F74FC">
        <w:rPr>
          <w:lang w:val="en-GB"/>
        </w:rPr>
        <w:t>had</w:t>
      </w:r>
      <w:r w:rsidR="002F74FC" w:rsidRPr="00CD2EEF">
        <w:rPr>
          <w:lang w:val="en-GB"/>
        </w:rPr>
        <w:t xml:space="preserve"> </w:t>
      </w:r>
      <w:r w:rsidRPr="00CD2EEF">
        <w:rPr>
          <w:lang w:val="en-GB"/>
        </w:rPr>
        <w:t xml:space="preserve">a job </w:t>
      </w:r>
      <w:r w:rsidR="002F74FC">
        <w:rPr>
          <w:lang w:val="en-GB"/>
        </w:rPr>
        <w:t>due to</w:t>
      </w:r>
      <w:r w:rsidRPr="00CD2EEF">
        <w:rPr>
          <w:lang w:val="en-GB"/>
        </w:rPr>
        <w:t xml:space="preserve"> a temporary increased scope of work, and 1 </w:t>
      </w:r>
      <w:r w:rsidR="002F74FC">
        <w:rPr>
          <w:lang w:val="en-GB"/>
        </w:rPr>
        <w:t>was</w:t>
      </w:r>
      <w:r w:rsidR="002F74FC" w:rsidRPr="00CD2EEF">
        <w:rPr>
          <w:lang w:val="en-GB"/>
        </w:rPr>
        <w:t xml:space="preserve"> </w:t>
      </w:r>
      <w:r w:rsidRPr="00CD2EEF">
        <w:rPr>
          <w:lang w:val="en-GB"/>
        </w:rPr>
        <w:t xml:space="preserve">employed for a replacement period, </w:t>
      </w:r>
      <w:r w:rsidR="00457753">
        <w:rPr>
          <w:lang w:val="en-GB"/>
        </w:rPr>
        <w:t xml:space="preserve">i.e. </w:t>
      </w:r>
      <w:r w:rsidRPr="00CD2EEF">
        <w:rPr>
          <w:lang w:val="en-GB"/>
        </w:rPr>
        <w:t xml:space="preserve">a total of 5 fixed-term jobs. Of the 46 employees, 5 of them </w:t>
      </w:r>
      <w:r w:rsidR="002F74FC">
        <w:rPr>
          <w:lang w:val="en-GB"/>
        </w:rPr>
        <w:t>were</w:t>
      </w:r>
      <w:r w:rsidR="002F74FC" w:rsidRPr="00CD2EEF">
        <w:rPr>
          <w:lang w:val="en-GB"/>
        </w:rPr>
        <w:t xml:space="preserve"> </w:t>
      </w:r>
      <w:r w:rsidRPr="00CD2EEF">
        <w:rPr>
          <w:lang w:val="en-GB"/>
        </w:rPr>
        <w:t xml:space="preserve">not included in the staffing plan, which is why </w:t>
      </w:r>
      <w:r w:rsidR="00A726E8">
        <w:rPr>
          <w:lang w:val="en-GB"/>
        </w:rPr>
        <w:t>the</w:t>
      </w:r>
      <w:r w:rsidR="00E63423">
        <w:rPr>
          <w:lang w:val="en-GB"/>
        </w:rPr>
        <w:t xml:space="preserve"> SNSA</w:t>
      </w:r>
      <w:r w:rsidRPr="00CD2EEF">
        <w:rPr>
          <w:lang w:val="en-GB"/>
        </w:rPr>
        <w:t xml:space="preserve"> consistently met the specified employment quota even at the end of 2021.</w:t>
      </w:r>
    </w:p>
    <w:p w14:paraId="6BE62D8E" w14:textId="77777777" w:rsidR="00412AFC" w:rsidRPr="00CD2EEF" w:rsidRDefault="00412AFC" w:rsidP="00FD0159">
      <w:pPr>
        <w:pStyle w:val="LPnavaden"/>
        <w:rPr>
          <w:lang w:val="en-GB"/>
        </w:rPr>
      </w:pPr>
      <w:r w:rsidRPr="00CD2EEF">
        <w:rPr>
          <w:lang w:val="en-GB"/>
        </w:rPr>
        <w:t>The composition of 46 employees on the last day of 2021 was as follows:</w:t>
      </w:r>
    </w:p>
    <w:p w14:paraId="786E8669" w14:textId="28CE86A7" w:rsidR="00412AFC" w:rsidRPr="00CD2EEF" w:rsidRDefault="00412AFC" w:rsidP="00FD0159">
      <w:pPr>
        <w:pStyle w:val="LPalineje"/>
        <w:rPr>
          <w:lang w:val="en-GB"/>
        </w:rPr>
      </w:pPr>
      <w:r w:rsidRPr="00CD2EEF">
        <w:rPr>
          <w:lang w:val="en-GB"/>
        </w:rPr>
        <w:t xml:space="preserve">44 </w:t>
      </w:r>
      <w:r w:rsidR="00954230" w:rsidRPr="00CD2EEF">
        <w:rPr>
          <w:lang w:val="en-GB"/>
        </w:rPr>
        <w:t xml:space="preserve">employees </w:t>
      </w:r>
      <w:r w:rsidRPr="00CD2EEF">
        <w:rPr>
          <w:lang w:val="en-GB"/>
        </w:rPr>
        <w:t xml:space="preserve">in official and 2 </w:t>
      </w:r>
      <w:r w:rsidR="00954230" w:rsidRPr="00CD2EEF">
        <w:rPr>
          <w:lang w:val="en-GB"/>
        </w:rPr>
        <w:t xml:space="preserve">employees </w:t>
      </w:r>
      <w:r w:rsidRPr="00CD2EEF">
        <w:rPr>
          <w:lang w:val="en-GB"/>
        </w:rPr>
        <w:t>in technical positions</w:t>
      </w:r>
      <w:r w:rsidR="00954230">
        <w:rPr>
          <w:lang w:val="en-GB"/>
        </w:rPr>
        <w:t>;</w:t>
      </w:r>
    </w:p>
    <w:p w14:paraId="432764A7" w14:textId="13ED2644" w:rsidR="00412AFC" w:rsidRPr="00CD2EEF" w:rsidRDefault="00954230" w:rsidP="00FD0159">
      <w:pPr>
        <w:pStyle w:val="LPalineje"/>
        <w:rPr>
          <w:lang w:val="en-GB"/>
        </w:rPr>
      </w:pPr>
      <w:r w:rsidRPr="00CD2EEF">
        <w:rPr>
          <w:lang w:val="en-GB"/>
        </w:rPr>
        <w:t>5</w:t>
      </w:r>
      <w:r>
        <w:rPr>
          <w:lang w:val="en-GB"/>
        </w:rPr>
        <w:t xml:space="preserve"> </w:t>
      </w:r>
      <w:r w:rsidR="00412AFC" w:rsidRPr="00CD2EEF">
        <w:rPr>
          <w:lang w:val="en-GB"/>
        </w:rPr>
        <w:t>temporary employees:</w:t>
      </w:r>
    </w:p>
    <w:p w14:paraId="594D33E8" w14:textId="26F4D5F6" w:rsidR="00412AFC" w:rsidRPr="00CD2EEF" w:rsidRDefault="00412AFC" w:rsidP="00FD0159">
      <w:pPr>
        <w:pStyle w:val="LPalineje"/>
        <w:rPr>
          <w:lang w:val="en-GB"/>
        </w:rPr>
      </w:pPr>
      <w:r w:rsidRPr="00CD2EEF">
        <w:rPr>
          <w:lang w:val="en-GB"/>
        </w:rPr>
        <w:t xml:space="preserve">gender: </w:t>
      </w:r>
      <w:r w:rsidR="00954230" w:rsidRPr="00CD2EEF">
        <w:rPr>
          <w:lang w:val="en-GB"/>
        </w:rPr>
        <w:t xml:space="preserve">22 </w:t>
      </w:r>
      <w:r w:rsidRPr="00CD2EEF">
        <w:rPr>
          <w:lang w:val="en-GB"/>
        </w:rPr>
        <w:t>women</w:t>
      </w:r>
      <w:r w:rsidR="00954230">
        <w:rPr>
          <w:lang w:val="en-GB"/>
        </w:rPr>
        <w:t>,</w:t>
      </w:r>
      <w:r w:rsidRPr="00CD2EEF">
        <w:rPr>
          <w:lang w:val="en-GB"/>
        </w:rPr>
        <w:t xml:space="preserve"> or 48%</w:t>
      </w:r>
      <w:r w:rsidR="00954230">
        <w:rPr>
          <w:lang w:val="en-GB"/>
        </w:rPr>
        <w:t>;</w:t>
      </w:r>
      <w:r w:rsidRPr="00CD2EEF">
        <w:rPr>
          <w:lang w:val="en-GB"/>
        </w:rPr>
        <w:t xml:space="preserve"> 24 </w:t>
      </w:r>
      <w:r w:rsidR="00954230" w:rsidRPr="00CD2EEF">
        <w:rPr>
          <w:lang w:val="en-GB"/>
        </w:rPr>
        <w:t>men</w:t>
      </w:r>
      <w:r w:rsidR="00165D80">
        <w:rPr>
          <w:lang w:val="en-GB"/>
        </w:rPr>
        <w:t>,</w:t>
      </w:r>
      <w:r w:rsidR="00954230" w:rsidRPr="00CD2EEF">
        <w:rPr>
          <w:lang w:val="en-GB"/>
        </w:rPr>
        <w:t xml:space="preserve"> </w:t>
      </w:r>
      <w:r w:rsidRPr="00CD2EEF">
        <w:rPr>
          <w:lang w:val="en-GB"/>
        </w:rPr>
        <w:t>or 52%</w:t>
      </w:r>
      <w:r w:rsidR="00954230">
        <w:rPr>
          <w:lang w:val="en-GB"/>
        </w:rPr>
        <w:t>;</w:t>
      </w:r>
    </w:p>
    <w:p w14:paraId="01CD31F0" w14:textId="79125CE7" w:rsidR="00412AFC" w:rsidRPr="00CD2EEF" w:rsidRDefault="00412AFC" w:rsidP="00FD0159">
      <w:pPr>
        <w:pStyle w:val="LPalineje"/>
        <w:rPr>
          <w:lang w:val="en-GB"/>
        </w:rPr>
      </w:pPr>
      <w:r w:rsidRPr="00CD2EEF">
        <w:rPr>
          <w:lang w:val="en-GB"/>
        </w:rPr>
        <w:t xml:space="preserve">age: </w:t>
      </w:r>
      <w:r w:rsidR="00165D80">
        <w:rPr>
          <w:lang w:val="en-GB"/>
        </w:rPr>
        <w:t xml:space="preserve">the </w:t>
      </w:r>
      <w:r w:rsidRPr="00CD2EEF">
        <w:rPr>
          <w:lang w:val="en-GB"/>
        </w:rPr>
        <w:t>average age of employees</w:t>
      </w:r>
      <w:r w:rsidR="00165D80">
        <w:rPr>
          <w:lang w:val="en-GB"/>
        </w:rPr>
        <w:t xml:space="preserve"> was</w:t>
      </w:r>
      <w:r w:rsidRPr="00CD2EEF">
        <w:rPr>
          <w:lang w:val="en-GB"/>
        </w:rPr>
        <w:t xml:space="preserve"> 50.6 years</w:t>
      </w:r>
      <w:r w:rsidR="00165D80">
        <w:rPr>
          <w:lang w:val="en-GB"/>
        </w:rPr>
        <w:t>,</w:t>
      </w:r>
      <w:r w:rsidRPr="00CD2EEF">
        <w:rPr>
          <w:lang w:val="en-GB"/>
        </w:rPr>
        <w:t xml:space="preserve"> rang</w:t>
      </w:r>
      <w:r w:rsidR="00165D80">
        <w:rPr>
          <w:lang w:val="en-GB"/>
        </w:rPr>
        <w:t>ing</w:t>
      </w:r>
      <w:r w:rsidRPr="00CD2EEF">
        <w:rPr>
          <w:lang w:val="en-GB"/>
        </w:rPr>
        <w:t xml:space="preserve"> from 25 to 68 years</w:t>
      </w:r>
      <w:r w:rsidR="00165D80">
        <w:rPr>
          <w:lang w:val="en-GB"/>
        </w:rPr>
        <w:t xml:space="preserve"> of age</w:t>
      </w:r>
      <w:r w:rsidRPr="00CD2EEF">
        <w:rPr>
          <w:lang w:val="en-GB"/>
        </w:rPr>
        <w:t>.</w:t>
      </w:r>
    </w:p>
    <w:p w14:paraId="380171D2" w14:textId="6F24426D" w:rsidR="00412AFC" w:rsidRPr="00CD2EEF" w:rsidRDefault="00412AFC" w:rsidP="00FD0159">
      <w:pPr>
        <w:pStyle w:val="LPnavaden"/>
        <w:rPr>
          <w:lang w:val="en-GB"/>
        </w:rPr>
      </w:pPr>
      <w:r w:rsidRPr="00CD2EEF">
        <w:rPr>
          <w:lang w:val="en-GB"/>
        </w:rPr>
        <w:t>As a result, the demographic trend of population aging also followed</w:t>
      </w:r>
      <w:r w:rsidR="0069492D" w:rsidRPr="00CD2EEF">
        <w:rPr>
          <w:lang w:val="en-GB"/>
        </w:rPr>
        <w:t xml:space="preserve"> </w:t>
      </w:r>
      <w:r w:rsidRPr="00CD2EEF">
        <w:rPr>
          <w:lang w:val="en-GB"/>
        </w:rPr>
        <w:t xml:space="preserve">the aging of the working population, as shown by the data on the age structure of employees at </w:t>
      </w:r>
      <w:r w:rsidR="00A726E8">
        <w:rPr>
          <w:lang w:val="en-GB"/>
        </w:rPr>
        <w:t>the</w:t>
      </w:r>
      <w:r w:rsidR="00E63423">
        <w:rPr>
          <w:lang w:val="en-GB"/>
        </w:rPr>
        <w:t xml:space="preserve"> SNSA</w:t>
      </w:r>
      <w:r w:rsidRPr="00CD2EEF">
        <w:rPr>
          <w:lang w:val="en-GB"/>
        </w:rPr>
        <w:t>.</w:t>
      </w:r>
    </w:p>
    <w:p w14:paraId="2A785085" w14:textId="77777777" w:rsidR="00412AFC" w:rsidRPr="00CD2EEF" w:rsidRDefault="00412AFC" w:rsidP="00FD0159">
      <w:pPr>
        <w:jc w:val="both"/>
        <w:rPr>
          <w:rFonts w:ascii="Garamond" w:hAnsi="Garamond"/>
          <w:lang w:val="en-GB"/>
        </w:rPr>
      </w:pPr>
    </w:p>
    <w:p w14:paraId="64B5D6E1" w14:textId="5D154203" w:rsidR="00412AFC" w:rsidRPr="00CD2EEF" w:rsidRDefault="00412AFC" w:rsidP="00FD0159">
      <w:pPr>
        <w:jc w:val="both"/>
        <w:rPr>
          <w:rFonts w:ascii="Garamond" w:hAnsi="Garamond"/>
          <w:lang w:val="en-GB"/>
        </w:rPr>
      </w:pPr>
      <w:r w:rsidRPr="00CD2EEF">
        <w:rPr>
          <w:rFonts w:ascii="Garamond" w:hAnsi="Garamond"/>
          <w:lang w:val="en-GB"/>
        </w:rPr>
        <w:t xml:space="preserve">The level of professional qualification of </w:t>
      </w:r>
      <w:r w:rsidR="00B306FD">
        <w:rPr>
          <w:rFonts w:ascii="Garamond" w:hAnsi="Garamond"/>
          <w:lang w:val="en-GB"/>
        </w:rPr>
        <w:t xml:space="preserve">the </w:t>
      </w:r>
      <w:r w:rsidRPr="00CD2EEF">
        <w:rPr>
          <w:rFonts w:ascii="Garamond" w:hAnsi="Garamond"/>
          <w:lang w:val="en-GB"/>
        </w:rPr>
        <w:t xml:space="preserve">46 employees at </w:t>
      </w:r>
      <w:r w:rsidR="00E63423">
        <w:rPr>
          <w:rFonts w:ascii="Garamond" w:hAnsi="Garamond"/>
          <w:lang w:val="en-GB"/>
        </w:rPr>
        <w:t>the SNSA</w:t>
      </w:r>
      <w:r w:rsidRPr="00CD2EEF">
        <w:rPr>
          <w:rFonts w:ascii="Garamond" w:hAnsi="Garamond"/>
          <w:lang w:val="en-GB"/>
        </w:rPr>
        <w:t xml:space="preserve"> is shown in </w:t>
      </w:r>
      <w:hyperlink w:anchor="t10" w:history="1">
        <w:r w:rsidR="00AE4965" w:rsidRPr="00CD2EEF">
          <w:rPr>
            <w:rStyle w:val="Hiperpovezava"/>
            <w:rFonts w:ascii="Garamond" w:hAnsi="Garamond"/>
            <w:lang w:val="en-GB"/>
          </w:rPr>
          <w:t>T</w:t>
        </w:r>
        <w:r w:rsidRPr="00CD2EEF">
          <w:rPr>
            <w:rStyle w:val="Hiperpovezava"/>
            <w:rFonts w:ascii="Garamond" w:hAnsi="Garamond"/>
            <w:lang w:val="en-GB"/>
          </w:rPr>
          <w:t>able 10</w:t>
        </w:r>
      </w:hyperlink>
      <w:r w:rsidRPr="00CD2EEF">
        <w:rPr>
          <w:rFonts w:ascii="Garamond" w:hAnsi="Garamond"/>
          <w:lang w:val="en-GB"/>
        </w:rPr>
        <w:t>.</w:t>
      </w:r>
    </w:p>
    <w:p w14:paraId="2F016A67" w14:textId="6FD451D1" w:rsidR="00412AFC" w:rsidRPr="00CD2EEF" w:rsidRDefault="00BE0188" w:rsidP="00BE0188">
      <w:pPr>
        <w:pStyle w:val="LPnaslovpreglednica"/>
        <w:rPr>
          <w:lang w:val="en-GB"/>
        </w:rPr>
      </w:pPr>
      <w:bookmarkStart w:id="394" w:name="_Toc126309917"/>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Pr="00CD2EEF">
        <w:rPr>
          <w:lang w:val="en-GB"/>
        </w:rPr>
        <w:t>10</w:t>
      </w:r>
      <w:r w:rsidR="00366B6D" w:rsidRPr="00CD2EEF">
        <w:rPr>
          <w:lang w:val="en-GB"/>
        </w:rPr>
        <w:fldChar w:fldCharType="end"/>
      </w:r>
      <w:r w:rsidR="00412AFC" w:rsidRPr="00CD2EEF">
        <w:rPr>
          <w:lang w:val="en-GB"/>
        </w:rPr>
        <w:t xml:space="preserve">: Level of professional qualification of </w:t>
      </w:r>
      <w:r w:rsidR="00B306FD">
        <w:rPr>
          <w:lang w:val="en-GB"/>
        </w:rPr>
        <w:t xml:space="preserve">the </w:t>
      </w:r>
      <w:r w:rsidR="00412AFC" w:rsidRPr="00CD2EEF">
        <w:rPr>
          <w:lang w:val="en-GB"/>
        </w:rPr>
        <w:t xml:space="preserve">employees at </w:t>
      </w:r>
      <w:r w:rsidR="00A726E8">
        <w:rPr>
          <w:lang w:val="en-GB"/>
        </w:rPr>
        <w:t>the</w:t>
      </w:r>
      <w:r w:rsidR="00E63423">
        <w:rPr>
          <w:lang w:val="en-GB"/>
        </w:rPr>
        <w:t xml:space="preserve"> SNSA</w:t>
      </w:r>
      <w:bookmarkEnd w:id="394"/>
    </w:p>
    <w:tbl>
      <w:tblPr>
        <w:tblStyle w:val="LPtabelamodronaslovna"/>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18"/>
        <w:gridCol w:w="1276"/>
        <w:gridCol w:w="1559"/>
      </w:tblGrid>
      <w:tr w:rsidR="00412AFC" w:rsidRPr="00CD2EEF" w14:paraId="68D800A0" w14:textId="77777777" w:rsidTr="00DC2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5B9BD5" w:themeFill="accent1"/>
            <w:hideMark/>
          </w:tcPr>
          <w:p w14:paraId="645BC423" w14:textId="3F53B730" w:rsidR="00412AFC" w:rsidRPr="00CD2EEF" w:rsidRDefault="00412AFC" w:rsidP="00DC2BFD">
            <w:pPr>
              <w:pStyle w:val="LPpreglednicaglavasredina"/>
              <w:rPr>
                <w:b/>
                <w:bCs/>
                <w:lang w:val="en-GB"/>
              </w:rPr>
            </w:pPr>
            <w:bookmarkStart w:id="395" w:name="t10"/>
            <w:r w:rsidRPr="00CD2EEF">
              <w:rPr>
                <w:b/>
                <w:bCs/>
                <w:lang w:val="en-GB"/>
              </w:rPr>
              <w:t>Level of professional qualification</w:t>
            </w:r>
          </w:p>
        </w:tc>
        <w:tc>
          <w:tcPr>
            <w:tcW w:w="1276" w:type="dxa"/>
            <w:shd w:val="clear" w:color="auto" w:fill="5B9BD5" w:themeFill="accent1"/>
            <w:hideMark/>
          </w:tcPr>
          <w:p w14:paraId="2F8060F0" w14:textId="77777777" w:rsidR="00412AFC" w:rsidRPr="00CD2EEF" w:rsidRDefault="00412AFC" w:rsidP="00DC2BFD">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CD2EEF">
              <w:rPr>
                <w:b/>
                <w:bCs/>
                <w:lang w:val="en-GB"/>
              </w:rPr>
              <w:t>Number of employees</w:t>
            </w:r>
          </w:p>
        </w:tc>
        <w:tc>
          <w:tcPr>
            <w:tcW w:w="1559" w:type="dxa"/>
            <w:shd w:val="clear" w:color="auto" w:fill="5B9BD5" w:themeFill="accent1"/>
            <w:hideMark/>
          </w:tcPr>
          <w:p w14:paraId="6B139214" w14:textId="77777777" w:rsidR="00412AFC" w:rsidRPr="00CD2EEF" w:rsidRDefault="00412AFC" w:rsidP="00DC2BFD">
            <w:pPr>
              <w:pStyle w:val="LPpreglednicaglavasredina"/>
              <w:cnfStyle w:val="100000000000" w:firstRow="1" w:lastRow="0" w:firstColumn="0" w:lastColumn="0" w:oddVBand="0" w:evenVBand="0" w:oddHBand="0" w:evenHBand="0" w:firstRowFirstColumn="0" w:firstRowLastColumn="0" w:lastRowFirstColumn="0" w:lastRowLastColumn="0"/>
              <w:rPr>
                <w:b/>
                <w:bCs/>
                <w:lang w:val="en-GB"/>
              </w:rPr>
            </w:pPr>
            <w:r w:rsidRPr="00CD2EEF">
              <w:rPr>
                <w:b/>
                <w:bCs/>
                <w:lang w:val="en-GB"/>
              </w:rPr>
              <w:t>Percentage (%)</w:t>
            </w:r>
          </w:p>
        </w:tc>
      </w:tr>
      <w:tr w:rsidR="00412AFC" w:rsidRPr="00CD2EEF" w14:paraId="44AC5C54" w14:textId="77777777" w:rsidTr="00DC2BFD">
        <w:tc>
          <w:tcPr>
            <w:cnfStyle w:val="001000000000" w:firstRow="0" w:lastRow="0" w:firstColumn="1" w:lastColumn="0" w:oddVBand="0" w:evenVBand="0" w:oddHBand="0" w:evenHBand="0" w:firstRowFirstColumn="0" w:firstRowLastColumn="0" w:lastRowFirstColumn="0" w:lastRowLastColumn="0"/>
            <w:tcW w:w="2518" w:type="dxa"/>
            <w:hideMark/>
          </w:tcPr>
          <w:p w14:paraId="419CE19A" w14:textId="77777777" w:rsidR="00412AFC" w:rsidRPr="00980AEC" w:rsidRDefault="00412AFC" w:rsidP="00DC2BFD">
            <w:pPr>
              <w:pStyle w:val="LPpreglednicatelo"/>
              <w:spacing w:line="256" w:lineRule="auto"/>
              <w:rPr>
                <w:lang w:val="en-GB"/>
              </w:rPr>
            </w:pPr>
            <w:r w:rsidRPr="00980AEC">
              <w:rPr>
                <w:lang w:val="en-GB"/>
              </w:rPr>
              <w:t>Higher Education</w:t>
            </w:r>
          </w:p>
        </w:tc>
        <w:tc>
          <w:tcPr>
            <w:tcW w:w="1276" w:type="dxa"/>
            <w:hideMark/>
          </w:tcPr>
          <w:p w14:paraId="3A87A4DE" w14:textId="09A77472" w:rsidR="00412AFC" w:rsidRPr="00CD2EEF" w:rsidRDefault="008A1E6B"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 </w:t>
            </w:r>
            <w:r w:rsidR="00412AFC" w:rsidRPr="00CD2EEF">
              <w:rPr>
                <w:lang w:val="en-GB"/>
              </w:rPr>
              <w:t>6</w:t>
            </w:r>
          </w:p>
        </w:tc>
        <w:tc>
          <w:tcPr>
            <w:tcW w:w="1559" w:type="dxa"/>
            <w:hideMark/>
          </w:tcPr>
          <w:p w14:paraId="00CC9CEA"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 xml:space="preserve"> 13%</w:t>
            </w:r>
          </w:p>
        </w:tc>
      </w:tr>
      <w:tr w:rsidR="00412AFC" w:rsidRPr="00CD2EEF" w14:paraId="70F102F1" w14:textId="77777777" w:rsidTr="00DC2BFD">
        <w:tc>
          <w:tcPr>
            <w:cnfStyle w:val="001000000000" w:firstRow="0" w:lastRow="0" w:firstColumn="1" w:lastColumn="0" w:oddVBand="0" w:evenVBand="0" w:oddHBand="0" w:evenHBand="0" w:firstRowFirstColumn="0" w:firstRowLastColumn="0" w:lastRowFirstColumn="0" w:lastRowLastColumn="0"/>
            <w:tcW w:w="2518" w:type="dxa"/>
            <w:hideMark/>
          </w:tcPr>
          <w:p w14:paraId="235ED983" w14:textId="77777777" w:rsidR="00412AFC" w:rsidRPr="00980AEC" w:rsidRDefault="00412AFC" w:rsidP="00DC2BFD">
            <w:pPr>
              <w:pStyle w:val="LPpreglednicatelo"/>
              <w:spacing w:line="256" w:lineRule="auto"/>
              <w:rPr>
                <w:lang w:val="en-GB"/>
              </w:rPr>
            </w:pPr>
            <w:r w:rsidRPr="00980AEC">
              <w:rPr>
                <w:lang w:val="en-GB"/>
              </w:rPr>
              <w:t>University Degree</w:t>
            </w:r>
          </w:p>
        </w:tc>
        <w:tc>
          <w:tcPr>
            <w:tcW w:w="1276" w:type="dxa"/>
            <w:hideMark/>
          </w:tcPr>
          <w:p w14:paraId="08CB311D"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19</w:t>
            </w:r>
          </w:p>
        </w:tc>
        <w:tc>
          <w:tcPr>
            <w:tcW w:w="1559" w:type="dxa"/>
            <w:hideMark/>
          </w:tcPr>
          <w:p w14:paraId="7627D3B0"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 xml:space="preserve"> 41%</w:t>
            </w:r>
          </w:p>
        </w:tc>
      </w:tr>
      <w:tr w:rsidR="00412AFC" w:rsidRPr="00CD2EEF" w14:paraId="23DE3C85" w14:textId="77777777" w:rsidTr="00DC2BFD">
        <w:tc>
          <w:tcPr>
            <w:cnfStyle w:val="001000000000" w:firstRow="0" w:lastRow="0" w:firstColumn="1" w:lastColumn="0" w:oddVBand="0" w:evenVBand="0" w:oddHBand="0" w:evenHBand="0" w:firstRowFirstColumn="0" w:firstRowLastColumn="0" w:lastRowFirstColumn="0" w:lastRowLastColumn="0"/>
            <w:tcW w:w="2518" w:type="dxa"/>
            <w:hideMark/>
          </w:tcPr>
          <w:p w14:paraId="690AC911" w14:textId="782B023E" w:rsidR="00412AFC" w:rsidRPr="00980AEC" w:rsidRDefault="00412AFC" w:rsidP="00DC2BFD">
            <w:pPr>
              <w:pStyle w:val="LPpreglednicatelo"/>
              <w:spacing w:line="256" w:lineRule="auto"/>
              <w:rPr>
                <w:lang w:val="en-GB"/>
              </w:rPr>
            </w:pPr>
            <w:r w:rsidRPr="00980AEC">
              <w:rPr>
                <w:lang w:val="en-GB"/>
              </w:rPr>
              <w:t>Master</w:t>
            </w:r>
            <w:r w:rsidR="00F21D56" w:rsidRPr="00980AEC">
              <w:rPr>
                <w:lang w:val="en-GB"/>
              </w:rPr>
              <w:t>’</w:t>
            </w:r>
            <w:r w:rsidRPr="00980AEC">
              <w:rPr>
                <w:lang w:val="en-GB"/>
              </w:rPr>
              <w:t>s Degree</w:t>
            </w:r>
          </w:p>
        </w:tc>
        <w:tc>
          <w:tcPr>
            <w:tcW w:w="1276" w:type="dxa"/>
            <w:hideMark/>
          </w:tcPr>
          <w:p w14:paraId="5DD07235"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10</w:t>
            </w:r>
          </w:p>
        </w:tc>
        <w:tc>
          <w:tcPr>
            <w:tcW w:w="1559" w:type="dxa"/>
            <w:hideMark/>
          </w:tcPr>
          <w:p w14:paraId="20BA3DB6"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 xml:space="preserve"> 22%</w:t>
            </w:r>
          </w:p>
        </w:tc>
      </w:tr>
      <w:tr w:rsidR="00412AFC" w:rsidRPr="00CD2EEF" w14:paraId="1CFCCA77" w14:textId="77777777" w:rsidTr="00DC2BFD">
        <w:tc>
          <w:tcPr>
            <w:cnfStyle w:val="001000000000" w:firstRow="0" w:lastRow="0" w:firstColumn="1" w:lastColumn="0" w:oddVBand="0" w:evenVBand="0" w:oddHBand="0" w:evenHBand="0" w:firstRowFirstColumn="0" w:firstRowLastColumn="0" w:lastRowFirstColumn="0" w:lastRowLastColumn="0"/>
            <w:tcW w:w="2518" w:type="dxa"/>
            <w:hideMark/>
          </w:tcPr>
          <w:p w14:paraId="1FC48625" w14:textId="77777777" w:rsidR="00412AFC" w:rsidRPr="00980AEC" w:rsidRDefault="00412AFC" w:rsidP="00DC2BFD">
            <w:pPr>
              <w:pStyle w:val="LPpreglednicatelo"/>
              <w:spacing w:line="256" w:lineRule="auto"/>
              <w:rPr>
                <w:lang w:val="en-GB"/>
              </w:rPr>
            </w:pPr>
            <w:r w:rsidRPr="00980AEC">
              <w:rPr>
                <w:lang w:val="en-GB"/>
              </w:rPr>
              <w:t>Doctorate</w:t>
            </w:r>
          </w:p>
        </w:tc>
        <w:tc>
          <w:tcPr>
            <w:tcW w:w="1276" w:type="dxa"/>
            <w:hideMark/>
          </w:tcPr>
          <w:p w14:paraId="515B0C63"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11</w:t>
            </w:r>
          </w:p>
        </w:tc>
        <w:tc>
          <w:tcPr>
            <w:tcW w:w="1559" w:type="dxa"/>
            <w:hideMark/>
          </w:tcPr>
          <w:p w14:paraId="2CF70EBA"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 xml:space="preserve"> 24%</w:t>
            </w:r>
          </w:p>
        </w:tc>
      </w:tr>
      <w:tr w:rsidR="00412AFC" w:rsidRPr="00CD2EEF" w14:paraId="46555C11" w14:textId="77777777" w:rsidTr="00DC2BFD">
        <w:tc>
          <w:tcPr>
            <w:cnfStyle w:val="001000000000" w:firstRow="0" w:lastRow="0" w:firstColumn="1" w:lastColumn="0" w:oddVBand="0" w:evenVBand="0" w:oddHBand="0" w:evenHBand="0" w:firstRowFirstColumn="0" w:firstRowLastColumn="0" w:lastRowFirstColumn="0" w:lastRowLastColumn="0"/>
            <w:tcW w:w="2518" w:type="dxa"/>
          </w:tcPr>
          <w:p w14:paraId="28F0095B" w14:textId="77777777" w:rsidR="00412AFC" w:rsidRPr="00CD2EEF" w:rsidRDefault="00412AFC" w:rsidP="00DC2BFD">
            <w:pPr>
              <w:pStyle w:val="LPpreglednicatelo"/>
              <w:spacing w:line="256" w:lineRule="auto"/>
              <w:rPr>
                <w:lang w:val="en-GB"/>
              </w:rPr>
            </w:pPr>
            <w:r w:rsidRPr="00CD2EEF">
              <w:rPr>
                <w:lang w:val="en-GB"/>
              </w:rPr>
              <w:t>Total</w:t>
            </w:r>
          </w:p>
        </w:tc>
        <w:tc>
          <w:tcPr>
            <w:tcW w:w="1276" w:type="dxa"/>
          </w:tcPr>
          <w:p w14:paraId="1BA39E89"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46</w:t>
            </w:r>
          </w:p>
        </w:tc>
        <w:tc>
          <w:tcPr>
            <w:tcW w:w="1559" w:type="dxa"/>
          </w:tcPr>
          <w:p w14:paraId="6F05A344" w14:textId="77777777" w:rsidR="00412AFC" w:rsidRPr="00CD2EEF" w:rsidRDefault="00412AFC" w:rsidP="00DC2BFD">
            <w:pPr>
              <w:pStyle w:val="LPpreglednicatelo"/>
              <w:spacing w:line="256" w:lineRule="auto"/>
              <w:cnfStyle w:val="000000000000" w:firstRow="0" w:lastRow="0" w:firstColumn="0" w:lastColumn="0" w:oddVBand="0" w:evenVBand="0" w:oddHBand="0" w:evenHBand="0" w:firstRowFirstColumn="0" w:firstRowLastColumn="0" w:lastRowFirstColumn="0" w:lastRowLastColumn="0"/>
              <w:rPr>
                <w:lang w:val="en-GB"/>
              </w:rPr>
            </w:pPr>
            <w:r w:rsidRPr="00CD2EEF">
              <w:rPr>
                <w:lang w:val="en-GB"/>
              </w:rPr>
              <w:t>100%</w:t>
            </w:r>
          </w:p>
        </w:tc>
      </w:tr>
      <w:bookmarkEnd w:id="395"/>
    </w:tbl>
    <w:p w14:paraId="53B9D576" w14:textId="77777777" w:rsidR="00412AFC" w:rsidRPr="00CD2EEF" w:rsidRDefault="00412AFC" w:rsidP="00FD0159">
      <w:pPr>
        <w:pStyle w:val="LPnavaden"/>
        <w:rPr>
          <w:lang w:val="en-GB"/>
        </w:rPr>
      </w:pPr>
    </w:p>
    <w:p w14:paraId="1B3EEF2E" w14:textId="51469A30" w:rsidR="00412AFC" w:rsidRPr="00CD2EEF" w:rsidRDefault="00412AFC" w:rsidP="00FD0159">
      <w:pPr>
        <w:pStyle w:val="LPnavaden"/>
        <w:rPr>
          <w:lang w:val="en-GB"/>
        </w:rPr>
      </w:pPr>
      <w:r w:rsidRPr="00CD2EEF">
        <w:rPr>
          <w:lang w:val="en-GB"/>
        </w:rPr>
        <w:t xml:space="preserve">Despite the reduction in the number of employees over the last fifteen years, </w:t>
      </w:r>
      <w:r w:rsidR="00A726E8">
        <w:rPr>
          <w:lang w:val="en-GB"/>
        </w:rPr>
        <w:t>the</w:t>
      </w:r>
      <w:r w:rsidR="00E63423">
        <w:rPr>
          <w:lang w:val="en-GB"/>
        </w:rPr>
        <w:t xml:space="preserve"> SNSA</w:t>
      </w:r>
      <w:r w:rsidRPr="00CD2EEF">
        <w:rPr>
          <w:lang w:val="en-GB"/>
        </w:rPr>
        <w:t xml:space="preserve"> ensures and maintains a high level of nuclear and radiation safety in the country through effective optimi</w:t>
      </w:r>
      <w:r w:rsidR="00E9756B">
        <w:rPr>
          <w:lang w:val="en-GB"/>
        </w:rPr>
        <w:t>sation</w:t>
      </w:r>
      <w:r w:rsidRPr="00CD2EEF">
        <w:rPr>
          <w:lang w:val="en-GB"/>
        </w:rPr>
        <w:t xml:space="preserve"> of its work. However, </w:t>
      </w:r>
      <w:r w:rsidR="00A726E8">
        <w:rPr>
          <w:lang w:val="en-GB"/>
        </w:rPr>
        <w:t>the</w:t>
      </w:r>
      <w:r w:rsidR="00E63423">
        <w:rPr>
          <w:lang w:val="en-GB"/>
        </w:rPr>
        <w:t xml:space="preserve"> SNSA</w:t>
      </w:r>
      <w:r w:rsidRPr="00CD2EEF">
        <w:rPr>
          <w:lang w:val="en-GB"/>
        </w:rPr>
        <w:t xml:space="preserve"> points out the lack of staff and the related challenges of ensuring the necessary </w:t>
      </w:r>
      <w:r w:rsidR="002C3735">
        <w:rPr>
          <w:lang w:val="en-GB"/>
        </w:rPr>
        <w:t>competencies</w:t>
      </w:r>
      <w:r w:rsidRPr="00CD2EEF">
        <w:rPr>
          <w:lang w:val="en-GB"/>
        </w:rPr>
        <w:t xml:space="preserve"> in various fields of nuclear and radiation safety, as well as the fact that internal reserves are practically exhausted, as its scope of work has also formally expanded over the years, </w:t>
      </w:r>
      <w:r w:rsidR="00B306FD">
        <w:rPr>
          <w:lang w:val="en-GB"/>
        </w:rPr>
        <w:t xml:space="preserve">and </w:t>
      </w:r>
      <w:r w:rsidRPr="00CD2EEF">
        <w:rPr>
          <w:lang w:val="en-GB"/>
        </w:rPr>
        <w:t>thus</w:t>
      </w:r>
      <w:r w:rsidR="00B306FD">
        <w:rPr>
          <w:lang w:val="en-GB"/>
        </w:rPr>
        <w:t xml:space="preserve"> has</w:t>
      </w:r>
      <w:r w:rsidRPr="00CD2EEF">
        <w:rPr>
          <w:lang w:val="en-GB"/>
        </w:rPr>
        <w:t xml:space="preserve"> acquir</w:t>
      </w:r>
      <w:r w:rsidR="00B306FD">
        <w:rPr>
          <w:lang w:val="en-GB"/>
        </w:rPr>
        <w:t>ed</w:t>
      </w:r>
      <w:r w:rsidRPr="00CD2EEF">
        <w:rPr>
          <w:lang w:val="en-GB"/>
        </w:rPr>
        <w:t xml:space="preserve"> </w:t>
      </w:r>
      <w:r w:rsidR="00B306FD">
        <w:rPr>
          <w:lang w:val="en-GB"/>
        </w:rPr>
        <w:t>an increasing additional</w:t>
      </w:r>
      <w:r w:rsidRPr="00CD2EEF">
        <w:rPr>
          <w:lang w:val="en-GB"/>
        </w:rPr>
        <w:t xml:space="preserve"> workload. </w:t>
      </w:r>
      <w:r w:rsidR="00B306FD">
        <w:rPr>
          <w:lang w:val="en-GB"/>
        </w:rPr>
        <w:t>T</w:t>
      </w:r>
      <w:r w:rsidRPr="00CD2EEF">
        <w:rPr>
          <w:lang w:val="en-GB"/>
        </w:rPr>
        <w:t xml:space="preserve">he new </w:t>
      </w:r>
      <w:r w:rsidRPr="007F6FF2">
        <w:rPr>
          <w:lang w:val="en-GB"/>
        </w:rPr>
        <w:t xml:space="preserve">European </w:t>
      </w:r>
      <w:r w:rsidR="00B306FD" w:rsidRPr="007F6FF2">
        <w:rPr>
          <w:lang w:val="en-GB"/>
        </w:rPr>
        <w:t>D</w:t>
      </w:r>
      <w:r w:rsidRPr="007F6FF2">
        <w:rPr>
          <w:lang w:val="en-GB"/>
        </w:rPr>
        <w:t>irective</w:t>
      </w:r>
      <w:r w:rsidRPr="00CD2EEF">
        <w:rPr>
          <w:lang w:val="en-GB"/>
        </w:rPr>
        <w:t xml:space="preserve"> on the basic safety standards of radiation protection brought several new additional tasks to </w:t>
      </w:r>
      <w:r w:rsidR="00A726E8">
        <w:rPr>
          <w:lang w:val="en-GB"/>
        </w:rPr>
        <w:t>the</w:t>
      </w:r>
      <w:r w:rsidR="00E63423">
        <w:rPr>
          <w:lang w:val="en-GB"/>
        </w:rPr>
        <w:t xml:space="preserve"> SNSA</w:t>
      </w:r>
      <w:r w:rsidRPr="00CD2EEF">
        <w:rPr>
          <w:lang w:val="en-GB"/>
        </w:rPr>
        <w:t xml:space="preserve">, and the burdens occasionally increase even in an </w:t>
      </w:r>
      <w:r w:rsidRPr="00980AEC">
        <w:rPr>
          <w:i/>
          <w:iCs/>
          <w:lang w:val="en-GB"/>
        </w:rPr>
        <w:t>ad</w:t>
      </w:r>
      <w:r w:rsidR="0089501E" w:rsidRPr="00980AEC">
        <w:rPr>
          <w:i/>
          <w:iCs/>
          <w:lang w:val="en-GB"/>
        </w:rPr>
        <w:t xml:space="preserve"> </w:t>
      </w:r>
      <w:r w:rsidRPr="00980AEC">
        <w:rPr>
          <w:i/>
          <w:iCs/>
          <w:lang w:val="en-GB"/>
        </w:rPr>
        <w:t>hoc</w:t>
      </w:r>
      <w:r w:rsidRPr="00CD2EEF">
        <w:rPr>
          <w:lang w:val="en-GB"/>
        </w:rPr>
        <w:t xml:space="preserve"> manner.</w:t>
      </w:r>
    </w:p>
    <w:p w14:paraId="586A6CFC" w14:textId="4070267C" w:rsidR="00412AFC" w:rsidRPr="00CD2EEF" w:rsidRDefault="00412AFC" w:rsidP="00FD0159">
      <w:pPr>
        <w:pStyle w:val="LPnavaden"/>
        <w:rPr>
          <w:lang w:val="en-GB"/>
        </w:rPr>
      </w:pPr>
      <w:r w:rsidRPr="00CD2EEF">
        <w:rPr>
          <w:lang w:val="en-GB"/>
        </w:rPr>
        <w:lastRenderedPageBreak/>
        <w:t xml:space="preserve">The assignment of additional tasks and the expansion of the scope of work represent even more pressure for civil servants because the level of the average age of employees is increasing year by year, and in the next year or two there will be a large-scale change of generations. Thus, at least four managerial employees will leave </w:t>
      </w:r>
      <w:r w:rsidR="00A726E8">
        <w:rPr>
          <w:lang w:val="en-GB"/>
        </w:rPr>
        <w:t>the</w:t>
      </w:r>
      <w:r w:rsidR="00E63423">
        <w:rPr>
          <w:lang w:val="en-GB"/>
        </w:rPr>
        <w:t xml:space="preserve"> SNSA</w:t>
      </w:r>
      <w:r w:rsidRPr="00CD2EEF">
        <w:rPr>
          <w:lang w:val="en-GB"/>
        </w:rPr>
        <w:t xml:space="preserve"> due to retirement, and it is increasingly difficult to </w:t>
      </w:r>
      <w:r w:rsidRPr="007F6FF2">
        <w:rPr>
          <w:lang w:val="en-GB"/>
        </w:rPr>
        <w:t>find replacement jobs for work in the public administration, as salaries, especially for experts in technical and natural sciences, are not competitive with those in the private sector. Even otherwise, potential personnel for replacement jobs are</w:t>
      </w:r>
      <w:r w:rsidRPr="00CD2EEF">
        <w:rPr>
          <w:lang w:val="en-GB"/>
        </w:rPr>
        <w:t xml:space="preserve"> not adequately qualified for tasks in the field of nuclear and radiation safety, and their additional training and development is time-consuming and financially demanding.</w:t>
      </w:r>
    </w:p>
    <w:p w14:paraId="05E3DF02" w14:textId="1EB55F8A" w:rsidR="00412AFC" w:rsidRPr="00CD2EEF" w:rsidRDefault="00412AFC" w:rsidP="00FD0159">
      <w:pPr>
        <w:pStyle w:val="LPnavaden"/>
        <w:rPr>
          <w:lang w:val="en-GB"/>
        </w:rPr>
      </w:pPr>
      <w:r w:rsidRPr="00CD2EEF">
        <w:rPr>
          <w:lang w:val="en-GB"/>
        </w:rPr>
        <w:t xml:space="preserve">A similar image applies to the entire country, where we are increasingly faced with the challenge of providing enough experts with the necessary competencies in various fields of nuclear and radiation safety. This is even more so because the change of generations and the associated retirement of some of the most qualified experts is also </w:t>
      </w:r>
      <w:r w:rsidRPr="007F6FF2">
        <w:rPr>
          <w:lang w:val="en-GB"/>
        </w:rPr>
        <w:t xml:space="preserve">happening </w:t>
      </w:r>
      <w:r w:rsidR="000B3C08" w:rsidRPr="007F6FF2">
        <w:rPr>
          <w:lang w:val="en-GB"/>
        </w:rPr>
        <w:t>as regards</w:t>
      </w:r>
      <w:r w:rsidRPr="007F6FF2">
        <w:rPr>
          <w:lang w:val="en-GB"/>
        </w:rPr>
        <w:t xml:space="preserve"> operators of</w:t>
      </w:r>
      <w:r w:rsidRPr="00CD2EEF">
        <w:rPr>
          <w:lang w:val="en-GB"/>
        </w:rPr>
        <w:t xml:space="preserve"> nuclear facilities and radiation operators, as well as in the field of so-called author</w:t>
      </w:r>
      <w:r w:rsidR="00837F00">
        <w:rPr>
          <w:lang w:val="en-GB"/>
        </w:rPr>
        <w:t>ised</w:t>
      </w:r>
      <w:r w:rsidRPr="00CD2EEF">
        <w:rPr>
          <w:lang w:val="en-GB"/>
        </w:rPr>
        <w:t xml:space="preserve"> organi</w:t>
      </w:r>
      <w:r w:rsidR="00E9756B">
        <w:rPr>
          <w:lang w:val="en-GB"/>
        </w:rPr>
        <w:t>sation</w:t>
      </w:r>
      <w:r w:rsidRPr="00CD2EEF">
        <w:rPr>
          <w:lang w:val="en-GB"/>
        </w:rPr>
        <w:t>s.</w:t>
      </w:r>
    </w:p>
    <w:p w14:paraId="11EF12F1" w14:textId="6B1E27D6" w:rsidR="00412AFC" w:rsidRPr="00CD2EEF" w:rsidRDefault="00A726E8" w:rsidP="00FD0159">
      <w:pPr>
        <w:pStyle w:val="LPnavaden"/>
        <w:rPr>
          <w:lang w:val="en-GB"/>
        </w:rPr>
      </w:pPr>
      <w:r>
        <w:rPr>
          <w:lang w:val="en-GB"/>
        </w:rPr>
        <w:t>The</w:t>
      </w:r>
      <w:r w:rsidR="00E63423">
        <w:rPr>
          <w:lang w:val="en-GB"/>
        </w:rPr>
        <w:t xml:space="preserve"> SNSA</w:t>
      </w:r>
      <w:r w:rsidR="00412AFC" w:rsidRPr="00CD2EEF">
        <w:rPr>
          <w:lang w:val="en-GB"/>
        </w:rPr>
        <w:t xml:space="preserve"> warns that in the light of preparations for the possible expansion of the nuclear option (in addition to the extension of the life of the NPP, also the construction of a new power plant), it </w:t>
      </w:r>
      <w:r w:rsidR="007902B7">
        <w:rPr>
          <w:lang w:val="en-GB"/>
        </w:rPr>
        <w:t>will be</w:t>
      </w:r>
      <w:r w:rsidR="007902B7" w:rsidRPr="00CD2EEF">
        <w:rPr>
          <w:lang w:val="en-GB"/>
        </w:rPr>
        <w:t xml:space="preserve"> </w:t>
      </w:r>
      <w:r w:rsidR="00412AFC" w:rsidRPr="00CD2EEF">
        <w:rPr>
          <w:lang w:val="en-GB"/>
        </w:rPr>
        <w:t>necessary in the future to analyse the situation with an assessment of the anticipated needs for ensuring the necessary competenc</w:t>
      </w:r>
      <w:r w:rsidR="007902B7">
        <w:rPr>
          <w:lang w:val="en-GB"/>
        </w:rPr>
        <w:t>i</w:t>
      </w:r>
      <w:r w:rsidR="00412AFC" w:rsidRPr="00CD2EEF">
        <w:rPr>
          <w:lang w:val="en-GB"/>
        </w:rPr>
        <w:t xml:space="preserve">es in various areas of nuclear and radiation safety and to envisage mechanisms for their provision. In particular, the construction of a new nuclear power plant would significantly increase the demand for additional technical personnel. If there is currently a noticeable shortage especially in the public sector, with additional needs, the shortage will also affect all other stakeholders. </w:t>
      </w:r>
      <w:r>
        <w:rPr>
          <w:lang w:val="en-GB"/>
        </w:rPr>
        <w:t>The</w:t>
      </w:r>
      <w:r w:rsidR="00E63423">
        <w:rPr>
          <w:lang w:val="en-GB"/>
        </w:rPr>
        <w:t xml:space="preserve"> SNSA</w:t>
      </w:r>
      <w:r w:rsidR="00412AFC" w:rsidRPr="00CD2EEF">
        <w:rPr>
          <w:lang w:val="en-GB"/>
        </w:rPr>
        <w:t xml:space="preserve"> has already made an analysis of the necessary personnel that it would need for the efficient and timely implementation of its administrative, inspection</w:t>
      </w:r>
      <w:r w:rsidR="007902B7">
        <w:rPr>
          <w:lang w:val="en-GB"/>
        </w:rPr>
        <w:t>,</w:t>
      </w:r>
      <w:r w:rsidR="00412AFC" w:rsidRPr="00CD2EEF">
        <w:rPr>
          <w:lang w:val="en-GB"/>
        </w:rPr>
        <w:t xml:space="preserve"> and other professional tasks, which are foreseen in the licensing of </w:t>
      </w:r>
      <w:r w:rsidR="007902B7">
        <w:rPr>
          <w:lang w:val="en-GB"/>
        </w:rPr>
        <w:t>a</w:t>
      </w:r>
      <w:r w:rsidR="007902B7" w:rsidRPr="00CD2EEF">
        <w:rPr>
          <w:lang w:val="en-GB"/>
        </w:rPr>
        <w:t xml:space="preserve"> </w:t>
      </w:r>
      <w:r w:rsidR="00412AFC" w:rsidRPr="00CD2EEF">
        <w:rPr>
          <w:lang w:val="en-GB"/>
        </w:rPr>
        <w:t xml:space="preserve">new nuclear power plant. The analysis for </w:t>
      </w:r>
      <w:r w:rsidR="007902B7" w:rsidRPr="007F6FF2">
        <w:rPr>
          <w:lang w:val="en-GB"/>
        </w:rPr>
        <w:t xml:space="preserve">the current </w:t>
      </w:r>
      <w:r w:rsidR="00412AFC" w:rsidRPr="007F6FF2">
        <w:rPr>
          <w:lang w:val="en-GB"/>
        </w:rPr>
        <w:t>administration</w:t>
      </w:r>
      <w:r w:rsidR="00412AFC" w:rsidRPr="00CD2EEF">
        <w:rPr>
          <w:lang w:val="en-GB"/>
        </w:rPr>
        <w:t xml:space="preserve"> already shows a critical lack of personnel, and the need for new personnel will increase significantly in the event of the construction of another nuclear power plant.</w:t>
      </w:r>
    </w:p>
    <w:p w14:paraId="1BB65868" w14:textId="4DC6407D" w:rsidR="00412AFC" w:rsidRPr="00CD2EEF" w:rsidRDefault="00412AFC" w:rsidP="00E61567">
      <w:pPr>
        <w:pStyle w:val="LPNaslov3"/>
        <w:rPr>
          <w:lang w:val="en-GB"/>
        </w:rPr>
      </w:pPr>
      <w:bookmarkStart w:id="396" w:name="_Toc46257240"/>
      <w:bookmarkStart w:id="397" w:name="_Toc47694683"/>
      <w:bookmarkStart w:id="398" w:name="_Toc126312041"/>
      <w:r w:rsidRPr="00CD2EEF">
        <w:rPr>
          <w:lang w:val="en-GB"/>
        </w:rPr>
        <w:t>Training</w:t>
      </w:r>
      <w:bookmarkEnd w:id="396"/>
      <w:bookmarkEnd w:id="397"/>
      <w:bookmarkEnd w:id="398"/>
    </w:p>
    <w:p w14:paraId="3D6A51BE" w14:textId="6D50F786" w:rsidR="00412AFC" w:rsidRPr="00CD2EEF" w:rsidRDefault="00412AFC" w:rsidP="00E61567">
      <w:pPr>
        <w:pStyle w:val="LPnavaden"/>
        <w:rPr>
          <w:lang w:val="en-GB"/>
        </w:rPr>
      </w:pPr>
      <w:r w:rsidRPr="00CD2EEF">
        <w:rPr>
          <w:lang w:val="en-GB"/>
        </w:rPr>
        <w:t xml:space="preserve">In 2021, as in all previous years, </w:t>
      </w:r>
      <w:r w:rsidR="00A726E8">
        <w:rPr>
          <w:lang w:val="en-GB"/>
        </w:rPr>
        <w:t>the</w:t>
      </w:r>
      <w:r w:rsidR="00E63423">
        <w:rPr>
          <w:lang w:val="en-GB"/>
        </w:rPr>
        <w:t xml:space="preserve"> SNSA</w:t>
      </w:r>
      <w:r w:rsidRPr="00CD2EEF">
        <w:rPr>
          <w:lang w:val="en-GB"/>
        </w:rPr>
        <w:t xml:space="preserve"> </w:t>
      </w:r>
      <w:r w:rsidR="00FC26CA">
        <w:rPr>
          <w:lang w:val="en-GB"/>
        </w:rPr>
        <w:t>devoted</w:t>
      </w:r>
      <w:r w:rsidR="00FC26CA" w:rsidRPr="00CD2EEF">
        <w:rPr>
          <w:lang w:val="en-GB"/>
        </w:rPr>
        <w:t xml:space="preserve"> </w:t>
      </w:r>
      <w:r w:rsidRPr="00CD2EEF">
        <w:rPr>
          <w:lang w:val="en-GB"/>
        </w:rPr>
        <w:t xml:space="preserve">a </w:t>
      </w:r>
      <w:r w:rsidR="00FC26CA">
        <w:rPr>
          <w:lang w:val="en-GB"/>
        </w:rPr>
        <w:t>great deal</w:t>
      </w:r>
      <w:r w:rsidR="00FC26CA" w:rsidRPr="00CD2EEF">
        <w:rPr>
          <w:lang w:val="en-GB"/>
        </w:rPr>
        <w:t xml:space="preserve"> </w:t>
      </w:r>
      <w:r w:rsidRPr="00CD2EEF">
        <w:rPr>
          <w:lang w:val="en-GB"/>
        </w:rPr>
        <w:t xml:space="preserve">of attention to education and training, with the aim of monitoring and developing the careers of civil servants and creating conditions for improving the professional qualifications of all employees, although this was often prevented or at least complicated due to the </w:t>
      </w:r>
      <w:r w:rsidR="001829DD">
        <w:rPr>
          <w:lang w:val="en-GB"/>
        </w:rPr>
        <w:t>Covid</w:t>
      </w:r>
      <w:r w:rsidRPr="00CD2EEF">
        <w:rPr>
          <w:lang w:val="en-GB"/>
        </w:rPr>
        <w:t xml:space="preserve">-19 epidemic. For this purpose, as it does every year, it adopted an internal </w:t>
      </w:r>
      <w:r w:rsidRPr="00CD2EEF">
        <w:rPr>
          <w:rStyle w:val="LPnavadenposevnoZnak"/>
          <w:lang w:val="en-GB"/>
        </w:rPr>
        <w:t>Education, Training</w:t>
      </w:r>
      <w:r w:rsidR="00FC26CA">
        <w:rPr>
          <w:rStyle w:val="LPnavadenposevnoZnak"/>
          <w:lang w:val="en-GB"/>
        </w:rPr>
        <w:t>,</w:t>
      </w:r>
      <w:r w:rsidRPr="00CD2EEF">
        <w:rPr>
          <w:rStyle w:val="LPnavadenposevnoZnak"/>
          <w:lang w:val="en-GB"/>
        </w:rPr>
        <w:t xml:space="preserve"> and Development Plan</w:t>
      </w:r>
      <w:r w:rsidRPr="00CD2EEF">
        <w:rPr>
          <w:lang w:val="en-GB"/>
        </w:rPr>
        <w:t xml:space="preserve">, which is based on the actual needs of </w:t>
      </w:r>
      <w:r w:rsidR="00A726E8">
        <w:rPr>
          <w:lang w:val="en-GB"/>
        </w:rPr>
        <w:t>the</w:t>
      </w:r>
      <w:r w:rsidR="00E63423">
        <w:rPr>
          <w:lang w:val="en-GB"/>
        </w:rPr>
        <w:t xml:space="preserve"> SNSA</w:t>
      </w:r>
      <w:r w:rsidRPr="00CD2EEF">
        <w:rPr>
          <w:lang w:val="en-GB"/>
        </w:rPr>
        <w:t xml:space="preserve"> and is prepared in accordance with the financial possibilities of </w:t>
      </w:r>
      <w:r w:rsidR="00A726E8">
        <w:rPr>
          <w:lang w:val="en-GB"/>
        </w:rPr>
        <w:t>the</w:t>
      </w:r>
      <w:r w:rsidR="00E63423">
        <w:rPr>
          <w:lang w:val="en-GB"/>
        </w:rPr>
        <w:t xml:space="preserve"> SNSA</w:t>
      </w:r>
      <w:r w:rsidRPr="00CD2EEF">
        <w:rPr>
          <w:lang w:val="en-GB"/>
        </w:rPr>
        <w:t>. Events (courses, workshops, conferences) were cancelled quite a few times, but as a rule they were moved to a virtual environment.</w:t>
      </w:r>
    </w:p>
    <w:p w14:paraId="32CEB633" w14:textId="3D0D4609" w:rsidR="00412AFC" w:rsidRPr="00CD2EEF" w:rsidRDefault="00412AFC" w:rsidP="00E61567">
      <w:pPr>
        <w:pStyle w:val="LPnavaden"/>
        <w:rPr>
          <w:lang w:val="en-GB"/>
        </w:rPr>
      </w:pPr>
      <w:r w:rsidRPr="00CD2EEF">
        <w:rPr>
          <w:lang w:val="en-GB"/>
        </w:rPr>
        <w:t xml:space="preserve">In 2021, attention was focused on those forms of training that are the most important for the field of work of </w:t>
      </w:r>
      <w:r w:rsidR="00A726E8">
        <w:rPr>
          <w:lang w:val="en-GB"/>
        </w:rPr>
        <w:t>the</w:t>
      </w:r>
      <w:r w:rsidR="00E63423">
        <w:rPr>
          <w:lang w:val="en-GB"/>
        </w:rPr>
        <w:t xml:space="preserve"> SNSA</w:t>
      </w:r>
      <w:r w:rsidRPr="00CD2EEF">
        <w:rPr>
          <w:lang w:val="en-GB"/>
        </w:rPr>
        <w:t xml:space="preserve"> and can be carried out by domestic providers. Thus, seven </w:t>
      </w:r>
      <w:r w:rsidR="00E63423">
        <w:rPr>
          <w:lang w:val="en-GB"/>
        </w:rPr>
        <w:t>SNSA</w:t>
      </w:r>
      <w:r w:rsidRPr="00CD2EEF">
        <w:rPr>
          <w:lang w:val="en-GB"/>
        </w:rPr>
        <w:t xml:space="preserve"> employees were sent to </w:t>
      </w:r>
      <w:r w:rsidR="00FC26CA">
        <w:rPr>
          <w:lang w:val="en-GB"/>
        </w:rPr>
        <w:t xml:space="preserve">study </w:t>
      </w:r>
      <w:r w:rsidRPr="00CD2EEF">
        <w:rPr>
          <w:lang w:val="en-GB"/>
        </w:rPr>
        <w:t xml:space="preserve">the selected content of the course </w:t>
      </w:r>
      <w:r w:rsidRPr="008C23AA">
        <w:rPr>
          <w:lang w:val="en-GB"/>
        </w:rPr>
        <w:t xml:space="preserve">TJE (NPP theory), four employees </w:t>
      </w:r>
      <w:r w:rsidR="00784362" w:rsidRPr="008C23AA">
        <w:rPr>
          <w:lang w:val="en-GB"/>
        </w:rPr>
        <w:t xml:space="preserve">attended </w:t>
      </w:r>
      <w:r w:rsidRPr="008C23AA">
        <w:rPr>
          <w:lang w:val="en-GB"/>
        </w:rPr>
        <w:t xml:space="preserve">the course OJT (nuclear technology fundamentals), five employees </w:t>
      </w:r>
      <w:r w:rsidR="00784362" w:rsidRPr="008C23AA">
        <w:rPr>
          <w:lang w:val="en-GB"/>
        </w:rPr>
        <w:t xml:space="preserve">were sent </w:t>
      </w:r>
      <w:r w:rsidRPr="008C23AA">
        <w:rPr>
          <w:lang w:val="en-GB"/>
        </w:rPr>
        <w:t xml:space="preserve">to the course JEK 4 (nuclear energy in brief), and one employee to the course OTJE (nuclear power plant technology fundamentals). </w:t>
      </w:r>
      <w:r w:rsidR="00A726E8" w:rsidRPr="008C23AA">
        <w:rPr>
          <w:lang w:val="en-GB"/>
        </w:rPr>
        <w:t>The</w:t>
      </w:r>
      <w:r w:rsidR="00E63423" w:rsidRPr="008C23AA">
        <w:rPr>
          <w:lang w:val="en-GB"/>
        </w:rPr>
        <w:t xml:space="preserve"> SNSA</w:t>
      </w:r>
      <w:r w:rsidRPr="008C23AA">
        <w:rPr>
          <w:lang w:val="en-GB"/>
        </w:rPr>
        <w:t xml:space="preserve"> employees also participated in training </w:t>
      </w:r>
      <w:r w:rsidR="00784362" w:rsidRPr="008C23AA">
        <w:rPr>
          <w:lang w:val="en-GB"/>
        </w:rPr>
        <w:t xml:space="preserve">courses </w:t>
      </w:r>
      <w:r w:rsidRPr="008C23AA">
        <w:rPr>
          <w:lang w:val="en-GB"/>
        </w:rPr>
        <w:t>and passed an exam in the field of protection against i</w:t>
      </w:r>
      <w:r w:rsidR="00837F00" w:rsidRPr="008C23AA">
        <w:rPr>
          <w:lang w:val="en-GB"/>
        </w:rPr>
        <w:t>onis</w:t>
      </w:r>
      <w:r w:rsidRPr="008C23AA">
        <w:rPr>
          <w:lang w:val="en-GB"/>
        </w:rPr>
        <w:t xml:space="preserve">ing radiation, namely seven of them for </w:t>
      </w:r>
      <w:r w:rsidR="00784362" w:rsidRPr="008C23AA">
        <w:rPr>
          <w:lang w:val="en-GB"/>
        </w:rPr>
        <w:t xml:space="preserve">the </w:t>
      </w:r>
      <w:r w:rsidRPr="008C23AA">
        <w:rPr>
          <w:lang w:val="en-GB"/>
        </w:rPr>
        <w:t>so</w:t>
      </w:r>
      <w:r w:rsidR="00784362" w:rsidRPr="008C23AA">
        <w:rPr>
          <w:lang w:val="en-GB"/>
        </w:rPr>
        <w:t>-</w:t>
      </w:r>
      <w:r w:rsidRPr="008C23AA">
        <w:rPr>
          <w:lang w:val="en-GB"/>
        </w:rPr>
        <w:t>called RZ-2</w:t>
      </w:r>
      <w:r w:rsidR="003B277C" w:rsidRPr="00980AEC">
        <w:rPr>
          <w:lang w:val="en-GB"/>
        </w:rPr>
        <w:t xml:space="preserve"> course</w:t>
      </w:r>
      <w:r w:rsidRPr="008C23AA">
        <w:rPr>
          <w:lang w:val="en-GB"/>
        </w:rPr>
        <w:t xml:space="preserve"> (radiological protection) and four for </w:t>
      </w:r>
      <w:r w:rsidR="00784362" w:rsidRPr="008C23AA">
        <w:rPr>
          <w:lang w:val="en-GB"/>
        </w:rPr>
        <w:t xml:space="preserve">the </w:t>
      </w:r>
      <w:r w:rsidRPr="008C23AA">
        <w:rPr>
          <w:lang w:val="en-GB"/>
        </w:rPr>
        <w:t>so</w:t>
      </w:r>
      <w:r w:rsidR="00784362" w:rsidRPr="008C23AA">
        <w:rPr>
          <w:lang w:val="en-GB"/>
        </w:rPr>
        <w:t>-</w:t>
      </w:r>
      <w:r w:rsidRPr="008C23AA">
        <w:rPr>
          <w:lang w:val="en-GB"/>
        </w:rPr>
        <w:t>called RZ-3</w:t>
      </w:r>
      <w:r w:rsidR="003B277C" w:rsidRPr="00980AEC">
        <w:rPr>
          <w:lang w:val="en-GB"/>
        </w:rPr>
        <w:t xml:space="preserve"> course</w:t>
      </w:r>
      <w:r w:rsidRPr="008C23AA">
        <w:rPr>
          <w:lang w:val="en-GB"/>
        </w:rPr>
        <w:t xml:space="preserve">. All </w:t>
      </w:r>
      <w:r w:rsidR="00784362" w:rsidRPr="008C23AA">
        <w:rPr>
          <w:lang w:val="en-GB"/>
        </w:rPr>
        <w:t>of</w:t>
      </w:r>
      <w:r w:rsidR="00784362">
        <w:rPr>
          <w:lang w:val="en-GB"/>
        </w:rPr>
        <w:t xml:space="preserve"> </w:t>
      </w:r>
      <w:r w:rsidRPr="00CD2EEF">
        <w:rPr>
          <w:lang w:val="en-GB"/>
        </w:rPr>
        <w:t>the mentioned forms of training were carried out at the Educational Centre for Nuclear Technology</w:t>
      </w:r>
      <w:r w:rsidR="008342C3">
        <w:rPr>
          <w:lang w:val="en-GB"/>
        </w:rPr>
        <w:t xml:space="preserve"> – </w:t>
      </w:r>
      <w:r w:rsidRPr="00CD2EEF">
        <w:rPr>
          <w:lang w:val="en-GB"/>
        </w:rPr>
        <w:t>ICJT, which is part of the Jožef Stefan Institute.</w:t>
      </w:r>
    </w:p>
    <w:p w14:paraId="3F3083A4" w14:textId="41448C5B" w:rsidR="00412AFC" w:rsidRPr="00CD2EEF" w:rsidRDefault="00412AFC" w:rsidP="00E61567">
      <w:pPr>
        <w:pStyle w:val="LPnavaden"/>
        <w:rPr>
          <w:lang w:val="en-GB"/>
        </w:rPr>
      </w:pPr>
      <w:r w:rsidRPr="00CD2EEF">
        <w:rPr>
          <w:lang w:val="en-GB"/>
        </w:rPr>
        <w:lastRenderedPageBreak/>
        <w:t>Regardless of the Covid-19 epidemic, other forms of training and education were also carried out, mainly in virtual form, which were organ</w:t>
      </w:r>
      <w:r w:rsidR="00837F00">
        <w:rPr>
          <w:lang w:val="en-GB"/>
        </w:rPr>
        <w:t>ised</w:t>
      </w:r>
      <w:r w:rsidRPr="00CD2EEF">
        <w:rPr>
          <w:lang w:val="en-GB"/>
        </w:rPr>
        <w:t xml:space="preserve"> abroad, mainly within the framework of the IAEA and the NEA.</w:t>
      </w:r>
    </w:p>
    <w:p w14:paraId="4336FE7F" w14:textId="42E378FB" w:rsidR="00412AFC" w:rsidRPr="00CD2EEF" w:rsidRDefault="00412AFC" w:rsidP="00E61567">
      <w:pPr>
        <w:pStyle w:val="LPnavaden"/>
        <w:rPr>
          <w:lang w:val="en-GB"/>
        </w:rPr>
      </w:pPr>
      <w:r w:rsidRPr="00CD2EEF">
        <w:rPr>
          <w:lang w:val="en-GB"/>
        </w:rPr>
        <w:t xml:space="preserve">The above statistics </w:t>
      </w:r>
      <w:r w:rsidR="006D44A9">
        <w:rPr>
          <w:lang w:val="en-GB"/>
        </w:rPr>
        <w:t>do</w:t>
      </w:r>
      <w:r w:rsidR="006D44A9" w:rsidRPr="00CD2EEF">
        <w:rPr>
          <w:lang w:val="en-GB"/>
        </w:rPr>
        <w:t xml:space="preserve"> </w:t>
      </w:r>
      <w:r w:rsidRPr="00CD2EEF">
        <w:rPr>
          <w:lang w:val="en-GB"/>
        </w:rPr>
        <w:t xml:space="preserve">not include the participation of </w:t>
      </w:r>
      <w:r w:rsidR="00E63423">
        <w:rPr>
          <w:lang w:val="en-GB"/>
        </w:rPr>
        <w:t>SNSA</w:t>
      </w:r>
      <w:r w:rsidRPr="00CD2EEF">
        <w:rPr>
          <w:lang w:val="en-GB"/>
        </w:rPr>
        <w:t xml:space="preserve"> employees in a wide variety of international working groups, committees, and associations, which also took place mostly in virtual form.</w:t>
      </w:r>
    </w:p>
    <w:p w14:paraId="2FCE38C3" w14:textId="769746D7" w:rsidR="00412AFC" w:rsidRPr="00CD2EEF" w:rsidRDefault="00412AFC" w:rsidP="00E61567">
      <w:pPr>
        <w:pStyle w:val="LPnavaden"/>
        <w:rPr>
          <w:lang w:val="en-GB"/>
        </w:rPr>
      </w:pPr>
      <w:r w:rsidRPr="00CD2EEF">
        <w:rPr>
          <w:lang w:val="en-GB"/>
        </w:rPr>
        <w:t xml:space="preserve">Based on appropriate education or additional training, </w:t>
      </w:r>
      <w:r w:rsidR="00A726E8">
        <w:rPr>
          <w:lang w:val="en-GB"/>
        </w:rPr>
        <w:t>the</w:t>
      </w:r>
      <w:r w:rsidR="00E63423">
        <w:rPr>
          <w:lang w:val="en-GB"/>
        </w:rPr>
        <w:t xml:space="preserve"> SNSA</w:t>
      </w:r>
      <w:r w:rsidRPr="00CD2EEF">
        <w:rPr>
          <w:lang w:val="en-GB"/>
        </w:rPr>
        <w:t xml:space="preserve"> has appointed:</w:t>
      </w:r>
    </w:p>
    <w:p w14:paraId="15645687" w14:textId="6C5B1108" w:rsidR="00412AFC" w:rsidRPr="00CD2EEF" w:rsidRDefault="003B277C" w:rsidP="00E61567">
      <w:pPr>
        <w:pStyle w:val="LPalineje"/>
        <w:rPr>
          <w:lang w:val="en-GB"/>
        </w:rPr>
      </w:pPr>
      <w:r>
        <w:rPr>
          <w:lang w:val="en-GB"/>
        </w:rPr>
        <w:t>an</w:t>
      </w:r>
      <w:r w:rsidRPr="00CD2EEF">
        <w:rPr>
          <w:lang w:val="en-GB"/>
        </w:rPr>
        <w:t xml:space="preserve"> </w:t>
      </w:r>
      <w:r w:rsidR="00412AFC" w:rsidRPr="00CD2EEF">
        <w:rPr>
          <w:lang w:val="en-GB"/>
        </w:rPr>
        <w:t>responsible person for protection against radiation, who, based on Article 52 of</w:t>
      </w:r>
      <w:r w:rsidR="007B062F">
        <w:rPr>
          <w:lang w:val="en-GB"/>
        </w:rPr>
        <w:t xml:space="preserve"> the</w:t>
      </w:r>
      <w:r w:rsidR="00412AFC" w:rsidRPr="00CD2EEF">
        <w:rPr>
          <w:lang w:val="en-GB"/>
        </w:rPr>
        <w:t xml:space="preserve"> ZVISJV-1, is responsible for the implementation and planning of protection measures against i</w:t>
      </w:r>
      <w:r w:rsidR="00837F00">
        <w:rPr>
          <w:lang w:val="en-GB"/>
        </w:rPr>
        <w:t>onis</w:t>
      </w:r>
      <w:r w:rsidR="00412AFC" w:rsidRPr="00CD2EEF">
        <w:rPr>
          <w:lang w:val="en-GB"/>
        </w:rPr>
        <w:t xml:space="preserve">ing radiation in accordance with the </w:t>
      </w:r>
      <w:r w:rsidR="00E63898">
        <w:rPr>
          <w:lang w:val="en-GB"/>
        </w:rPr>
        <w:t>A</w:t>
      </w:r>
      <w:r w:rsidR="00412AFC" w:rsidRPr="00CD2EEF">
        <w:rPr>
          <w:lang w:val="en-GB"/>
        </w:rPr>
        <w:t>ct,</w:t>
      </w:r>
    </w:p>
    <w:p w14:paraId="455829AC" w14:textId="7CA95FA8" w:rsidR="00412AFC" w:rsidRPr="00CD2EEF" w:rsidRDefault="003B277C" w:rsidP="00E61567">
      <w:pPr>
        <w:pStyle w:val="LPalineje"/>
        <w:rPr>
          <w:lang w:val="en-GB"/>
        </w:rPr>
      </w:pPr>
      <w:r w:rsidRPr="003B277C">
        <w:rPr>
          <w:lang w:val="en-GB"/>
        </w:rPr>
        <w:t xml:space="preserve">a </w:t>
      </w:r>
      <w:r w:rsidR="00412AFC" w:rsidRPr="003B277C">
        <w:rPr>
          <w:lang w:val="en-GB"/>
        </w:rPr>
        <w:t>worker</w:t>
      </w:r>
      <w:r w:rsidR="00DB07B4" w:rsidRPr="003B277C">
        <w:rPr>
          <w:lang w:val="en-GB"/>
        </w:rPr>
        <w:t>s’</w:t>
      </w:r>
      <w:r w:rsidR="00412AFC" w:rsidRPr="003B277C">
        <w:rPr>
          <w:lang w:val="en-GB"/>
        </w:rPr>
        <w:t xml:space="preserve"> representative for</w:t>
      </w:r>
      <w:r w:rsidR="00412AFC" w:rsidRPr="00CD2EEF">
        <w:rPr>
          <w:lang w:val="en-GB"/>
        </w:rPr>
        <w:t xml:space="preserve"> health and safety at work in accordance with the </w:t>
      </w:r>
      <w:r w:rsidR="00412AFC" w:rsidRPr="00CD2EEF">
        <w:rPr>
          <w:i/>
          <w:iCs/>
          <w:lang w:val="en-GB"/>
        </w:rPr>
        <w:t>Health and Safety at Work Act</w:t>
      </w:r>
      <w:r w:rsidR="00412AFC" w:rsidRPr="00CD2EEF">
        <w:rPr>
          <w:lang w:val="en-GB"/>
        </w:rPr>
        <w:t xml:space="preserve"> (Official Gazette of the Republic of Slovenia, No. 43/11),</w:t>
      </w:r>
    </w:p>
    <w:p w14:paraId="624380E7" w14:textId="08C7A4B3" w:rsidR="00412AFC" w:rsidRPr="00CD2EEF" w:rsidRDefault="003B277C" w:rsidP="00E61567">
      <w:pPr>
        <w:pStyle w:val="LPalineje"/>
        <w:rPr>
          <w:lang w:val="en-GB"/>
        </w:rPr>
      </w:pPr>
      <w:r>
        <w:rPr>
          <w:lang w:val="en-GB"/>
        </w:rPr>
        <w:t>an</w:t>
      </w:r>
      <w:r w:rsidR="00DB07B4" w:rsidRPr="00CD2EEF">
        <w:rPr>
          <w:lang w:val="en-GB"/>
        </w:rPr>
        <w:t xml:space="preserve"> </w:t>
      </w:r>
      <w:r w:rsidR="00412AFC" w:rsidRPr="00CD2EEF">
        <w:rPr>
          <w:lang w:val="en-GB"/>
        </w:rPr>
        <w:t>author</w:t>
      </w:r>
      <w:r w:rsidR="00837F00">
        <w:rPr>
          <w:lang w:val="en-GB"/>
        </w:rPr>
        <w:t>ised</w:t>
      </w:r>
      <w:r w:rsidR="00412AFC" w:rsidRPr="00CD2EEF">
        <w:rPr>
          <w:lang w:val="en-GB"/>
        </w:rPr>
        <w:t xml:space="preserve"> person for the protection of personal data in accordance with Article 37 of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52B4FA74" w14:textId="0794B771" w:rsidR="00412AFC" w:rsidRPr="00CD2EEF" w:rsidRDefault="00412AFC" w:rsidP="00E61567">
      <w:pPr>
        <w:pStyle w:val="LPalineje"/>
        <w:rPr>
          <w:lang w:val="en-GB"/>
        </w:rPr>
      </w:pPr>
      <w:r w:rsidRPr="00CD2EEF">
        <w:rPr>
          <w:lang w:val="en-GB"/>
        </w:rPr>
        <w:t>the person author</w:t>
      </w:r>
      <w:r w:rsidR="00837F00">
        <w:rPr>
          <w:lang w:val="en-GB"/>
        </w:rPr>
        <w:t>ised</w:t>
      </w:r>
      <w:r w:rsidRPr="00CD2EEF">
        <w:rPr>
          <w:lang w:val="en-GB"/>
        </w:rPr>
        <w:t xml:space="preserve"> to refer </w:t>
      </w:r>
      <w:r w:rsidR="00E63423">
        <w:rPr>
          <w:lang w:val="en-GB"/>
        </w:rPr>
        <w:t>SNSA</w:t>
      </w:r>
      <w:r w:rsidRPr="00CD2EEF">
        <w:rPr>
          <w:lang w:val="en-GB"/>
        </w:rPr>
        <w:t xml:space="preserve"> employees to periodic preventive health examinations</w:t>
      </w:r>
      <w:r w:rsidR="00DB07B4">
        <w:rPr>
          <w:lang w:val="en-GB"/>
        </w:rPr>
        <w:t>,</w:t>
      </w:r>
      <w:r w:rsidRPr="00CD2EEF">
        <w:rPr>
          <w:lang w:val="en-GB"/>
        </w:rPr>
        <w:t xml:space="preserve"> and</w:t>
      </w:r>
    </w:p>
    <w:p w14:paraId="03F91A7F" w14:textId="6F4E1522" w:rsidR="00412AFC" w:rsidRPr="00CD2EEF" w:rsidRDefault="00412AFC" w:rsidP="00E61567">
      <w:pPr>
        <w:pStyle w:val="LPalineje"/>
        <w:rPr>
          <w:lang w:val="en-GB"/>
        </w:rPr>
      </w:pPr>
      <w:r w:rsidRPr="00CD2EEF">
        <w:rPr>
          <w:lang w:val="en-GB"/>
        </w:rPr>
        <w:t xml:space="preserve">a consultant for help and information on measures available in connection with protection against sexual and other harassment or ill-treatment in accordance with the </w:t>
      </w:r>
      <w:r w:rsidRPr="00CD2EEF">
        <w:rPr>
          <w:rFonts w:cs="Arial"/>
          <w:i/>
          <w:iCs/>
          <w:szCs w:val="24"/>
          <w:shd w:val="clear" w:color="auto" w:fill="FFFFFF"/>
          <w:lang w:val="en-GB"/>
        </w:rPr>
        <w:t xml:space="preserve">Decree on Measures to Protect the Dignity of Employees of </w:t>
      </w:r>
      <w:r w:rsidR="0002482E">
        <w:rPr>
          <w:rFonts w:cs="Arial"/>
          <w:i/>
          <w:iCs/>
          <w:szCs w:val="24"/>
          <w:shd w:val="clear" w:color="auto" w:fill="FFFFFF"/>
          <w:lang w:val="en-GB"/>
        </w:rPr>
        <w:t xml:space="preserve">the </w:t>
      </w:r>
      <w:r w:rsidRPr="00CD2EEF">
        <w:rPr>
          <w:rFonts w:cs="Arial"/>
          <w:i/>
          <w:iCs/>
          <w:szCs w:val="24"/>
          <w:shd w:val="clear" w:color="auto" w:fill="FFFFFF"/>
          <w:lang w:val="en-GB"/>
        </w:rPr>
        <w:t>State Administration</w:t>
      </w:r>
      <w:r w:rsidRPr="00CD2EEF">
        <w:rPr>
          <w:lang w:val="en-GB"/>
        </w:rPr>
        <w:t xml:space="preserve"> (Official Gazette of the Republic of Slovenia, </w:t>
      </w:r>
      <w:r w:rsidR="00074AFC" w:rsidRPr="003B277C">
        <w:rPr>
          <w:lang w:val="en-GB"/>
        </w:rPr>
        <w:t>No</w:t>
      </w:r>
      <w:r w:rsidR="0002482E" w:rsidRPr="003B277C">
        <w:rPr>
          <w:lang w:val="en-GB"/>
        </w:rPr>
        <w:t>s</w:t>
      </w:r>
      <w:r w:rsidR="00074AFC" w:rsidRPr="003B277C">
        <w:rPr>
          <w:lang w:val="en-GB"/>
        </w:rPr>
        <w:t>.</w:t>
      </w:r>
      <w:r w:rsidRPr="003B277C">
        <w:rPr>
          <w:lang w:val="en-GB"/>
        </w:rPr>
        <w:t xml:space="preserve"> 36/09</w:t>
      </w:r>
      <w:r w:rsidRPr="00CD2EEF">
        <w:rPr>
          <w:lang w:val="en-GB"/>
        </w:rPr>
        <w:t>, and 21 /13 – ZDR-1).</w:t>
      </w:r>
    </w:p>
    <w:p w14:paraId="067A3243" w14:textId="20D22D07" w:rsidR="00412AFC" w:rsidRPr="00CD2EEF" w:rsidRDefault="00A726E8" w:rsidP="00E61567">
      <w:pPr>
        <w:pStyle w:val="LPnavaden"/>
        <w:rPr>
          <w:lang w:val="en-GB"/>
        </w:rPr>
      </w:pPr>
      <w:r>
        <w:rPr>
          <w:lang w:val="en-GB"/>
        </w:rPr>
        <w:t>The</w:t>
      </w:r>
      <w:r w:rsidR="00E63423">
        <w:rPr>
          <w:lang w:val="en-GB"/>
        </w:rPr>
        <w:t xml:space="preserve"> SNSA</w:t>
      </w:r>
      <w:r w:rsidR="00412AFC" w:rsidRPr="00CD2EEF">
        <w:rPr>
          <w:lang w:val="en-GB"/>
        </w:rPr>
        <w:t xml:space="preserve"> has a system for ensuring </w:t>
      </w:r>
      <w:r w:rsidR="002C3735">
        <w:rPr>
          <w:lang w:val="en-GB"/>
        </w:rPr>
        <w:t>competencies</w:t>
      </w:r>
      <w:r w:rsidR="00412AFC" w:rsidRPr="00CD2EEF">
        <w:rPr>
          <w:lang w:val="en-GB"/>
        </w:rPr>
        <w:t xml:space="preserve"> and optimi</w:t>
      </w:r>
      <w:r w:rsidR="00837F00">
        <w:rPr>
          <w:lang w:val="en-GB"/>
        </w:rPr>
        <w:t>s</w:t>
      </w:r>
      <w:r w:rsidR="00412AFC" w:rsidRPr="00CD2EEF">
        <w:rPr>
          <w:lang w:val="en-GB"/>
        </w:rPr>
        <w:t>ing internal organi</w:t>
      </w:r>
      <w:r w:rsidR="00E9756B">
        <w:rPr>
          <w:lang w:val="en-GB"/>
        </w:rPr>
        <w:t>sation</w:t>
      </w:r>
      <w:r w:rsidR="00412AFC" w:rsidRPr="00CD2EEF">
        <w:rPr>
          <w:lang w:val="en-GB"/>
        </w:rPr>
        <w:t>, which is called SAT-URSJV. It systematically defines the necessary competencies for individual jobs. Competenc</w:t>
      </w:r>
      <w:r w:rsidR="0002482E">
        <w:rPr>
          <w:lang w:val="en-GB"/>
        </w:rPr>
        <w:t>i</w:t>
      </w:r>
      <w:r w:rsidR="00412AFC" w:rsidRPr="00CD2EEF">
        <w:rPr>
          <w:lang w:val="en-GB"/>
        </w:rPr>
        <w:t xml:space="preserve">es are created based on work tasks, which are also determined for individual positions. Work assignments are determined based on many years of experience. The basis is the Rules of Procedure of </w:t>
      </w:r>
      <w:r>
        <w:rPr>
          <w:lang w:val="en-GB"/>
        </w:rPr>
        <w:t>the</w:t>
      </w:r>
      <w:r w:rsidR="00E63423">
        <w:rPr>
          <w:lang w:val="en-GB"/>
        </w:rPr>
        <w:t xml:space="preserve"> SNSA</w:t>
      </w:r>
      <w:r w:rsidR="00412AFC" w:rsidRPr="00CD2EEF">
        <w:rPr>
          <w:lang w:val="en-GB"/>
        </w:rPr>
        <w:t>, where the processes are defined, and the work tasks are then defined in more detail on</w:t>
      </w:r>
      <w:r w:rsidR="0002482E">
        <w:rPr>
          <w:lang w:val="en-GB"/>
        </w:rPr>
        <w:t xml:space="preserve"> basis of</w:t>
      </w:r>
      <w:r w:rsidR="00412AFC" w:rsidRPr="00CD2EEF">
        <w:rPr>
          <w:lang w:val="en-GB"/>
        </w:rPr>
        <w:t xml:space="preserve"> the processes. The success of the implementation</w:t>
      </w:r>
      <w:r w:rsidR="0002482E">
        <w:rPr>
          <w:lang w:val="en-GB"/>
        </w:rPr>
        <w:t xml:space="preserve"> thereof</w:t>
      </w:r>
      <w:r w:rsidR="00412AFC" w:rsidRPr="00CD2EEF">
        <w:rPr>
          <w:lang w:val="en-GB"/>
        </w:rPr>
        <w:t xml:space="preserve"> is checked </w:t>
      </w:r>
      <w:r w:rsidR="0002482E">
        <w:rPr>
          <w:lang w:val="en-GB"/>
        </w:rPr>
        <w:t>in</w:t>
      </w:r>
      <w:r w:rsidR="0002482E" w:rsidRPr="00CD2EEF">
        <w:rPr>
          <w:lang w:val="en-GB"/>
        </w:rPr>
        <w:t xml:space="preserve"> </w:t>
      </w:r>
      <w:r w:rsidR="00412AFC" w:rsidRPr="00CD2EEF">
        <w:rPr>
          <w:lang w:val="en-GB"/>
        </w:rPr>
        <w:t xml:space="preserve">annual interviews, where the </w:t>
      </w:r>
      <w:r w:rsidR="002C3735">
        <w:rPr>
          <w:lang w:val="en-GB"/>
        </w:rPr>
        <w:t>competencies</w:t>
      </w:r>
      <w:r w:rsidR="00412AFC" w:rsidRPr="00CD2EEF">
        <w:rPr>
          <w:lang w:val="en-GB"/>
        </w:rPr>
        <w:t xml:space="preserve"> of the employees are also checked. On </w:t>
      </w:r>
      <w:r w:rsidR="0002482E">
        <w:rPr>
          <w:lang w:val="en-GB"/>
        </w:rPr>
        <w:t>such</w:t>
      </w:r>
      <w:r w:rsidR="0002482E" w:rsidRPr="00CD2EEF">
        <w:rPr>
          <w:lang w:val="en-GB"/>
        </w:rPr>
        <w:t xml:space="preserve"> </w:t>
      </w:r>
      <w:r w:rsidR="00412AFC" w:rsidRPr="00CD2EEF">
        <w:rPr>
          <w:lang w:val="en-GB"/>
        </w:rPr>
        <w:t xml:space="preserve">basis, </w:t>
      </w:r>
      <w:r>
        <w:rPr>
          <w:lang w:val="en-GB"/>
        </w:rPr>
        <w:t>the</w:t>
      </w:r>
      <w:r w:rsidR="00E63423">
        <w:rPr>
          <w:lang w:val="en-GB"/>
        </w:rPr>
        <w:t xml:space="preserve"> SNSA</w:t>
      </w:r>
      <w:r w:rsidR="00412AFC" w:rsidRPr="00CD2EEF">
        <w:rPr>
          <w:lang w:val="en-GB"/>
        </w:rPr>
        <w:t xml:space="preserve"> training plan for each process and specifics for each job </w:t>
      </w:r>
      <w:r w:rsidR="0002482E">
        <w:rPr>
          <w:lang w:val="en-GB"/>
        </w:rPr>
        <w:t>are</w:t>
      </w:r>
      <w:r w:rsidR="0002482E" w:rsidRPr="00CD2EEF">
        <w:rPr>
          <w:lang w:val="en-GB"/>
        </w:rPr>
        <w:t xml:space="preserve"> </w:t>
      </w:r>
      <w:r w:rsidR="00412AFC" w:rsidRPr="00CD2EEF">
        <w:rPr>
          <w:lang w:val="en-GB"/>
        </w:rPr>
        <w:t xml:space="preserve">prepared and adopted. Special attention is </w:t>
      </w:r>
      <w:r w:rsidR="0002482E">
        <w:rPr>
          <w:lang w:val="en-GB"/>
        </w:rPr>
        <w:t>devoted</w:t>
      </w:r>
      <w:r w:rsidR="0002482E" w:rsidRPr="00CD2EEF">
        <w:rPr>
          <w:lang w:val="en-GB"/>
        </w:rPr>
        <w:t xml:space="preserve"> </w:t>
      </w:r>
      <w:r w:rsidR="00412AFC" w:rsidRPr="00CD2EEF">
        <w:rPr>
          <w:lang w:val="en-GB"/>
        </w:rPr>
        <w:t xml:space="preserve">to new employees, for whom a special training plan </w:t>
      </w:r>
      <w:r w:rsidR="0002482E">
        <w:rPr>
          <w:lang w:val="en-GB"/>
        </w:rPr>
        <w:t>is</w:t>
      </w:r>
      <w:r w:rsidR="00412AFC" w:rsidRPr="00CD2EEF">
        <w:rPr>
          <w:lang w:val="en-GB"/>
        </w:rPr>
        <w:t xml:space="preserve"> prepared. Monitoring the career development of employees is also an important part</w:t>
      </w:r>
      <w:r w:rsidR="009D5B8B">
        <w:rPr>
          <w:lang w:val="en-GB"/>
        </w:rPr>
        <w:t xml:space="preserve"> thereof</w:t>
      </w:r>
      <w:r w:rsidR="00412AFC" w:rsidRPr="00CD2EEF">
        <w:rPr>
          <w:lang w:val="en-GB"/>
        </w:rPr>
        <w:t xml:space="preserve">. In addition to the necessary training for the continuous development of </w:t>
      </w:r>
      <w:r w:rsidR="002C3735">
        <w:rPr>
          <w:lang w:val="en-GB"/>
        </w:rPr>
        <w:t>competencies</w:t>
      </w:r>
      <w:r w:rsidR="00412AFC" w:rsidRPr="00CD2EEF">
        <w:rPr>
          <w:lang w:val="en-GB"/>
        </w:rPr>
        <w:t>, the career plan also includes a development plan</w:t>
      </w:r>
      <w:r w:rsidR="009D5B8B">
        <w:rPr>
          <w:lang w:val="en-GB"/>
        </w:rPr>
        <w:t xml:space="preserve"> and</w:t>
      </w:r>
      <w:r w:rsidR="00412AFC" w:rsidRPr="00CD2EEF">
        <w:rPr>
          <w:lang w:val="en-GB"/>
        </w:rPr>
        <w:t xml:space="preserve"> a promotion system, which is adapted to the abilities of employees and the needs of </w:t>
      </w:r>
      <w:r>
        <w:rPr>
          <w:lang w:val="en-GB"/>
        </w:rPr>
        <w:t>the</w:t>
      </w:r>
      <w:r w:rsidR="00E63423">
        <w:rPr>
          <w:lang w:val="en-GB"/>
        </w:rPr>
        <w:t xml:space="preserve"> SNSA</w:t>
      </w:r>
      <w:r w:rsidR="00412AFC" w:rsidRPr="00CD2EEF">
        <w:rPr>
          <w:lang w:val="en-GB"/>
        </w:rPr>
        <w:t>.</w:t>
      </w:r>
    </w:p>
    <w:p w14:paraId="18E6E9B1" w14:textId="7CA5482B" w:rsidR="00412AFC" w:rsidRPr="00CD2EEF" w:rsidRDefault="00412AFC" w:rsidP="00E61567">
      <w:pPr>
        <w:pStyle w:val="LPNaslov3"/>
        <w:rPr>
          <w:lang w:val="en-GB"/>
        </w:rPr>
      </w:pPr>
      <w:bookmarkStart w:id="399" w:name="_Toc84321665"/>
      <w:bookmarkStart w:id="400" w:name="_Toc126312042"/>
      <w:r w:rsidRPr="00CD2EEF">
        <w:rPr>
          <w:lang w:val="en-GB"/>
        </w:rPr>
        <w:t xml:space="preserve">Informing the </w:t>
      </w:r>
      <w:r w:rsidR="00980AEC">
        <w:rPr>
          <w:lang w:val="en-GB"/>
        </w:rPr>
        <w:t>P</w:t>
      </w:r>
      <w:r w:rsidRPr="00CD2EEF">
        <w:rPr>
          <w:lang w:val="en-GB"/>
        </w:rPr>
        <w:t>ublic</w:t>
      </w:r>
      <w:bookmarkEnd w:id="399"/>
      <w:bookmarkEnd w:id="400"/>
    </w:p>
    <w:p w14:paraId="6D9FEB5D" w14:textId="6E189759" w:rsidR="00412AFC" w:rsidRPr="00CD2EEF" w:rsidRDefault="00A726E8" w:rsidP="00E61567">
      <w:pPr>
        <w:pStyle w:val="LPnavaden"/>
        <w:rPr>
          <w:lang w:val="en-GB"/>
        </w:rPr>
      </w:pPr>
      <w:r>
        <w:rPr>
          <w:lang w:val="en-GB"/>
        </w:rPr>
        <w:t>The</w:t>
      </w:r>
      <w:r w:rsidR="00E63423">
        <w:rPr>
          <w:lang w:val="en-GB"/>
        </w:rPr>
        <w:t xml:space="preserve"> SNSA</w:t>
      </w:r>
      <w:r w:rsidR="00F21D56">
        <w:rPr>
          <w:lang w:val="en-GB"/>
        </w:rPr>
        <w:t>’</w:t>
      </w:r>
      <w:r w:rsidR="00412AFC" w:rsidRPr="00CD2EEF">
        <w:rPr>
          <w:lang w:val="en-GB"/>
        </w:rPr>
        <w:t xml:space="preserve">s internal acts, especially the </w:t>
      </w:r>
      <w:r w:rsidR="00412AFC" w:rsidRPr="00CD2EEF">
        <w:rPr>
          <w:rStyle w:val="LPnavadenposevnoZnak"/>
          <w:lang w:val="en-GB"/>
        </w:rPr>
        <w:t>Act on the internal organi</w:t>
      </w:r>
      <w:r w:rsidR="00E9756B">
        <w:rPr>
          <w:rStyle w:val="LPnavadenposevnoZnak"/>
          <w:lang w:val="en-GB"/>
        </w:rPr>
        <w:t>sation</w:t>
      </w:r>
      <w:r w:rsidR="00412AFC" w:rsidRPr="00CD2EEF">
        <w:rPr>
          <w:rStyle w:val="LPnavadenposevnoZnak"/>
          <w:lang w:val="en-GB"/>
        </w:rPr>
        <w:t xml:space="preserve"> and systemati</w:t>
      </w:r>
      <w:r w:rsidR="00E9756B">
        <w:rPr>
          <w:rStyle w:val="LPnavadenposevnoZnak"/>
          <w:lang w:val="en-GB"/>
        </w:rPr>
        <w:t>sation</w:t>
      </w:r>
      <w:r w:rsidR="00412AFC" w:rsidRPr="00CD2EEF">
        <w:rPr>
          <w:rStyle w:val="LPnavadenposevnoZnak"/>
          <w:lang w:val="en-GB"/>
        </w:rPr>
        <w:t xml:space="preserve"> of jobs at </w:t>
      </w:r>
      <w:r>
        <w:rPr>
          <w:rStyle w:val="LPnavadenposevnoZnak"/>
          <w:lang w:val="en-GB"/>
        </w:rPr>
        <w:t>the</w:t>
      </w:r>
      <w:r w:rsidR="00E63423">
        <w:rPr>
          <w:rStyle w:val="LPnavadenposevnoZnak"/>
          <w:lang w:val="en-GB"/>
        </w:rPr>
        <w:t xml:space="preserve"> SNSA</w:t>
      </w:r>
      <w:r w:rsidR="00412AFC" w:rsidRPr="00CD2EEF">
        <w:rPr>
          <w:lang w:val="en-GB"/>
        </w:rPr>
        <w:t xml:space="preserve"> and </w:t>
      </w:r>
      <w:r>
        <w:rPr>
          <w:lang w:val="en-GB"/>
        </w:rPr>
        <w:t>the</w:t>
      </w:r>
      <w:r w:rsidR="00E63423">
        <w:rPr>
          <w:rStyle w:val="LPnavadenposevnoZnak"/>
          <w:lang w:val="en-GB"/>
        </w:rPr>
        <w:t xml:space="preserve"> SNSA</w:t>
      </w:r>
      <w:r w:rsidR="00F21D56">
        <w:rPr>
          <w:rStyle w:val="LPnavadenposevnoZnak"/>
          <w:lang w:val="en-GB"/>
        </w:rPr>
        <w:t>’</w:t>
      </w:r>
      <w:r w:rsidR="00412AFC" w:rsidRPr="00CD2EEF">
        <w:rPr>
          <w:rStyle w:val="LPnavadenposevnoZnak"/>
          <w:lang w:val="en-GB"/>
        </w:rPr>
        <w:t>s Rules of Procedure</w:t>
      </w:r>
      <w:r w:rsidR="00412AFC" w:rsidRPr="00CD2EEF">
        <w:rPr>
          <w:lang w:val="en-GB"/>
        </w:rPr>
        <w:t xml:space="preserve">, stipulate that the </w:t>
      </w:r>
      <w:r w:rsidR="009D5B8B">
        <w:rPr>
          <w:lang w:val="en-GB"/>
        </w:rPr>
        <w:t>public nature</w:t>
      </w:r>
      <w:r w:rsidR="009D5B8B" w:rsidRPr="00CD2EEF">
        <w:rPr>
          <w:lang w:val="en-GB"/>
        </w:rPr>
        <w:t xml:space="preserve"> </w:t>
      </w:r>
      <w:r w:rsidR="00412AFC" w:rsidRPr="00CD2EEF">
        <w:rPr>
          <w:lang w:val="en-GB"/>
        </w:rPr>
        <w:t xml:space="preserve">of </w:t>
      </w:r>
      <w:r w:rsidR="009D5B8B">
        <w:rPr>
          <w:lang w:val="en-GB"/>
        </w:rPr>
        <w:t>its</w:t>
      </w:r>
      <w:r w:rsidR="009D5B8B" w:rsidRPr="00CD2EEF">
        <w:rPr>
          <w:lang w:val="en-GB"/>
        </w:rPr>
        <w:t xml:space="preserve"> </w:t>
      </w:r>
      <w:r w:rsidR="00412AFC" w:rsidRPr="00CD2EEF">
        <w:rPr>
          <w:lang w:val="en-GB"/>
        </w:rPr>
        <w:t xml:space="preserve">work, which </w:t>
      </w:r>
      <w:r>
        <w:rPr>
          <w:lang w:val="en-GB"/>
        </w:rPr>
        <w:t>the</w:t>
      </w:r>
      <w:r w:rsidR="00E63423">
        <w:rPr>
          <w:lang w:val="en-GB"/>
        </w:rPr>
        <w:t xml:space="preserve"> SNSA</w:t>
      </w:r>
      <w:r w:rsidR="00412AFC" w:rsidRPr="00CD2EEF">
        <w:rPr>
          <w:lang w:val="en-GB"/>
        </w:rPr>
        <w:t xml:space="preserve"> imposes in addition to the general legislation and the ZVISJV-1, is ensured by the director, mainly by issuing official messages and in other ways </w:t>
      </w:r>
      <w:r w:rsidR="009D5B8B">
        <w:rPr>
          <w:lang w:val="en-GB"/>
        </w:rPr>
        <w:t>that</w:t>
      </w:r>
      <w:r w:rsidR="009D5B8B" w:rsidRPr="00CD2EEF">
        <w:rPr>
          <w:lang w:val="en-GB"/>
        </w:rPr>
        <w:t xml:space="preserve"> </w:t>
      </w:r>
      <w:r w:rsidR="00412AFC" w:rsidRPr="00CD2EEF">
        <w:rPr>
          <w:lang w:val="en-GB"/>
        </w:rPr>
        <w:t xml:space="preserve">enable the public to become familiar with the work of </w:t>
      </w:r>
      <w:r>
        <w:rPr>
          <w:lang w:val="en-GB"/>
        </w:rPr>
        <w:t>the</w:t>
      </w:r>
      <w:r w:rsidR="00E63423">
        <w:rPr>
          <w:lang w:val="en-GB"/>
        </w:rPr>
        <w:t xml:space="preserve"> SNSA</w:t>
      </w:r>
      <w:r w:rsidR="00412AFC" w:rsidRPr="00CD2EEF">
        <w:rPr>
          <w:lang w:val="en-GB"/>
        </w:rPr>
        <w:t xml:space="preserve"> and the resolution of issues </w:t>
      </w:r>
      <w:r w:rsidR="00D36EFD">
        <w:rPr>
          <w:lang w:val="en-GB"/>
        </w:rPr>
        <w:t>in</w:t>
      </w:r>
      <w:r w:rsidR="00D36EFD" w:rsidRPr="00CD2EEF">
        <w:rPr>
          <w:lang w:val="en-GB"/>
        </w:rPr>
        <w:t xml:space="preserve"> </w:t>
      </w:r>
      <w:r w:rsidR="00412AFC" w:rsidRPr="00CD2EEF">
        <w:rPr>
          <w:lang w:val="en-GB"/>
        </w:rPr>
        <w:t>its field of work.</w:t>
      </w:r>
    </w:p>
    <w:p w14:paraId="2B15343D" w14:textId="1BE481AD" w:rsidR="00412AFC" w:rsidRPr="00CD2EEF" w:rsidRDefault="00A726E8" w:rsidP="00E61567">
      <w:pPr>
        <w:pStyle w:val="LPnavaden"/>
        <w:rPr>
          <w:lang w:val="en-GB"/>
        </w:rPr>
      </w:pPr>
      <w:r>
        <w:rPr>
          <w:lang w:val="en-GB"/>
        </w:rPr>
        <w:t>The</w:t>
      </w:r>
      <w:r w:rsidR="00E63423">
        <w:rPr>
          <w:lang w:val="en-GB"/>
        </w:rPr>
        <w:t xml:space="preserve"> SNSA</w:t>
      </w:r>
      <w:r w:rsidR="00412AFC" w:rsidRPr="00CD2EEF">
        <w:rPr>
          <w:lang w:val="en-GB"/>
        </w:rPr>
        <w:t xml:space="preserve"> informs the public mainly by publishing information through its websites. In the second half of 2020, the </w:t>
      </w:r>
      <w:r w:rsidR="00412AFC" w:rsidRPr="00CD2EEF">
        <w:rPr>
          <w:rStyle w:val="LPnavadenposevnoZnak"/>
          <w:lang w:val="en-GB"/>
        </w:rPr>
        <w:t>Accessibility of Websites and Mobile Applications Act</w:t>
      </w:r>
      <w:r w:rsidR="00412AFC" w:rsidRPr="00CD2EEF">
        <w:rPr>
          <w:lang w:val="en-GB"/>
        </w:rPr>
        <w:t xml:space="preserve"> entered into force, which regulates measures to ensure the accessibility of websites and mobile applications for all users, and in </w:t>
      </w:r>
      <w:r w:rsidR="00412AFC" w:rsidRPr="00CD2EEF">
        <w:rPr>
          <w:lang w:val="en-GB"/>
        </w:rPr>
        <w:lastRenderedPageBreak/>
        <w:t>particular for users with various forms of disabilities. All content intended for publication online must be prepared in a format that is accessible to vulnerable groups.</w:t>
      </w:r>
    </w:p>
    <w:p w14:paraId="6781DFE6" w14:textId="19089E6D" w:rsidR="00412AFC" w:rsidRPr="00CD2EEF" w:rsidRDefault="00412AFC" w:rsidP="00E61567">
      <w:pPr>
        <w:pStyle w:val="LPnavaden"/>
        <w:rPr>
          <w:lang w:val="en-GB"/>
        </w:rPr>
      </w:pPr>
      <w:r w:rsidRPr="00CD2EEF">
        <w:rPr>
          <w:lang w:val="en-GB"/>
        </w:rPr>
        <w:t>The website</w:t>
      </w:r>
      <w:r w:rsidR="0004193A">
        <w:rPr>
          <w:lang w:val="en-GB"/>
        </w:rPr>
        <w:t>’s</w:t>
      </w:r>
      <w:r w:rsidRPr="00CD2EEF">
        <w:rPr>
          <w:lang w:val="en-GB"/>
        </w:rPr>
        <w:t xml:space="preserve"> online content is constantly updated, with individual content being given in several places. More important topics and news can also be highlighted, allowing users to quickly access such matters.</w:t>
      </w:r>
    </w:p>
    <w:p w14:paraId="7C776F4A" w14:textId="48DFD12B" w:rsidR="00412AFC" w:rsidRPr="00CD2EEF" w:rsidRDefault="00412AFC" w:rsidP="00E61567">
      <w:pPr>
        <w:pStyle w:val="LPnavaden"/>
        <w:rPr>
          <w:lang w:val="en-GB"/>
        </w:rPr>
      </w:pPr>
      <w:r w:rsidRPr="00CD2EEF">
        <w:rPr>
          <w:lang w:val="en-GB"/>
        </w:rPr>
        <w:t xml:space="preserve">The </w:t>
      </w:r>
      <w:r w:rsidR="00263D93">
        <w:rPr>
          <w:lang w:val="en-GB"/>
        </w:rPr>
        <w:t>“</w:t>
      </w:r>
      <w:r w:rsidRPr="00CD2EEF">
        <w:rPr>
          <w:lang w:val="en-GB"/>
        </w:rPr>
        <w:t>News</w:t>
      </w:r>
      <w:r w:rsidR="00263D93">
        <w:rPr>
          <w:lang w:val="en-GB"/>
        </w:rPr>
        <w:t>”</w:t>
      </w:r>
      <w:r w:rsidRPr="00CD2EEF">
        <w:rPr>
          <w:lang w:val="en-GB"/>
        </w:rPr>
        <w:t xml:space="preserve"> column is intended for current events related to the work of the administration, which </w:t>
      </w:r>
      <w:r w:rsidR="00A726E8">
        <w:rPr>
          <w:lang w:val="en-GB"/>
        </w:rPr>
        <w:t>the</w:t>
      </w:r>
      <w:r w:rsidR="00E63423">
        <w:rPr>
          <w:lang w:val="en-GB"/>
        </w:rPr>
        <w:t xml:space="preserve"> SNSA</w:t>
      </w:r>
      <w:r w:rsidRPr="00CD2EEF">
        <w:rPr>
          <w:lang w:val="en-GB"/>
        </w:rPr>
        <w:t xml:space="preserve"> tries to keep fresh and informative. In 2021, 36 such news items were published, </w:t>
      </w:r>
      <w:r w:rsidR="00457753">
        <w:rPr>
          <w:lang w:val="en-GB"/>
        </w:rPr>
        <w:t xml:space="preserve">i.e. </w:t>
      </w:r>
      <w:r w:rsidRPr="00CD2EEF">
        <w:rPr>
          <w:lang w:val="en-GB"/>
        </w:rPr>
        <w:t>an average of three per month.</w:t>
      </w:r>
    </w:p>
    <w:p w14:paraId="0CF569F0" w14:textId="350B18DB" w:rsidR="00412AFC" w:rsidRPr="00CD2EEF" w:rsidRDefault="00412AFC" w:rsidP="00E61567">
      <w:pPr>
        <w:pStyle w:val="LPnavaden"/>
        <w:rPr>
          <w:lang w:val="en-GB"/>
        </w:rPr>
      </w:pPr>
      <w:r w:rsidRPr="00CD2EEF">
        <w:rPr>
          <w:lang w:val="en-GB"/>
        </w:rPr>
        <w:t xml:space="preserve">An important place is occupied by the catalogue of information of a public nature, created according to the requirements of the </w:t>
      </w:r>
      <w:r w:rsidRPr="00CD2EEF">
        <w:rPr>
          <w:rFonts w:cs="Arial"/>
          <w:i/>
          <w:iCs/>
          <w:shd w:val="clear" w:color="auto" w:fill="FFFFFF"/>
          <w:lang w:val="en-GB"/>
        </w:rPr>
        <w:t>Public Information Access Act</w:t>
      </w:r>
      <w:r w:rsidRPr="00CD2EEF">
        <w:rPr>
          <w:lang w:val="en-GB"/>
        </w:rPr>
        <w:t xml:space="preserve"> and the corresponding EU regulation. On this basis, </w:t>
      </w:r>
      <w:r w:rsidR="00A726E8">
        <w:rPr>
          <w:lang w:val="en-GB"/>
        </w:rPr>
        <w:t>the</w:t>
      </w:r>
      <w:r w:rsidR="00E63423">
        <w:rPr>
          <w:lang w:val="en-GB"/>
        </w:rPr>
        <w:t xml:space="preserve"> SNSA</w:t>
      </w:r>
      <w:r w:rsidRPr="00CD2EEF">
        <w:rPr>
          <w:lang w:val="en-GB"/>
        </w:rPr>
        <w:t xml:space="preserve"> received 8 requests for access to public information in 2021 and granted all of them in full.</w:t>
      </w:r>
    </w:p>
    <w:p w14:paraId="3DEDE000" w14:textId="641BBA50" w:rsidR="00412AFC" w:rsidRPr="00CD2EEF" w:rsidRDefault="00412AFC" w:rsidP="00E61567">
      <w:pPr>
        <w:pStyle w:val="LPnavaden"/>
        <w:rPr>
          <w:lang w:val="en-GB"/>
        </w:rPr>
      </w:pPr>
      <w:r w:rsidRPr="00CD2EEF">
        <w:rPr>
          <w:lang w:val="en-GB"/>
        </w:rPr>
        <w:t xml:space="preserve">In 2021, </w:t>
      </w:r>
      <w:r w:rsidR="00A726E8">
        <w:rPr>
          <w:lang w:val="en-GB"/>
        </w:rPr>
        <w:t>the</w:t>
      </w:r>
      <w:r w:rsidR="00E63423">
        <w:rPr>
          <w:rStyle w:val="LPnavadenZnak"/>
          <w:lang w:val="en-GB"/>
        </w:rPr>
        <w:t xml:space="preserve"> SNSA</w:t>
      </w:r>
      <w:r w:rsidRPr="00CD2EEF">
        <w:rPr>
          <w:rStyle w:val="LPnavadenZnak"/>
          <w:lang w:val="en-GB"/>
        </w:rPr>
        <w:t xml:space="preserve"> continued the practice of publishing </w:t>
      </w:r>
      <w:r w:rsidRPr="00CD2EEF">
        <w:rPr>
          <w:rStyle w:val="LPnavadenposevnoZnak"/>
          <w:lang w:val="en-GB"/>
        </w:rPr>
        <w:t xml:space="preserve">Radiation </w:t>
      </w:r>
      <w:r w:rsidRPr="002C4EA2">
        <w:rPr>
          <w:rStyle w:val="LPnavadenposevnoZnak"/>
          <w:lang w:val="en-GB"/>
        </w:rPr>
        <w:t>News</w:t>
      </w:r>
      <w:r w:rsidRPr="002C4EA2">
        <w:rPr>
          <w:rStyle w:val="LPnavadenZnak"/>
          <w:lang w:val="en-GB"/>
        </w:rPr>
        <w:t xml:space="preserve"> (</w:t>
      </w:r>
      <w:r w:rsidR="000258E6" w:rsidRPr="002C4EA2">
        <w:rPr>
          <w:rStyle w:val="LPnavadenZnak"/>
          <w:lang w:val="en-GB"/>
        </w:rPr>
        <w:t>Slo.:</w:t>
      </w:r>
      <w:r w:rsidR="000258E6" w:rsidRPr="00A624BB">
        <w:rPr>
          <w:rStyle w:val="LPnavadenZnak"/>
          <w:lang w:val="en-GB"/>
        </w:rPr>
        <w:t xml:space="preserve"> </w:t>
      </w:r>
      <w:r w:rsidRPr="00A624BB">
        <w:rPr>
          <w:rStyle w:val="LPnavadenZnak"/>
          <w:lang w:val="en-GB"/>
        </w:rPr>
        <w:t>Sevalne novice), which it started more than fifteen years ago. Two issues (</w:t>
      </w:r>
      <w:r w:rsidR="000258E6" w:rsidRPr="00A624BB">
        <w:rPr>
          <w:rStyle w:val="LPnavadenZnak"/>
          <w:lang w:val="en-GB"/>
        </w:rPr>
        <w:t xml:space="preserve">Nos. </w:t>
      </w:r>
      <w:r w:rsidRPr="00A624BB">
        <w:rPr>
          <w:rStyle w:val="LPnavadenZnak"/>
          <w:lang w:val="en-GB"/>
        </w:rPr>
        <w:t xml:space="preserve">54 and 55) were prepared, which </w:t>
      </w:r>
      <w:r w:rsidR="00A624BB" w:rsidRPr="00980AEC">
        <w:rPr>
          <w:rStyle w:val="LPnavadenZnak"/>
          <w:lang w:val="en-GB"/>
        </w:rPr>
        <w:t>were</w:t>
      </w:r>
      <w:r w:rsidR="00A624BB" w:rsidRPr="00A624BB">
        <w:rPr>
          <w:rStyle w:val="LPnavadenZnak"/>
          <w:lang w:val="en-GB"/>
        </w:rPr>
        <w:t xml:space="preserve"> </w:t>
      </w:r>
      <w:r w:rsidRPr="00A624BB">
        <w:rPr>
          <w:rStyle w:val="LPnavadenZnak"/>
          <w:lang w:val="en-GB"/>
        </w:rPr>
        <w:t>also published</w:t>
      </w:r>
      <w:r w:rsidRPr="00A624BB">
        <w:rPr>
          <w:lang w:val="en-GB"/>
        </w:rPr>
        <w:t xml:space="preserve"> on</w:t>
      </w:r>
      <w:r w:rsidR="00C078F7" w:rsidRPr="00980AEC">
        <w:rPr>
          <w:lang w:val="en-GB"/>
        </w:rPr>
        <w:t xml:space="preserve"> the </w:t>
      </w:r>
      <w:hyperlink r:id="rId62" w:history="1">
        <w:r w:rsidR="00C078F7" w:rsidRPr="00980AEC">
          <w:rPr>
            <w:rStyle w:val="Hiperpovezava"/>
            <w:lang w:val="en-GB"/>
          </w:rPr>
          <w:t>SNSA website</w:t>
        </w:r>
      </w:hyperlink>
      <w:r w:rsidRPr="00A624BB">
        <w:rPr>
          <w:lang w:val="en-GB"/>
        </w:rPr>
        <w:t xml:space="preserve"> </w:t>
      </w:r>
      <w:r w:rsidR="00C078F7" w:rsidRPr="00980AEC">
        <w:rPr>
          <w:lang w:val="en-GB"/>
        </w:rPr>
        <w:t xml:space="preserve">as </w:t>
      </w:r>
      <w:r w:rsidRPr="00A624BB">
        <w:rPr>
          <w:lang w:val="en-GB"/>
        </w:rPr>
        <w:t xml:space="preserve">Radiation </w:t>
      </w:r>
      <w:r w:rsidR="000258E6" w:rsidRPr="00A624BB">
        <w:rPr>
          <w:lang w:val="en-GB"/>
        </w:rPr>
        <w:t>N</w:t>
      </w:r>
      <w:r w:rsidRPr="00A624BB">
        <w:rPr>
          <w:lang w:val="en-GB"/>
        </w:rPr>
        <w:t xml:space="preserve">ews </w:t>
      </w:r>
      <w:r w:rsidR="00074AFC" w:rsidRPr="00A624BB">
        <w:rPr>
          <w:lang w:val="en-GB"/>
        </w:rPr>
        <w:t>No.</w:t>
      </w:r>
      <w:r w:rsidRPr="00A624BB">
        <w:rPr>
          <w:lang w:val="en-GB"/>
        </w:rPr>
        <w:t xml:space="preserve"> 54, published in April 2021, present</w:t>
      </w:r>
      <w:r w:rsidR="000258E6" w:rsidRPr="00A624BB">
        <w:rPr>
          <w:lang w:val="en-GB"/>
        </w:rPr>
        <w:t>ing</w:t>
      </w:r>
      <w:r w:rsidRPr="00A624BB">
        <w:rPr>
          <w:lang w:val="en-GB"/>
        </w:rPr>
        <w:t xml:space="preserve"> the amendments to Annexes A and B to the </w:t>
      </w:r>
      <w:r w:rsidRPr="00A624BB">
        <w:rPr>
          <w:rStyle w:val="LPnavadenposevnoZnak"/>
          <w:lang w:val="en-GB"/>
        </w:rPr>
        <w:t>European Agreement concerning the International Carriage of Dangerous Goods by Road (ADR)</w:t>
      </w:r>
      <w:r w:rsidRPr="00A624BB">
        <w:rPr>
          <w:lang w:val="en-GB"/>
        </w:rPr>
        <w:t xml:space="preserve">, </w:t>
      </w:r>
      <w:r w:rsidR="00A624BB" w:rsidRPr="00980AEC">
        <w:rPr>
          <w:lang w:val="en-GB"/>
        </w:rPr>
        <w:t xml:space="preserve">and which </w:t>
      </w:r>
      <w:r w:rsidRPr="00A624BB">
        <w:rPr>
          <w:lang w:val="en-GB"/>
        </w:rPr>
        <w:t xml:space="preserve">reported on the adoption of the Amendments to the </w:t>
      </w:r>
      <w:r w:rsidRPr="00A624BB">
        <w:rPr>
          <w:rStyle w:val="LPnavadenposevnoZnak"/>
          <w:lang w:val="en-GB"/>
        </w:rPr>
        <w:t>Rules on special radiation protection requirements and the method of dose assessment</w:t>
      </w:r>
      <w:r w:rsidRPr="00A624BB">
        <w:rPr>
          <w:lang w:val="en-GB"/>
        </w:rPr>
        <w:t xml:space="preserve">, where the scope and content of the assessment of eligibility for the implementation of a new type of radiation activity, </w:t>
      </w:r>
      <w:r w:rsidR="00C078F7" w:rsidRPr="00A624BB">
        <w:rPr>
          <w:lang w:val="en-GB"/>
        </w:rPr>
        <w:t xml:space="preserve">the </w:t>
      </w:r>
      <w:r w:rsidRPr="00A624BB">
        <w:rPr>
          <w:lang w:val="en-GB"/>
        </w:rPr>
        <w:t>additional content for the assessment of eligibility for objects of general use, the use of which may constitute a new type of radiation activity, are additionally determined.</w:t>
      </w:r>
      <w:r w:rsidRPr="00CD2EEF">
        <w:rPr>
          <w:lang w:val="en-GB"/>
        </w:rPr>
        <w:t xml:space="preserve"> Provisions have also been added for assessing doses in the event of an emergency. In </w:t>
      </w:r>
      <w:r w:rsidR="00C078F7">
        <w:rPr>
          <w:lang w:val="en-GB"/>
        </w:rPr>
        <w:t>that</w:t>
      </w:r>
      <w:r w:rsidR="00C078F7" w:rsidRPr="00CD2EEF">
        <w:rPr>
          <w:lang w:val="en-GB"/>
        </w:rPr>
        <w:t xml:space="preserve"> </w:t>
      </w:r>
      <w:r w:rsidRPr="00CD2EEF">
        <w:rPr>
          <w:lang w:val="en-GB"/>
        </w:rPr>
        <w:t xml:space="preserve">issue, information was also published </w:t>
      </w:r>
      <w:r w:rsidR="00C078F7">
        <w:rPr>
          <w:lang w:val="en-GB"/>
        </w:rPr>
        <w:t>as regards</w:t>
      </w:r>
      <w:r w:rsidR="00C078F7" w:rsidRPr="00CD2EEF">
        <w:rPr>
          <w:lang w:val="en-GB"/>
        </w:rPr>
        <w:t xml:space="preserve"> </w:t>
      </w:r>
      <w:r w:rsidRPr="00CD2EEF">
        <w:rPr>
          <w:lang w:val="en-GB"/>
        </w:rPr>
        <w:t>the Incident and Trafficking Database (ITDB) of the IAEA, which is one of the most recogni</w:t>
      </w:r>
      <w:r w:rsidR="007C3812">
        <w:rPr>
          <w:lang w:val="en-GB"/>
        </w:rPr>
        <w:t>s</w:t>
      </w:r>
      <w:r w:rsidRPr="00CD2EEF">
        <w:rPr>
          <w:lang w:val="en-GB"/>
        </w:rPr>
        <w:t xml:space="preserve">able </w:t>
      </w:r>
      <w:r w:rsidR="00263D93">
        <w:rPr>
          <w:lang w:val="en-GB"/>
        </w:rPr>
        <w:t>“</w:t>
      </w:r>
      <w:r w:rsidRPr="00CD2EEF">
        <w:rPr>
          <w:lang w:val="en-GB"/>
        </w:rPr>
        <w:t>products</w:t>
      </w:r>
      <w:r w:rsidR="00263D93">
        <w:rPr>
          <w:lang w:val="en-GB"/>
        </w:rPr>
        <w:t>”</w:t>
      </w:r>
      <w:r w:rsidRPr="00CD2EEF">
        <w:rPr>
          <w:lang w:val="en-GB"/>
        </w:rPr>
        <w:t xml:space="preserve"> of this organi</w:t>
      </w:r>
      <w:r w:rsidR="00E9756B">
        <w:rPr>
          <w:lang w:val="en-GB"/>
        </w:rPr>
        <w:t>sation</w:t>
      </w:r>
      <w:r w:rsidRPr="00CD2EEF">
        <w:rPr>
          <w:lang w:val="en-GB"/>
        </w:rPr>
        <w:t xml:space="preserve"> in the field of nuclear security. Radiation </w:t>
      </w:r>
      <w:r w:rsidR="007C3812">
        <w:rPr>
          <w:lang w:val="en-GB"/>
        </w:rPr>
        <w:t>N</w:t>
      </w:r>
      <w:r w:rsidRPr="00CD2EEF">
        <w:rPr>
          <w:lang w:val="en-GB"/>
        </w:rPr>
        <w:t xml:space="preserve">ews </w:t>
      </w:r>
      <w:r w:rsidR="00074AFC">
        <w:rPr>
          <w:lang w:val="en-GB"/>
        </w:rPr>
        <w:t>No.</w:t>
      </w:r>
      <w:r w:rsidRPr="00CD2EEF">
        <w:rPr>
          <w:lang w:val="en-GB"/>
        </w:rPr>
        <w:t xml:space="preserve"> 55 published brief information on the training of persons participating in the transport of dangerous goods (drivers and class 7), and a more extensive overview of 13 intervention inspection cases dealt with by nuclear and radiation safety inspection</w:t>
      </w:r>
      <w:r w:rsidR="007C3812">
        <w:rPr>
          <w:lang w:val="en-GB"/>
        </w:rPr>
        <w:t>s</w:t>
      </w:r>
      <w:r w:rsidRPr="00CD2EEF">
        <w:rPr>
          <w:lang w:val="en-GB"/>
        </w:rPr>
        <w:t xml:space="preserve"> in 2020</w:t>
      </w:r>
      <w:r w:rsidR="007C3812">
        <w:rPr>
          <w:lang w:val="en-GB"/>
        </w:rPr>
        <w:t xml:space="preserve"> </w:t>
      </w:r>
      <w:r w:rsidRPr="00CD2EEF">
        <w:rPr>
          <w:lang w:val="en-GB"/>
        </w:rPr>
        <w:t>was also given.</w:t>
      </w:r>
    </w:p>
    <w:p w14:paraId="69B7223C" w14:textId="1644E281" w:rsidR="00412AFC" w:rsidRPr="00CD2EEF" w:rsidRDefault="00412AFC" w:rsidP="00146F3F">
      <w:pPr>
        <w:pStyle w:val="LPnavaden"/>
        <w:rPr>
          <w:lang w:val="en-GB"/>
        </w:rPr>
      </w:pPr>
      <w:r w:rsidRPr="00CD2EEF">
        <w:rPr>
          <w:lang w:val="en-GB"/>
        </w:rPr>
        <w:t xml:space="preserve">Since 2010, </w:t>
      </w:r>
      <w:r w:rsidR="00A726E8">
        <w:rPr>
          <w:lang w:val="en-GB"/>
        </w:rPr>
        <w:t>the</w:t>
      </w:r>
      <w:r w:rsidR="00E63423">
        <w:rPr>
          <w:lang w:val="en-GB"/>
        </w:rPr>
        <w:t xml:space="preserve"> SNSA</w:t>
      </w:r>
      <w:r w:rsidRPr="00CD2EEF">
        <w:rPr>
          <w:lang w:val="en-GB"/>
        </w:rPr>
        <w:t xml:space="preserve"> has also been preparing the so-called </w:t>
      </w:r>
      <w:hyperlink r:id="rId63" w:history="1">
        <w:r w:rsidR="00263D93">
          <w:rPr>
            <w:rStyle w:val="Hiperpovezava"/>
            <w:lang w:val="en-GB"/>
          </w:rPr>
          <w:t>“</w:t>
        </w:r>
        <w:r w:rsidRPr="00CD2EEF">
          <w:rPr>
            <w:rStyle w:val="Hiperpovezava"/>
            <w:lang w:val="en-GB"/>
          </w:rPr>
          <w:t>News from Nuclear Slovenia</w:t>
        </w:r>
        <w:r w:rsidR="00263D93">
          <w:rPr>
            <w:rStyle w:val="Hiperpovezava"/>
            <w:lang w:val="en-GB"/>
          </w:rPr>
          <w:t>”</w:t>
        </w:r>
      </w:hyperlink>
      <w:r w:rsidR="006A3F90">
        <w:rPr>
          <w:rStyle w:val="Hiperpovezava"/>
          <w:lang w:val="en-GB"/>
        </w:rPr>
        <w:t>,</w:t>
      </w:r>
      <w:r w:rsidRPr="00CD2EEF">
        <w:rPr>
          <w:lang w:val="en-GB"/>
        </w:rPr>
        <w:t xml:space="preserve"> with a standard</w:t>
      </w:r>
      <w:r w:rsidR="00837F00">
        <w:rPr>
          <w:lang w:val="en-GB"/>
        </w:rPr>
        <w:t>ised</w:t>
      </w:r>
      <w:r w:rsidRPr="00CD2EEF">
        <w:rPr>
          <w:lang w:val="en-GB"/>
        </w:rPr>
        <w:t xml:space="preserve"> content design updated twice a year. In </w:t>
      </w:r>
      <w:r w:rsidR="00A113F9" w:rsidRPr="00CD2EEF">
        <w:rPr>
          <w:lang w:val="en-GB"/>
        </w:rPr>
        <w:t xml:space="preserve">April </w:t>
      </w:r>
      <w:r w:rsidRPr="00CD2EEF">
        <w:rPr>
          <w:lang w:val="en-GB"/>
        </w:rPr>
        <w:t>2021, issue 24 was published</w:t>
      </w:r>
      <w:r w:rsidR="00A113F9">
        <w:rPr>
          <w:lang w:val="en-GB"/>
        </w:rPr>
        <w:t>,</w:t>
      </w:r>
      <w:r w:rsidRPr="00CD2EEF">
        <w:rPr>
          <w:lang w:val="en-GB"/>
        </w:rPr>
        <w:t xml:space="preserve"> and issue 25 in October. Both issues were also prepared and published in the Slovenian version.</w:t>
      </w:r>
    </w:p>
    <w:p w14:paraId="31A94784" w14:textId="093AC70F" w:rsidR="00412AFC" w:rsidRPr="00CD2EEF" w:rsidRDefault="00412AFC" w:rsidP="00146F3F">
      <w:pPr>
        <w:pStyle w:val="LPnavaden"/>
        <w:rPr>
          <w:lang w:val="en-GB"/>
        </w:rPr>
      </w:pPr>
      <w:r w:rsidRPr="00CD2EEF">
        <w:rPr>
          <w:lang w:val="en-GB"/>
        </w:rPr>
        <w:t xml:space="preserve">In 2021, as in previous years, </w:t>
      </w:r>
      <w:r w:rsidR="00A726E8">
        <w:rPr>
          <w:lang w:val="en-GB"/>
        </w:rPr>
        <w:t>the</w:t>
      </w:r>
      <w:r w:rsidR="00E63423">
        <w:rPr>
          <w:lang w:val="en-GB"/>
        </w:rPr>
        <w:t xml:space="preserve"> SNSA</w:t>
      </w:r>
      <w:r w:rsidRPr="00CD2EEF">
        <w:rPr>
          <w:lang w:val="en-GB"/>
        </w:rPr>
        <w:t xml:space="preserve"> organ</w:t>
      </w:r>
      <w:r w:rsidR="00837F00">
        <w:rPr>
          <w:lang w:val="en-GB"/>
        </w:rPr>
        <w:t>ised</w:t>
      </w:r>
      <w:r w:rsidRPr="00CD2EEF">
        <w:rPr>
          <w:lang w:val="en-GB"/>
        </w:rPr>
        <w:t xml:space="preserve"> a meeting with interested non-governmental organi</w:t>
      </w:r>
      <w:r w:rsidR="00E9756B">
        <w:rPr>
          <w:lang w:val="en-GB"/>
        </w:rPr>
        <w:t>sation</w:t>
      </w:r>
      <w:r w:rsidRPr="00CD2EEF">
        <w:rPr>
          <w:lang w:val="en-GB"/>
        </w:rPr>
        <w:t>s in the field of environmental protection. Among those invited, only the Association of Ecological Movements of Slovenia (</w:t>
      </w:r>
      <w:r w:rsidRPr="00980AEC">
        <w:rPr>
          <w:i/>
          <w:iCs/>
          <w:color w:val="111111"/>
          <w:lang w:val="en-GB"/>
        </w:rPr>
        <w:t>Zveza ekoloških gibanj Slovenije</w:t>
      </w:r>
      <w:r w:rsidRPr="00CD2EEF">
        <w:rPr>
          <w:color w:val="111111"/>
          <w:lang w:val="en-GB"/>
        </w:rPr>
        <w:t>)</w:t>
      </w:r>
      <w:r w:rsidRPr="00CD2EEF">
        <w:rPr>
          <w:lang w:val="en-GB"/>
        </w:rPr>
        <w:t xml:space="preserve"> took part in this meeting, which took place on </w:t>
      </w:r>
      <w:r w:rsidR="006A3F90">
        <w:rPr>
          <w:lang w:val="en-GB"/>
        </w:rPr>
        <w:t xml:space="preserve">24 </w:t>
      </w:r>
      <w:r w:rsidRPr="00CD2EEF">
        <w:rPr>
          <w:lang w:val="en-GB"/>
        </w:rPr>
        <w:t xml:space="preserve">September 2021. The discussion was about current topics in the nuclear field, </w:t>
      </w:r>
      <w:r w:rsidR="00A113F9">
        <w:rPr>
          <w:lang w:val="en-GB"/>
        </w:rPr>
        <w:t>regarding the</w:t>
      </w:r>
      <w:r w:rsidR="00A113F9" w:rsidRPr="00CD2EEF">
        <w:rPr>
          <w:lang w:val="en-GB"/>
        </w:rPr>
        <w:t xml:space="preserve"> </w:t>
      </w:r>
      <w:r w:rsidR="00225E05" w:rsidRPr="00980AEC">
        <w:rPr>
          <w:lang w:val="en-GB"/>
        </w:rPr>
        <w:t xml:space="preserve">low- and intermediate-level radioactive waste </w:t>
      </w:r>
      <w:r w:rsidRPr="00A113F9">
        <w:rPr>
          <w:lang w:val="en-GB"/>
        </w:rPr>
        <w:t>disposal</w:t>
      </w:r>
      <w:r w:rsidRPr="00CD2EEF">
        <w:rPr>
          <w:lang w:val="en-GB"/>
        </w:rPr>
        <w:t xml:space="preserve"> site</w:t>
      </w:r>
      <w:r w:rsidR="006A3F90">
        <w:rPr>
          <w:lang w:val="en-GB"/>
        </w:rPr>
        <w:t>,</w:t>
      </w:r>
      <w:r w:rsidRPr="00CD2EEF">
        <w:rPr>
          <w:lang w:val="en-GB"/>
        </w:rPr>
        <w:t xml:space="preserve"> and </w:t>
      </w:r>
      <w:r w:rsidR="00A113F9">
        <w:rPr>
          <w:lang w:val="en-GB"/>
        </w:rPr>
        <w:t xml:space="preserve">the </w:t>
      </w:r>
      <w:r w:rsidRPr="00CD2EEF">
        <w:rPr>
          <w:lang w:val="en-GB"/>
        </w:rPr>
        <w:t>storage capacities at the Krško Nuclear Power Plant, the project to extend the operational life of the NPP and the environmental consent required for this extension, the acceptability of the nuclear option in Slovenia and other issues related to the possible new nuclear power plant</w:t>
      </w:r>
      <w:r w:rsidR="00632B68">
        <w:rPr>
          <w:lang w:val="en-GB"/>
        </w:rPr>
        <w:t>,</w:t>
      </w:r>
      <w:r w:rsidRPr="00CD2EEF">
        <w:rPr>
          <w:lang w:val="en-GB"/>
        </w:rPr>
        <w:t xml:space="preserve"> and also </w:t>
      </w:r>
      <w:r w:rsidR="00A113F9">
        <w:rPr>
          <w:lang w:val="en-GB"/>
        </w:rPr>
        <w:t xml:space="preserve">regarding </w:t>
      </w:r>
      <w:r w:rsidRPr="00CD2EEF">
        <w:rPr>
          <w:lang w:val="en-GB"/>
        </w:rPr>
        <w:t>the position and financing of non-governmental organi</w:t>
      </w:r>
      <w:r w:rsidR="00E9756B">
        <w:rPr>
          <w:lang w:val="en-GB"/>
        </w:rPr>
        <w:t>sation</w:t>
      </w:r>
      <w:r w:rsidRPr="00CD2EEF">
        <w:rPr>
          <w:lang w:val="en-GB"/>
        </w:rPr>
        <w:t>s.</w:t>
      </w:r>
    </w:p>
    <w:p w14:paraId="46296620" w14:textId="2EF330AA" w:rsidR="00412AFC" w:rsidRPr="00CD2EEF" w:rsidRDefault="00412AFC" w:rsidP="00146F3F">
      <w:pPr>
        <w:pStyle w:val="LPnavaden"/>
        <w:rPr>
          <w:lang w:val="en-GB"/>
        </w:rPr>
      </w:pPr>
      <w:r w:rsidRPr="00CD2EEF">
        <w:rPr>
          <w:lang w:val="en-GB"/>
        </w:rPr>
        <w:t>Undoubtedly, the preparation of the annual Report on Radiation and Nuclear Safety in the Republic of Slovenia, the preparation of which is determined by</w:t>
      </w:r>
      <w:r w:rsidR="007B062F">
        <w:rPr>
          <w:lang w:val="en-GB"/>
        </w:rPr>
        <w:t xml:space="preserve"> the</w:t>
      </w:r>
      <w:r w:rsidRPr="00CD2EEF">
        <w:rPr>
          <w:lang w:val="en-GB"/>
        </w:rPr>
        <w:t xml:space="preserve"> ZVISJV-1, also belongs to the </w:t>
      </w:r>
      <w:r w:rsidR="00D80D8A">
        <w:rPr>
          <w:lang w:val="en-GB"/>
        </w:rPr>
        <w:t>aspect</w:t>
      </w:r>
      <w:r w:rsidR="00D80D8A" w:rsidRPr="00CD2EEF">
        <w:rPr>
          <w:lang w:val="en-GB"/>
        </w:rPr>
        <w:t xml:space="preserve"> </w:t>
      </w:r>
      <w:r w:rsidRPr="00CD2EEF">
        <w:rPr>
          <w:lang w:val="en-GB"/>
        </w:rPr>
        <w:t>of informing the public. The report for 2020 was considered and adopted by the Government of the Republic of Slovenia at the 255</w:t>
      </w:r>
      <w:r w:rsidRPr="00CD2EEF">
        <w:rPr>
          <w:rStyle w:val="LPnadpisano"/>
          <w:lang w:val="en-GB"/>
        </w:rPr>
        <w:t>th</w:t>
      </w:r>
      <w:r w:rsidRPr="00CD2EEF">
        <w:rPr>
          <w:lang w:val="en-GB"/>
        </w:rPr>
        <w:t xml:space="preserve"> correspondence session on 18 August 2021</w:t>
      </w:r>
      <w:r w:rsidR="00D80D8A">
        <w:rPr>
          <w:lang w:val="en-GB"/>
        </w:rPr>
        <w:t xml:space="preserve"> thereof</w:t>
      </w:r>
      <w:r w:rsidRPr="00CD2EEF">
        <w:rPr>
          <w:lang w:val="en-GB"/>
        </w:rPr>
        <w:t xml:space="preserve"> and forwarded to the National Assembly of the Republic of Slovenia. The Commission of the National Council of the Republic of Slovenia for Local Self-Government and Regional Development took note of the report at its 68</w:t>
      </w:r>
      <w:r w:rsidRPr="00CD2EEF">
        <w:rPr>
          <w:rStyle w:val="LPnadpisano"/>
          <w:lang w:val="en-GB"/>
        </w:rPr>
        <w:t>th</w:t>
      </w:r>
      <w:r w:rsidRPr="00CD2EEF">
        <w:rPr>
          <w:lang w:val="en-GB"/>
        </w:rPr>
        <w:t xml:space="preserve"> session on 6 September 2021, and the Committee of the National Assembly for Infrastructure, Environment</w:t>
      </w:r>
      <w:r w:rsidR="00D80D8A">
        <w:rPr>
          <w:lang w:val="en-GB"/>
        </w:rPr>
        <w:t>,</w:t>
      </w:r>
      <w:r w:rsidRPr="00CD2EEF">
        <w:rPr>
          <w:lang w:val="en-GB"/>
        </w:rPr>
        <w:t xml:space="preserve"> and Space, as the parent working body, took note of the report at its 31</w:t>
      </w:r>
      <w:r w:rsidRPr="00CD2EEF">
        <w:rPr>
          <w:rStyle w:val="LPnadpisano"/>
          <w:lang w:val="en-GB"/>
        </w:rPr>
        <w:t>st</w:t>
      </w:r>
      <w:r w:rsidRPr="00CD2EEF">
        <w:rPr>
          <w:lang w:val="en-GB"/>
        </w:rPr>
        <w:t xml:space="preserve"> session on 8 September 2021.</w:t>
      </w:r>
    </w:p>
    <w:p w14:paraId="6471A3B6" w14:textId="1B24A003" w:rsidR="00AE4965" w:rsidRPr="00CD2EEF" w:rsidRDefault="00412AFC" w:rsidP="00E61567">
      <w:pPr>
        <w:jc w:val="both"/>
        <w:rPr>
          <w:rFonts w:ascii="Garamond" w:hAnsi="Garamond"/>
          <w:lang w:val="en-GB"/>
        </w:rPr>
      </w:pPr>
      <w:r w:rsidRPr="00CD2EEF">
        <w:rPr>
          <w:rFonts w:ascii="Garamond" w:hAnsi="Garamond"/>
          <w:lang w:val="en-GB"/>
        </w:rPr>
        <w:lastRenderedPageBreak/>
        <w:t xml:space="preserve">At the same time, the report represents the basic </w:t>
      </w:r>
      <w:r w:rsidR="00D80D8A">
        <w:rPr>
          <w:rFonts w:ascii="Garamond" w:hAnsi="Garamond"/>
          <w:lang w:val="en-GB"/>
        </w:rPr>
        <w:t xml:space="preserve">manner </w:t>
      </w:r>
      <w:r w:rsidR="00F9472E">
        <w:rPr>
          <w:rFonts w:ascii="Garamond" w:hAnsi="Garamond"/>
          <w:lang w:val="en-GB"/>
        </w:rPr>
        <w:t>of</w:t>
      </w:r>
      <w:r w:rsidRPr="00CD2EEF">
        <w:rPr>
          <w:rFonts w:ascii="Garamond" w:hAnsi="Garamond"/>
          <w:lang w:val="en-GB"/>
        </w:rPr>
        <w:t xml:space="preserve"> inform</w:t>
      </w:r>
      <w:r w:rsidR="00F9472E">
        <w:rPr>
          <w:rFonts w:ascii="Garamond" w:hAnsi="Garamond"/>
          <w:lang w:val="en-GB"/>
        </w:rPr>
        <w:t>ing</w:t>
      </w:r>
      <w:r w:rsidRPr="00CD2EEF">
        <w:rPr>
          <w:rFonts w:ascii="Garamond" w:hAnsi="Garamond"/>
          <w:lang w:val="en-GB"/>
        </w:rPr>
        <w:t xml:space="preserve"> the public </w:t>
      </w:r>
      <w:r w:rsidR="00D80D8A">
        <w:rPr>
          <w:rFonts w:ascii="Garamond" w:hAnsi="Garamond"/>
          <w:lang w:val="en-GB"/>
        </w:rPr>
        <w:t>of</w:t>
      </w:r>
      <w:r w:rsidR="00D80D8A" w:rsidRPr="00CD2EEF">
        <w:rPr>
          <w:rFonts w:ascii="Garamond" w:hAnsi="Garamond"/>
          <w:lang w:val="en-GB"/>
        </w:rPr>
        <w:t xml:space="preserve"> </w:t>
      </w:r>
      <w:r w:rsidRPr="00CD2EEF">
        <w:rPr>
          <w:rFonts w:ascii="Garamond" w:hAnsi="Garamond"/>
          <w:lang w:val="en-GB"/>
        </w:rPr>
        <w:t>the state of affairs in the field of nuclear safety and radiation protection in the country</w:t>
      </w:r>
      <w:r w:rsidR="00D80D8A">
        <w:rPr>
          <w:rFonts w:ascii="Garamond" w:hAnsi="Garamond"/>
          <w:lang w:val="en-GB"/>
        </w:rPr>
        <w:t>,</w:t>
      </w:r>
      <w:r w:rsidRPr="00CD2EEF">
        <w:rPr>
          <w:rFonts w:ascii="Garamond" w:hAnsi="Garamond"/>
          <w:lang w:val="en-GB"/>
        </w:rPr>
        <w:t xml:space="preserve"> for which it is primarily intended.</w:t>
      </w:r>
    </w:p>
    <w:p w14:paraId="4DA706FE" w14:textId="3BFEB1EA" w:rsidR="00412AFC" w:rsidRPr="00CD2EEF" w:rsidRDefault="00412AFC" w:rsidP="00F57737">
      <w:pPr>
        <w:pStyle w:val="LPNaslov3"/>
        <w:numPr>
          <w:ilvl w:val="2"/>
          <w:numId w:val="17"/>
        </w:numPr>
        <w:rPr>
          <w:lang w:val="en-GB"/>
        </w:rPr>
      </w:pPr>
      <w:bookmarkStart w:id="401" w:name="_Toc126312043"/>
      <w:r w:rsidRPr="00CD2EEF">
        <w:rPr>
          <w:lang w:val="en-GB"/>
        </w:rPr>
        <w:t>The Expert Commission for the Verification of Professional Competenc</w:t>
      </w:r>
      <w:r w:rsidR="00C93AC6">
        <w:rPr>
          <w:lang w:val="en-GB"/>
        </w:rPr>
        <w:t>i</w:t>
      </w:r>
      <w:r w:rsidRPr="00CD2EEF">
        <w:rPr>
          <w:lang w:val="en-GB"/>
        </w:rPr>
        <w:t>es and</w:t>
      </w:r>
      <w:r w:rsidR="00B33A3F">
        <w:rPr>
          <w:lang w:val="en-GB"/>
        </w:rPr>
        <w:t xml:space="preserve"> the</w:t>
      </w:r>
      <w:r w:rsidRPr="00CD2EEF">
        <w:rPr>
          <w:lang w:val="en-GB"/>
        </w:rPr>
        <w:t xml:space="preserve"> Fulfilment of Other Requirements in Respect of Workers Performing Duties and Tasks in Nuclear and Radiation Facilities</w:t>
      </w:r>
      <w:bookmarkEnd w:id="401"/>
    </w:p>
    <w:p w14:paraId="1BC41185" w14:textId="136ECC43" w:rsidR="00412AFC" w:rsidRPr="00CD2EEF" w:rsidRDefault="00412AFC" w:rsidP="0088283D">
      <w:pPr>
        <w:pStyle w:val="LPnavaden"/>
        <w:rPr>
          <w:lang w:val="en-GB"/>
        </w:rPr>
      </w:pPr>
      <w:r w:rsidRPr="00CD2EEF">
        <w:rPr>
          <w:lang w:val="en-GB"/>
        </w:rPr>
        <w:t>In 2021, the Expert Commission for the Verification of Professional Competenc</w:t>
      </w:r>
      <w:r w:rsidR="00C93AC6">
        <w:rPr>
          <w:lang w:val="en-GB"/>
        </w:rPr>
        <w:t>i</w:t>
      </w:r>
      <w:r w:rsidRPr="00CD2EEF">
        <w:rPr>
          <w:lang w:val="en-GB"/>
        </w:rPr>
        <w:t>es and the Fulfilment of Other Requirements in Respect of Workers Performing Duties and Tasks in Nuclear and Radiation Facilities (hereinafter the Commission) held seven meetings. The first meeting of the Commission was dedicated to the organi</w:t>
      </w:r>
      <w:r w:rsidR="00E9756B">
        <w:rPr>
          <w:lang w:val="en-GB"/>
        </w:rPr>
        <w:t>sation</w:t>
      </w:r>
      <w:r w:rsidRPr="00CD2EEF">
        <w:rPr>
          <w:lang w:val="en-GB"/>
        </w:rPr>
        <w:t>al preparation of the exams to verify the professional competenc</w:t>
      </w:r>
      <w:r w:rsidR="002C3735">
        <w:rPr>
          <w:lang w:val="en-GB"/>
        </w:rPr>
        <w:t>i</w:t>
      </w:r>
      <w:r w:rsidRPr="00CD2EEF">
        <w:rPr>
          <w:lang w:val="en-GB"/>
        </w:rPr>
        <w:t>e</w:t>
      </w:r>
      <w:r w:rsidR="002C3735">
        <w:rPr>
          <w:lang w:val="en-GB"/>
        </w:rPr>
        <w:t>s</w:t>
      </w:r>
      <w:r w:rsidRPr="00CD2EEF">
        <w:rPr>
          <w:lang w:val="en-GB"/>
        </w:rPr>
        <w:t xml:space="preserve"> of the operating personnel of the NPP, i.e. the main reactor operators, reactor operators</w:t>
      </w:r>
      <w:r w:rsidR="00B33A3F">
        <w:rPr>
          <w:lang w:val="en-GB"/>
        </w:rPr>
        <w:t>,</w:t>
      </w:r>
      <w:r w:rsidRPr="00CD2EEF">
        <w:rPr>
          <w:lang w:val="en-GB"/>
        </w:rPr>
        <w:t xml:space="preserve"> and shift engineers. The meeting was held by correspondence to </w:t>
      </w:r>
      <w:r w:rsidR="00B33A3F">
        <w:rPr>
          <w:lang w:val="en-GB"/>
        </w:rPr>
        <w:t>ensure the</w:t>
      </w:r>
      <w:r w:rsidR="00B33A3F" w:rsidRPr="00CD2EEF">
        <w:rPr>
          <w:lang w:val="en-GB"/>
        </w:rPr>
        <w:t xml:space="preserve"> </w:t>
      </w:r>
      <w:r w:rsidRPr="00CD2EEF">
        <w:rPr>
          <w:lang w:val="en-GB"/>
        </w:rPr>
        <w:t xml:space="preserve">implementation of protective measures </w:t>
      </w:r>
      <w:r w:rsidR="00B33A3F">
        <w:rPr>
          <w:lang w:val="en-GB"/>
        </w:rPr>
        <w:t>during</w:t>
      </w:r>
      <w:r w:rsidR="00B33A3F" w:rsidRPr="00CD2EEF">
        <w:rPr>
          <w:lang w:val="en-GB"/>
        </w:rPr>
        <w:t xml:space="preserve"> </w:t>
      </w:r>
      <w:r w:rsidRPr="00CD2EEF">
        <w:rPr>
          <w:lang w:val="en-GB"/>
        </w:rPr>
        <w:t xml:space="preserve">the </w:t>
      </w:r>
      <w:r w:rsidR="00B33A3F">
        <w:rPr>
          <w:lang w:val="en-GB"/>
        </w:rPr>
        <w:t>Covid-19</w:t>
      </w:r>
      <w:r w:rsidRPr="00CD2EEF">
        <w:rPr>
          <w:lang w:val="en-GB"/>
        </w:rPr>
        <w:t xml:space="preserve"> epidemic. The remaining meetings were dedicated to conducting exams.</w:t>
      </w:r>
    </w:p>
    <w:p w14:paraId="4BE0ED96" w14:textId="489A9D6B" w:rsidR="00412AFC" w:rsidRPr="00CD2EEF" w:rsidRDefault="00412AFC" w:rsidP="0088283D">
      <w:pPr>
        <w:pStyle w:val="LPnavaden"/>
        <w:rPr>
          <w:lang w:val="en-GB"/>
        </w:rPr>
      </w:pPr>
      <w:r w:rsidRPr="00CD2EEF">
        <w:rPr>
          <w:lang w:val="en-GB"/>
        </w:rPr>
        <w:t>In the fall of 2021, the Commission organ</w:t>
      </w:r>
      <w:r w:rsidR="00837F00">
        <w:rPr>
          <w:lang w:val="en-GB"/>
        </w:rPr>
        <w:t>ised</w:t>
      </w:r>
      <w:r w:rsidRPr="00CD2EEF">
        <w:rPr>
          <w:lang w:val="en-GB"/>
        </w:rPr>
        <w:t xml:space="preserve"> six exam dates for eight candidates </w:t>
      </w:r>
      <w:r w:rsidR="00B33A3F">
        <w:rPr>
          <w:lang w:val="en-GB"/>
        </w:rPr>
        <w:t>from the</w:t>
      </w:r>
      <w:r w:rsidR="00B33A3F" w:rsidRPr="00CD2EEF">
        <w:rPr>
          <w:lang w:val="en-GB"/>
        </w:rPr>
        <w:t xml:space="preserve"> </w:t>
      </w:r>
      <w:r w:rsidRPr="00CD2EEF">
        <w:rPr>
          <w:lang w:val="en-GB"/>
        </w:rPr>
        <w:t xml:space="preserve">operating staff of </w:t>
      </w:r>
      <w:r w:rsidR="001B146F">
        <w:rPr>
          <w:lang w:val="en-GB"/>
        </w:rPr>
        <w:t>the Krško NPP</w:t>
      </w:r>
      <w:r w:rsidRPr="00CD2EEF">
        <w:rPr>
          <w:lang w:val="en-GB"/>
        </w:rPr>
        <w:t xml:space="preserve">. Extensions of licenses were granted to three Senior Reactor Operators, and one Shift Engineer. Altogether, three candidates acquired a Senior Reactor Operator license for the first time and one candidate acquired a Shift Engineer license for the first time. </w:t>
      </w:r>
      <w:bookmarkStart w:id="402" w:name="_Hlk77770531"/>
      <w:r w:rsidRPr="00CD2EEF">
        <w:rPr>
          <w:lang w:val="en-GB"/>
        </w:rPr>
        <w:t xml:space="preserve">In 2021, there were no candidates for obtaining the first Reactor Operator license for </w:t>
      </w:r>
      <w:r w:rsidR="001B146F">
        <w:rPr>
          <w:lang w:val="en-GB"/>
        </w:rPr>
        <w:t>the Krško NPP</w:t>
      </w:r>
      <w:r w:rsidRPr="00CD2EEF">
        <w:rPr>
          <w:lang w:val="en-GB"/>
        </w:rPr>
        <w:t xml:space="preserve">. </w:t>
      </w:r>
    </w:p>
    <w:bookmarkEnd w:id="402"/>
    <w:p w14:paraId="0F077E45" w14:textId="77FF9DF8" w:rsidR="00412AFC" w:rsidRPr="00CD2EEF" w:rsidRDefault="00412AFC" w:rsidP="0088283D">
      <w:pPr>
        <w:pStyle w:val="LPnavaden"/>
        <w:rPr>
          <w:lang w:val="en-GB"/>
        </w:rPr>
      </w:pPr>
      <w:r w:rsidRPr="00CD2EEF">
        <w:rPr>
          <w:lang w:val="en-GB"/>
        </w:rPr>
        <w:t xml:space="preserve">In 2021, one candidate successfully passed the exam and renewed </w:t>
      </w:r>
      <w:r w:rsidR="00D834A3">
        <w:rPr>
          <w:lang w:val="en-GB"/>
        </w:rPr>
        <w:t>a</w:t>
      </w:r>
      <w:r w:rsidR="00D834A3" w:rsidRPr="00CD2EEF">
        <w:rPr>
          <w:lang w:val="en-GB"/>
        </w:rPr>
        <w:t xml:space="preserve"> </w:t>
      </w:r>
      <w:r w:rsidRPr="00CD2EEF">
        <w:rPr>
          <w:lang w:val="en-GB"/>
        </w:rPr>
        <w:t xml:space="preserve">TRIGA Research Reactor Shift Supervisor Operator license. </w:t>
      </w:r>
    </w:p>
    <w:p w14:paraId="2D83CA53" w14:textId="245C1DDE" w:rsidR="00412AFC" w:rsidRPr="00CD2EEF" w:rsidRDefault="00412AFC" w:rsidP="0088283D">
      <w:pPr>
        <w:pStyle w:val="LPnavaden"/>
        <w:rPr>
          <w:lang w:val="en-GB"/>
        </w:rPr>
      </w:pPr>
      <w:r w:rsidRPr="00CD2EEF">
        <w:rPr>
          <w:lang w:val="en-GB"/>
        </w:rPr>
        <w:t>In 2021, no license exam</w:t>
      </w:r>
      <w:r w:rsidR="00D834A3">
        <w:rPr>
          <w:lang w:val="en-GB"/>
        </w:rPr>
        <w:t>s</w:t>
      </w:r>
      <w:r w:rsidRPr="00CD2EEF">
        <w:rPr>
          <w:lang w:val="en-GB"/>
        </w:rPr>
        <w:t xml:space="preserve"> for a </w:t>
      </w:r>
      <w:r w:rsidR="00D834A3" w:rsidRPr="00CD2EEF">
        <w:rPr>
          <w:lang w:val="en-GB"/>
        </w:rPr>
        <w:t xml:space="preserve">CSRW </w:t>
      </w:r>
      <w:r w:rsidRPr="00CD2EEF">
        <w:rPr>
          <w:lang w:val="en-GB"/>
        </w:rPr>
        <w:t>Storage Facility Manager were conducted.</w:t>
      </w:r>
    </w:p>
    <w:p w14:paraId="33F5A0E7" w14:textId="2AB66BFC" w:rsidR="00412AFC" w:rsidRPr="00CD2EEF" w:rsidRDefault="00412AFC" w:rsidP="0088283D">
      <w:pPr>
        <w:pStyle w:val="LPnavaden"/>
        <w:rPr>
          <w:lang w:val="en-GB"/>
        </w:rPr>
      </w:pPr>
      <w:r w:rsidRPr="00CD2EEF">
        <w:rPr>
          <w:lang w:val="en-GB"/>
        </w:rPr>
        <w:t xml:space="preserve">Based on the </w:t>
      </w:r>
      <w:r w:rsidR="00D834A3" w:rsidRPr="00CD2EEF">
        <w:rPr>
          <w:lang w:val="en-GB"/>
        </w:rPr>
        <w:t>proposal</w:t>
      </w:r>
      <w:r w:rsidR="00D834A3">
        <w:rPr>
          <w:lang w:val="en-GB"/>
        </w:rPr>
        <w:t>s of the</w:t>
      </w:r>
      <w:r w:rsidR="00D834A3" w:rsidRPr="00CD2EEF">
        <w:rPr>
          <w:lang w:val="en-GB"/>
        </w:rPr>
        <w:t xml:space="preserve"> </w:t>
      </w:r>
      <w:r w:rsidRPr="00CD2EEF">
        <w:rPr>
          <w:lang w:val="en-GB"/>
        </w:rPr>
        <w:t>Commission</w:t>
      </w:r>
      <w:r w:rsidR="00D834A3">
        <w:rPr>
          <w:lang w:val="en-GB"/>
        </w:rPr>
        <w:t>,</w:t>
      </w:r>
      <w:r w:rsidRPr="00CD2EEF">
        <w:rPr>
          <w:lang w:val="en-GB"/>
        </w:rPr>
        <w:t xml:space="preserve"> </w:t>
      </w:r>
      <w:r w:rsidR="00A726E8">
        <w:rPr>
          <w:lang w:val="en-GB"/>
        </w:rPr>
        <w:t>the</w:t>
      </w:r>
      <w:r w:rsidR="00E63423">
        <w:rPr>
          <w:lang w:val="en-GB"/>
        </w:rPr>
        <w:t xml:space="preserve"> SNSA</w:t>
      </w:r>
      <w:r w:rsidRPr="00CD2EEF">
        <w:rPr>
          <w:lang w:val="en-GB"/>
        </w:rPr>
        <w:t xml:space="preserve"> issued the appropriate licenses to the mentioned candidates.</w:t>
      </w:r>
    </w:p>
    <w:p w14:paraId="712A9415" w14:textId="6C50BF86" w:rsidR="00412AFC" w:rsidRPr="00CD2EEF" w:rsidRDefault="00412AFC" w:rsidP="00F57737">
      <w:pPr>
        <w:pStyle w:val="LPNaslov2"/>
        <w:rPr>
          <w:lang w:val="en-GB"/>
        </w:rPr>
      </w:pPr>
      <w:bookmarkStart w:id="403" w:name="_Toc126312044"/>
      <w:r w:rsidRPr="00CD2EEF">
        <w:rPr>
          <w:lang w:val="en-GB"/>
        </w:rPr>
        <w:t>THE SLOVENIAN RADIATION PROTECTION ADMINISTRATION</w:t>
      </w:r>
      <w:bookmarkEnd w:id="403"/>
    </w:p>
    <w:p w14:paraId="097FE57D" w14:textId="3359786B" w:rsidR="00412AFC" w:rsidRPr="00CD2EEF" w:rsidRDefault="00412AFC" w:rsidP="00FA763F">
      <w:pPr>
        <w:pStyle w:val="LPnavaden"/>
        <w:rPr>
          <w:lang w:val="en-GB"/>
        </w:rPr>
      </w:pPr>
      <w:r w:rsidRPr="00CD2EEF">
        <w:rPr>
          <w:lang w:val="en-GB"/>
        </w:rPr>
        <w:t xml:space="preserve">The </w:t>
      </w:r>
      <w:r w:rsidR="00BD03A7" w:rsidRPr="00CD2EEF">
        <w:rPr>
          <w:lang w:val="en-GB"/>
        </w:rPr>
        <w:t xml:space="preserve">Slovenian Radiation Protection Administration </w:t>
      </w:r>
      <w:r w:rsidR="00BD03A7">
        <w:rPr>
          <w:lang w:val="en-GB"/>
        </w:rPr>
        <w:t>(SRPA)</w:t>
      </w:r>
      <w:r w:rsidRPr="00CD2EEF">
        <w:rPr>
          <w:lang w:val="en-GB"/>
        </w:rPr>
        <w:t>, a regulatory body within the Ministry of Health, performs specialised technical, administrative, and developmental tasks, as well as inspection tasks related to carrying out activities involving radiation and the use of radiation sources in medicine and veterinary medicine; the protection of public health against the harmful effects of ionising radiation; systematic surveying of exposure at workplaces and in the living environment due to the exposure of humans to natural ionising radiation sources; monitoring of the radioactive contamination of foodstuffs and drinking water; the control, reduction, and prevention of health problems resulting from non-ionising radiation; and the auditing and approval of experts in the field of radiation protection.</w:t>
      </w:r>
    </w:p>
    <w:p w14:paraId="0A93A9A1" w14:textId="0A6D717F" w:rsidR="00412AFC" w:rsidRPr="00CD2EEF" w:rsidRDefault="00412AFC" w:rsidP="00FA763F">
      <w:pPr>
        <w:pStyle w:val="LPnavaden"/>
        <w:rPr>
          <w:lang w:val="en-GB"/>
        </w:rPr>
      </w:pPr>
      <w:r w:rsidRPr="00CD2EEF">
        <w:rPr>
          <w:lang w:val="en-GB"/>
        </w:rPr>
        <w:t xml:space="preserve">As a special operational unit within the SRPA, the Inspectorate for Radiation Protection is responsible for monitoring sources of ionising radiation used in medicine and veterinary medicine and for the implementation of legislation on the protection of people against ionising radiation. In 2021, </w:t>
      </w:r>
      <w:r w:rsidR="0021564F">
        <w:rPr>
          <w:lang w:val="en-GB"/>
        </w:rPr>
        <w:t xml:space="preserve">the </w:t>
      </w:r>
      <w:r w:rsidRPr="00CD2EEF">
        <w:rPr>
          <w:lang w:val="en-GB"/>
        </w:rPr>
        <w:t>SRPA had 6 employees.</w:t>
      </w:r>
    </w:p>
    <w:p w14:paraId="5DDF4853" w14:textId="47604A00" w:rsidR="00412AFC" w:rsidRPr="00CD2EEF" w:rsidRDefault="00412AFC" w:rsidP="00FA763F">
      <w:pPr>
        <w:pStyle w:val="LPnavaden"/>
        <w:rPr>
          <w:lang w:val="en-GB"/>
        </w:rPr>
      </w:pPr>
      <w:r w:rsidRPr="00CD2EEF">
        <w:rPr>
          <w:lang w:val="en-GB"/>
        </w:rPr>
        <w:t xml:space="preserve">The activities of the Administration were focused on performing duties in the field of radiation protection and on strengthening the system of health safety against the harmful impacts of radiation in the Republic of Slovenia. Within this framework, the activities of the SRPA comprised issuing </w:t>
      </w:r>
      <w:r w:rsidRPr="00CD2EEF">
        <w:rPr>
          <w:lang w:val="en-GB"/>
        </w:rPr>
        <w:lastRenderedPageBreak/>
        <w:t>permits and certificates as prescribed by the relevant Act (ZVISJV-1); issuing approval</w:t>
      </w:r>
      <w:r w:rsidR="0010450E">
        <w:rPr>
          <w:lang w:val="en-GB"/>
        </w:rPr>
        <w:t>s</w:t>
      </w:r>
      <w:r w:rsidRPr="00CD2EEF">
        <w:rPr>
          <w:lang w:val="en-GB"/>
        </w:rPr>
        <w:t xml:space="preserve"> to radiation protection experts; performing inspections; providing information and increasing public awareness of procedures regarding health protection against the harmful effects of radiation; and cooperating with international institutions involved in radiation protection.</w:t>
      </w:r>
    </w:p>
    <w:p w14:paraId="59E672E4" w14:textId="79576338" w:rsidR="00412AFC" w:rsidRPr="00CD2EEF" w:rsidRDefault="00412AFC" w:rsidP="00FA763F">
      <w:pPr>
        <w:pStyle w:val="LPnavaden"/>
        <w:rPr>
          <w:lang w:val="en-GB"/>
        </w:rPr>
      </w:pPr>
      <w:r w:rsidRPr="00CD2EEF">
        <w:rPr>
          <w:lang w:val="en-GB"/>
        </w:rPr>
        <w:t xml:space="preserve">In 2021, due to the Covid-19 </w:t>
      </w:r>
      <w:r w:rsidR="00BE025A">
        <w:rPr>
          <w:lang w:val="en-GB"/>
        </w:rPr>
        <w:t>epi</w:t>
      </w:r>
      <w:r w:rsidRPr="00CD2EEF">
        <w:rPr>
          <w:lang w:val="en-GB"/>
        </w:rPr>
        <w:t xml:space="preserve">demic, the SRPA made all the necessary arrangements to ensure that work ran as smoothly as possible, considering all the measures to prevent the spread of the epidemic. SRPA employees worked primarily from home and attended all meetings and international meetings online. The SRPA kept stakeholders regularly informed via </w:t>
      </w:r>
      <w:r w:rsidR="00C84AF6">
        <w:rPr>
          <w:lang w:val="en-GB"/>
        </w:rPr>
        <w:t>its</w:t>
      </w:r>
      <w:r w:rsidR="00C84AF6" w:rsidRPr="00CD2EEF">
        <w:rPr>
          <w:lang w:val="en-GB"/>
        </w:rPr>
        <w:t xml:space="preserve"> </w:t>
      </w:r>
      <w:r w:rsidRPr="00CD2EEF">
        <w:rPr>
          <w:lang w:val="en-GB"/>
        </w:rPr>
        <w:t xml:space="preserve">official website. Only the radon monitors loan project was temporarily suspended. In 2021, there was one case of </w:t>
      </w:r>
      <w:r w:rsidR="00BF3344">
        <w:rPr>
          <w:lang w:val="en-GB"/>
        </w:rPr>
        <w:t xml:space="preserve">a </w:t>
      </w:r>
      <w:r w:rsidRPr="00CD2EEF">
        <w:rPr>
          <w:lang w:val="en-GB"/>
        </w:rPr>
        <w:t>coronavirus infection among SRPA staff.</w:t>
      </w:r>
    </w:p>
    <w:p w14:paraId="78D26D64" w14:textId="77777777" w:rsidR="00412AFC" w:rsidRPr="00CD2EEF" w:rsidRDefault="00412AFC" w:rsidP="00FA763F">
      <w:pPr>
        <w:pStyle w:val="LPnavaden"/>
        <w:rPr>
          <w:lang w:val="en-GB"/>
        </w:rPr>
      </w:pPr>
      <w:r w:rsidRPr="00CD2EEF">
        <w:rPr>
          <w:lang w:val="en-GB"/>
        </w:rPr>
        <w:t>The SRPA supervised radiation practices in medicine and veterinary medicine and the use of radiation sources in these activities, the protection of exposed workers in nuclear and radiation facilities, and radon exposure. Altogether, 87 permits to carry out a radiation practice, 304 permits to use radiation sources, 21 certificates of received individual doses, one permit for the export of radioactive substances, and 36 statements by recipients of radioactive materials were confirmed. In 2021, the SRPA issued 14 approvals to natural or legal persons performing professional tasks in radiation protection.</w:t>
      </w:r>
    </w:p>
    <w:p w14:paraId="3BBB89FE" w14:textId="7CAC7572" w:rsidR="00412AFC" w:rsidRPr="00CD2EEF" w:rsidRDefault="00412AFC" w:rsidP="00FA763F">
      <w:pPr>
        <w:pStyle w:val="LPnavaden"/>
        <w:rPr>
          <w:lang w:val="en-GB"/>
        </w:rPr>
      </w:pPr>
      <w:r w:rsidRPr="00CD2EEF">
        <w:rPr>
          <w:lang w:val="en-GB"/>
        </w:rPr>
        <w:t>In 2021, the Inspectorate carried out 202 inspection procedures. Of these, 9 were in-depth inspections due to exposure to radon; the SRPA issued 3 inspection decisions and 8 warnings regarding a required reduction of exposure. In medicine and veterinary medicine, 61 in-depth inspections were performed</w:t>
      </w:r>
      <w:r w:rsidR="009743AE">
        <w:rPr>
          <w:lang w:val="en-GB"/>
        </w:rPr>
        <w:t xml:space="preserve">, </w:t>
      </w:r>
      <w:r w:rsidR="009743AE" w:rsidRPr="009743AE">
        <w:rPr>
          <w:lang w:val="en-GB"/>
        </w:rPr>
        <w:t>including</w:t>
      </w:r>
      <w:r w:rsidRPr="009743AE">
        <w:rPr>
          <w:lang w:val="en-GB"/>
        </w:rPr>
        <w:t xml:space="preserve"> in-depth inspections </w:t>
      </w:r>
      <w:r w:rsidR="009743AE" w:rsidRPr="009743AE">
        <w:rPr>
          <w:lang w:val="en-GB"/>
        </w:rPr>
        <w:t xml:space="preserve">on </w:t>
      </w:r>
      <w:r w:rsidRPr="009743AE">
        <w:rPr>
          <w:lang w:val="en-GB"/>
        </w:rPr>
        <w:t>measures against the spread of Covid-19 were inspected. During inspections, 23 X-ray devices held in reserve were sealed. A total of 15 decisions requiring harmonisation</w:t>
      </w:r>
      <w:r w:rsidRPr="00CD2EEF">
        <w:rPr>
          <w:lang w:val="en-GB"/>
        </w:rPr>
        <w:t xml:space="preserve"> with the valid regulations were issued and 2 decisions prohibiting use of</w:t>
      </w:r>
      <w:r w:rsidR="008A1E6B">
        <w:rPr>
          <w:lang w:val="en-GB"/>
        </w:rPr>
        <w:t xml:space="preserve"> </w:t>
      </w:r>
      <w:r w:rsidR="00B87471">
        <w:rPr>
          <w:lang w:val="en-GB"/>
        </w:rPr>
        <w:t xml:space="preserve">an </w:t>
      </w:r>
      <w:r w:rsidRPr="00CD2EEF">
        <w:rPr>
          <w:lang w:val="en-GB"/>
        </w:rPr>
        <w:t xml:space="preserve">x-ray device. Two more inspections of nuclear and radiological facilities were carried out in cooperation with </w:t>
      </w:r>
      <w:r w:rsidR="00A726E8">
        <w:rPr>
          <w:lang w:val="en-GB"/>
        </w:rPr>
        <w:t>the</w:t>
      </w:r>
      <w:r w:rsidR="00E63423">
        <w:rPr>
          <w:lang w:val="en-GB"/>
        </w:rPr>
        <w:t xml:space="preserve"> SNSA</w:t>
      </w:r>
      <w:r w:rsidRPr="00CD2EEF">
        <w:rPr>
          <w:lang w:val="en-GB"/>
        </w:rPr>
        <w:t>. The scope of the inspectorate</w:t>
      </w:r>
      <w:r w:rsidR="00F21D56">
        <w:rPr>
          <w:lang w:val="en-GB"/>
        </w:rPr>
        <w:t>’</w:t>
      </w:r>
      <w:r w:rsidRPr="00CD2EEF">
        <w:rPr>
          <w:lang w:val="en-GB"/>
        </w:rPr>
        <w:t>s field work has been significantly increased compared to previous years.</w:t>
      </w:r>
      <w:r w:rsidR="00B87471">
        <w:rPr>
          <w:lang w:val="en-GB"/>
        </w:rPr>
        <w:t xml:space="preserve"> </w:t>
      </w:r>
      <w:r w:rsidRPr="00CD2EEF">
        <w:rPr>
          <w:lang w:val="en-GB"/>
        </w:rPr>
        <w:t xml:space="preserve">On the basis of </w:t>
      </w:r>
      <w:r w:rsidR="00CC046B">
        <w:rPr>
          <w:lang w:val="en-GB"/>
        </w:rPr>
        <w:t xml:space="preserve">the </w:t>
      </w:r>
      <w:r w:rsidRPr="00CD2EEF">
        <w:rPr>
          <w:lang w:val="en-GB"/>
        </w:rPr>
        <w:t xml:space="preserve">inspection of reports on X-ray devices intended for medical use, 3 requests to submit evidence regarding </w:t>
      </w:r>
      <w:r w:rsidR="00CC046B">
        <w:rPr>
          <w:lang w:val="en-GB"/>
        </w:rPr>
        <w:t xml:space="preserve">the </w:t>
      </w:r>
      <w:r w:rsidRPr="00CD2EEF">
        <w:rPr>
          <w:lang w:val="en-GB"/>
        </w:rPr>
        <w:t xml:space="preserve">correction of deficiencies, 28 requests to submit evidence regarding </w:t>
      </w:r>
      <w:r w:rsidR="00CC046B">
        <w:rPr>
          <w:lang w:val="en-GB"/>
        </w:rPr>
        <w:t xml:space="preserve">the </w:t>
      </w:r>
      <w:r w:rsidRPr="00CD2EEF">
        <w:rPr>
          <w:lang w:val="en-GB"/>
        </w:rPr>
        <w:t xml:space="preserve">termination of the use of an X-ray device, and 99 requests regarding harmonisation with the existing legislation were issued. </w:t>
      </w:r>
      <w:r w:rsidR="00F30254">
        <w:rPr>
          <w:lang w:val="en-GB"/>
        </w:rPr>
        <w:t>T</w:t>
      </w:r>
      <w:r w:rsidRPr="00CD2EEF">
        <w:rPr>
          <w:lang w:val="en-GB"/>
        </w:rPr>
        <w:t xml:space="preserve">here were no cases of </w:t>
      </w:r>
      <w:r w:rsidR="00F30254">
        <w:rPr>
          <w:lang w:val="en-GB"/>
        </w:rPr>
        <w:t xml:space="preserve">an </w:t>
      </w:r>
      <w:r w:rsidRPr="00CD2EEF">
        <w:rPr>
          <w:lang w:val="en-GB"/>
        </w:rPr>
        <w:t>exceeded monthly personal dose of 1.6 mSv</w:t>
      </w:r>
      <w:r w:rsidR="00F30254" w:rsidRPr="00F30254">
        <w:rPr>
          <w:lang w:val="en-GB"/>
        </w:rPr>
        <w:t xml:space="preserve"> </w:t>
      </w:r>
      <w:r w:rsidR="00F30254">
        <w:rPr>
          <w:lang w:val="en-GB"/>
        </w:rPr>
        <w:t>i</w:t>
      </w:r>
      <w:r w:rsidR="00F30254" w:rsidRPr="00CD2EEF">
        <w:rPr>
          <w:lang w:val="en-GB"/>
        </w:rPr>
        <w:t>n 2021</w:t>
      </w:r>
      <w:r w:rsidRPr="00FB3121">
        <w:rPr>
          <w:lang w:val="en-GB"/>
        </w:rPr>
        <w:t xml:space="preserve">. The SRPA </w:t>
      </w:r>
      <w:r w:rsidR="00FB3121" w:rsidRPr="009743AE">
        <w:rPr>
          <w:lang w:val="en-GB"/>
        </w:rPr>
        <w:t>I</w:t>
      </w:r>
      <w:r w:rsidRPr="00FB3121">
        <w:rPr>
          <w:lang w:val="en-GB"/>
        </w:rPr>
        <w:t>nspection</w:t>
      </w:r>
      <w:r w:rsidRPr="00CD2EEF">
        <w:rPr>
          <w:lang w:val="en-GB"/>
        </w:rPr>
        <w:t xml:space="preserve"> took action on two occasions, in the case of an elevated dosimeter reading resulting from a CT scan of luggage at the airport and in the case of an exceedance of the operational monthly dose limit for the </w:t>
      </w:r>
      <w:r w:rsidRPr="009743AE">
        <w:rPr>
          <w:lang w:val="en-GB"/>
        </w:rPr>
        <w:t>equivalent dose to the arms.</w:t>
      </w:r>
      <w:r w:rsidRPr="00FB3121">
        <w:rPr>
          <w:lang w:val="en-GB"/>
        </w:rPr>
        <w:t xml:space="preserve"> Co</w:t>
      </w:r>
      <w:r w:rsidRPr="00CD2EEF">
        <w:rPr>
          <w:lang w:val="en-GB"/>
        </w:rPr>
        <w:t>mprehensive monitoring was ensured through the cooperation of expert institutions</w:t>
      </w:r>
      <w:r w:rsidR="00661A24">
        <w:rPr>
          <w:lang w:val="en-GB"/>
        </w:rPr>
        <w:t>,</w:t>
      </w:r>
      <w:r w:rsidRPr="00CD2EEF">
        <w:rPr>
          <w:lang w:val="en-GB"/>
        </w:rPr>
        <w:t xml:space="preserve"> which regularly review the situation in this area. </w:t>
      </w:r>
    </w:p>
    <w:p w14:paraId="24A9A812" w14:textId="77777777" w:rsidR="00412AFC" w:rsidRPr="00CD2EEF" w:rsidRDefault="00412AFC" w:rsidP="00FA763F">
      <w:pPr>
        <w:pStyle w:val="LPnavaden"/>
        <w:rPr>
          <w:lang w:val="en-GB"/>
        </w:rPr>
      </w:pPr>
      <w:r w:rsidRPr="00CD2EEF">
        <w:rPr>
          <w:lang w:val="en-GB"/>
        </w:rPr>
        <w:t>In 2021, the SRPA continued to finance the programme for the systematic surveillance and measurements of radon in schools and kindergartens and in dwellings.</w:t>
      </w:r>
    </w:p>
    <w:p w14:paraId="1BA1895E" w14:textId="77777777" w:rsidR="00412AFC" w:rsidRPr="00CD2EEF" w:rsidRDefault="00412AFC" w:rsidP="00FA763F">
      <w:pPr>
        <w:pStyle w:val="LPnavaden"/>
        <w:rPr>
          <w:lang w:val="en-GB"/>
        </w:rPr>
      </w:pPr>
      <w:r w:rsidRPr="00CD2EEF">
        <w:rPr>
          <w:lang w:val="en-GB"/>
        </w:rPr>
        <w:t xml:space="preserve">The SRPA continued to finance the radiation monitoring of food and drinking water. </w:t>
      </w:r>
    </w:p>
    <w:p w14:paraId="1F1F91EC" w14:textId="5582BEC2" w:rsidR="00412AFC" w:rsidRPr="00CD2EEF" w:rsidRDefault="00412AFC" w:rsidP="00FA763F">
      <w:pPr>
        <w:pStyle w:val="LPnavaden"/>
        <w:rPr>
          <w:lang w:val="en-GB"/>
        </w:rPr>
      </w:pPr>
      <w:r w:rsidRPr="00CD2EEF">
        <w:rPr>
          <w:lang w:val="en-GB"/>
        </w:rPr>
        <w:t xml:space="preserve">In 2021, the SRPA financed the analysis of gross alpha and gross beta activities in the drinking water of Slovenia, which will be the basis for the monitoring strategy in the coming years. In the field of radon exposure, the SRPA financed the publication of a cartoon </w:t>
      </w:r>
      <w:r w:rsidRPr="009743AE">
        <w:rPr>
          <w:lang w:val="en-GB"/>
        </w:rPr>
        <w:t xml:space="preserve">printed </w:t>
      </w:r>
      <w:r w:rsidR="00AD47D5" w:rsidRPr="009743AE">
        <w:rPr>
          <w:lang w:val="en-GB"/>
        </w:rPr>
        <w:t xml:space="preserve">for </w:t>
      </w:r>
      <w:r w:rsidR="00181C04" w:rsidRPr="009743AE">
        <w:rPr>
          <w:lang w:val="en-GB"/>
        </w:rPr>
        <w:t xml:space="preserve">secondary </w:t>
      </w:r>
      <w:r w:rsidRPr="009743AE">
        <w:rPr>
          <w:lang w:val="en-GB"/>
        </w:rPr>
        <w:t>school</w:t>
      </w:r>
      <w:r w:rsidR="00AD47D5" w:rsidRPr="009743AE">
        <w:rPr>
          <w:lang w:val="en-GB"/>
        </w:rPr>
        <w:t>s</w:t>
      </w:r>
      <w:r w:rsidRPr="009743AE">
        <w:rPr>
          <w:lang w:val="en-GB"/>
        </w:rPr>
        <w:t xml:space="preserve"> and an analysis of </w:t>
      </w:r>
      <w:r w:rsidR="00AD47D5" w:rsidRPr="009743AE">
        <w:rPr>
          <w:lang w:val="en-GB"/>
        </w:rPr>
        <w:t xml:space="preserve">the impact of </w:t>
      </w:r>
      <w:r w:rsidRPr="009743AE">
        <w:rPr>
          <w:lang w:val="en-GB"/>
        </w:rPr>
        <w:t>radon on lung cancer incidence. In t</w:t>
      </w:r>
      <w:r w:rsidRPr="00CD2EEF">
        <w:rPr>
          <w:lang w:val="en-GB"/>
        </w:rPr>
        <w:t>he field of patient exposure, the SRPA financed a study on patient exposure due to radiological procedures.</w:t>
      </w:r>
    </w:p>
    <w:p w14:paraId="192DDC1C" w14:textId="284FBD92" w:rsidR="00412AFC" w:rsidRPr="00CD2EEF" w:rsidRDefault="00412AFC" w:rsidP="00FA763F">
      <w:pPr>
        <w:pStyle w:val="LPnavaden"/>
        <w:rPr>
          <w:lang w:val="en-GB"/>
        </w:rPr>
      </w:pPr>
      <w:r w:rsidRPr="00CD2EEF">
        <w:rPr>
          <w:lang w:val="en-GB"/>
        </w:rPr>
        <w:t xml:space="preserve">At the end of 2021, the SRPA started intensive preparations for an independent international peer review of the legislative and regulatory framework for nuclear and radiation safety in Slovenia (The Integrated Regulatory Review Service, IRRS). The IRRS review mission took place in April 2022 and was conducted by the IAEA and international experts in the field of nuclear safety and radiation protection. In preparation for the mission, the SRPA, in cooperation with </w:t>
      </w:r>
      <w:r w:rsidR="00A726E8">
        <w:rPr>
          <w:lang w:val="en-GB"/>
        </w:rPr>
        <w:t>the</w:t>
      </w:r>
      <w:r w:rsidR="00E63423">
        <w:rPr>
          <w:lang w:val="en-GB"/>
        </w:rPr>
        <w:t xml:space="preserve"> SNSA</w:t>
      </w:r>
      <w:r w:rsidRPr="00CD2EEF">
        <w:rPr>
          <w:lang w:val="en-GB"/>
        </w:rPr>
        <w:t xml:space="preserve">, prepared the </w:t>
      </w:r>
      <w:r w:rsidR="00197792">
        <w:rPr>
          <w:lang w:val="en-GB"/>
        </w:rPr>
        <w:t>responses</w:t>
      </w:r>
      <w:r w:rsidR="00197792" w:rsidRPr="00CD2EEF">
        <w:rPr>
          <w:lang w:val="en-GB"/>
        </w:rPr>
        <w:t xml:space="preserve"> </w:t>
      </w:r>
      <w:r w:rsidRPr="00CD2EEF">
        <w:rPr>
          <w:lang w:val="en-GB"/>
        </w:rPr>
        <w:t xml:space="preserve">to the self-assessment questionnaires and an action plan to address the </w:t>
      </w:r>
      <w:r w:rsidRPr="00CD2EEF">
        <w:rPr>
          <w:lang w:val="en-GB"/>
        </w:rPr>
        <w:lastRenderedPageBreak/>
        <w:t xml:space="preserve">shortcomings in autumn 2021. A preparatory meeting was organised at </w:t>
      </w:r>
      <w:r w:rsidR="00A726E8">
        <w:rPr>
          <w:lang w:val="en-GB"/>
        </w:rPr>
        <w:t>the</w:t>
      </w:r>
      <w:r w:rsidR="00E63423">
        <w:rPr>
          <w:lang w:val="en-GB"/>
        </w:rPr>
        <w:t xml:space="preserve"> SNSA</w:t>
      </w:r>
      <w:r w:rsidRPr="00CD2EEF">
        <w:rPr>
          <w:lang w:val="en-GB"/>
        </w:rPr>
        <w:t xml:space="preserve"> headquarters in November 2021, </w:t>
      </w:r>
      <w:r w:rsidR="00197792">
        <w:rPr>
          <w:lang w:val="en-GB"/>
        </w:rPr>
        <w:t xml:space="preserve">which was </w:t>
      </w:r>
      <w:r w:rsidRPr="00CD2EEF">
        <w:rPr>
          <w:lang w:val="en-GB"/>
        </w:rPr>
        <w:t>attended by representatives of the both Slovenian administrations, IAEA representatives</w:t>
      </w:r>
      <w:r w:rsidR="00197792">
        <w:rPr>
          <w:lang w:val="en-GB"/>
        </w:rPr>
        <w:t>,</w:t>
      </w:r>
      <w:r w:rsidRPr="00CD2EEF">
        <w:rPr>
          <w:lang w:val="en-GB"/>
        </w:rPr>
        <w:t xml:space="preserve"> and the mission management.</w:t>
      </w:r>
    </w:p>
    <w:p w14:paraId="0F61DBB1" w14:textId="4051A95B" w:rsidR="00412AFC" w:rsidRPr="00CD2EEF" w:rsidRDefault="00412AFC" w:rsidP="00FA763F">
      <w:pPr>
        <w:pStyle w:val="LPnavaden"/>
        <w:rPr>
          <w:lang w:val="en-GB"/>
        </w:rPr>
      </w:pPr>
      <w:r w:rsidRPr="00161EA8">
        <w:rPr>
          <w:lang w:val="en-GB"/>
        </w:rPr>
        <w:t xml:space="preserve">The SRPA continues with </w:t>
      </w:r>
      <w:r w:rsidR="00197792" w:rsidRPr="00161EA8">
        <w:rPr>
          <w:lang w:val="en-GB"/>
        </w:rPr>
        <w:t xml:space="preserve">the </w:t>
      </w:r>
      <w:r w:rsidRPr="00161EA8">
        <w:rPr>
          <w:lang w:val="en-GB"/>
        </w:rPr>
        <w:t>management of records regarding radiation sources used in medicine and veterinary medicine</w:t>
      </w:r>
      <w:r w:rsidR="001A4805" w:rsidRPr="00161EA8">
        <w:rPr>
          <w:lang w:val="en-GB"/>
        </w:rPr>
        <w:t>,</w:t>
      </w:r>
      <w:r w:rsidRPr="00161EA8">
        <w:rPr>
          <w:lang w:val="en-GB"/>
        </w:rPr>
        <w:t xml:space="preserve"> and the Central Records of Personal Doses (CRPD) is regularly updated</w:t>
      </w:r>
      <w:r w:rsidR="001A4805" w:rsidRPr="00161EA8">
        <w:rPr>
          <w:lang w:val="en-GB"/>
        </w:rPr>
        <w:t xml:space="preserve">, </w:t>
      </w:r>
      <w:r w:rsidR="00E67894" w:rsidRPr="00161EA8">
        <w:rPr>
          <w:lang w:val="en-GB"/>
        </w:rPr>
        <w:t>while</w:t>
      </w:r>
      <w:r w:rsidR="001A4805" w:rsidRPr="00161EA8">
        <w:rPr>
          <w:lang w:val="en-GB"/>
        </w:rPr>
        <w:t xml:space="preserve"> </w:t>
      </w:r>
      <w:r w:rsidRPr="00161EA8">
        <w:rPr>
          <w:lang w:val="en-GB"/>
        </w:rPr>
        <w:t>the development of the Register of Radon Measurements, which started in 2018, continu</w:t>
      </w:r>
      <w:r w:rsidR="001A4805" w:rsidRPr="00161EA8">
        <w:rPr>
          <w:lang w:val="en-GB"/>
        </w:rPr>
        <w:t>es</w:t>
      </w:r>
      <w:r w:rsidRPr="00161EA8">
        <w:rPr>
          <w:lang w:val="en-GB"/>
        </w:rPr>
        <w:t>.</w:t>
      </w:r>
    </w:p>
    <w:p w14:paraId="3835CDA6" w14:textId="74EB0E8D" w:rsidR="00412AFC" w:rsidRPr="00CD2EEF" w:rsidRDefault="00412AFC" w:rsidP="00FA763F">
      <w:pPr>
        <w:pStyle w:val="LPnavaden"/>
        <w:rPr>
          <w:lang w:val="en-GB"/>
        </w:rPr>
      </w:pPr>
      <w:r w:rsidRPr="00CD2EEF">
        <w:rPr>
          <w:lang w:val="en-GB"/>
        </w:rPr>
        <w:t>Thus far, the SRPA has operated with a small number of employees and modest financial resources. Despite this, a high level of radiation protection has been ensured in its areas of competence. This is achieved by effectively optimising work processes and the use of available resources. The understaffing of the SRPA was noted by the EPREV mission in 2017, which pointed out that</w:t>
      </w:r>
      <w:r w:rsidR="00653A52">
        <w:rPr>
          <w:lang w:val="en-GB"/>
        </w:rPr>
        <w:t>,</w:t>
      </w:r>
      <w:r w:rsidRPr="00CD2EEF">
        <w:rPr>
          <w:lang w:val="en-GB"/>
        </w:rPr>
        <w:t xml:space="preserve"> in the event of an emergency</w:t>
      </w:r>
      <w:r w:rsidR="00653A52">
        <w:rPr>
          <w:lang w:val="en-GB"/>
        </w:rPr>
        <w:t>,</w:t>
      </w:r>
      <w:r w:rsidRPr="00CD2EEF">
        <w:rPr>
          <w:lang w:val="en-GB"/>
        </w:rPr>
        <w:t xml:space="preserve"> the SRPA could not respond to the event and perform its regular duties at the same time. Furthermore, the ZVISJV-1 burdens the SRPA with additional tasks in relation to protecting the population against the harmful effects of radon exposure and in the field of the health protection of patients. Accordingly, additional financial resources have been granted to the SRPA to carry out radiation protection measures in the field of the radiation protection of patients and radon exposure. The need for additional staffing was also described in the commentary on the ZVISJV-1, which was discussed in the National Assembly of the Republic of Slovenia in the process of adopting the law. The SRPA does not have any staff reserves to fulfil the additional tasks assigned to it; furthermore, the performance of the SRPA in 2021 </w:t>
      </w:r>
      <w:r w:rsidR="00AC750A">
        <w:rPr>
          <w:lang w:val="en-GB"/>
        </w:rPr>
        <w:t>was</w:t>
      </w:r>
      <w:r w:rsidR="00AC750A" w:rsidRPr="00CD2EEF">
        <w:rPr>
          <w:lang w:val="en-GB"/>
        </w:rPr>
        <w:t xml:space="preserve"> </w:t>
      </w:r>
      <w:r w:rsidRPr="00CD2EEF">
        <w:rPr>
          <w:lang w:val="en-GB"/>
        </w:rPr>
        <w:t xml:space="preserve">also affected by the implementation of preventative measures to prevent the spread </w:t>
      </w:r>
      <w:r w:rsidRPr="00161EA8">
        <w:rPr>
          <w:lang w:val="en-GB"/>
        </w:rPr>
        <w:t xml:space="preserve">of </w:t>
      </w:r>
      <w:r w:rsidR="00AC750A" w:rsidRPr="00161EA8">
        <w:rPr>
          <w:lang w:val="en-GB"/>
        </w:rPr>
        <w:t>Covid-19</w:t>
      </w:r>
      <w:r w:rsidRPr="00161EA8">
        <w:rPr>
          <w:lang w:val="en-GB"/>
        </w:rPr>
        <w:t>. Despite</w:t>
      </w:r>
      <w:r w:rsidRPr="00CD2EEF">
        <w:rPr>
          <w:lang w:val="en-GB"/>
        </w:rPr>
        <w:t xml:space="preserve"> the new permanent employment in 2019, additional staffing in the near future is necessary to ensure </w:t>
      </w:r>
      <w:r w:rsidR="00AC750A">
        <w:rPr>
          <w:lang w:val="en-GB"/>
        </w:rPr>
        <w:t xml:space="preserve">the </w:t>
      </w:r>
      <w:r w:rsidRPr="00CD2EEF">
        <w:rPr>
          <w:lang w:val="en-GB"/>
        </w:rPr>
        <w:t>fulfilment of the legally defined obligations and an appropriate level of radiation protection.</w:t>
      </w:r>
    </w:p>
    <w:p w14:paraId="7BB5ABBB" w14:textId="1F788EFE" w:rsidR="00BE0188" w:rsidRPr="00CD2EEF" w:rsidRDefault="00412AFC" w:rsidP="00AE4965">
      <w:pPr>
        <w:pStyle w:val="LPviri"/>
        <w:rPr>
          <w:lang w:val="en-GB"/>
        </w:rPr>
      </w:pPr>
      <w:r w:rsidRPr="00CD2EEF">
        <w:rPr>
          <w:lang w:val="en-GB"/>
        </w:rPr>
        <w:t>Reference: [</w:t>
      </w:r>
      <w:hyperlink w:anchor="r15" w:history="1">
        <w:r w:rsidRPr="00CD2EEF">
          <w:rPr>
            <w:rStyle w:val="Hiperpovezava"/>
            <w:lang w:val="en-GB"/>
          </w:rPr>
          <w:t>15</w:t>
        </w:r>
      </w:hyperlink>
      <w:r w:rsidRPr="00CD2EEF">
        <w:rPr>
          <w:lang w:val="en-GB"/>
        </w:rPr>
        <w:t>]</w:t>
      </w:r>
    </w:p>
    <w:p w14:paraId="5CA3FF03" w14:textId="77777777" w:rsidR="00412AFC" w:rsidRPr="00CD2EEF" w:rsidRDefault="00412AFC" w:rsidP="00F57737">
      <w:pPr>
        <w:pStyle w:val="LPNaslov2"/>
        <w:rPr>
          <w:lang w:val="en-GB"/>
        </w:rPr>
      </w:pPr>
      <w:bookmarkStart w:id="404" w:name="_Toc126312045"/>
      <w:r w:rsidRPr="00CD2EEF">
        <w:rPr>
          <w:lang w:val="en-GB"/>
        </w:rPr>
        <w:t>AUTHORISED EXPERTS</w:t>
      </w:r>
      <w:bookmarkEnd w:id="404"/>
      <w:r w:rsidRPr="00CD2EEF">
        <w:rPr>
          <w:lang w:val="en-GB"/>
        </w:rPr>
        <w:t xml:space="preserve"> </w:t>
      </w:r>
    </w:p>
    <w:p w14:paraId="1A7AFCAC" w14:textId="41D25815" w:rsidR="00412AFC" w:rsidRPr="00CD2EEF" w:rsidRDefault="00412AFC" w:rsidP="00F57737">
      <w:pPr>
        <w:pStyle w:val="LPpodpoglavje"/>
        <w:rPr>
          <w:lang w:val="en-GB"/>
        </w:rPr>
      </w:pPr>
      <w:r w:rsidRPr="00CD2EEF">
        <w:rPr>
          <w:lang w:val="en-GB"/>
        </w:rPr>
        <w:t xml:space="preserve">Authorised </w:t>
      </w:r>
      <w:r w:rsidR="00717416">
        <w:rPr>
          <w:lang w:val="en-GB"/>
        </w:rPr>
        <w:t>R</w:t>
      </w:r>
      <w:r w:rsidRPr="00CD2EEF">
        <w:rPr>
          <w:lang w:val="en-GB"/>
        </w:rPr>
        <w:t xml:space="preserve">adiation and </w:t>
      </w:r>
      <w:r w:rsidR="00717416">
        <w:rPr>
          <w:lang w:val="en-GB"/>
        </w:rPr>
        <w:t>N</w:t>
      </w:r>
      <w:r w:rsidRPr="00CD2EEF">
        <w:rPr>
          <w:lang w:val="en-GB"/>
        </w:rPr>
        <w:t xml:space="preserve">uclear </w:t>
      </w:r>
      <w:r w:rsidR="00717416">
        <w:rPr>
          <w:lang w:val="en-GB"/>
        </w:rPr>
        <w:t>S</w:t>
      </w:r>
      <w:r w:rsidRPr="00CD2EEF">
        <w:rPr>
          <w:lang w:val="en-GB"/>
        </w:rPr>
        <w:t xml:space="preserve">afety </w:t>
      </w:r>
      <w:r w:rsidR="00717416">
        <w:rPr>
          <w:lang w:val="en-GB"/>
        </w:rPr>
        <w:t>E</w:t>
      </w:r>
      <w:r w:rsidRPr="00CD2EEF">
        <w:rPr>
          <w:lang w:val="en-GB"/>
        </w:rPr>
        <w:t xml:space="preserve">xperts </w:t>
      </w:r>
    </w:p>
    <w:p w14:paraId="7B3C1026" w14:textId="4003A075" w:rsidR="00412AFC" w:rsidRPr="00CD2EEF" w:rsidRDefault="00412AFC" w:rsidP="006C2E25">
      <w:pPr>
        <w:pStyle w:val="LPnavaden"/>
        <w:rPr>
          <w:lang w:val="en-GB"/>
        </w:rPr>
      </w:pPr>
      <w:r w:rsidRPr="00CD2EEF">
        <w:rPr>
          <w:lang w:val="en-GB"/>
        </w:rPr>
        <w:t>In 2021, seventeen legal entities were author</w:t>
      </w:r>
      <w:r w:rsidR="00837F00">
        <w:rPr>
          <w:lang w:val="en-GB"/>
        </w:rPr>
        <w:t>ised</w:t>
      </w:r>
      <w:r w:rsidRPr="00CD2EEF">
        <w:rPr>
          <w:lang w:val="en-GB"/>
        </w:rPr>
        <w:t xml:space="preserve"> to perform the tasks of author</w:t>
      </w:r>
      <w:r w:rsidR="00837F00">
        <w:rPr>
          <w:lang w:val="en-GB"/>
        </w:rPr>
        <w:t>ised</w:t>
      </w:r>
      <w:r w:rsidRPr="00CD2EEF">
        <w:rPr>
          <w:lang w:val="en-GB"/>
        </w:rPr>
        <w:t xml:space="preserve"> experts for radiation and nuclear safety</w:t>
      </w:r>
      <w:r w:rsidRPr="009743AE">
        <w:rPr>
          <w:lang w:val="en-GB"/>
        </w:rPr>
        <w:t xml:space="preserve">. In </w:t>
      </w:r>
      <w:r w:rsidR="004E02ED" w:rsidRPr="009743AE">
        <w:rPr>
          <w:lang w:val="en-GB"/>
        </w:rPr>
        <w:t>2021</w:t>
      </w:r>
      <w:r w:rsidRPr="009743AE">
        <w:rPr>
          <w:lang w:val="en-GB"/>
        </w:rPr>
        <w:t xml:space="preserve">, based on Article 89 of </w:t>
      </w:r>
      <w:r w:rsidR="007B062F" w:rsidRPr="009743AE">
        <w:rPr>
          <w:lang w:val="en-GB"/>
        </w:rPr>
        <w:t xml:space="preserve">the </w:t>
      </w:r>
      <w:r w:rsidRPr="009743AE">
        <w:rPr>
          <w:lang w:val="en-GB"/>
        </w:rPr>
        <w:t xml:space="preserve">ZVISJV-1, </w:t>
      </w:r>
      <w:r w:rsidR="00A726E8" w:rsidRPr="009743AE">
        <w:rPr>
          <w:lang w:val="en-GB"/>
        </w:rPr>
        <w:t>the</w:t>
      </w:r>
      <w:r w:rsidR="00E63423" w:rsidRPr="009743AE">
        <w:rPr>
          <w:lang w:val="en-GB"/>
        </w:rPr>
        <w:t xml:space="preserve"> SNSA</w:t>
      </w:r>
      <w:r w:rsidRPr="009743AE">
        <w:rPr>
          <w:lang w:val="en-GB"/>
        </w:rPr>
        <w:t xml:space="preserve"> extended the validity of existing authori</w:t>
      </w:r>
      <w:r w:rsidR="00E9756B" w:rsidRPr="009743AE">
        <w:rPr>
          <w:lang w:val="en-GB"/>
        </w:rPr>
        <w:t>sation</w:t>
      </w:r>
      <w:r w:rsidRPr="009743AE">
        <w:rPr>
          <w:lang w:val="en-GB"/>
        </w:rPr>
        <w:t xml:space="preserve">s to six </w:t>
      </w:r>
      <w:r w:rsidR="00161EA8" w:rsidRPr="009743AE">
        <w:rPr>
          <w:lang w:val="en-GB"/>
        </w:rPr>
        <w:t>authorised experts.</w:t>
      </w:r>
      <w:r w:rsidRPr="00CD2EEF">
        <w:rPr>
          <w:lang w:val="en-GB"/>
        </w:rPr>
        <w:t xml:space="preserve"> In addition, it also issued </w:t>
      </w:r>
      <w:r w:rsidR="00ED6DB3">
        <w:rPr>
          <w:lang w:val="en-GB"/>
        </w:rPr>
        <w:t>a</w:t>
      </w:r>
      <w:r w:rsidR="004E02ED" w:rsidRPr="00CD2EEF">
        <w:rPr>
          <w:lang w:val="en-GB"/>
        </w:rPr>
        <w:t xml:space="preserve"> </w:t>
      </w:r>
      <w:r w:rsidRPr="00CD2EEF">
        <w:rPr>
          <w:lang w:val="en-GB"/>
        </w:rPr>
        <w:t xml:space="preserve">change </w:t>
      </w:r>
      <w:r w:rsidR="00ED6DB3">
        <w:rPr>
          <w:lang w:val="en-GB"/>
        </w:rPr>
        <w:t xml:space="preserve">in </w:t>
      </w:r>
      <w:r w:rsidR="004E02ED">
        <w:rPr>
          <w:lang w:val="en-GB"/>
        </w:rPr>
        <w:t>the</w:t>
      </w:r>
      <w:r w:rsidRPr="00CD2EEF">
        <w:rPr>
          <w:lang w:val="en-GB"/>
        </w:rPr>
        <w:t xml:space="preserve"> authori</w:t>
      </w:r>
      <w:r w:rsidR="00E9756B">
        <w:rPr>
          <w:lang w:val="en-GB"/>
        </w:rPr>
        <w:t>sation</w:t>
      </w:r>
      <w:r w:rsidRPr="00CD2EEF">
        <w:rPr>
          <w:lang w:val="en-GB"/>
        </w:rPr>
        <w:t xml:space="preserve"> </w:t>
      </w:r>
      <w:r w:rsidR="00ED6DB3">
        <w:rPr>
          <w:lang w:val="en-GB"/>
        </w:rPr>
        <w:t>of</w:t>
      </w:r>
      <w:r w:rsidR="00ED6DB3" w:rsidRPr="00CD2EEF">
        <w:rPr>
          <w:lang w:val="en-GB"/>
        </w:rPr>
        <w:t xml:space="preserve"> </w:t>
      </w:r>
      <w:r w:rsidRPr="00CD2EEF">
        <w:rPr>
          <w:lang w:val="en-GB"/>
        </w:rPr>
        <w:t>the Institute for Metal Structures (IMK)</w:t>
      </w:r>
      <w:r w:rsidR="004E02ED">
        <w:rPr>
          <w:lang w:val="en-GB"/>
        </w:rPr>
        <w:t>,</w:t>
      </w:r>
      <w:r w:rsidRPr="00CD2EEF">
        <w:rPr>
          <w:lang w:val="en-GB"/>
        </w:rPr>
        <w:t xml:space="preserve"> which changed its legal status from an institute to a limited liability company. No new authori</w:t>
      </w:r>
      <w:r w:rsidR="00E9756B">
        <w:rPr>
          <w:lang w:val="en-GB"/>
        </w:rPr>
        <w:t>sation</w:t>
      </w:r>
      <w:r w:rsidRPr="00CD2EEF">
        <w:rPr>
          <w:lang w:val="en-GB"/>
        </w:rPr>
        <w:t xml:space="preserve">s were issued this year. </w:t>
      </w:r>
    </w:p>
    <w:p w14:paraId="4A446E73" w14:textId="084544B1" w:rsidR="00412AFC" w:rsidRPr="00CD2EEF" w:rsidRDefault="00412AFC" w:rsidP="00F57737">
      <w:pPr>
        <w:pStyle w:val="LPnavaden"/>
        <w:rPr>
          <w:lang w:val="en-GB"/>
        </w:rPr>
      </w:pPr>
      <w:r w:rsidRPr="00CD2EEF">
        <w:rPr>
          <w:lang w:val="en-GB"/>
        </w:rPr>
        <w:t>In 2020, altogether 17 legal entities were author</w:t>
      </w:r>
      <w:r w:rsidR="00837F00">
        <w:rPr>
          <w:lang w:val="en-GB"/>
        </w:rPr>
        <w:t>ised</w:t>
      </w:r>
      <w:r w:rsidRPr="00CD2EEF">
        <w:rPr>
          <w:lang w:val="en-GB"/>
        </w:rPr>
        <w:t xml:space="preserve"> by </w:t>
      </w:r>
      <w:r w:rsidR="00A726E8">
        <w:rPr>
          <w:lang w:val="en-GB"/>
        </w:rPr>
        <w:t>the</w:t>
      </w:r>
      <w:r w:rsidR="00E63423">
        <w:rPr>
          <w:lang w:val="en-GB"/>
        </w:rPr>
        <w:t xml:space="preserve"> SNSA</w:t>
      </w:r>
      <w:r w:rsidRPr="00CD2EEF">
        <w:rPr>
          <w:lang w:val="en-GB"/>
        </w:rPr>
        <w:t xml:space="preserve">. </w:t>
      </w:r>
    </w:p>
    <w:p w14:paraId="3E4E1A4E" w14:textId="0345F47E" w:rsidR="00412AFC" w:rsidRPr="00CD2EEF" w:rsidRDefault="00A726E8" w:rsidP="00F57737">
      <w:pPr>
        <w:pStyle w:val="LPnavaden"/>
        <w:rPr>
          <w:lang w:val="en-GB"/>
        </w:rPr>
      </w:pPr>
      <w:r w:rsidRPr="009743AE">
        <w:rPr>
          <w:lang w:val="en-GB"/>
        </w:rPr>
        <w:t>The</w:t>
      </w:r>
      <w:r w:rsidR="00412AFC" w:rsidRPr="009743AE">
        <w:rPr>
          <w:lang w:val="en-GB"/>
        </w:rPr>
        <w:t xml:space="preserve"> </w:t>
      </w:r>
      <w:hyperlink r:id="rId64" w:history="1">
        <w:r w:rsidR="009743AE" w:rsidRPr="009743AE">
          <w:rPr>
            <w:rStyle w:val="Hiperpovezava"/>
            <w:lang w:val="en-GB"/>
          </w:rPr>
          <w:t>website</w:t>
        </w:r>
      </w:hyperlink>
      <w:r w:rsidR="00ED6DB3" w:rsidRPr="009743AE">
        <w:rPr>
          <w:lang w:val="en-GB"/>
        </w:rPr>
        <w:t xml:space="preserve"> </w:t>
      </w:r>
      <w:r w:rsidR="00412AFC" w:rsidRPr="009743AE">
        <w:rPr>
          <w:lang w:val="en-GB"/>
        </w:rPr>
        <w:t>provides</w:t>
      </w:r>
      <w:r w:rsidR="00412AFC" w:rsidRPr="00CD2EEF">
        <w:rPr>
          <w:lang w:val="en-GB"/>
        </w:rPr>
        <w:t xml:space="preserve"> information on authorised experts in various fields addressing specific questions of radiation and nuclear safety.</w:t>
      </w:r>
    </w:p>
    <w:p w14:paraId="5553E4B9" w14:textId="77777777" w:rsidR="00412AFC" w:rsidRPr="00CD2EEF" w:rsidRDefault="00412AFC" w:rsidP="00F47C97">
      <w:pPr>
        <w:pStyle w:val="LPnaslovkrepko"/>
        <w:rPr>
          <w:rStyle w:val="LPnavadenkrepko"/>
          <w:b/>
          <w:lang w:val="en-GB"/>
        </w:rPr>
      </w:pPr>
      <w:r w:rsidRPr="00CD2EEF">
        <w:rPr>
          <w:rStyle w:val="LPnavadenkrepko"/>
          <w:b/>
          <w:lang w:val="en-GB"/>
        </w:rPr>
        <w:t>Approved Radiation Protection Experts</w:t>
      </w:r>
    </w:p>
    <w:p w14:paraId="0E7A6480" w14:textId="77777777" w:rsidR="00412AFC" w:rsidRPr="00CD2EEF" w:rsidRDefault="00412AFC" w:rsidP="006C2E25">
      <w:pPr>
        <w:pStyle w:val="LPnavaden"/>
        <w:rPr>
          <w:lang w:val="en-GB"/>
        </w:rPr>
      </w:pPr>
      <w:r w:rsidRPr="00CD2EEF">
        <w:rPr>
          <w:lang w:val="en-GB"/>
        </w:rPr>
        <w:t xml:space="preserve">The ZVISJV-1 determines the operation of several types of authorised organisations and experts in the field of radiation protection, authorised by the SRPA. The </w:t>
      </w:r>
      <w:r w:rsidRPr="00CD2EEF">
        <w:rPr>
          <w:rStyle w:val="LPnavadenpoevno"/>
          <w:lang w:val="en-GB"/>
        </w:rPr>
        <w:t>Rules on the Authorisation of Radiation Protection Experts</w:t>
      </w:r>
      <w:r w:rsidRPr="00CD2EEF">
        <w:rPr>
          <w:lang w:val="en-GB"/>
        </w:rPr>
        <w:t xml:space="preserve"> (Official Gazette of the Republic of Slovenia, No. 47/18) and the </w:t>
      </w:r>
      <w:r w:rsidRPr="00CD2EEF">
        <w:rPr>
          <w:rStyle w:val="LPnavadenpoevno"/>
          <w:lang w:val="en-GB"/>
        </w:rPr>
        <w:t>Rules on the Authorisation of Contractors of Professional Tasks in the Field of Ionising Radiation</w:t>
      </w:r>
      <w:r w:rsidRPr="00CD2EEF">
        <w:rPr>
          <w:lang w:val="en-GB"/>
        </w:rPr>
        <w:t xml:space="preserve"> (Official Gazette of the Republic of Slovenia, No. 39/18) determine the method of authorisation and the conditions for obtaining authorisations and also the requirements for the accreditation of laboratories according to the SIST EN ISO/IEC 17025 standard.</w:t>
      </w:r>
    </w:p>
    <w:p w14:paraId="086E4D6F" w14:textId="09DD1CE4" w:rsidR="00412AFC" w:rsidRPr="00CD2EEF" w:rsidRDefault="00412AFC" w:rsidP="006C2E25">
      <w:pPr>
        <w:pStyle w:val="LPnavaden"/>
        <w:rPr>
          <w:lang w:val="en-GB"/>
        </w:rPr>
      </w:pPr>
      <w:r w:rsidRPr="00CD2EEF">
        <w:rPr>
          <w:lang w:val="en-GB"/>
        </w:rPr>
        <w:t>In accordance with the ZVISJV-1, special expert commissions were appointed to verify</w:t>
      </w:r>
      <w:r w:rsidR="00E04B2D">
        <w:rPr>
          <w:lang w:val="en-GB"/>
        </w:rPr>
        <w:t xml:space="preserve"> the</w:t>
      </w:r>
      <w:r w:rsidRPr="00CD2EEF">
        <w:rPr>
          <w:lang w:val="en-GB"/>
        </w:rPr>
        <w:t xml:space="preserve"> fulfilment of the conditions for performing the tasks of authorised experts for a period of five years, which began their work in 2006. In 2020, the Minister of Health reappointed the</w:t>
      </w:r>
      <w:r w:rsidR="00E04B2D">
        <w:rPr>
          <w:lang w:val="en-GB"/>
        </w:rPr>
        <w:t>se</w:t>
      </w:r>
      <w:r w:rsidRPr="00CD2EEF">
        <w:rPr>
          <w:lang w:val="en-GB"/>
        </w:rPr>
        <w:t xml:space="preserve"> commissions to continue their work.</w:t>
      </w:r>
    </w:p>
    <w:p w14:paraId="0A9D4104" w14:textId="77777777" w:rsidR="00412AFC" w:rsidRPr="00CD2EEF" w:rsidRDefault="00412AFC" w:rsidP="006C2E25">
      <w:pPr>
        <w:pStyle w:val="LPnavaden"/>
        <w:rPr>
          <w:lang w:val="en-GB"/>
        </w:rPr>
      </w:pPr>
      <w:r w:rsidRPr="00CD2EEF">
        <w:rPr>
          <w:lang w:val="en-GB"/>
        </w:rPr>
        <w:lastRenderedPageBreak/>
        <w:t xml:space="preserve">The lists of authorised organisations and experts are available on the </w:t>
      </w:r>
      <w:hyperlink r:id="rId65" w:history="1">
        <w:r w:rsidRPr="00CD2EEF">
          <w:rPr>
            <w:rStyle w:val="Hiperpovezava"/>
            <w:lang w:val="en-GB"/>
          </w:rPr>
          <w:t>SRPA website</w:t>
        </w:r>
      </w:hyperlink>
      <w:r w:rsidRPr="00CD2EEF">
        <w:rPr>
          <w:lang w:val="en-GB"/>
        </w:rPr>
        <w:t xml:space="preserve">. </w:t>
      </w:r>
    </w:p>
    <w:p w14:paraId="4DD3F7F1" w14:textId="6F12601E" w:rsidR="00412AFC" w:rsidRPr="00CD2EEF" w:rsidRDefault="00412AFC" w:rsidP="006C2E25">
      <w:pPr>
        <w:pStyle w:val="LPnaslovkrepko"/>
        <w:rPr>
          <w:rStyle w:val="LPnavadenkrepko"/>
          <w:b/>
          <w:lang w:val="en-GB"/>
        </w:rPr>
      </w:pPr>
      <w:r w:rsidRPr="00CD2EEF">
        <w:rPr>
          <w:rStyle w:val="LPnavadenkrepko"/>
          <w:b/>
          <w:lang w:val="en-GB"/>
        </w:rPr>
        <w:t>Approved Dosimetry Services</w:t>
      </w:r>
    </w:p>
    <w:p w14:paraId="20ED484C" w14:textId="563B174F" w:rsidR="00412AFC" w:rsidRPr="00CD2EEF" w:rsidRDefault="00412AFC" w:rsidP="005244FD">
      <w:pPr>
        <w:pStyle w:val="LPnavaden"/>
        <w:rPr>
          <w:lang w:val="en-GB"/>
        </w:rPr>
      </w:pPr>
      <w:r w:rsidRPr="00CD2EEF">
        <w:rPr>
          <w:lang w:val="en-GB"/>
        </w:rPr>
        <w:t>Approved dosimetry services perform tasks related to the monitoring of individual exposures to ionising radiation. An approval can only be granted to legal entities that employ appropriate experts and have at their disposal appropriate measuring methods that meet the SIST EN ISO/IEC 17025 standard.</w:t>
      </w:r>
      <w:r w:rsidR="008A1E6B">
        <w:rPr>
          <w:lang w:val="en-GB"/>
        </w:rPr>
        <w:t xml:space="preserve"> </w:t>
      </w:r>
      <w:r w:rsidRPr="00CD2EEF">
        <w:rPr>
          <w:lang w:val="en-GB"/>
        </w:rPr>
        <w:t xml:space="preserve">In 2021, the </w:t>
      </w:r>
      <w:r w:rsidR="0002222A" w:rsidRPr="00CD2EEF">
        <w:rPr>
          <w:lang w:val="en-GB"/>
        </w:rPr>
        <w:t>SRPA</w:t>
      </w:r>
      <w:r w:rsidRPr="00CD2EEF">
        <w:rPr>
          <w:lang w:val="en-GB"/>
        </w:rPr>
        <w:t xml:space="preserve"> </w:t>
      </w:r>
      <w:r w:rsidR="00D61D48">
        <w:rPr>
          <w:lang w:val="en-GB"/>
        </w:rPr>
        <w:t>did</w:t>
      </w:r>
      <w:r w:rsidR="00D61D48" w:rsidRPr="00CD2EEF">
        <w:rPr>
          <w:lang w:val="en-GB"/>
        </w:rPr>
        <w:t xml:space="preserve"> not issue any </w:t>
      </w:r>
      <w:r w:rsidRPr="00CD2EEF">
        <w:rPr>
          <w:lang w:val="en-GB"/>
        </w:rPr>
        <w:t>authorisation</w:t>
      </w:r>
      <w:r w:rsidR="00D61D48">
        <w:rPr>
          <w:lang w:val="en-GB"/>
        </w:rPr>
        <w:t>s</w:t>
      </w:r>
      <w:r w:rsidRPr="00CD2EEF">
        <w:rPr>
          <w:lang w:val="en-GB"/>
        </w:rPr>
        <w:t xml:space="preserve"> for dosimetry.</w:t>
      </w:r>
    </w:p>
    <w:p w14:paraId="49FB532A" w14:textId="77777777" w:rsidR="00412AFC" w:rsidRPr="00CD2EEF" w:rsidRDefault="00412AFC" w:rsidP="00F47C97">
      <w:pPr>
        <w:pStyle w:val="LPnaslovkrepko"/>
        <w:rPr>
          <w:lang w:val="en-GB"/>
        </w:rPr>
      </w:pPr>
      <w:r w:rsidRPr="00CD2EEF">
        <w:rPr>
          <w:lang w:val="en-GB"/>
        </w:rPr>
        <w:t>Approved Medical Physics Experts</w:t>
      </w:r>
    </w:p>
    <w:p w14:paraId="5ACD2DD8" w14:textId="1A23A41C" w:rsidR="00412AFC" w:rsidRPr="00CD2EEF" w:rsidRDefault="00412AFC" w:rsidP="005244FD">
      <w:pPr>
        <w:pStyle w:val="LPnavaden"/>
        <w:rPr>
          <w:lang w:val="en-GB"/>
        </w:rPr>
      </w:pPr>
      <w:r w:rsidRPr="00CD2EEF">
        <w:rPr>
          <w:lang w:val="en-GB"/>
        </w:rPr>
        <w:t>Approved medical physics experts provide advice on the optimisation, measurement, and evaluation of the irradiation of patients, the development, planning, and use of radiological procedures and equipment, and ensur</w:t>
      </w:r>
      <w:r w:rsidR="00F20465">
        <w:rPr>
          <w:lang w:val="en-GB"/>
        </w:rPr>
        <w:t>e</w:t>
      </w:r>
      <w:r w:rsidRPr="00CD2EEF">
        <w:rPr>
          <w:lang w:val="en-GB"/>
        </w:rPr>
        <w:t xml:space="preserve"> and verify the quality of radiological procedures in medicine. Only natural persons can become approved medical physics experts.</w:t>
      </w:r>
      <w:r w:rsidR="0002222A" w:rsidRPr="00CD2EEF">
        <w:rPr>
          <w:lang w:val="en-GB"/>
        </w:rPr>
        <w:t xml:space="preserve"> </w:t>
      </w:r>
      <w:r w:rsidRPr="00CD2EEF">
        <w:rPr>
          <w:lang w:val="en-GB"/>
        </w:rPr>
        <w:t xml:space="preserve">In 2021, </w:t>
      </w:r>
      <w:r w:rsidR="009078CD">
        <w:rPr>
          <w:lang w:val="en-GB"/>
        </w:rPr>
        <w:t xml:space="preserve">the </w:t>
      </w:r>
      <w:r w:rsidRPr="00CD2EEF">
        <w:rPr>
          <w:lang w:val="en-GB"/>
        </w:rPr>
        <w:t>SRPA issued 8 approvals for medical physics experts.</w:t>
      </w:r>
    </w:p>
    <w:p w14:paraId="0C649D60" w14:textId="77777777" w:rsidR="00412AFC" w:rsidRPr="00CD2EEF" w:rsidRDefault="00412AFC" w:rsidP="00F47C97">
      <w:pPr>
        <w:pStyle w:val="LPnavaden"/>
        <w:rPr>
          <w:color w:val="7030A0"/>
          <w:sz w:val="2"/>
          <w:szCs w:val="2"/>
          <w:lang w:val="en-GB"/>
        </w:rPr>
      </w:pPr>
    </w:p>
    <w:p w14:paraId="0AF6208E" w14:textId="77777777" w:rsidR="00412AFC" w:rsidRPr="00CD2EEF" w:rsidRDefault="00412AFC" w:rsidP="00F47C97">
      <w:pPr>
        <w:pStyle w:val="LPnaslovkrepko"/>
        <w:rPr>
          <w:lang w:val="en-GB"/>
        </w:rPr>
      </w:pPr>
      <w:r w:rsidRPr="00CD2EEF">
        <w:rPr>
          <w:lang w:val="en-GB"/>
        </w:rPr>
        <w:t>Approved Medical Practitioners</w:t>
      </w:r>
    </w:p>
    <w:p w14:paraId="1F4B8F4D" w14:textId="77777777" w:rsidR="00412AFC" w:rsidRPr="00CD2EEF" w:rsidRDefault="00412AFC" w:rsidP="00F47C97">
      <w:pPr>
        <w:pStyle w:val="LPnavaden"/>
        <w:rPr>
          <w:lang w:val="en-GB"/>
        </w:rPr>
      </w:pPr>
      <w:r w:rsidRPr="00CD2EEF">
        <w:rPr>
          <w:lang w:val="en-GB"/>
        </w:rPr>
        <w:t>Approved medical practitioners carry out the medical monitoring of exposed workers. An approval is issued by the Minister of Health on the recommendation of the SRPA and the Expanded Professional Collegium of Occupational Medicine.</w:t>
      </w:r>
    </w:p>
    <w:p w14:paraId="30C53ACA" w14:textId="77777777" w:rsidR="00412AFC" w:rsidRPr="00CD2EEF" w:rsidRDefault="00412AFC" w:rsidP="005244FD">
      <w:pPr>
        <w:pStyle w:val="LPnavaden"/>
        <w:rPr>
          <w:lang w:val="en-GB"/>
        </w:rPr>
      </w:pPr>
      <w:r w:rsidRPr="00CD2EEF">
        <w:rPr>
          <w:lang w:val="en-GB"/>
        </w:rPr>
        <w:t xml:space="preserve">In 2021, no opinions on eligibility for carrying out the medical monitoring of exposed workers were issued. </w:t>
      </w:r>
    </w:p>
    <w:p w14:paraId="196D2B9B" w14:textId="77777777" w:rsidR="00412AFC" w:rsidRPr="00CD2EEF" w:rsidRDefault="00412AFC" w:rsidP="00F47C97">
      <w:pPr>
        <w:pStyle w:val="LPnavaden"/>
        <w:rPr>
          <w:sz w:val="2"/>
          <w:szCs w:val="2"/>
          <w:lang w:val="en-GB"/>
        </w:rPr>
      </w:pPr>
    </w:p>
    <w:p w14:paraId="0C2E9315" w14:textId="77777777" w:rsidR="00412AFC" w:rsidRPr="00CD2EEF" w:rsidRDefault="00412AFC" w:rsidP="00F47C97">
      <w:pPr>
        <w:pStyle w:val="LPnaslovkrepko"/>
        <w:rPr>
          <w:lang w:val="en-GB"/>
        </w:rPr>
      </w:pPr>
      <w:r w:rsidRPr="00CD2EEF">
        <w:rPr>
          <w:lang w:val="en-GB"/>
        </w:rPr>
        <w:t>Approved radon measurement institutions</w:t>
      </w:r>
    </w:p>
    <w:p w14:paraId="71CD41D3" w14:textId="77777777" w:rsidR="00412AFC" w:rsidRPr="00CD2EEF" w:rsidRDefault="00412AFC" w:rsidP="00F57737">
      <w:pPr>
        <w:pStyle w:val="LPnavaden"/>
        <w:rPr>
          <w:szCs w:val="24"/>
          <w:lang w:val="en-GB"/>
        </w:rPr>
      </w:pPr>
      <w:bookmarkStart w:id="405" w:name="_Toc14773868"/>
      <w:r w:rsidRPr="00CD2EEF">
        <w:rPr>
          <w:szCs w:val="24"/>
          <w:lang w:val="en-GB"/>
        </w:rPr>
        <w:t xml:space="preserve">The IRPNSA-1 and the </w:t>
      </w:r>
      <w:r w:rsidRPr="00CD2EEF">
        <w:rPr>
          <w:rStyle w:val="LPnavadenposevnoZnak"/>
          <w:lang w:val="en-GB"/>
        </w:rPr>
        <w:t>Decree on the National Radon Programme Regulation</w:t>
      </w:r>
      <w:r w:rsidRPr="00CD2EEF">
        <w:rPr>
          <w:szCs w:val="24"/>
          <w:lang w:val="en-GB"/>
        </w:rPr>
        <w:t xml:space="preserve"> (Official Gazette RS, Nos. 18/18 and 86/18) define a special approval for institutions carrying out the governmental Programme of Systematic Surveillance and Measurement of Radon. The requirements for obtaining an approval are defined in more detail in the </w:t>
      </w:r>
      <w:r w:rsidRPr="00CD2EEF">
        <w:rPr>
          <w:rStyle w:val="LPnavadenposevnoZnak"/>
          <w:lang w:val="en-GB"/>
        </w:rPr>
        <w:t>Rules on approving experts performing professional tasks in the field of ionising radiation</w:t>
      </w:r>
      <w:r w:rsidRPr="00CD2EEF">
        <w:rPr>
          <w:szCs w:val="24"/>
          <w:lang w:val="en-GB"/>
        </w:rPr>
        <w:t xml:space="preserve"> (Official Gazette RS, No. 39/18). </w:t>
      </w:r>
    </w:p>
    <w:p w14:paraId="6A633A81" w14:textId="3B35160D" w:rsidR="00412AFC" w:rsidRPr="00CD2EEF" w:rsidRDefault="00412AFC" w:rsidP="005244FD">
      <w:pPr>
        <w:pStyle w:val="LPnavaden"/>
        <w:rPr>
          <w:szCs w:val="24"/>
          <w:lang w:val="en-GB"/>
        </w:rPr>
      </w:pPr>
      <w:r w:rsidRPr="00CD2EEF">
        <w:rPr>
          <w:szCs w:val="24"/>
          <w:lang w:val="en-GB"/>
        </w:rPr>
        <w:t xml:space="preserve">In 2021, </w:t>
      </w:r>
      <w:r w:rsidR="009078CD">
        <w:rPr>
          <w:szCs w:val="24"/>
          <w:lang w:val="en-GB"/>
        </w:rPr>
        <w:t xml:space="preserve">the </w:t>
      </w:r>
      <w:r w:rsidRPr="00CD2EEF">
        <w:rPr>
          <w:szCs w:val="24"/>
          <w:lang w:val="en-GB"/>
        </w:rPr>
        <w:t xml:space="preserve">SRPA issued approval to perform radon measurements to the JSI. </w:t>
      </w:r>
    </w:p>
    <w:p w14:paraId="4F5B4446" w14:textId="77777777" w:rsidR="00AE4965" w:rsidRPr="00CD2EEF" w:rsidRDefault="00AE4965" w:rsidP="00AE4965">
      <w:pPr>
        <w:pStyle w:val="LPviri"/>
        <w:rPr>
          <w:lang w:val="en-GB"/>
        </w:rPr>
      </w:pPr>
      <w:r w:rsidRPr="00CD2EEF">
        <w:rPr>
          <w:lang w:val="en-GB"/>
        </w:rPr>
        <w:t>Reference: [</w:t>
      </w:r>
      <w:hyperlink w:anchor="r15" w:history="1">
        <w:r w:rsidRPr="00CD2EEF">
          <w:rPr>
            <w:rStyle w:val="Hiperpovezava"/>
            <w:lang w:val="en-GB"/>
          </w:rPr>
          <w:t>15</w:t>
        </w:r>
      </w:hyperlink>
      <w:r w:rsidRPr="00CD2EEF">
        <w:rPr>
          <w:lang w:val="en-GB"/>
        </w:rPr>
        <w:t>]</w:t>
      </w:r>
    </w:p>
    <w:p w14:paraId="3D4A451E" w14:textId="77777777" w:rsidR="00412AFC" w:rsidRPr="00CD2EEF" w:rsidRDefault="00412AFC" w:rsidP="00F57737">
      <w:pPr>
        <w:pStyle w:val="LPNaslov2"/>
        <w:rPr>
          <w:lang w:val="en-GB"/>
        </w:rPr>
      </w:pPr>
      <w:bookmarkStart w:id="406" w:name="_Toc126312046"/>
      <w:bookmarkEnd w:id="405"/>
      <w:r w:rsidRPr="00CD2EEF">
        <w:rPr>
          <w:lang w:val="en-GB"/>
        </w:rPr>
        <w:t>THE NUCLEAR INSURANCE AND REINSURANCE POOL</w:t>
      </w:r>
      <w:bookmarkEnd w:id="406"/>
    </w:p>
    <w:p w14:paraId="654A750D" w14:textId="49663BFC" w:rsidR="00412AFC" w:rsidRPr="00CD2EEF" w:rsidRDefault="00412AFC" w:rsidP="005244FD">
      <w:pPr>
        <w:pStyle w:val="LPnavaden"/>
        <w:rPr>
          <w:lang w:val="en-GB"/>
        </w:rPr>
      </w:pPr>
      <w:r w:rsidRPr="00CD2EEF">
        <w:rPr>
          <w:lang w:val="en-GB"/>
        </w:rPr>
        <w:t xml:space="preserve">The Nuclear Insurance and Reinsurance Pool (hereinafter: Nuclear Pool GIZ) insures and reinsures against nuclear threats. The Nuclear Pool GIZ operates as an economic interest association (GIZ). It was founded in 1994, when eight members (insurance companies and a reinsurance company based in the Republic of Slovenia) signed the </w:t>
      </w:r>
      <w:r w:rsidRPr="0017414F">
        <w:rPr>
          <w:lang w:val="en-GB"/>
        </w:rPr>
        <w:t xml:space="preserve">Agreement on the </w:t>
      </w:r>
      <w:r w:rsidR="0017414F" w:rsidRPr="0017414F">
        <w:rPr>
          <w:lang w:val="en-GB"/>
        </w:rPr>
        <w:t>E</w:t>
      </w:r>
      <w:r w:rsidRPr="0017414F">
        <w:rPr>
          <w:lang w:val="en-GB"/>
        </w:rPr>
        <w:t xml:space="preserve">stablishment of a Pool for the </w:t>
      </w:r>
      <w:r w:rsidR="0017414F" w:rsidRPr="0017414F">
        <w:rPr>
          <w:lang w:val="en-GB"/>
        </w:rPr>
        <w:t>I</w:t>
      </w:r>
      <w:r w:rsidRPr="0017414F">
        <w:rPr>
          <w:lang w:val="en-GB"/>
        </w:rPr>
        <w:t xml:space="preserve">nsurance and </w:t>
      </w:r>
      <w:r w:rsidR="0017414F" w:rsidRPr="0017414F">
        <w:rPr>
          <w:lang w:val="en-GB"/>
        </w:rPr>
        <w:t>R</w:t>
      </w:r>
      <w:r w:rsidRPr="0017414F">
        <w:rPr>
          <w:lang w:val="en-GB"/>
        </w:rPr>
        <w:t xml:space="preserve">einsurance of </w:t>
      </w:r>
      <w:r w:rsidR="0017414F" w:rsidRPr="0017414F">
        <w:rPr>
          <w:lang w:val="en-GB"/>
        </w:rPr>
        <w:t>N</w:t>
      </w:r>
      <w:r w:rsidRPr="0017414F">
        <w:rPr>
          <w:lang w:val="en-GB"/>
        </w:rPr>
        <w:t xml:space="preserve">uclear </w:t>
      </w:r>
      <w:r w:rsidR="0017414F" w:rsidRPr="0017414F">
        <w:rPr>
          <w:lang w:val="en-GB"/>
        </w:rPr>
        <w:t>T</w:t>
      </w:r>
      <w:r w:rsidRPr="0017414F">
        <w:rPr>
          <w:lang w:val="en-GB"/>
        </w:rPr>
        <w:t>hreats.</w:t>
      </w:r>
    </w:p>
    <w:p w14:paraId="747955CD" w14:textId="7E217272" w:rsidR="00412AFC" w:rsidRPr="00CD2EEF" w:rsidRDefault="00412AFC" w:rsidP="005244FD">
      <w:pPr>
        <w:pStyle w:val="LPnavaden"/>
        <w:rPr>
          <w:lang w:val="en-GB"/>
        </w:rPr>
      </w:pPr>
      <w:r w:rsidRPr="00CD2EEF">
        <w:rPr>
          <w:lang w:val="en-GB"/>
        </w:rPr>
        <w:t>In 2021, the members of the Nuclear Pool GIZ were the following (re)insurance companies: Zavarovalnica Triglav, d. d., Pozavarovalnica Sava, d. d., Generali zavarovalnica, d. d., Pozavarovalnica Triglav, Re, d. d., Zavarovalnica Sava, d. d.</w:t>
      </w:r>
      <w:r w:rsidR="00C354D6">
        <w:rPr>
          <w:lang w:val="en-GB"/>
        </w:rPr>
        <w:t>,</w:t>
      </w:r>
      <w:r w:rsidRPr="00CD2EEF">
        <w:rPr>
          <w:lang w:val="en-GB"/>
        </w:rPr>
        <w:t xml:space="preserve"> and Merkur zavarovalnica, d. d.</w:t>
      </w:r>
    </w:p>
    <w:p w14:paraId="6DDD90C2" w14:textId="47093EA7" w:rsidR="00412AFC" w:rsidRPr="00CD2EEF" w:rsidRDefault="00412AFC" w:rsidP="005244FD">
      <w:pPr>
        <w:pStyle w:val="LPnavaden"/>
        <w:rPr>
          <w:lang w:val="en-GB"/>
        </w:rPr>
      </w:pPr>
      <w:r w:rsidRPr="00CD2EEF">
        <w:rPr>
          <w:lang w:val="en-GB"/>
        </w:rPr>
        <w:t xml:space="preserve">In 2021, the following members had the largest shares in the GIZ Nuclear Pool: </w:t>
      </w:r>
      <w:r w:rsidR="00C354D6">
        <w:rPr>
          <w:lang w:val="en-GB"/>
        </w:rPr>
        <w:t xml:space="preserve">the </w:t>
      </w:r>
      <w:r w:rsidRPr="00CD2EEF">
        <w:rPr>
          <w:lang w:val="en-GB"/>
        </w:rPr>
        <w:t xml:space="preserve">insurance company Triglav, d. d., </w:t>
      </w:r>
      <w:r w:rsidR="00C354D6">
        <w:rPr>
          <w:lang w:val="en-GB"/>
        </w:rPr>
        <w:t xml:space="preserve">the </w:t>
      </w:r>
      <w:r w:rsidRPr="00CD2EEF">
        <w:rPr>
          <w:lang w:val="en-GB"/>
        </w:rPr>
        <w:t>reinsurance company Sava, d. d.</w:t>
      </w:r>
      <w:r w:rsidR="00C354D6">
        <w:rPr>
          <w:lang w:val="en-GB"/>
        </w:rPr>
        <w:t>,</w:t>
      </w:r>
      <w:r w:rsidRPr="00CD2EEF">
        <w:rPr>
          <w:lang w:val="en-GB"/>
        </w:rPr>
        <w:t xml:space="preserve"> and </w:t>
      </w:r>
      <w:r w:rsidR="00C354D6">
        <w:rPr>
          <w:lang w:val="en-GB"/>
        </w:rPr>
        <w:t xml:space="preserve">the </w:t>
      </w:r>
      <w:r w:rsidRPr="00CD2EEF">
        <w:rPr>
          <w:lang w:val="en-GB"/>
        </w:rPr>
        <w:t>reinsurance company Triglav Re, d. d.</w:t>
      </w:r>
    </w:p>
    <w:p w14:paraId="680742E8" w14:textId="77777777" w:rsidR="00412AFC" w:rsidRPr="00CD2EEF" w:rsidRDefault="00412AFC" w:rsidP="005244FD">
      <w:pPr>
        <w:pStyle w:val="LPnavaden"/>
        <w:rPr>
          <w:lang w:val="en-GB"/>
        </w:rPr>
      </w:pPr>
      <w:r w:rsidRPr="00CD2EEF">
        <w:rPr>
          <w:lang w:val="en-GB"/>
        </w:rPr>
        <w:lastRenderedPageBreak/>
        <w:t>The Nuclear Pool GIZ insures the domestic nuclear facility and reinsures foreign nuclear facilities within the capacity and shares provided by the members of the Nuclear Pool GIZ for each year.</w:t>
      </w:r>
    </w:p>
    <w:p w14:paraId="799EB5CA" w14:textId="78DC710E" w:rsidR="00412AFC" w:rsidRPr="00CD2EEF" w:rsidRDefault="00412AFC" w:rsidP="005244FD">
      <w:pPr>
        <w:pStyle w:val="LPviri"/>
        <w:rPr>
          <w:lang w:val="en-GB"/>
        </w:rPr>
      </w:pPr>
      <w:r w:rsidRPr="00CD2EEF">
        <w:rPr>
          <w:lang w:val="en-GB"/>
        </w:rPr>
        <w:t>Reference: [</w:t>
      </w:r>
      <w:hyperlink w:anchor="r26" w:history="1">
        <w:r w:rsidRPr="00CD2EEF">
          <w:rPr>
            <w:rStyle w:val="Hiperpovezava"/>
            <w:lang w:val="en-GB"/>
          </w:rPr>
          <w:t>26</w:t>
        </w:r>
      </w:hyperlink>
      <w:r w:rsidRPr="00CD2EEF">
        <w:rPr>
          <w:lang w:val="en-GB"/>
        </w:rPr>
        <w:t>]</w:t>
      </w:r>
    </w:p>
    <w:p w14:paraId="47C5DE96" w14:textId="1F4D9FAB" w:rsidR="00412AFC" w:rsidRPr="00CD2EEF" w:rsidRDefault="00412AFC" w:rsidP="00D86DBC">
      <w:pPr>
        <w:pStyle w:val="LPNaslov1"/>
        <w:rPr>
          <w:lang w:val="en-GB"/>
        </w:rPr>
      </w:pPr>
      <w:bookmarkStart w:id="407" w:name="_Toc126312047"/>
      <w:r w:rsidRPr="00CD2EEF">
        <w:rPr>
          <w:lang w:val="en-GB"/>
        </w:rPr>
        <w:lastRenderedPageBreak/>
        <w:t>NON-PROLIFERATION AND NUCLEAR SECURITY</w:t>
      </w:r>
      <w:bookmarkEnd w:id="407"/>
      <w:r w:rsidR="008A1E6B">
        <w:rPr>
          <w:lang w:val="en-GB"/>
        </w:rPr>
        <w:t xml:space="preserve"> </w:t>
      </w:r>
    </w:p>
    <w:p w14:paraId="0CF90786" w14:textId="01BED4B9" w:rsidR="00412AFC" w:rsidRPr="00CD2EEF" w:rsidRDefault="001E3D12" w:rsidP="00D86DBC">
      <w:pPr>
        <w:pStyle w:val="LPNaslov2"/>
        <w:rPr>
          <w:lang w:val="en-GB"/>
        </w:rPr>
      </w:pPr>
      <w:bookmarkStart w:id="408" w:name="_Toc126312048"/>
      <w:r>
        <w:rPr>
          <w:lang w:val="en-GB"/>
        </w:rPr>
        <w:t xml:space="preserve">THE </w:t>
      </w:r>
      <w:r w:rsidR="00412AFC" w:rsidRPr="00CD2EEF">
        <w:rPr>
          <w:lang w:val="en-GB"/>
        </w:rPr>
        <w:t xml:space="preserve">TREATY </w:t>
      </w:r>
      <w:r w:rsidR="00891B1E">
        <w:rPr>
          <w:lang w:val="en-GB"/>
        </w:rPr>
        <w:t>ON</w:t>
      </w:r>
      <w:r w:rsidR="00891B1E" w:rsidRPr="00CD2EEF">
        <w:rPr>
          <w:lang w:val="en-GB"/>
        </w:rPr>
        <w:t xml:space="preserve"> </w:t>
      </w:r>
      <w:r w:rsidR="00412AFC" w:rsidRPr="00CD2EEF">
        <w:rPr>
          <w:lang w:val="en-GB"/>
        </w:rPr>
        <w:t>THE NON-PROLIFERATION OF NUCLEAR WEAPONS</w:t>
      </w:r>
      <w:bookmarkEnd w:id="408"/>
      <w:r w:rsidR="00412AFC" w:rsidRPr="00CD2EEF">
        <w:rPr>
          <w:lang w:val="en-GB"/>
        </w:rPr>
        <w:t xml:space="preserve"> </w:t>
      </w:r>
    </w:p>
    <w:p w14:paraId="48A249CA" w14:textId="419F2CEE" w:rsidR="00412AFC" w:rsidRPr="00CD2EEF" w:rsidRDefault="00412AFC" w:rsidP="00D86DBC">
      <w:pPr>
        <w:pStyle w:val="LPnavaden"/>
        <w:rPr>
          <w:lang w:val="en-GB"/>
        </w:rPr>
      </w:pPr>
      <w:r w:rsidRPr="00CD2EEF">
        <w:rPr>
          <w:lang w:val="en-GB"/>
        </w:rPr>
        <w:t xml:space="preserve">The </w:t>
      </w:r>
      <w:r w:rsidRPr="00CD2EEF">
        <w:rPr>
          <w:rStyle w:val="LPnavadenposevnoZnak"/>
          <w:lang w:val="en-GB"/>
        </w:rPr>
        <w:t>Treaty on the Non-Proliferation of Nuclear Weapons</w:t>
      </w:r>
      <w:r w:rsidRPr="00CD2EEF">
        <w:rPr>
          <w:lang w:val="en-GB"/>
        </w:rPr>
        <w:t xml:space="preserve"> (hereinafter: NPT) was signed in 1968 and entered into force two years later in 1970. The NPT has three well</w:t>
      </w:r>
      <w:r w:rsidR="001E3D12">
        <w:rPr>
          <w:lang w:val="en-GB"/>
        </w:rPr>
        <w:t>-</w:t>
      </w:r>
      <w:r w:rsidRPr="00CD2EEF">
        <w:rPr>
          <w:lang w:val="en-GB"/>
        </w:rPr>
        <w:t>recognised pillars, namely nuclear disarmament, non-proliferation, and the peaceful use of nuclear energy. The goals of the NPT are to curb the further proliferation of nuclear weapons, to provide security to those countries that have decided not to pursue nuclear weapon capabilities, to ensure conditions for the peaceful use of nuclear energy, as well as to encourage further negotiations that would pave the way for the elimination of nuclear weapons in the future. Based upon</w:t>
      </w:r>
      <w:r w:rsidR="000B7815">
        <w:rPr>
          <w:lang w:val="en-GB"/>
        </w:rPr>
        <w:t xml:space="preserve"> the</w:t>
      </w:r>
      <w:r w:rsidRPr="00CD2EEF">
        <w:rPr>
          <w:lang w:val="en-GB"/>
        </w:rPr>
        <w:t xml:space="preserve"> NPT, the Member States are parties to the </w:t>
      </w:r>
      <w:r w:rsidR="00263D93">
        <w:rPr>
          <w:lang w:val="en-GB"/>
        </w:rPr>
        <w:t>“</w:t>
      </w:r>
      <w:r w:rsidRPr="00CD2EEF">
        <w:rPr>
          <w:lang w:val="en-GB"/>
        </w:rPr>
        <w:t>safeguards agreements</w:t>
      </w:r>
      <w:r w:rsidR="00263D93">
        <w:rPr>
          <w:lang w:val="en-GB"/>
        </w:rPr>
        <w:t>”</w:t>
      </w:r>
      <w:r w:rsidR="000B7815">
        <w:rPr>
          <w:lang w:val="en-GB"/>
        </w:rPr>
        <w:t>,</w:t>
      </w:r>
      <w:r w:rsidRPr="00CD2EEF">
        <w:rPr>
          <w:lang w:val="en-GB"/>
        </w:rPr>
        <w:t xml:space="preserve"> which have been complemented by </w:t>
      </w:r>
      <w:r w:rsidRPr="00B62F3A">
        <w:rPr>
          <w:lang w:val="en-GB"/>
        </w:rPr>
        <w:t xml:space="preserve">the Additional </w:t>
      </w:r>
      <w:r w:rsidR="00B62F3A" w:rsidRPr="0017414F">
        <w:rPr>
          <w:lang w:val="en-GB"/>
        </w:rPr>
        <w:t>P</w:t>
      </w:r>
      <w:r w:rsidRPr="00B62F3A">
        <w:rPr>
          <w:lang w:val="en-GB"/>
        </w:rPr>
        <w:t>rotocols.</w:t>
      </w:r>
      <w:r w:rsidRPr="00CD2EEF">
        <w:rPr>
          <w:lang w:val="en-GB"/>
        </w:rPr>
        <w:t xml:space="preserve"> Every five years, NPT Review Conferences are milestone gatherings where</w:t>
      </w:r>
      <w:r w:rsidR="000B7815">
        <w:rPr>
          <w:lang w:val="en-GB"/>
        </w:rPr>
        <w:t xml:space="preserve"> the</w:t>
      </w:r>
      <w:r w:rsidRPr="00CD2EEF">
        <w:rPr>
          <w:lang w:val="en-GB"/>
        </w:rPr>
        <w:t xml:space="preserve"> successfulness of the implementation of </w:t>
      </w:r>
      <w:r w:rsidR="000B7815">
        <w:rPr>
          <w:lang w:val="en-GB"/>
        </w:rPr>
        <w:t xml:space="preserve">the </w:t>
      </w:r>
      <w:r w:rsidRPr="00CD2EEF">
        <w:rPr>
          <w:lang w:val="en-GB"/>
        </w:rPr>
        <w:t>NPT is addressed, packed together with political and security questions related to nuclear non-proliferation.</w:t>
      </w:r>
    </w:p>
    <w:p w14:paraId="14F5A75F" w14:textId="2BC03FCC" w:rsidR="00412AFC" w:rsidRPr="00CD2EEF" w:rsidRDefault="00412AFC" w:rsidP="00D86DBC">
      <w:pPr>
        <w:pStyle w:val="LPnavaden"/>
        <w:rPr>
          <w:lang w:val="en-GB"/>
        </w:rPr>
      </w:pPr>
      <w:r w:rsidRPr="00CD2EEF">
        <w:rPr>
          <w:lang w:val="en-GB"/>
        </w:rPr>
        <w:t xml:space="preserve">The international community has devoted attention to upholding nuclear non-proliferation. The Slovenian stance on the subject is aligned with the EU position, and all three </w:t>
      </w:r>
      <w:r w:rsidR="00263D93">
        <w:rPr>
          <w:lang w:val="en-GB"/>
        </w:rPr>
        <w:t>“</w:t>
      </w:r>
      <w:r w:rsidRPr="00CD2EEF">
        <w:rPr>
          <w:lang w:val="en-GB"/>
        </w:rPr>
        <w:t>pillars</w:t>
      </w:r>
      <w:r w:rsidR="00263D93">
        <w:rPr>
          <w:lang w:val="en-GB"/>
        </w:rPr>
        <w:t>”</w:t>
      </w:r>
      <w:r w:rsidRPr="00CD2EEF">
        <w:rPr>
          <w:lang w:val="en-GB"/>
        </w:rPr>
        <w:t xml:space="preserve"> of the NPT are considered; furthermore, the Middle East as a Weapons of Mass Destruction Free Zone is important, together with the early entry into force of the </w:t>
      </w:r>
      <w:r w:rsidRPr="00CD2EEF">
        <w:rPr>
          <w:rStyle w:val="LPnavadenposevnoZnak"/>
          <w:lang w:val="en-GB"/>
        </w:rPr>
        <w:t>Comprehensive Nuclear</w:t>
      </w:r>
      <w:r w:rsidR="00984214">
        <w:rPr>
          <w:rStyle w:val="LPnavadenposevnoZnak"/>
          <w:lang w:val="en-GB"/>
        </w:rPr>
        <w:t>-T</w:t>
      </w:r>
      <w:r w:rsidRPr="00CD2EEF">
        <w:rPr>
          <w:rStyle w:val="LPnavadenposevnoZnak"/>
          <w:lang w:val="en-GB"/>
        </w:rPr>
        <w:t>est-Ban Treaty</w:t>
      </w:r>
      <w:r w:rsidRPr="00CD2EEF">
        <w:rPr>
          <w:lang w:val="en-GB"/>
        </w:rPr>
        <w:t xml:space="preserve"> (hereinafter: CTBT), and the universality of the NPT.</w:t>
      </w:r>
    </w:p>
    <w:p w14:paraId="2F22AAF3" w14:textId="3707420D" w:rsidR="00412AFC" w:rsidRPr="00CD2EEF" w:rsidRDefault="00412AFC" w:rsidP="00D86DBC">
      <w:pPr>
        <w:pStyle w:val="LPnavaden"/>
        <w:rPr>
          <w:lang w:val="en-GB"/>
        </w:rPr>
      </w:pPr>
      <w:r w:rsidRPr="00CD2EEF">
        <w:rPr>
          <w:lang w:val="en-GB"/>
        </w:rPr>
        <w:t xml:space="preserve">In 2021, the Slovenian institutions – with Ministry of Foreign Affairs (MFA) as </w:t>
      </w:r>
      <w:r w:rsidR="00107C38">
        <w:rPr>
          <w:lang w:val="en-GB"/>
        </w:rPr>
        <w:t>the</w:t>
      </w:r>
      <w:r w:rsidR="00107C38" w:rsidRPr="00CD2EEF">
        <w:rPr>
          <w:lang w:val="en-GB"/>
        </w:rPr>
        <w:t xml:space="preserve"> </w:t>
      </w:r>
      <w:r w:rsidRPr="00CD2EEF">
        <w:rPr>
          <w:lang w:val="en-GB"/>
        </w:rPr>
        <w:t>coordinator and focal point – in the run-up to the forthcoming 10</w:t>
      </w:r>
      <w:r w:rsidRPr="00CD2EEF">
        <w:rPr>
          <w:vertAlign w:val="superscript"/>
          <w:lang w:val="en-GB"/>
        </w:rPr>
        <w:t>th</w:t>
      </w:r>
      <w:r w:rsidRPr="00CD2EEF">
        <w:rPr>
          <w:lang w:val="en-GB"/>
        </w:rPr>
        <w:t xml:space="preserve"> NPT Review Conference (envisaged in January 2022) reviewed and amended the national report on the implementation of this treaty (i.e. </w:t>
      </w:r>
      <w:r w:rsidR="00263D93">
        <w:rPr>
          <w:rStyle w:val="LPnavadenposevnoZnak"/>
          <w:lang w:val="en-GB"/>
        </w:rPr>
        <w:t>“</w:t>
      </w:r>
      <w:r w:rsidRPr="00CD2EEF">
        <w:rPr>
          <w:rStyle w:val="LPnavadenposevnoZnak"/>
          <w:lang w:val="en-GB"/>
        </w:rPr>
        <w:t>Implementation of the Action Plan of the 2010 Review Conference of the Parties to the Treaty on the Non</w:t>
      </w:r>
      <w:r w:rsidR="00851F00">
        <w:rPr>
          <w:rStyle w:val="LPnavadenposevnoZnak"/>
          <w:lang w:val="en-GB"/>
        </w:rPr>
        <w:t>-</w:t>
      </w:r>
      <w:r w:rsidRPr="00CD2EEF">
        <w:rPr>
          <w:rStyle w:val="LPnavadenposevnoZnak"/>
          <w:lang w:val="en-GB"/>
        </w:rPr>
        <w:t>Proliferation of Nuclear Weapons, Report</w:t>
      </w:r>
      <w:r w:rsidR="00263D93">
        <w:rPr>
          <w:rStyle w:val="LPnavadenposevnoZnak"/>
          <w:lang w:val="en-GB"/>
        </w:rPr>
        <w:t>”</w:t>
      </w:r>
      <w:r w:rsidRPr="00CD2EEF">
        <w:rPr>
          <w:lang w:val="en-GB"/>
        </w:rPr>
        <w:t xml:space="preserve"> submitted by Slovenia). Preparatory work for this important conference was followed also by the EU (</w:t>
      </w:r>
      <w:r w:rsidR="00107C38">
        <w:rPr>
          <w:lang w:val="en-GB"/>
        </w:rPr>
        <w:t xml:space="preserve">the </w:t>
      </w:r>
      <w:r w:rsidRPr="00CD2EEF">
        <w:rPr>
          <w:lang w:val="en-GB"/>
        </w:rPr>
        <w:t>Working Party on Non-Proliferation and Arms Exports – it subgroup on non-proliferation and disarmament (CONOP))</w:t>
      </w:r>
      <w:r w:rsidR="00E63423">
        <w:rPr>
          <w:lang w:val="en-GB"/>
        </w:rPr>
        <w:t>. The SNSA</w:t>
      </w:r>
      <w:r w:rsidRPr="00CD2EEF">
        <w:rPr>
          <w:lang w:val="en-GB"/>
        </w:rPr>
        <w:t xml:space="preserve"> followed the issues from the capital (and </w:t>
      </w:r>
      <w:r w:rsidR="00107C38">
        <w:rPr>
          <w:lang w:val="en-GB"/>
        </w:rPr>
        <w:t xml:space="preserve">the </w:t>
      </w:r>
      <w:r w:rsidRPr="00CD2EEF">
        <w:rPr>
          <w:lang w:val="en-GB"/>
        </w:rPr>
        <w:t xml:space="preserve">MFA actively, throughout the year). </w:t>
      </w:r>
    </w:p>
    <w:p w14:paraId="6004F209" w14:textId="161758CC" w:rsidR="00412AFC" w:rsidRPr="00CD2EEF" w:rsidRDefault="00412AFC" w:rsidP="00FF387D">
      <w:pPr>
        <w:pStyle w:val="LPviri"/>
        <w:rPr>
          <w:lang w:val="en-GB"/>
        </w:rPr>
      </w:pPr>
      <w:r w:rsidRPr="00CD2EEF">
        <w:rPr>
          <w:lang w:val="en-GB"/>
        </w:rPr>
        <w:t>References: [</w:t>
      </w:r>
      <w:hyperlink w:anchor="r27" w:history="1">
        <w:r w:rsidRPr="00CD2EEF">
          <w:rPr>
            <w:rStyle w:val="Hiperpovezava"/>
            <w:lang w:val="en-GB"/>
          </w:rPr>
          <w:t>27</w:t>
        </w:r>
      </w:hyperlink>
      <w:r w:rsidRPr="00CD2EEF">
        <w:rPr>
          <w:lang w:val="en-GB"/>
        </w:rPr>
        <w:t>], [</w:t>
      </w:r>
      <w:hyperlink w:anchor="r28" w:history="1">
        <w:r w:rsidRPr="00CD2EEF">
          <w:rPr>
            <w:rStyle w:val="Hiperpovezava"/>
            <w:lang w:val="en-GB"/>
          </w:rPr>
          <w:t>28</w:t>
        </w:r>
      </w:hyperlink>
      <w:r w:rsidRPr="00CD2EEF">
        <w:rPr>
          <w:lang w:val="en-GB"/>
        </w:rPr>
        <w:t>], [</w:t>
      </w:r>
      <w:hyperlink w:anchor="r29" w:history="1">
        <w:r w:rsidRPr="00CD2EEF">
          <w:rPr>
            <w:rStyle w:val="Hiperpovezava"/>
            <w:lang w:val="en-GB"/>
          </w:rPr>
          <w:t>29</w:t>
        </w:r>
      </w:hyperlink>
      <w:r w:rsidRPr="00CD2EEF">
        <w:rPr>
          <w:lang w:val="en-GB"/>
        </w:rPr>
        <w:t>], [</w:t>
      </w:r>
      <w:hyperlink w:anchor="r30" w:history="1">
        <w:r w:rsidRPr="00CD2EEF">
          <w:rPr>
            <w:rStyle w:val="Hiperpovezava"/>
            <w:lang w:val="en-GB"/>
          </w:rPr>
          <w:t>30</w:t>
        </w:r>
      </w:hyperlink>
      <w:r w:rsidRPr="00CD2EEF">
        <w:rPr>
          <w:lang w:val="en-GB"/>
        </w:rPr>
        <w:t>], [</w:t>
      </w:r>
      <w:hyperlink w:anchor="r31" w:history="1">
        <w:r w:rsidRPr="00CD2EEF">
          <w:rPr>
            <w:rStyle w:val="Hiperpovezava"/>
            <w:lang w:val="en-GB"/>
          </w:rPr>
          <w:t>31</w:t>
        </w:r>
      </w:hyperlink>
      <w:r w:rsidRPr="00CD2EEF">
        <w:rPr>
          <w:lang w:val="en-GB"/>
        </w:rPr>
        <w:t>], [</w:t>
      </w:r>
      <w:hyperlink w:anchor="r32" w:history="1">
        <w:r w:rsidRPr="00CD2EEF">
          <w:rPr>
            <w:rStyle w:val="Hiperpovezava"/>
            <w:lang w:val="en-GB"/>
          </w:rPr>
          <w:t>32</w:t>
        </w:r>
      </w:hyperlink>
      <w:r w:rsidRPr="00CD2EEF">
        <w:rPr>
          <w:lang w:val="en-GB"/>
        </w:rPr>
        <w:t>], [</w:t>
      </w:r>
      <w:hyperlink w:anchor="r33" w:history="1">
        <w:r w:rsidRPr="00CD2EEF">
          <w:rPr>
            <w:rStyle w:val="Hiperpovezava"/>
            <w:lang w:val="en-GB"/>
          </w:rPr>
          <w:t>33</w:t>
        </w:r>
      </w:hyperlink>
      <w:r w:rsidRPr="00CD2EEF">
        <w:rPr>
          <w:lang w:val="en-GB"/>
        </w:rPr>
        <w:t>], [</w:t>
      </w:r>
      <w:hyperlink w:anchor="r34" w:history="1">
        <w:r w:rsidRPr="00CD2EEF">
          <w:rPr>
            <w:rStyle w:val="Hiperpovezava"/>
            <w:lang w:val="en-GB"/>
          </w:rPr>
          <w:t>34</w:t>
        </w:r>
      </w:hyperlink>
      <w:r w:rsidRPr="00CD2EEF">
        <w:rPr>
          <w:lang w:val="en-GB"/>
        </w:rPr>
        <w:t>], [</w:t>
      </w:r>
      <w:hyperlink w:anchor="r35" w:history="1">
        <w:r w:rsidRPr="00CD2EEF">
          <w:rPr>
            <w:rStyle w:val="Hiperpovezava"/>
            <w:lang w:val="en-GB"/>
          </w:rPr>
          <w:t>35</w:t>
        </w:r>
      </w:hyperlink>
      <w:r w:rsidRPr="00CD2EEF">
        <w:rPr>
          <w:lang w:val="en-GB"/>
        </w:rPr>
        <w:t>], [</w:t>
      </w:r>
      <w:hyperlink w:anchor="r36" w:history="1">
        <w:r w:rsidRPr="00CD2EEF">
          <w:rPr>
            <w:rStyle w:val="Hiperpovezava"/>
            <w:lang w:val="en-GB"/>
          </w:rPr>
          <w:t>36</w:t>
        </w:r>
      </w:hyperlink>
      <w:r w:rsidRPr="00CD2EEF">
        <w:rPr>
          <w:lang w:val="en-GB"/>
        </w:rPr>
        <w:t>], [</w:t>
      </w:r>
      <w:hyperlink w:anchor="r37" w:history="1">
        <w:r w:rsidRPr="00CD2EEF">
          <w:rPr>
            <w:rStyle w:val="Hiperpovezava"/>
            <w:lang w:val="en-GB"/>
          </w:rPr>
          <w:t>37</w:t>
        </w:r>
      </w:hyperlink>
      <w:r w:rsidRPr="00CD2EEF">
        <w:rPr>
          <w:lang w:val="en-GB"/>
        </w:rPr>
        <w:t>]</w:t>
      </w:r>
    </w:p>
    <w:p w14:paraId="38C6213B" w14:textId="2C7DBAE0" w:rsidR="00412AFC" w:rsidRPr="00CD2EEF" w:rsidRDefault="00412AFC" w:rsidP="00D86DBC">
      <w:pPr>
        <w:pStyle w:val="LPNaslov2"/>
        <w:rPr>
          <w:lang w:val="en-GB"/>
        </w:rPr>
      </w:pPr>
      <w:bookmarkStart w:id="409" w:name="_Toc126312049"/>
      <w:r w:rsidRPr="00CD2EEF">
        <w:rPr>
          <w:lang w:val="en-GB"/>
        </w:rPr>
        <w:t>COMPREHENSIVE NUCLEAR</w:t>
      </w:r>
      <w:r w:rsidR="00B52643">
        <w:rPr>
          <w:lang w:val="en-GB"/>
        </w:rPr>
        <w:t>-</w:t>
      </w:r>
      <w:r w:rsidRPr="00CD2EEF">
        <w:rPr>
          <w:lang w:val="en-GB"/>
        </w:rPr>
        <w:t>TEST-BAN TREATY</w:t>
      </w:r>
      <w:bookmarkEnd w:id="409"/>
    </w:p>
    <w:p w14:paraId="23F5A5BC" w14:textId="62B53CFE" w:rsidR="00412AFC" w:rsidRPr="00CD2EEF" w:rsidRDefault="00412AFC" w:rsidP="00D86DBC">
      <w:pPr>
        <w:pStyle w:val="LPnavaden"/>
        <w:rPr>
          <w:lang w:val="en-GB"/>
        </w:rPr>
      </w:pPr>
      <w:bookmarkStart w:id="410" w:name="_Hlk511117717"/>
      <w:bookmarkStart w:id="411" w:name="_Hlk66096661"/>
      <w:r w:rsidRPr="00CD2EEF">
        <w:rPr>
          <w:lang w:val="en-GB"/>
        </w:rPr>
        <w:t xml:space="preserve">The CTBT forbids all nuclear weapons-related tests. The CTBT Organisation (CTBTO) has been setting up a global supervisory system, based upon numerous monitoring stations, which transmits (via communication satellites) the data thereof into a special data centre. Slovenia signed the treaty back in 1996 and ratified it in 1999. Currently, there are 185 states that have signed the treaty, 170 of which have also ratified it (no changes since last year; </w:t>
      </w:r>
      <w:r w:rsidR="00851F00">
        <w:rPr>
          <w:lang w:val="en-GB"/>
        </w:rPr>
        <w:t>furthermore</w:t>
      </w:r>
      <w:r w:rsidRPr="00CD2EEF">
        <w:rPr>
          <w:lang w:val="en-GB"/>
        </w:rPr>
        <w:t xml:space="preserve">, the International Monitoring System (IMS) network has currently as many as 302 stations). In addition to the detection of nuclear tests, monitoring stations can also be used for other civil purposes, e.g. in order to detect tsunamis. The pivotal challenge of the CTBTO – whose new Executive Secretary </w:t>
      </w:r>
      <w:r w:rsidR="00851F00">
        <w:rPr>
          <w:lang w:val="en-GB"/>
        </w:rPr>
        <w:t>is</w:t>
      </w:r>
      <w:r w:rsidRPr="00CD2EEF">
        <w:rPr>
          <w:lang w:val="en-GB"/>
        </w:rPr>
        <w:t xml:space="preserve"> the renown</w:t>
      </w:r>
      <w:r w:rsidR="00851F00">
        <w:rPr>
          <w:lang w:val="en-GB"/>
        </w:rPr>
        <w:t>ed</w:t>
      </w:r>
      <w:r w:rsidRPr="00CD2EEF">
        <w:rPr>
          <w:lang w:val="en-GB"/>
        </w:rPr>
        <w:t xml:space="preserve"> nuclear expert, Robert Floyd – is that the CTBT has yet to enter into force. This will change only after it is ratified by the remaining 8 out of 44 countries listed in Annex II of the Treaty. Despite its non-universality, the CTBT has positively contributed to a decrease in the number of nuclear tests. </w:t>
      </w:r>
    </w:p>
    <w:p w14:paraId="21E3D3D9" w14:textId="41742CCE" w:rsidR="00412AFC" w:rsidRPr="00CD2EEF" w:rsidRDefault="00412AFC" w:rsidP="00D86DBC">
      <w:pPr>
        <w:pStyle w:val="LPnavaden"/>
        <w:rPr>
          <w:lang w:val="en-GB"/>
        </w:rPr>
      </w:pPr>
      <w:r w:rsidRPr="00CD2EEF">
        <w:rPr>
          <w:lang w:val="en-GB"/>
        </w:rPr>
        <w:t>Slovenia has cooperated bilaterally and, in the framework of international meetings, actively promoted the importance of the CTBT and its entry into force and called upon the remaining countries to do so as soon as possible. It is only by this path that the CTBT</w:t>
      </w:r>
      <w:r w:rsidR="00F21D56">
        <w:rPr>
          <w:lang w:val="en-GB"/>
        </w:rPr>
        <w:t>’</w:t>
      </w:r>
      <w:r w:rsidRPr="00CD2EEF">
        <w:rPr>
          <w:lang w:val="en-GB"/>
        </w:rPr>
        <w:t xml:space="preserve">s objective will be </w:t>
      </w:r>
      <w:r w:rsidRPr="00CD2EEF">
        <w:rPr>
          <w:lang w:val="en-GB"/>
        </w:rPr>
        <w:lastRenderedPageBreak/>
        <w:t xml:space="preserve">reached, i.e. a total ban on nuclear tests. The former Executive Secretary of CTBTO (Lassina Zerbo) has visited Slovenia several times in the past and participated in meetings, e.g. at the Bled Strategic Forum (BSF). In 2021, </w:t>
      </w:r>
      <w:r w:rsidR="001052B3">
        <w:rPr>
          <w:lang w:val="en-GB"/>
        </w:rPr>
        <w:t>the</w:t>
      </w:r>
      <w:r w:rsidR="001052B3" w:rsidRPr="00CD2EEF">
        <w:rPr>
          <w:lang w:val="en-GB"/>
        </w:rPr>
        <w:t xml:space="preserve"> </w:t>
      </w:r>
      <w:r w:rsidRPr="00CD2EEF">
        <w:rPr>
          <w:lang w:val="en-GB"/>
        </w:rPr>
        <w:t xml:space="preserve">quite long process </w:t>
      </w:r>
      <w:r w:rsidR="001052B3">
        <w:rPr>
          <w:lang w:val="en-GB"/>
        </w:rPr>
        <w:t>of</w:t>
      </w:r>
      <w:r w:rsidR="001052B3" w:rsidRPr="00CD2EEF">
        <w:rPr>
          <w:lang w:val="en-GB"/>
        </w:rPr>
        <w:t xml:space="preserve"> </w:t>
      </w:r>
      <w:r w:rsidRPr="00CD2EEF">
        <w:rPr>
          <w:lang w:val="en-GB"/>
        </w:rPr>
        <w:t>select</w:t>
      </w:r>
      <w:r w:rsidR="001052B3">
        <w:rPr>
          <w:lang w:val="en-GB"/>
        </w:rPr>
        <w:t>ing</w:t>
      </w:r>
      <w:r w:rsidRPr="00CD2EEF">
        <w:rPr>
          <w:lang w:val="en-GB"/>
        </w:rPr>
        <w:t xml:space="preserve"> the new Executive Secretary was finally concluded. </w:t>
      </w:r>
    </w:p>
    <w:p w14:paraId="3C42E84D" w14:textId="719B5E95" w:rsidR="00412AFC" w:rsidRPr="00CD2EEF" w:rsidRDefault="00412AFC" w:rsidP="00D86DBC">
      <w:pPr>
        <w:pStyle w:val="LPnavaden"/>
        <w:rPr>
          <w:lang w:val="en-GB"/>
        </w:rPr>
      </w:pPr>
      <w:r w:rsidRPr="00CD2EEF">
        <w:rPr>
          <w:lang w:val="en-GB"/>
        </w:rPr>
        <w:t xml:space="preserve">In 2021, fortunately again, no </w:t>
      </w:r>
      <w:r w:rsidR="00263D93">
        <w:rPr>
          <w:lang w:val="en-GB"/>
        </w:rPr>
        <w:t>“</w:t>
      </w:r>
      <w:r w:rsidRPr="00CD2EEF">
        <w:rPr>
          <w:lang w:val="en-GB"/>
        </w:rPr>
        <w:t>unusual seismic events</w:t>
      </w:r>
      <w:r w:rsidR="00263D93">
        <w:rPr>
          <w:lang w:val="en-GB"/>
        </w:rPr>
        <w:t>”</w:t>
      </w:r>
      <w:r w:rsidRPr="00CD2EEF">
        <w:rPr>
          <w:lang w:val="en-GB"/>
        </w:rPr>
        <w:t xml:space="preserve"> or nuclear tests (assessed as having a human cause or due to an explosion) took place in the world.</w:t>
      </w:r>
    </w:p>
    <w:bookmarkEnd w:id="410"/>
    <w:bookmarkEnd w:id="411"/>
    <w:p w14:paraId="6DD69BD9" w14:textId="5E2E4172" w:rsidR="00412AFC" w:rsidRPr="00CD2EEF" w:rsidRDefault="00412AFC" w:rsidP="00D86DBC">
      <w:pPr>
        <w:pStyle w:val="LPnavaden"/>
        <w:rPr>
          <w:lang w:val="en-GB"/>
        </w:rPr>
      </w:pPr>
      <w:r w:rsidRPr="00CD2EEF">
        <w:rPr>
          <w:lang w:val="en-GB"/>
        </w:rPr>
        <w:t>On 23 September 2021, the 12</w:t>
      </w:r>
      <w:r w:rsidRPr="0017414F">
        <w:rPr>
          <w:vertAlign w:val="superscript"/>
          <w:lang w:val="en-GB"/>
        </w:rPr>
        <w:t>th</w:t>
      </w:r>
      <w:r w:rsidRPr="00CD2EEF">
        <w:rPr>
          <w:lang w:val="en-GB"/>
        </w:rPr>
        <w:t xml:space="preserve"> Conference under Article XIV took place. Numerous highly-ranked officials took part in it; the Slovene national statement was presented by </w:t>
      </w:r>
      <w:r w:rsidR="00385CF3">
        <w:rPr>
          <w:lang w:val="en-GB"/>
        </w:rPr>
        <w:t>F</w:t>
      </w:r>
      <w:r w:rsidRPr="00CD2EEF">
        <w:rPr>
          <w:lang w:val="en-GB"/>
        </w:rPr>
        <w:t xml:space="preserve">oreign </w:t>
      </w:r>
      <w:r w:rsidR="00385CF3">
        <w:rPr>
          <w:lang w:val="en-GB"/>
        </w:rPr>
        <w:t>M</w:t>
      </w:r>
      <w:r w:rsidRPr="00CD2EEF">
        <w:rPr>
          <w:lang w:val="en-GB"/>
        </w:rPr>
        <w:t xml:space="preserve">inister Logar. During this biennial event, </w:t>
      </w:r>
      <w:r w:rsidR="00385CF3">
        <w:rPr>
          <w:lang w:val="en-GB"/>
        </w:rPr>
        <w:t>the</w:t>
      </w:r>
      <w:r w:rsidR="00385CF3" w:rsidRPr="00CD2EEF">
        <w:rPr>
          <w:lang w:val="en-GB"/>
        </w:rPr>
        <w:t xml:space="preserve"> </w:t>
      </w:r>
      <w:r w:rsidRPr="00CD2EEF">
        <w:rPr>
          <w:lang w:val="en-GB"/>
        </w:rPr>
        <w:t>concluding statement was endorsed by all</w:t>
      </w:r>
      <w:r w:rsidR="00385CF3">
        <w:rPr>
          <w:lang w:val="en-GB"/>
        </w:rPr>
        <w:t xml:space="preserve"> participants</w:t>
      </w:r>
      <w:r w:rsidRPr="00CD2EEF">
        <w:rPr>
          <w:lang w:val="en-GB"/>
        </w:rPr>
        <w:t xml:space="preserve"> – and it gives a strong supportive voice to the importance of the treaty </w:t>
      </w:r>
      <w:r w:rsidR="00385CF3">
        <w:rPr>
          <w:lang w:val="en-GB"/>
        </w:rPr>
        <w:t xml:space="preserve">and </w:t>
      </w:r>
      <w:r w:rsidRPr="00CD2EEF">
        <w:rPr>
          <w:lang w:val="en-GB"/>
        </w:rPr>
        <w:t>as well appeal</w:t>
      </w:r>
      <w:r w:rsidR="00385CF3">
        <w:rPr>
          <w:lang w:val="en-GB"/>
        </w:rPr>
        <w:t>s</w:t>
      </w:r>
      <w:r w:rsidRPr="00CD2EEF">
        <w:rPr>
          <w:lang w:val="en-GB"/>
        </w:rPr>
        <w:t xml:space="preserve"> to those countries </w:t>
      </w:r>
      <w:r w:rsidR="00385CF3">
        <w:rPr>
          <w:lang w:val="en-GB"/>
        </w:rPr>
        <w:t>that</w:t>
      </w:r>
      <w:r w:rsidR="00385CF3" w:rsidRPr="00CD2EEF">
        <w:rPr>
          <w:lang w:val="en-GB"/>
        </w:rPr>
        <w:t xml:space="preserve"> </w:t>
      </w:r>
      <w:r w:rsidRPr="00CD2EEF">
        <w:rPr>
          <w:lang w:val="en-GB"/>
        </w:rPr>
        <w:t xml:space="preserve">have not signed or ratified the treaty to do </w:t>
      </w:r>
      <w:r w:rsidR="00385CF3">
        <w:rPr>
          <w:lang w:val="en-GB"/>
        </w:rPr>
        <w:t>so</w:t>
      </w:r>
      <w:r w:rsidR="00385CF3" w:rsidRPr="00CD2EEF">
        <w:rPr>
          <w:lang w:val="en-GB"/>
        </w:rPr>
        <w:t xml:space="preserve"> </w:t>
      </w:r>
      <w:r w:rsidRPr="00CD2EEF">
        <w:rPr>
          <w:lang w:val="en-GB"/>
        </w:rPr>
        <w:t>– and thus accelerate</w:t>
      </w:r>
      <w:r w:rsidR="005E7F8E">
        <w:rPr>
          <w:lang w:val="en-GB"/>
        </w:rPr>
        <w:t>s</w:t>
      </w:r>
      <w:r w:rsidRPr="00CD2EEF">
        <w:rPr>
          <w:lang w:val="en-GB"/>
        </w:rPr>
        <w:t xml:space="preserve"> the years-long </w:t>
      </w:r>
      <w:r w:rsidR="00385CF3">
        <w:rPr>
          <w:lang w:val="en-GB"/>
        </w:rPr>
        <w:t>efforts</w:t>
      </w:r>
      <w:r w:rsidRPr="00CD2EEF">
        <w:rPr>
          <w:lang w:val="en-GB"/>
        </w:rPr>
        <w:t xml:space="preserve"> to</w:t>
      </w:r>
      <w:r w:rsidR="00385CF3">
        <w:rPr>
          <w:lang w:val="en-GB"/>
        </w:rPr>
        <w:t xml:space="preserve"> ensure</w:t>
      </w:r>
      <w:r w:rsidRPr="00CD2EEF">
        <w:rPr>
          <w:lang w:val="en-GB"/>
        </w:rPr>
        <w:t xml:space="preserve"> the treaty</w:t>
      </w:r>
      <w:r w:rsidR="00F21D56">
        <w:rPr>
          <w:lang w:val="en-GB"/>
        </w:rPr>
        <w:t>’</w:t>
      </w:r>
      <w:r w:rsidRPr="00CD2EEF">
        <w:rPr>
          <w:lang w:val="en-GB"/>
        </w:rPr>
        <w:t xml:space="preserve">s full entry into force (as </w:t>
      </w:r>
      <w:r w:rsidR="00385CF3">
        <w:rPr>
          <w:lang w:val="en-GB"/>
        </w:rPr>
        <w:t>the</w:t>
      </w:r>
      <w:r w:rsidR="00385CF3" w:rsidRPr="00CD2EEF">
        <w:rPr>
          <w:lang w:val="en-GB"/>
        </w:rPr>
        <w:t xml:space="preserve"> </w:t>
      </w:r>
      <w:r w:rsidRPr="00CD2EEF">
        <w:rPr>
          <w:lang w:val="en-GB"/>
        </w:rPr>
        <w:t>final goal).</w:t>
      </w:r>
    </w:p>
    <w:p w14:paraId="5D25D7C8" w14:textId="67502432" w:rsidR="00412AFC" w:rsidRPr="00CD2EEF" w:rsidRDefault="00412AFC" w:rsidP="00D86DBC">
      <w:pPr>
        <w:pStyle w:val="LPnavaden"/>
        <w:rPr>
          <w:lang w:val="en-GB"/>
        </w:rPr>
      </w:pPr>
      <w:r w:rsidRPr="00CD2EEF">
        <w:rPr>
          <w:lang w:val="en-GB"/>
        </w:rPr>
        <w:t>The past year also marked by the 25</w:t>
      </w:r>
      <w:r w:rsidR="00385CF3" w:rsidRPr="0017414F">
        <w:rPr>
          <w:vertAlign w:val="superscript"/>
          <w:lang w:val="en-GB"/>
        </w:rPr>
        <w:t>th</w:t>
      </w:r>
      <w:r w:rsidRPr="00CD2EEF">
        <w:rPr>
          <w:lang w:val="en-GB"/>
        </w:rPr>
        <w:t xml:space="preserve"> anniversary of the publication and commencement of </w:t>
      </w:r>
      <w:r w:rsidR="00385CF3">
        <w:rPr>
          <w:lang w:val="en-GB"/>
        </w:rPr>
        <w:t xml:space="preserve">the </w:t>
      </w:r>
      <w:r w:rsidRPr="00CD2EEF">
        <w:rPr>
          <w:lang w:val="en-GB"/>
        </w:rPr>
        <w:t>signing of the treaty.</w:t>
      </w:r>
    </w:p>
    <w:p w14:paraId="0FD3E88E" w14:textId="3B7A5EC5" w:rsidR="00412AFC" w:rsidRPr="00CD2EEF" w:rsidRDefault="00412AFC" w:rsidP="00D86DBC">
      <w:pPr>
        <w:pStyle w:val="LPNaslov2"/>
        <w:rPr>
          <w:lang w:val="en-GB"/>
        </w:rPr>
      </w:pPr>
      <w:bookmarkStart w:id="412" w:name="ch93"/>
      <w:bookmarkStart w:id="413" w:name="_Toc126312050"/>
      <w:r w:rsidRPr="00CD2EEF">
        <w:rPr>
          <w:lang w:val="en-GB"/>
        </w:rPr>
        <w:t>NUCLEAR SAFEGUARDS IN SLOVENIA</w:t>
      </w:r>
      <w:bookmarkEnd w:id="413"/>
    </w:p>
    <w:bookmarkEnd w:id="412"/>
    <w:p w14:paraId="4F8D3B58" w14:textId="41755215" w:rsidR="00412AFC" w:rsidRPr="00CD2EEF" w:rsidRDefault="00412AFC" w:rsidP="00D86DBC">
      <w:pPr>
        <w:pStyle w:val="LPnavaden"/>
        <w:rPr>
          <w:lang w:val="en-GB"/>
        </w:rPr>
      </w:pPr>
      <w:r w:rsidRPr="00CD2EEF">
        <w:rPr>
          <w:lang w:val="en-GB"/>
        </w:rPr>
        <w:t xml:space="preserve">At the international level, nuclear safeguards are regulated by the NPT and the </w:t>
      </w:r>
      <w:r w:rsidRPr="00CD2EEF">
        <w:rPr>
          <w:rStyle w:val="LPnavadenposevnoZnak"/>
          <w:lang w:val="en-GB"/>
        </w:rPr>
        <w:t>Treaty Establishing the European Atomic Energy Community</w:t>
      </w:r>
      <w:r w:rsidRPr="00CD2EEF">
        <w:rPr>
          <w:lang w:val="en-GB"/>
        </w:rPr>
        <w:t>. Slovenia</w:t>
      </w:r>
      <w:r w:rsidR="00F21D56">
        <w:rPr>
          <w:lang w:val="en-GB"/>
        </w:rPr>
        <w:t>’</w:t>
      </w:r>
      <w:r w:rsidRPr="00CD2EEF">
        <w:rPr>
          <w:lang w:val="en-GB"/>
        </w:rPr>
        <w:t xml:space="preserve">s legal framework had to be adapted in the process of accession to the EU. Slovenia completely fulfils its obligations regarding nuclear safeguards. In Slovenia, all nuclear material, namely the fresh and spent fuel at </w:t>
      </w:r>
      <w:r w:rsidR="001B146F">
        <w:rPr>
          <w:lang w:val="en-GB"/>
        </w:rPr>
        <w:t>the Krško NPP</w:t>
      </w:r>
      <w:r w:rsidRPr="00CD2EEF">
        <w:rPr>
          <w:lang w:val="en-GB"/>
        </w:rPr>
        <w:t xml:space="preserve">, at the TRIGA Mark II Research Reactor, at the CSRW in Brinje, and at the other </w:t>
      </w:r>
      <w:r w:rsidR="00263D93">
        <w:rPr>
          <w:lang w:val="en-GB"/>
        </w:rPr>
        <w:t>“</w:t>
      </w:r>
      <w:r w:rsidRPr="00CD2EEF">
        <w:rPr>
          <w:lang w:val="en-GB"/>
        </w:rPr>
        <w:t>minor holders of nuclear material</w:t>
      </w:r>
      <w:r w:rsidR="00263D93">
        <w:rPr>
          <w:lang w:val="en-GB"/>
        </w:rPr>
        <w:t>”</w:t>
      </w:r>
      <w:r w:rsidRPr="00CD2EEF">
        <w:rPr>
          <w:lang w:val="en-GB"/>
        </w:rPr>
        <w:t xml:space="preserve">, is subject to international inspection. </w:t>
      </w:r>
    </w:p>
    <w:p w14:paraId="782A7BCD" w14:textId="7E834D33" w:rsidR="00412AFC" w:rsidRPr="00CD2EEF" w:rsidRDefault="00412AFC" w:rsidP="00D86DBC">
      <w:pPr>
        <w:pStyle w:val="LPnavaden"/>
        <w:rPr>
          <w:lang w:val="en-GB"/>
        </w:rPr>
      </w:pPr>
      <w:r w:rsidRPr="00CD2EEF">
        <w:rPr>
          <w:lang w:val="en-GB"/>
        </w:rPr>
        <w:t xml:space="preserve">All holders of nuclear material are obliged to report directly to the European Commission (Euratom) regarding the quantities and status of their nuclear materials. Copies of reports are sent to </w:t>
      </w:r>
      <w:r w:rsidR="00A726E8">
        <w:rPr>
          <w:lang w:val="en-GB"/>
        </w:rPr>
        <w:t>the</w:t>
      </w:r>
      <w:r w:rsidR="00E63423">
        <w:rPr>
          <w:lang w:val="en-GB"/>
        </w:rPr>
        <w:t xml:space="preserve"> SNSA</w:t>
      </w:r>
      <w:r w:rsidRPr="00CD2EEF">
        <w:rPr>
          <w:lang w:val="en-GB"/>
        </w:rPr>
        <w:t xml:space="preserve">, which maintains a registry of nuclear material. </w:t>
      </w:r>
    </w:p>
    <w:p w14:paraId="10DC69B4" w14:textId="2C4197EA" w:rsidR="00412AFC" w:rsidRPr="00CD2EEF" w:rsidRDefault="00412AFC" w:rsidP="00D86DBC">
      <w:pPr>
        <w:pStyle w:val="LPnavaden"/>
        <w:rPr>
          <w:lang w:val="en-GB"/>
        </w:rPr>
      </w:pPr>
      <w:r w:rsidRPr="00CD2EEF">
        <w:rPr>
          <w:lang w:val="en-GB"/>
        </w:rPr>
        <w:t xml:space="preserve">There were six IAEA/Euratom inspections in Slovenia in 2021. </w:t>
      </w:r>
      <w:r w:rsidR="00A726E8">
        <w:rPr>
          <w:lang w:val="en-GB"/>
        </w:rPr>
        <w:t>The</w:t>
      </w:r>
      <w:r w:rsidR="00E63423">
        <w:rPr>
          <w:lang w:val="en-GB"/>
        </w:rPr>
        <w:t xml:space="preserve"> SNSA</w:t>
      </w:r>
      <w:r w:rsidR="00F21D56">
        <w:rPr>
          <w:lang w:val="en-GB"/>
        </w:rPr>
        <w:t>’</w:t>
      </w:r>
      <w:r w:rsidRPr="00CD2EEF">
        <w:rPr>
          <w:lang w:val="en-GB"/>
        </w:rPr>
        <w:t xml:space="preserve">s staff participated during nearly all of these international inspections, which took place at </w:t>
      </w:r>
      <w:r w:rsidR="001B146F">
        <w:rPr>
          <w:lang w:val="en-GB"/>
        </w:rPr>
        <w:t>the Krško NPP</w:t>
      </w:r>
      <w:r w:rsidRPr="00CD2EEF">
        <w:rPr>
          <w:lang w:val="en-GB"/>
        </w:rPr>
        <w:t xml:space="preserve"> and on the premises of one of the domestic </w:t>
      </w:r>
      <w:r w:rsidR="00263D93">
        <w:rPr>
          <w:lang w:val="en-GB"/>
        </w:rPr>
        <w:t>“</w:t>
      </w:r>
      <w:r w:rsidRPr="00CD2EEF">
        <w:rPr>
          <w:lang w:val="en-GB"/>
        </w:rPr>
        <w:t>minor holders of nuclear material</w:t>
      </w:r>
      <w:r w:rsidR="00263D93">
        <w:rPr>
          <w:lang w:val="en-GB"/>
        </w:rPr>
        <w:t>”</w:t>
      </w:r>
      <w:r w:rsidRPr="00CD2EEF">
        <w:rPr>
          <w:lang w:val="en-GB"/>
        </w:rPr>
        <w:t xml:space="preserve">. All inspections were conducted jointly – i.e. by </w:t>
      </w:r>
      <w:r w:rsidR="00385CF3">
        <w:rPr>
          <w:lang w:val="en-GB"/>
        </w:rPr>
        <w:t xml:space="preserve">the </w:t>
      </w:r>
      <w:r w:rsidRPr="00CD2EEF">
        <w:rPr>
          <w:lang w:val="en-GB"/>
        </w:rPr>
        <w:t>IAEA and Euratom at the same time. No inspection was conducted based upon the Additional Protocol (complementary access) this year.</w:t>
      </w:r>
    </w:p>
    <w:p w14:paraId="72CFC62D" w14:textId="6BC88272" w:rsidR="00412AFC" w:rsidRPr="00CD2EEF" w:rsidRDefault="00412AFC" w:rsidP="00D86DBC">
      <w:pPr>
        <w:pStyle w:val="LPnavaden"/>
        <w:rPr>
          <w:lang w:val="en-GB"/>
        </w:rPr>
      </w:pPr>
      <w:r w:rsidRPr="00CD2EEF">
        <w:rPr>
          <w:rFonts w:eastAsia="MS Mincho"/>
          <w:lang w:val="en-GB"/>
        </w:rPr>
        <w:t>The European Commission holds periodic meetings with the Member States</w:t>
      </w:r>
      <w:r w:rsidR="00F21D56">
        <w:rPr>
          <w:rFonts w:eastAsia="MS Mincho"/>
          <w:lang w:val="en-GB"/>
        </w:rPr>
        <w:t>’</w:t>
      </w:r>
      <w:r w:rsidRPr="00CD2EEF">
        <w:rPr>
          <w:rFonts w:eastAsia="MS Mincho"/>
          <w:lang w:val="en-GB"/>
        </w:rPr>
        <w:t xml:space="preserve"> representatives, dealing with </w:t>
      </w:r>
      <w:r w:rsidR="007219D2">
        <w:rPr>
          <w:rFonts w:eastAsia="MS Mincho"/>
          <w:lang w:val="en-GB"/>
        </w:rPr>
        <w:t>“</w:t>
      </w:r>
      <w:r w:rsidRPr="00CD2EEF">
        <w:rPr>
          <w:rFonts w:eastAsia="MS Mincho"/>
          <w:lang w:val="en-GB"/>
        </w:rPr>
        <w:t>safeguards-related issues</w:t>
      </w:r>
      <w:r w:rsidR="007219D2">
        <w:rPr>
          <w:rFonts w:eastAsia="MS Mincho"/>
          <w:lang w:val="en-GB"/>
        </w:rPr>
        <w:t>”</w:t>
      </w:r>
      <w:r w:rsidRPr="00CD2EEF">
        <w:rPr>
          <w:rFonts w:eastAsia="MS Mincho"/>
          <w:lang w:val="en-GB"/>
        </w:rPr>
        <w:t xml:space="preserve"> (in Luxembourg), namely the </w:t>
      </w:r>
      <w:r w:rsidR="00263D93">
        <w:rPr>
          <w:rFonts w:eastAsia="MS Mincho"/>
          <w:lang w:val="en-GB"/>
        </w:rPr>
        <w:t>“</w:t>
      </w:r>
      <w:r w:rsidRPr="00CD2EEF">
        <w:rPr>
          <w:rFonts w:eastAsia="MS Mincho"/>
          <w:lang w:val="en-GB"/>
        </w:rPr>
        <w:t>Meeting with Member States on Euratom Safeguards Implementation</w:t>
      </w:r>
      <w:r w:rsidR="00263D93">
        <w:rPr>
          <w:rFonts w:eastAsia="MS Mincho"/>
          <w:lang w:val="en-GB"/>
        </w:rPr>
        <w:t>”</w:t>
      </w:r>
      <w:r w:rsidRPr="00CD2EEF">
        <w:rPr>
          <w:rFonts w:eastAsia="MS Mincho"/>
          <w:lang w:val="en-GB"/>
        </w:rPr>
        <w:t xml:space="preserve">. </w:t>
      </w:r>
      <w:r w:rsidR="00385CF3">
        <w:rPr>
          <w:rFonts w:eastAsia="MS Mincho"/>
          <w:lang w:val="en-GB"/>
        </w:rPr>
        <w:t>The l</w:t>
      </w:r>
      <w:r w:rsidRPr="00CD2EEF">
        <w:rPr>
          <w:rFonts w:eastAsia="MS Mincho"/>
          <w:lang w:val="en-GB"/>
        </w:rPr>
        <w:t xml:space="preserve">ast such </w:t>
      </w:r>
      <w:r w:rsidR="00263D93">
        <w:rPr>
          <w:rFonts w:eastAsia="MS Mincho"/>
          <w:lang w:val="en-GB"/>
        </w:rPr>
        <w:t>“</w:t>
      </w:r>
      <w:r w:rsidRPr="00CD2EEF">
        <w:rPr>
          <w:rFonts w:eastAsia="MS Mincho"/>
          <w:lang w:val="en-GB"/>
        </w:rPr>
        <w:t>in-person</w:t>
      </w:r>
      <w:r w:rsidR="00263D93">
        <w:rPr>
          <w:rFonts w:eastAsia="MS Mincho"/>
          <w:lang w:val="en-GB"/>
        </w:rPr>
        <w:t>”</w:t>
      </w:r>
      <w:r w:rsidRPr="00CD2EEF">
        <w:rPr>
          <w:rFonts w:eastAsia="MS Mincho"/>
          <w:lang w:val="en-GB"/>
        </w:rPr>
        <w:t xml:space="preserve"> meeting took place </w:t>
      </w:r>
      <w:r w:rsidR="00385CF3">
        <w:rPr>
          <w:rFonts w:eastAsia="MS Mincho"/>
          <w:lang w:val="en-GB"/>
        </w:rPr>
        <w:t>before</w:t>
      </w:r>
      <w:r w:rsidR="00385CF3" w:rsidRPr="00CD2EEF">
        <w:rPr>
          <w:rFonts w:eastAsia="MS Mincho"/>
          <w:lang w:val="en-GB"/>
        </w:rPr>
        <w:t xml:space="preserve"> </w:t>
      </w:r>
      <w:r w:rsidR="00385CF3">
        <w:rPr>
          <w:rFonts w:eastAsia="MS Mincho"/>
          <w:lang w:val="en-GB"/>
        </w:rPr>
        <w:t xml:space="preserve">the </w:t>
      </w:r>
      <w:r w:rsidR="00BE025A">
        <w:rPr>
          <w:rFonts w:eastAsia="MS Mincho"/>
          <w:lang w:val="en-GB"/>
        </w:rPr>
        <w:t>epi</w:t>
      </w:r>
      <w:r w:rsidRPr="00CD2EEF">
        <w:rPr>
          <w:rFonts w:eastAsia="MS Mincho"/>
          <w:lang w:val="en-GB"/>
        </w:rPr>
        <w:t>demic</w:t>
      </w:r>
      <w:r w:rsidR="00385CF3">
        <w:rPr>
          <w:rFonts w:eastAsia="MS Mincho"/>
          <w:lang w:val="en-GB"/>
        </w:rPr>
        <w:t xml:space="preserve"> </w:t>
      </w:r>
      <w:r w:rsidRPr="00CD2EEF">
        <w:rPr>
          <w:rFonts w:eastAsia="MS Mincho"/>
          <w:lang w:val="en-GB"/>
        </w:rPr>
        <w:t>in 2019; in April 2021, only a virtual meeting was held, and the European Commission</w:t>
      </w:r>
      <w:r w:rsidR="00F21D56">
        <w:rPr>
          <w:rFonts w:eastAsia="MS Mincho"/>
          <w:lang w:val="en-GB"/>
        </w:rPr>
        <w:t>’</w:t>
      </w:r>
      <w:r w:rsidRPr="00CD2EEF">
        <w:rPr>
          <w:rFonts w:eastAsia="MS Mincho"/>
          <w:lang w:val="en-GB"/>
        </w:rPr>
        <w:t xml:space="preserve">s officers summed up </w:t>
      </w:r>
      <w:r w:rsidR="00385CF3">
        <w:rPr>
          <w:rFonts w:eastAsia="MS Mincho"/>
          <w:lang w:val="en-GB"/>
        </w:rPr>
        <w:t xml:space="preserve">the </w:t>
      </w:r>
      <w:r w:rsidRPr="00CD2EEF">
        <w:rPr>
          <w:rFonts w:eastAsia="MS Mincho"/>
          <w:lang w:val="en-GB"/>
        </w:rPr>
        <w:t xml:space="preserve">main conclusions on safeguards in 2019/2020 as well as briefed the audience </w:t>
      </w:r>
      <w:r w:rsidR="00385CF3">
        <w:rPr>
          <w:rFonts w:eastAsia="MS Mincho"/>
          <w:lang w:val="en-GB"/>
        </w:rPr>
        <w:t>on</w:t>
      </w:r>
      <w:r w:rsidR="00385CF3" w:rsidRPr="00CD2EEF">
        <w:rPr>
          <w:rFonts w:eastAsia="MS Mincho"/>
          <w:lang w:val="en-GB"/>
        </w:rPr>
        <w:t xml:space="preserve"> </w:t>
      </w:r>
      <w:r w:rsidRPr="00CD2EEF">
        <w:rPr>
          <w:rFonts w:eastAsia="MS Mincho"/>
          <w:lang w:val="en-GB"/>
        </w:rPr>
        <w:t>future tasks and challenges. The EU Member States</w:t>
      </w:r>
      <w:r w:rsidR="00F21D56">
        <w:rPr>
          <w:rFonts w:eastAsia="MS Mincho"/>
          <w:lang w:val="en-GB"/>
        </w:rPr>
        <w:t>’</w:t>
      </w:r>
      <w:r w:rsidRPr="00CD2EEF">
        <w:rPr>
          <w:rFonts w:eastAsia="MS Mincho"/>
          <w:lang w:val="en-GB"/>
        </w:rPr>
        <w:t xml:space="preserve"> representatives gave their short </w:t>
      </w:r>
      <w:r w:rsidR="00385CF3" w:rsidRPr="00D57F59">
        <w:rPr>
          <w:rFonts w:eastAsia="MS Mincho"/>
          <w:lang w:val="en-GB"/>
        </w:rPr>
        <w:t xml:space="preserve">summaries </w:t>
      </w:r>
      <w:r w:rsidRPr="00D57F59">
        <w:rPr>
          <w:rFonts w:eastAsia="MS Mincho"/>
          <w:lang w:val="en-GB"/>
        </w:rPr>
        <w:t>in the</w:t>
      </w:r>
      <w:r w:rsidRPr="00CD2EEF">
        <w:rPr>
          <w:rFonts w:eastAsia="MS Mincho"/>
          <w:lang w:val="en-GB"/>
        </w:rPr>
        <w:t xml:space="preserve"> traditional </w:t>
      </w:r>
      <w:r w:rsidRPr="00D57F59">
        <w:rPr>
          <w:rFonts w:eastAsia="MS Mincho"/>
          <w:i/>
          <w:iCs/>
          <w:lang w:val="en-GB"/>
        </w:rPr>
        <w:t>tour de table</w:t>
      </w:r>
      <w:r w:rsidRPr="00CD2EEF">
        <w:rPr>
          <w:rFonts w:eastAsia="MS Mincho"/>
          <w:lang w:val="en-GB"/>
        </w:rPr>
        <w:t xml:space="preserve"> setting. In the second half of 2021, the European Commission contacted the EU Member States (nuclear regulators and nuclear operators/holders), </w:t>
      </w:r>
      <w:r w:rsidR="00385CF3">
        <w:rPr>
          <w:rFonts w:eastAsia="MS Mincho"/>
          <w:lang w:val="en-GB"/>
        </w:rPr>
        <w:t xml:space="preserve">in order to </w:t>
      </w:r>
      <w:r w:rsidRPr="00CD2EEF">
        <w:rPr>
          <w:rFonts w:eastAsia="MS Mincho"/>
          <w:lang w:val="en-GB"/>
        </w:rPr>
        <w:t xml:space="preserve">deliver a dedicated questionnaire on the current Commission Regulation </w:t>
      </w:r>
      <w:r w:rsidRPr="00CD2EEF">
        <w:rPr>
          <w:lang w:val="en-GB"/>
        </w:rPr>
        <w:t>(Euratom)</w:t>
      </w:r>
      <w:r w:rsidR="007754F4">
        <w:rPr>
          <w:lang w:val="en-GB"/>
        </w:rPr>
        <w:t>,</w:t>
      </w:r>
      <w:r w:rsidRPr="00CD2EEF">
        <w:rPr>
          <w:lang w:val="en-GB"/>
        </w:rPr>
        <w:t xml:space="preserve"> </w:t>
      </w:r>
      <w:r w:rsidR="00074AFC">
        <w:rPr>
          <w:lang w:val="en-GB"/>
        </w:rPr>
        <w:t>No.</w:t>
      </w:r>
      <w:r w:rsidRPr="00CD2EEF">
        <w:rPr>
          <w:lang w:val="en-GB"/>
        </w:rPr>
        <w:t xml:space="preserve"> 302/2005 on the application of Euratom safeguards.</w:t>
      </w:r>
    </w:p>
    <w:p w14:paraId="27F2977F" w14:textId="0711FBBF" w:rsidR="00412AFC" w:rsidRPr="00CD2EEF" w:rsidRDefault="00412AFC" w:rsidP="00857272">
      <w:pPr>
        <w:pStyle w:val="LPVirienojni"/>
        <w:rPr>
          <w:lang w:val="en-GB"/>
        </w:rPr>
      </w:pPr>
      <w:r w:rsidRPr="00CD2EEF">
        <w:rPr>
          <w:lang w:val="en-GB"/>
        </w:rPr>
        <w:t>References: [</w:t>
      </w:r>
      <w:hyperlink w:anchor="r37" w:history="1">
        <w:r w:rsidRPr="00CD2EEF">
          <w:rPr>
            <w:rStyle w:val="Hiperpovezava"/>
            <w:lang w:val="en-GB"/>
          </w:rPr>
          <w:t>37</w:t>
        </w:r>
      </w:hyperlink>
      <w:r w:rsidRPr="00CD2EEF">
        <w:rPr>
          <w:lang w:val="en-GB"/>
        </w:rPr>
        <w:t>], [</w:t>
      </w:r>
      <w:hyperlink w:anchor="r38" w:history="1">
        <w:r w:rsidRPr="00CD2EEF">
          <w:rPr>
            <w:rStyle w:val="Hiperpovezava"/>
            <w:lang w:val="en-GB"/>
          </w:rPr>
          <w:t>38</w:t>
        </w:r>
      </w:hyperlink>
      <w:r w:rsidRPr="00CD2EEF">
        <w:rPr>
          <w:lang w:val="en-GB"/>
        </w:rPr>
        <w:t>], [</w:t>
      </w:r>
      <w:hyperlink w:anchor="r39" w:history="1">
        <w:r w:rsidRPr="00CD2EEF">
          <w:rPr>
            <w:rStyle w:val="Hiperpovezava"/>
            <w:lang w:val="en-GB"/>
          </w:rPr>
          <w:t>39</w:t>
        </w:r>
      </w:hyperlink>
      <w:r w:rsidRPr="00CD2EEF">
        <w:rPr>
          <w:lang w:val="en-GB"/>
        </w:rPr>
        <w:t>], [</w:t>
      </w:r>
      <w:hyperlink w:anchor="r40" w:history="1">
        <w:r w:rsidRPr="00CD2EEF">
          <w:rPr>
            <w:rStyle w:val="Hiperpovezava"/>
            <w:lang w:val="en-GB"/>
          </w:rPr>
          <w:t>40</w:t>
        </w:r>
      </w:hyperlink>
      <w:r w:rsidRPr="00CD2EEF">
        <w:rPr>
          <w:lang w:val="en-GB"/>
        </w:rPr>
        <w:t>], [</w:t>
      </w:r>
      <w:hyperlink w:anchor="r41" w:history="1">
        <w:r w:rsidRPr="00CD2EEF">
          <w:rPr>
            <w:rStyle w:val="Hiperpovezava"/>
            <w:lang w:val="en-GB"/>
          </w:rPr>
          <w:t>41</w:t>
        </w:r>
      </w:hyperlink>
      <w:r w:rsidRPr="00CD2EEF">
        <w:rPr>
          <w:lang w:val="en-GB"/>
        </w:rPr>
        <w:t>]</w:t>
      </w:r>
    </w:p>
    <w:p w14:paraId="20AAB363" w14:textId="1D7F4631" w:rsidR="00412AFC" w:rsidRPr="00CD2EEF" w:rsidRDefault="00412AFC" w:rsidP="00D86DBC">
      <w:pPr>
        <w:pStyle w:val="LPNaslov2"/>
        <w:rPr>
          <w:lang w:val="en-GB"/>
        </w:rPr>
      </w:pPr>
      <w:bookmarkStart w:id="414" w:name="_Toc126312051"/>
      <w:r w:rsidRPr="00CD2EEF">
        <w:rPr>
          <w:lang w:val="en-GB"/>
        </w:rPr>
        <w:t>EXPORT CONTROL OF DUAL-USE ITEMS</w:t>
      </w:r>
      <w:bookmarkEnd w:id="414"/>
    </w:p>
    <w:p w14:paraId="4FB0A50C" w14:textId="5018DAFB" w:rsidR="00412AFC" w:rsidRPr="00CD2EEF" w:rsidRDefault="00A726E8" w:rsidP="00D86DBC">
      <w:pPr>
        <w:pStyle w:val="LPnavaden"/>
        <w:rPr>
          <w:rFonts w:eastAsia="MS Mincho"/>
          <w:lang w:val="en-GB"/>
        </w:rPr>
      </w:pPr>
      <w:r>
        <w:rPr>
          <w:rFonts w:eastAsia="MS Mincho"/>
          <w:lang w:val="en-GB"/>
        </w:rPr>
        <w:t>The</w:t>
      </w:r>
      <w:r w:rsidR="00E63423">
        <w:rPr>
          <w:rFonts w:eastAsia="MS Mincho"/>
          <w:lang w:val="en-GB"/>
        </w:rPr>
        <w:t xml:space="preserve"> SNSA</w:t>
      </w:r>
      <w:r w:rsidR="00412AFC" w:rsidRPr="00CD2EEF">
        <w:rPr>
          <w:rFonts w:eastAsia="MS Mincho"/>
          <w:lang w:val="en-GB"/>
        </w:rPr>
        <w:t xml:space="preserve">, together with the MFA, follows the activities of the </w:t>
      </w:r>
      <w:r w:rsidR="00412AFC" w:rsidRPr="00CD2EEF">
        <w:rPr>
          <w:rStyle w:val="LPnavadenposevnoZnak"/>
          <w:rFonts w:eastAsia="MS Mincho"/>
          <w:lang w:val="en-GB"/>
        </w:rPr>
        <w:t>Nuclear Suppliers Group</w:t>
      </w:r>
      <w:r w:rsidR="00412AFC" w:rsidRPr="00CD2EEF">
        <w:rPr>
          <w:rFonts w:eastAsia="MS Mincho"/>
          <w:lang w:val="en-GB"/>
        </w:rPr>
        <w:t xml:space="preserve"> (NSG) as well as the Zangger Committee. The mission of both associations is to prevent the export of dual-use goods, i.e. goods that might be used to manufacture nuclear weapons, to countries that wish </w:t>
      </w:r>
      <w:r w:rsidR="00412AFC" w:rsidRPr="00CD2EEF">
        <w:rPr>
          <w:rFonts w:eastAsia="MS Mincho"/>
          <w:lang w:val="en-GB"/>
        </w:rPr>
        <w:lastRenderedPageBreak/>
        <w:t xml:space="preserve">to acquire such weapons. The annual Plenary Week of the NSG was held in a </w:t>
      </w:r>
      <w:r w:rsidR="00263D93">
        <w:rPr>
          <w:rFonts w:eastAsia="MS Mincho"/>
          <w:lang w:val="en-GB"/>
        </w:rPr>
        <w:t>“</w:t>
      </w:r>
      <w:r w:rsidR="00412AFC" w:rsidRPr="00CD2EEF">
        <w:rPr>
          <w:rFonts w:eastAsia="MS Mincho"/>
          <w:lang w:val="en-GB"/>
        </w:rPr>
        <w:t>congested, hybrid manner</w:t>
      </w:r>
      <w:r w:rsidR="00263D93">
        <w:rPr>
          <w:rFonts w:eastAsia="MS Mincho"/>
          <w:lang w:val="en-GB"/>
        </w:rPr>
        <w:t>”</w:t>
      </w:r>
      <w:r w:rsidR="00412AFC" w:rsidRPr="00CD2EEF">
        <w:rPr>
          <w:rFonts w:eastAsia="MS Mincho"/>
          <w:lang w:val="en-GB"/>
        </w:rPr>
        <w:t xml:space="preserve"> in Brussels in June 2021 – at the end of the Belgian chairmanship. In addition to this, </w:t>
      </w:r>
      <w:r w:rsidR="006F78CE">
        <w:rPr>
          <w:rFonts w:eastAsia="MS Mincho"/>
          <w:lang w:val="en-GB"/>
        </w:rPr>
        <w:t xml:space="preserve">the </w:t>
      </w:r>
      <w:r w:rsidR="00412AFC" w:rsidRPr="00CD2EEF">
        <w:rPr>
          <w:rFonts w:eastAsia="MS Mincho"/>
          <w:lang w:val="en-GB"/>
        </w:rPr>
        <w:t>NSG conducted a set of technical (virtual</w:t>
      </w:r>
      <w:r w:rsidR="006F78CE">
        <w:rPr>
          <w:rFonts w:eastAsia="MS Mincho"/>
          <w:lang w:val="en-GB"/>
        </w:rPr>
        <w:t>)</w:t>
      </w:r>
      <w:r w:rsidR="00412AFC" w:rsidRPr="00CD2EEF">
        <w:rPr>
          <w:rFonts w:eastAsia="MS Mincho"/>
          <w:lang w:val="en-GB"/>
        </w:rPr>
        <w:t xml:space="preserve"> meetings, </w:t>
      </w:r>
      <w:r w:rsidR="006F78CE">
        <w:rPr>
          <w:rFonts w:eastAsia="MS Mincho"/>
          <w:lang w:val="en-GB"/>
        </w:rPr>
        <w:t>while the</w:t>
      </w:r>
      <w:r w:rsidR="00412AFC" w:rsidRPr="00CD2EEF">
        <w:rPr>
          <w:rFonts w:eastAsia="MS Mincho"/>
          <w:lang w:val="en-GB"/>
        </w:rPr>
        <w:t xml:space="preserve"> reporting of the Chair </w:t>
      </w:r>
      <w:r w:rsidR="006F78CE">
        <w:rPr>
          <w:rFonts w:eastAsia="MS Mincho"/>
          <w:lang w:val="en-GB"/>
        </w:rPr>
        <w:t xml:space="preserve">was also done by </w:t>
      </w:r>
      <w:r w:rsidR="00412AFC" w:rsidRPr="00CD2EEF">
        <w:rPr>
          <w:rFonts w:eastAsia="MS Mincho"/>
          <w:lang w:val="en-GB"/>
        </w:rPr>
        <w:t xml:space="preserve">virtual means. </w:t>
      </w:r>
    </w:p>
    <w:p w14:paraId="46B88D28" w14:textId="3DBECD82" w:rsidR="00412AFC" w:rsidRPr="00CD2EEF" w:rsidRDefault="00412AFC" w:rsidP="00D86DBC">
      <w:pPr>
        <w:pStyle w:val="LPnavaden"/>
        <w:rPr>
          <w:rFonts w:eastAsia="MS Mincho"/>
          <w:lang w:val="en-GB"/>
        </w:rPr>
      </w:pPr>
      <w:r w:rsidRPr="00CD2EEF">
        <w:rPr>
          <w:rFonts w:eastAsia="MS Mincho"/>
          <w:lang w:val="en-GB"/>
        </w:rPr>
        <w:t xml:space="preserve">On the basis of the </w:t>
      </w:r>
      <w:r w:rsidRPr="00CD2EEF">
        <w:rPr>
          <w:rStyle w:val="LPnavadenposevnoZnak"/>
          <w:rFonts w:eastAsia="MS Mincho"/>
          <w:lang w:val="en-GB"/>
        </w:rPr>
        <w:t>Act Regulating the Control of Exports of Dual-Use Items</w:t>
      </w:r>
      <w:r w:rsidRPr="00CD2EEF">
        <w:rPr>
          <w:rFonts w:eastAsia="MS Mincho"/>
          <w:lang w:val="en-GB"/>
        </w:rPr>
        <w:t>, a special Commission for the Export Control of Dual-Use Goods has been functioning at the Ministry of Economic Development and Technology. Dual-use goods are goods that can be used not only for civil but also for military purposes (including nuclear weapons and other weapons of mass destruction). An exporter of dual-use goods must obtain a permit from the Ministry of Economic Development and Technology, which is issued on the basis of the Commission</w:t>
      </w:r>
      <w:r w:rsidR="00F21D56">
        <w:rPr>
          <w:rFonts w:eastAsia="MS Mincho"/>
          <w:lang w:val="en-GB"/>
        </w:rPr>
        <w:t>’</w:t>
      </w:r>
      <w:r w:rsidRPr="00CD2EEF">
        <w:rPr>
          <w:rFonts w:eastAsia="MS Mincho"/>
          <w:lang w:val="en-GB"/>
        </w:rPr>
        <w:t xml:space="preserve">s opinion. In 2021, the Commission had no regular (i.e. </w:t>
      </w:r>
      <w:r w:rsidR="00263D93">
        <w:rPr>
          <w:rFonts w:eastAsia="MS Mincho"/>
          <w:lang w:val="en-GB"/>
        </w:rPr>
        <w:t>“</w:t>
      </w:r>
      <w:r w:rsidRPr="00CD2EEF">
        <w:rPr>
          <w:rFonts w:eastAsia="MS Mincho"/>
          <w:lang w:val="en-GB"/>
        </w:rPr>
        <w:t>in-person</w:t>
      </w:r>
      <w:r w:rsidR="00263D93">
        <w:rPr>
          <w:rFonts w:eastAsia="MS Mincho"/>
          <w:lang w:val="en-GB"/>
        </w:rPr>
        <w:t>”</w:t>
      </w:r>
      <w:r w:rsidRPr="00CD2EEF">
        <w:rPr>
          <w:rFonts w:eastAsia="MS Mincho"/>
          <w:lang w:val="en-GB"/>
        </w:rPr>
        <w:t xml:space="preserve">) sessions but as many as 21 correspondence sessions took place in the reporting period. The role of </w:t>
      </w:r>
      <w:r w:rsidR="00A726E8">
        <w:rPr>
          <w:rFonts w:eastAsia="MS Mincho"/>
          <w:lang w:val="en-GB"/>
        </w:rPr>
        <w:t>the</w:t>
      </w:r>
      <w:r w:rsidR="00E63423">
        <w:rPr>
          <w:rFonts w:eastAsia="MS Mincho"/>
          <w:lang w:val="en-GB"/>
        </w:rPr>
        <w:t xml:space="preserve"> SNSA</w:t>
      </w:r>
      <w:r w:rsidRPr="00CD2EEF">
        <w:rPr>
          <w:rFonts w:eastAsia="MS Mincho"/>
          <w:lang w:val="en-GB"/>
        </w:rPr>
        <w:t xml:space="preserve"> in the Commission is primarily related to the export of goods that might be used in the production of nuclear weapons or nuclear dual-use items. In 2021, the Annual Report (covering the year and work throughout 2020) of the </w:t>
      </w:r>
      <w:r w:rsidRPr="001A7546">
        <w:rPr>
          <w:rFonts w:eastAsia="MS Mincho"/>
          <w:lang w:val="en-GB"/>
        </w:rPr>
        <w:t>aforementioned Commission</w:t>
      </w:r>
      <w:r w:rsidR="00D57F59">
        <w:rPr>
          <w:rFonts w:eastAsia="MS Mincho"/>
          <w:lang w:val="en-GB"/>
        </w:rPr>
        <w:t xml:space="preserve"> </w:t>
      </w:r>
      <w:r w:rsidRPr="00CD2EEF">
        <w:rPr>
          <w:rFonts w:eastAsia="MS Mincho"/>
          <w:lang w:val="en-GB"/>
        </w:rPr>
        <w:t xml:space="preserve">was endorsed by the Slovenian Government. No special outreach (awareness raising-like) activities for exporters or research institutions (academia) took place in 2021. Finally, the </w:t>
      </w:r>
      <w:r w:rsidR="00263D93">
        <w:rPr>
          <w:rFonts w:eastAsia="MS Mincho"/>
          <w:lang w:val="en-GB"/>
        </w:rPr>
        <w:t>“</w:t>
      </w:r>
      <w:r w:rsidRPr="00CD2EEF">
        <w:rPr>
          <w:rStyle w:val="LPnavadenposevnoZnak"/>
          <w:rFonts w:eastAsia="MS Mincho"/>
          <w:lang w:val="en-GB"/>
        </w:rPr>
        <w:t>Ordinance on the establishment, composition, tasks and working methods of the Commission for the control of exports of dual use items</w:t>
      </w:r>
      <w:r w:rsidR="00263D93">
        <w:rPr>
          <w:rFonts w:eastAsia="MS Mincho"/>
          <w:lang w:val="en-GB"/>
        </w:rPr>
        <w:t>”</w:t>
      </w:r>
      <w:r w:rsidRPr="00CD2EEF">
        <w:rPr>
          <w:rFonts w:eastAsia="MS Mincho"/>
          <w:lang w:val="en-GB"/>
        </w:rPr>
        <w:t xml:space="preserve"> was published in 2021.</w:t>
      </w:r>
    </w:p>
    <w:p w14:paraId="310C2288" w14:textId="0D83BA4A" w:rsidR="00412AFC" w:rsidRPr="00CD2EEF" w:rsidRDefault="00412AFC" w:rsidP="007770D6">
      <w:pPr>
        <w:pStyle w:val="LPVirienojni"/>
        <w:rPr>
          <w:lang w:val="en-GB"/>
        </w:rPr>
      </w:pPr>
      <w:r w:rsidRPr="00CD2EEF">
        <w:rPr>
          <w:lang w:val="en-GB"/>
        </w:rPr>
        <w:t>References: [</w:t>
      </w:r>
      <w:hyperlink w:anchor="r42" w:history="1">
        <w:r w:rsidRPr="00CD2EEF">
          <w:rPr>
            <w:rStyle w:val="Hiperpovezava"/>
            <w:lang w:val="en-GB"/>
          </w:rPr>
          <w:t>42</w:t>
        </w:r>
      </w:hyperlink>
      <w:r w:rsidRPr="00CD2EEF">
        <w:rPr>
          <w:lang w:val="en-GB"/>
        </w:rPr>
        <w:t>], [</w:t>
      </w:r>
      <w:hyperlink w:anchor="r43" w:history="1">
        <w:r w:rsidRPr="00CD2EEF">
          <w:rPr>
            <w:rStyle w:val="Hiperpovezava"/>
            <w:lang w:val="en-GB"/>
          </w:rPr>
          <w:t>43</w:t>
        </w:r>
      </w:hyperlink>
      <w:r w:rsidRPr="00CD2EEF">
        <w:rPr>
          <w:lang w:val="en-GB"/>
        </w:rPr>
        <w:t>], [</w:t>
      </w:r>
      <w:hyperlink w:anchor="r44" w:history="1">
        <w:r w:rsidRPr="00CD2EEF">
          <w:rPr>
            <w:rStyle w:val="Hiperpovezava"/>
            <w:lang w:val="en-GB"/>
          </w:rPr>
          <w:t>44</w:t>
        </w:r>
      </w:hyperlink>
      <w:r w:rsidRPr="00CD2EEF">
        <w:rPr>
          <w:lang w:val="en-GB"/>
        </w:rPr>
        <w:t>]</w:t>
      </w:r>
    </w:p>
    <w:p w14:paraId="39957D92" w14:textId="77777777" w:rsidR="00412AFC" w:rsidRPr="00CD2EEF" w:rsidRDefault="00412AFC" w:rsidP="00D86DBC">
      <w:pPr>
        <w:pStyle w:val="LPNaslov2"/>
        <w:rPr>
          <w:lang w:val="en-GB"/>
        </w:rPr>
      </w:pPr>
      <w:bookmarkStart w:id="415" w:name="_Toc126312052"/>
      <w:r w:rsidRPr="00CD2EEF">
        <w:rPr>
          <w:lang w:val="en-GB"/>
        </w:rPr>
        <w:t>PHYSICAL PROTECTION OF NUCLEAR MATERIAL AND FACILITIES</w:t>
      </w:r>
      <w:bookmarkEnd w:id="415"/>
    </w:p>
    <w:p w14:paraId="36FF0C6D" w14:textId="333A320F" w:rsidR="00412AFC" w:rsidRPr="00CD2EEF" w:rsidRDefault="00412AFC" w:rsidP="00D86DBC">
      <w:pPr>
        <w:pStyle w:val="LPnavaden"/>
        <w:rPr>
          <w:rFonts w:eastAsia="MS Mincho"/>
          <w:lang w:val="en-GB"/>
        </w:rPr>
      </w:pPr>
      <w:r w:rsidRPr="00CD2EEF">
        <w:rPr>
          <w:rFonts w:eastAsia="MS Mincho"/>
          <w:lang w:val="en-GB"/>
        </w:rPr>
        <w:t xml:space="preserve">The operators of nuclear facilities and carriers of nuclear material implemented physical protection measures in accordance with their </w:t>
      </w:r>
      <w:r w:rsidR="00EB625C" w:rsidRPr="00CD2EEF">
        <w:rPr>
          <w:rFonts w:eastAsia="MS Mincho"/>
          <w:lang w:val="en-GB"/>
        </w:rPr>
        <w:t xml:space="preserve">physical protection </w:t>
      </w:r>
      <w:r w:rsidRPr="00CD2EEF">
        <w:rPr>
          <w:rFonts w:eastAsia="MS Mincho"/>
          <w:lang w:val="en-GB"/>
        </w:rPr>
        <w:t xml:space="preserve">plans approved by the Ministry of the Interior based upon prior consent </w:t>
      </w:r>
      <w:r w:rsidR="00EB625C">
        <w:rPr>
          <w:rFonts w:eastAsia="MS Mincho"/>
          <w:lang w:val="en-GB"/>
        </w:rPr>
        <w:t xml:space="preserve">and </w:t>
      </w:r>
      <w:r w:rsidRPr="00CD2EEF">
        <w:rPr>
          <w:rFonts w:eastAsia="MS Mincho"/>
          <w:lang w:val="en-GB"/>
        </w:rPr>
        <w:t xml:space="preserve">issued by </w:t>
      </w:r>
      <w:r w:rsidR="00E63423">
        <w:rPr>
          <w:rFonts w:eastAsia="MS Mincho"/>
          <w:lang w:val="en-GB"/>
        </w:rPr>
        <w:t>the SNSA</w:t>
      </w:r>
      <w:r w:rsidRPr="00CD2EEF">
        <w:rPr>
          <w:rFonts w:eastAsia="MS Mincho"/>
          <w:lang w:val="en-GB"/>
        </w:rPr>
        <w:t xml:space="preserve">. </w:t>
      </w:r>
    </w:p>
    <w:p w14:paraId="718C88E3" w14:textId="728509C3" w:rsidR="00412AFC" w:rsidRPr="00CD2EEF" w:rsidRDefault="00412AFC" w:rsidP="00D86DBC">
      <w:pPr>
        <w:pStyle w:val="LPnavaden"/>
        <w:rPr>
          <w:rFonts w:eastAsia="MS Mincho"/>
          <w:lang w:val="en-GB"/>
        </w:rPr>
      </w:pPr>
      <w:r w:rsidRPr="00CD2EEF">
        <w:rPr>
          <w:rFonts w:eastAsia="MS Mincho"/>
          <w:lang w:val="en-GB"/>
        </w:rPr>
        <w:t>The role of the Commission on the Physical Protection of Nuclear Facilities and Nuclear and Radioactive Material (hereinafter: the Commission) is to monitor and harm</w:t>
      </w:r>
      <w:r w:rsidR="00837F00">
        <w:rPr>
          <w:rFonts w:eastAsia="MS Mincho"/>
          <w:lang w:val="en-GB"/>
        </w:rPr>
        <w:t>onis</w:t>
      </w:r>
      <w:r w:rsidRPr="00CD2EEF">
        <w:rPr>
          <w:rFonts w:eastAsia="MS Mincho"/>
          <w:lang w:val="en-GB"/>
        </w:rPr>
        <w:t xml:space="preserve">e different tasks in the sphere of physical protection. The Commission provides its opinions on the threat assessment of nuclear facilities and nuclear and radioactive material, monitors and coordinates the implementation of measures for the physical protection of nuclear facilities and nuclear and radioactive material, makes suggestions to improve these measures, and makes proposals in the drafting of legislation in the area of physical protection. In 2021, two regular sessions of the Commission were held. The Commission considered proposals regarding the threat assessment for the Slovenian nuclear facilities, the future disposal of low- and intermediate-level radioactive waste (Vrbina) and transports of radioactive material on roads. The </w:t>
      </w:r>
      <w:r w:rsidR="00EB625C">
        <w:rPr>
          <w:rFonts w:eastAsia="MS Mincho"/>
          <w:lang w:val="en-GB"/>
        </w:rPr>
        <w:t>C</w:t>
      </w:r>
      <w:r w:rsidRPr="00CD2EEF">
        <w:rPr>
          <w:rFonts w:eastAsia="MS Mincho"/>
          <w:lang w:val="en-GB"/>
        </w:rPr>
        <w:t xml:space="preserve">ommission and its work were affected by the </w:t>
      </w:r>
      <w:r w:rsidR="00BE025A">
        <w:rPr>
          <w:rFonts w:eastAsia="MS Mincho"/>
          <w:lang w:val="en-GB"/>
        </w:rPr>
        <w:t>epi</w:t>
      </w:r>
      <w:r w:rsidRPr="00CD2EEF">
        <w:rPr>
          <w:rFonts w:eastAsia="MS Mincho"/>
          <w:lang w:val="en-GB"/>
        </w:rPr>
        <w:t xml:space="preserve">demic situation and Covid-19; nevertheless, all </w:t>
      </w:r>
      <w:r w:rsidR="00263D93">
        <w:rPr>
          <w:rFonts w:eastAsia="MS Mincho"/>
          <w:lang w:val="en-GB"/>
        </w:rPr>
        <w:t>“</w:t>
      </w:r>
      <w:r w:rsidRPr="00CD2EEF">
        <w:rPr>
          <w:rFonts w:eastAsia="MS Mincho"/>
          <w:lang w:val="en-GB"/>
        </w:rPr>
        <w:t>must-be-done</w:t>
      </w:r>
      <w:r w:rsidR="00263D93">
        <w:rPr>
          <w:rFonts w:eastAsia="MS Mincho"/>
          <w:lang w:val="en-GB"/>
        </w:rPr>
        <w:t>”</w:t>
      </w:r>
      <w:r w:rsidRPr="00CD2EEF">
        <w:rPr>
          <w:rFonts w:eastAsia="MS Mincho"/>
          <w:lang w:val="en-GB"/>
        </w:rPr>
        <w:t xml:space="preserve"> activities were accomplished </w:t>
      </w:r>
      <w:r w:rsidR="00EB625C">
        <w:rPr>
          <w:rFonts w:eastAsia="MS Mincho"/>
          <w:lang w:val="en-GB"/>
        </w:rPr>
        <w:t>regarding</w:t>
      </w:r>
      <w:r w:rsidRPr="00CD2EEF">
        <w:rPr>
          <w:rFonts w:eastAsia="MS Mincho"/>
          <w:lang w:val="en-GB"/>
        </w:rPr>
        <w:t xml:space="preserve"> the area of </w:t>
      </w:r>
      <w:r w:rsidR="00EB625C">
        <w:rPr>
          <w:rFonts w:eastAsia="MS Mincho"/>
          <w:lang w:val="en-GB"/>
        </w:rPr>
        <w:t xml:space="preserve">the </w:t>
      </w:r>
      <w:r w:rsidRPr="00CD2EEF">
        <w:rPr>
          <w:rFonts w:eastAsia="MS Mincho"/>
          <w:lang w:val="en-GB"/>
        </w:rPr>
        <w:t xml:space="preserve">physical protection of nuclear facilities and nuclear and radioactive material. </w:t>
      </w:r>
    </w:p>
    <w:p w14:paraId="376C5DC2" w14:textId="16FF578D" w:rsidR="00412AFC" w:rsidRPr="00CD2EEF" w:rsidRDefault="00412AFC" w:rsidP="00D86DBC">
      <w:pPr>
        <w:pStyle w:val="LPnavaden"/>
        <w:rPr>
          <w:rFonts w:eastAsia="MS Mincho"/>
          <w:lang w:val="en-GB"/>
        </w:rPr>
      </w:pPr>
      <w:r w:rsidRPr="00EB625C">
        <w:rPr>
          <w:rFonts w:eastAsia="MS Mincho"/>
          <w:lang w:val="en-GB"/>
        </w:rPr>
        <w:t xml:space="preserve">The </w:t>
      </w:r>
      <w:r w:rsidR="00EB625C" w:rsidRPr="00D57F59">
        <w:rPr>
          <w:rFonts w:eastAsia="MS Mincho"/>
          <w:lang w:val="en-GB"/>
        </w:rPr>
        <w:t>C</w:t>
      </w:r>
      <w:r w:rsidRPr="00EB625C">
        <w:rPr>
          <w:rFonts w:eastAsia="MS Mincho"/>
          <w:lang w:val="en-GB"/>
        </w:rPr>
        <w:t>ommission</w:t>
      </w:r>
      <w:r w:rsidR="00F21D56" w:rsidRPr="00EB625C">
        <w:rPr>
          <w:rFonts w:eastAsia="MS Mincho"/>
          <w:lang w:val="en-GB"/>
        </w:rPr>
        <w:t>’</w:t>
      </w:r>
      <w:r w:rsidRPr="00EB625C">
        <w:rPr>
          <w:rFonts w:eastAsia="MS Mincho"/>
          <w:lang w:val="en-GB"/>
        </w:rPr>
        <w:t>s</w:t>
      </w:r>
      <w:r w:rsidRPr="00CD2EEF">
        <w:rPr>
          <w:rFonts w:eastAsia="MS Mincho"/>
          <w:lang w:val="en-GB"/>
        </w:rPr>
        <w:t xml:space="preserve"> members were also informed </w:t>
      </w:r>
      <w:r w:rsidR="00510D4D">
        <w:rPr>
          <w:rFonts w:eastAsia="MS Mincho"/>
          <w:lang w:val="en-GB"/>
        </w:rPr>
        <w:t>of</w:t>
      </w:r>
      <w:r w:rsidR="00510D4D" w:rsidRPr="00CD2EEF">
        <w:rPr>
          <w:rFonts w:eastAsia="MS Mincho"/>
          <w:lang w:val="en-GB"/>
        </w:rPr>
        <w:t xml:space="preserve"> </w:t>
      </w:r>
      <w:r w:rsidRPr="00CD2EEF">
        <w:rPr>
          <w:rFonts w:eastAsia="MS Mincho"/>
          <w:lang w:val="en-GB"/>
        </w:rPr>
        <w:t xml:space="preserve">the proposal to amend the </w:t>
      </w:r>
      <w:r w:rsidR="00EB625C">
        <w:rPr>
          <w:rFonts w:eastAsia="MS Mincho"/>
          <w:lang w:val="en-GB"/>
        </w:rPr>
        <w:t>second</w:t>
      </w:r>
      <w:r w:rsidRPr="00CD2EEF">
        <w:rPr>
          <w:rFonts w:eastAsia="MS Mincho"/>
          <w:lang w:val="en-GB"/>
        </w:rPr>
        <w:t>-tier regulations in the area of physical protection, based upon the Ionising Radiation Protection and Nuclear Safety Act. It is anticipated that both pieces of regulation will be approved in 2022.</w:t>
      </w:r>
    </w:p>
    <w:p w14:paraId="5355A787" w14:textId="441EFB21" w:rsidR="00412AFC" w:rsidRPr="00CD2EEF" w:rsidRDefault="00412AFC" w:rsidP="00D86DBC">
      <w:pPr>
        <w:pStyle w:val="LPnavaden"/>
        <w:rPr>
          <w:rFonts w:eastAsia="MS Mincho"/>
          <w:lang w:val="en-GB"/>
        </w:rPr>
      </w:pPr>
      <w:r w:rsidRPr="00CD2EEF">
        <w:rPr>
          <w:rFonts w:eastAsia="MS Mincho"/>
          <w:lang w:val="en-GB"/>
        </w:rPr>
        <w:t xml:space="preserve">The Ministry of the Interior issued one decision (approval) regarding physical protection plans, namely for </w:t>
      </w:r>
      <w:r w:rsidR="001B146F">
        <w:rPr>
          <w:rFonts w:eastAsia="MS Mincho"/>
          <w:lang w:val="en-GB"/>
        </w:rPr>
        <w:t>the Krško NPP</w:t>
      </w:r>
      <w:r w:rsidRPr="00CD2EEF">
        <w:rPr>
          <w:rFonts w:eastAsia="MS Mincho"/>
          <w:lang w:val="en-GB"/>
        </w:rPr>
        <w:t xml:space="preserve"> (</w:t>
      </w:r>
      <w:r w:rsidR="00AB72D7">
        <w:rPr>
          <w:rFonts w:eastAsia="MS Mincho"/>
          <w:lang w:val="en-GB"/>
        </w:rPr>
        <w:t xml:space="preserve">a </w:t>
      </w:r>
      <w:r w:rsidRPr="00CD2EEF">
        <w:rPr>
          <w:rFonts w:eastAsia="MS Mincho"/>
          <w:lang w:val="en-GB"/>
        </w:rPr>
        <w:t xml:space="preserve">prior opinion was issued by </w:t>
      </w:r>
      <w:r w:rsidR="00E63423">
        <w:rPr>
          <w:rFonts w:eastAsia="MS Mincho"/>
          <w:lang w:val="en-GB"/>
        </w:rPr>
        <w:t>the SNSA</w:t>
      </w:r>
      <w:r w:rsidRPr="00CD2EEF">
        <w:rPr>
          <w:rFonts w:eastAsia="MS Mincho"/>
          <w:lang w:val="en-GB"/>
        </w:rPr>
        <w:t>).</w:t>
      </w:r>
    </w:p>
    <w:p w14:paraId="1808CDE5" w14:textId="40B1D318" w:rsidR="00412AFC" w:rsidRPr="00CD2EEF" w:rsidRDefault="00412AFC" w:rsidP="00D86DBC">
      <w:pPr>
        <w:pStyle w:val="LPnavaden"/>
        <w:rPr>
          <w:rFonts w:eastAsia="MS Mincho"/>
          <w:lang w:val="en-GB"/>
        </w:rPr>
      </w:pPr>
      <w:r w:rsidRPr="00CD2EEF">
        <w:rPr>
          <w:rFonts w:eastAsia="MS Mincho"/>
          <w:lang w:val="en-GB"/>
        </w:rPr>
        <w:t>The Inspectorate of the Ministry of the Interior – based upon its Annual Plan of Activities in 2021 – carried out one inspection control of a nuclear facility (</w:t>
      </w:r>
      <w:r w:rsidR="001B146F">
        <w:rPr>
          <w:rFonts w:eastAsia="MS Mincho"/>
          <w:lang w:val="en-GB"/>
        </w:rPr>
        <w:t>the Krško NPP</w:t>
      </w:r>
      <w:r w:rsidRPr="00CD2EEF">
        <w:rPr>
          <w:rFonts w:eastAsia="MS Mincho"/>
          <w:lang w:val="en-GB"/>
        </w:rPr>
        <w:t xml:space="preserve">). The control included supervision of compliance and measures regarding both </w:t>
      </w:r>
      <w:r w:rsidR="00AB72D7">
        <w:rPr>
          <w:rFonts w:eastAsia="MS Mincho"/>
          <w:lang w:val="en-GB"/>
        </w:rPr>
        <w:t xml:space="preserve">the </w:t>
      </w:r>
      <w:r w:rsidRPr="00CD2EEF">
        <w:rPr>
          <w:rFonts w:eastAsia="MS Mincho"/>
          <w:lang w:val="en-GB"/>
        </w:rPr>
        <w:t xml:space="preserve">main alarm centre and </w:t>
      </w:r>
      <w:r w:rsidR="00AB72D7">
        <w:rPr>
          <w:rFonts w:eastAsia="MS Mincho"/>
          <w:lang w:val="en-GB"/>
        </w:rPr>
        <w:t xml:space="preserve">the </w:t>
      </w:r>
      <w:r w:rsidRPr="00CD2EEF">
        <w:rPr>
          <w:rFonts w:eastAsia="MS Mincho"/>
          <w:lang w:val="en-GB"/>
        </w:rPr>
        <w:t xml:space="preserve">secondary </w:t>
      </w:r>
      <w:r w:rsidRPr="00CD2EEF">
        <w:rPr>
          <w:rFonts w:eastAsia="MS Mincho"/>
          <w:lang w:val="en-GB"/>
        </w:rPr>
        <w:lastRenderedPageBreak/>
        <w:t xml:space="preserve">alarm centre on-site. </w:t>
      </w:r>
      <w:r w:rsidR="001B146F">
        <w:rPr>
          <w:rFonts w:eastAsia="MS Mincho"/>
          <w:lang w:val="en-GB"/>
        </w:rPr>
        <w:t>The Krško NPP</w:t>
      </w:r>
      <w:r w:rsidR="00F21D56">
        <w:rPr>
          <w:rFonts w:eastAsia="MS Mincho"/>
          <w:lang w:val="en-GB"/>
        </w:rPr>
        <w:t>’</w:t>
      </w:r>
      <w:r w:rsidRPr="00CD2EEF">
        <w:rPr>
          <w:rFonts w:eastAsia="MS Mincho"/>
          <w:lang w:val="en-GB"/>
        </w:rPr>
        <w:t xml:space="preserve">s alarm centre has not been certified within the prescribed timeframe. A decision was issued for such certification to be accomplished </w:t>
      </w:r>
      <w:r w:rsidR="00AB72D7">
        <w:rPr>
          <w:rFonts w:eastAsia="MS Mincho"/>
          <w:lang w:val="en-GB"/>
        </w:rPr>
        <w:t>by</w:t>
      </w:r>
      <w:r w:rsidR="00B91EC2" w:rsidRPr="00CD2EEF">
        <w:rPr>
          <w:rFonts w:eastAsia="MS Mincho"/>
          <w:lang w:val="en-GB"/>
        </w:rPr>
        <w:t xml:space="preserve"> </w:t>
      </w:r>
      <w:r w:rsidRPr="00CD2EEF">
        <w:rPr>
          <w:rFonts w:eastAsia="MS Mincho"/>
          <w:lang w:val="en-GB"/>
        </w:rPr>
        <w:t>June 2023.</w:t>
      </w:r>
    </w:p>
    <w:p w14:paraId="24CF9A97" w14:textId="00FC289F" w:rsidR="00412AFC" w:rsidRPr="00CD2EEF" w:rsidRDefault="00412AFC" w:rsidP="00D86DBC">
      <w:pPr>
        <w:pStyle w:val="LPnavaden"/>
        <w:rPr>
          <w:rFonts w:eastAsia="MS Mincho"/>
          <w:lang w:val="en-GB"/>
        </w:rPr>
      </w:pPr>
      <w:r w:rsidRPr="00CD2EEF">
        <w:rPr>
          <w:rFonts w:eastAsia="MS Mincho"/>
          <w:lang w:val="en-GB"/>
        </w:rPr>
        <w:t>In the scope of the General Police Directorate, several threat assessments were carried out in the course of 2021 for nuclear facilities</w:t>
      </w:r>
      <w:r w:rsidR="0096732E">
        <w:rPr>
          <w:rFonts w:eastAsia="MS Mincho"/>
          <w:lang w:val="en-GB"/>
        </w:rPr>
        <w:t>,</w:t>
      </w:r>
      <w:r w:rsidRPr="00CD2EEF">
        <w:rPr>
          <w:rFonts w:eastAsia="MS Mincho"/>
          <w:lang w:val="en-GB"/>
        </w:rPr>
        <w:t xml:space="preserve"> as well as a revised threat assessment for the transport of radioactive material (on roads).</w:t>
      </w:r>
    </w:p>
    <w:p w14:paraId="4B6A68DF" w14:textId="2C9D552D" w:rsidR="00412AFC" w:rsidRPr="00CD2EEF" w:rsidRDefault="00412AFC" w:rsidP="00D86DBC">
      <w:pPr>
        <w:pStyle w:val="LPnavaden"/>
        <w:rPr>
          <w:rFonts w:eastAsia="MS Mincho"/>
          <w:lang w:val="en-GB"/>
        </w:rPr>
      </w:pPr>
      <w:r w:rsidRPr="00CD2EEF">
        <w:rPr>
          <w:rFonts w:eastAsia="MS Mincho"/>
          <w:lang w:val="en-GB"/>
        </w:rPr>
        <w:t>Throughout 2021, no cases of a real threat to any domestic nuclear facilities were considered by the Police; there were no such events connected directly to the security of nuclear facilities. No information was collected regarding criminal groups or individuals threatening the security of nuclear facilities or persons who would attempt to access radioactive material in an unauthor</w:t>
      </w:r>
      <w:r w:rsidR="00837F00">
        <w:rPr>
          <w:rFonts w:eastAsia="MS Mincho"/>
          <w:lang w:val="en-GB"/>
        </w:rPr>
        <w:t>ised</w:t>
      </w:r>
      <w:r w:rsidRPr="00CD2EEF">
        <w:rPr>
          <w:rFonts w:eastAsia="MS Mincho"/>
          <w:lang w:val="en-GB"/>
        </w:rPr>
        <w:t xml:space="preserve"> way.</w:t>
      </w:r>
    </w:p>
    <w:p w14:paraId="4C4620EE" w14:textId="78B17BEE" w:rsidR="00412AFC" w:rsidRPr="00CD2EEF" w:rsidRDefault="00412AFC" w:rsidP="00D86DBC">
      <w:pPr>
        <w:pStyle w:val="LPnavaden"/>
        <w:rPr>
          <w:rFonts w:eastAsia="MS Mincho"/>
          <w:lang w:val="en-GB"/>
        </w:rPr>
      </w:pPr>
      <w:r w:rsidRPr="00CD2EEF">
        <w:rPr>
          <w:rFonts w:eastAsia="MS Mincho"/>
          <w:lang w:val="en-GB"/>
        </w:rPr>
        <w:t xml:space="preserve">In 2021, the Ministry of the Interior was also involved in the process of </w:t>
      </w:r>
      <w:r w:rsidR="00263D93">
        <w:rPr>
          <w:rFonts w:eastAsia="MS Mincho"/>
          <w:lang w:val="en-GB"/>
        </w:rPr>
        <w:t>“</w:t>
      </w:r>
      <w:r w:rsidRPr="00CD2EEF">
        <w:rPr>
          <w:rFonts w:eastAsia="MS Mincho"/>
          <w:lang w:val="en-GB"/>
        </w:rPr>
        <w:t>background checks</w:t>
      </w:r>
      <w:r w:rsidR="00263D93">
        <w:rPr>
          <w:rFonts w:eastAsia="MS Mincho"/>
          <w:lang w:val="en-GB"/>
        </w:rPr>
        <w:t>”</w:t>
      </w:r>
      <w:r w:rsidRPr="00CD2EEF">
        <w:rPr>
          <w:rFonts w:eastAsia="MS Mincho"/>
          <w:lang w:val="en-GB"/>
        </w:rPr>
        <w:t xml:space="preserve"> (or </w:t>
      </w:r>
      <w:r w:rsidR="00263D93">
        <w:rPr>
          <w:rFonts w:eastAsia="MS Mincho"/>
          <w:lang w:val="en-GB"/>
        </w:rPr>
        <w:t>“</w:t>
      </w:r>
      <w:r w:rsidRPr="00CD2EEF">
        <w:rPr>
          <w:rFonts w:eastAsia="MS Mincho"/>
          <w:lang w:val="en-GB"/>
        </w:rPr>
        <w:t>security vetting</w:t>
      </w:r>
      <w:r w:rsidR="00263D93">
        <w:rPr>
          <w:rFonts w:eastAsia="MS Mincho"/>
          <w:lang w:val="en-GB"/>
        </w:rPr>
        <w:t>”</w:t>
      </w:r>
      <w:r w:rsidRPr="00CD2EEF">
        <w:rPr>
          <w:rFonts w:eastAsia="MS Mincho"/>
          <w:lang w:val="en-GB"/>
        </w:rPr>
        <w:t xml:space="preserve">) of foreign nationals, based upon Article 155 of </w:t>
      </w:r>
      <w:r w:rsidR="007B062F">
        <w:rPr>
          <w:rFonts w:eastAsia="MS Mincho"/>
          <w:lang w:val="en-GB"/>
        </w:rPr>
        <w:t xml:space="preserve">the </w:t>
      </w:r>
      <w:r w:rsidRPr="00CD2EEF">
        <w:rPr>
          <w:rFonts w:eastAsia="MS Mincho"/>
          <w:lang w:val="en-GB"/>
        </w:rPr>
        <w:t xml:space="preserve">ZVISJV-1. In total, as many as 641 such procedures were completed addressing foreign nationals. 196 different legal persons (employing foreign nationals) were informed </w:t>
      </w:r>
      <w:r w:rsidR="00DD7E2F">
        <w:rPr>
          <w:rFonts w:eastAsia="MS Mincho"/>
          <w:lang w:val="en-GB"/>
        </w:rPr>
        <w:t>of</w:t>
      </w:r>
      <w:r w:rsidR="00DD7E2F" w:rsidRPr="00CD2EEF">
        <w:rPr>
          <w:rFonts w:eastAsia="MS Mincho"/>
          <w:lang w:val="en-GB"/>
        </w:rPr>
        <w:t xml:space="preserve"> </w:t>
      </w:r>
      <w:r w:rsidRPr="00CD2EEF">
        <w:rPr>
          <w:rFonts w:eastAsia="MS Mincho"/>
          <w:lang w:val="en-GB"/>
        </w:rPr>
        <w:t xml:space="preserve">the outcomes of these procedures. </w:t>
      </w:r>
      <w:r w:rsidR="00625607">
        <w:rPr>
          <w:rFonts w:eastAsia="MS Mincho"/>
          <w:lang w:val="en-GB"/>
        </w:rPr>
        <w:t>I</w:t>
      </w:r>
      <w:r w:rsidRPr="00CD2EEF">
        <w:rPr>
          <w:rFonts w:eastAsia="MS Mincho"/>
          <w:lang w:val="en-GB"/>
        </w:rPr>
        <w:t xml:space="preserve">n </w:t>
      </w:r>
      <w:r w:rsidR="00625607">
        <w:rPr>
          <w:rFonts w:eastAsia="MS Mincho"/>
          <w:lang w:val="en-GB"/>
        </w:rPr>
        <w:t>o</w:t>
      </w:r>
      <w:r w:rsidR="00625607" w:rsidRPr="00CD2EEF">
        <w:rPr>
          <w:rFonts w:eastAsia="MS Mincho"/>
          <w:lang w:val="en-GB"/>
        </w:rPr>
        <w:t xml:space="preserve">nly </w:t>
      </w:r>
      <w:r w:rsidRPr="00CD2EEF">
        <w:rPr>
          <w:rFonts w:eastAsia="MS Mincho"/>
          <w:lang w:val="en-GB"/>
        </w:rPr>
        <w:t xml:space="preserve">one case </w:t>
      </w:r>
      <w:r w:rsidR="00625607" w:rsidRPr="00CD2EEF">
        <w:rPr>
          <w:rFonts w:eastAsia="MS Mincho"/>
          <w:lang w:val="en-GB"/>
        </w:rPr>
        <w:t xml:space="preserve">were </w:t>
      </w:r>
      <w:r w:rsidRPr="00CD2EEF">
        <w:rPr>
          <w:rFonts w:eastAsia="MS Mincho"/>
          <w:lang w:val="en-GB"/>
        </w:rPr>
        <w:t xml:space="preserve">security-related concerns present – and a decision was issued on </w:t>
      </w:r>
      <w:r w:rsidR="00625607">
        <w:rPr>
          <w:rFonts w:eastAsia="MS Mincho"/>
          <w:lang w:val="en-GB"/>
        </w:rPr>
        <w:t>a</w:t>
      </w:r>
      <w:r w:rsidR="00625607" w:rsidRPr="00CD2EEF">
        <w:rPr>
          <w:rFonts w:eastAsia="MS Mincho"/>
          <w:lang w:val="en-GB"/>
        </w:rPr>
        <w:t xml:space="preserve"> </w:t>
      </w:r>
      <w:r w:rsidRPr="00CD2EEF">
        <w:rPr>
          <w:rFonts w:eastAsia="MS Mincho"/>
          <w:lang w:val="en-GB"/>
        </w:rPr>
        <w:t xml:space="preserve">security concern regarding </w:t>
      </w:r>
      <w:r w:rsidR="00625607">
        <w:rPr>
          <w:rFonts w:eastAsia="MS Mincho"/>
          <w:lang w:val="en-GB"/>
        </w:rPr>
        <w:t>a</w:t>
      </w:r>
      <w:r w:rsidR="00625607" w:rsidRPr="00CD2EEF">
        <w:rPr>
          <w:rFonts w:eastAsia="MS Mincho"/>
          <w:lang w:val="en-GB"/>
        </w:rPr>
        <w:t xml:space="preserve"> </w:t>
      </w:r>
      <w:r w:rsidRPr="00CD2EEF">
        <w:rPr>
          <w:rFonts w:eastAsia="MS Mincho"/>
          <w:lang w:val="en-GB"/>
        </w:rPr>
        <w:t>person</w:t>
      </w:r>
      <w:r w:rsidR="00F21D56">
        <w:rPr>
          <w:rFonts w:eastAsia="MS Mincho"/>
          <w:lang w:val="en-GB"/>
        </w:rPr>
        <w:t>’</w:t>
      </w:r>
      <w:r w:rsidRPr="00CD2EEF">
        <w:rPr>
          <w:rFonts w:eastAsia="MS Mincho"/>
          <w:lang w:val="en-GB"/>
        </w:rPr>
        <w:t>s work in a nuclear facility.</w:t>
      </w:r>
    </w:p>
    <w:p w14:paraId="396A3635" w14:textId="43CD7CC2" w:rsidR="00412AFC" w:rsidRPr="00CD2EEF" w:rsidRDefault="00412AFC" w:rsidP="00D86DBC">
      <w:pPr>
        <w:pStyle w:val="LPnavaden"/>
        <w:rPr>
          <w:rFonts w:eastAsia="MS Mincho"/>
          <w:lang w:val="en-GB"/>
        </w:rPr>
      </w:pPr>
      <w:r w:rsidRPr="00CD2EEF">
        <w:rPr>
          <w:rFonts w:eastAsia="MS Mincho"/>
          <w:lang w:val="en-GB"/>
        </w:rPr>
        <w:t xml:space="preserve">The Ministry of the Interior and </w:t>
      </w:r>
      <w:r w:rsidR="00E63423">
        <w:rPr>
          <w:rFonts w:eastAsia="MS Mincho"/>
          <w:lang w:val="en-GB"/>
        </w:rPr>
        <w:t>the SNSA</w:t>
      </w:r>
      <w:r w:rsidRPr="00CD2EEF">
        <w:rPr>
          <w:rFonts w:eastAsia="MS Mincho"/>
          <w:lang w:val="en-GB"/>
        </w:rPr>
        <w:t xml:space="preserve"> participated in some virtual meetings, encompassing the issues of </w:t>
      </w:r>
      <w:r w:rsidR="00263D93">
        <w:rPr>
          <w:rFonts w:eastAsia="MS Mincho"/>
          <w:lang w:val="en-GB"/>
        </w:rPr>
        <w:t>“</w:t>
      </w:r>
      <w:r w:rsidRPr="00CD2EEF">
        <w:rPr>
          <w:rFonts w:eastAsia="MS Mincho"/>
          <w:lang w:val="en-GB"/>
        </w:rPr>
        <w:t>Insider Threat Mitigation</w:t>
      </w:r>
      <w:r w:rsidR="00263D93">
        <w:rPr>
          <w:rFonts w:eastAsia="MS Mincho"/>
          <w:lang w:val="en-GB"/>
        </w:rPr>
        <w:t>”</w:t>
      </w:r>
      <w:r w:rsidRPr="00CD2EEF">
        <w:rPr>
          <w:rFonts w:eastAsia="MS Mincho"/>
          <w:lang w:val="en-GB"/>
        </w:rPr>
        <w:t xml:space="preserve"> as well as a seminar on good practices and shared experiences from the past IPPAS missions.</w:t>
      </w:r>
    </w:p>
    <w:p w14:paraId="3AAE70BC" w14:textId="0AE8BCD6" w:rsidR="00412AFC" w:rsidRPr="00CD2EEF" w:rsidRDefault="00412AFC" w:rsidP="00D86DBC">
      <w:pPr>
        <w:pStyle w:val="LPnavaden"/>
        <w:rPr>
          <w:rFonts w:eastAsia="MS Mincho"/>
          <w:lang w:val="en-GB"/>
        </w:rPr>
      </w:pPr>
      <w:r w:rsidRPr="00CD2EEF">
        <w:rPr>
          <w:rFonts w:eastAsia="MS Mincho"/>
          <w:lang w:val="en-GB"/>
        </w:rPr>
        <w:t xml:space="preserve">In February 2021, a virtual meeting of the Preparatory Committee of the </w:t>
      </w:r>
      <w:r w:rsidRPr="00CD2EEF">
        <w:rPr>
          <w:rStyle w:val="LPnavadenposevnoZnak"/>
          <w:rFonts w:eastAsia="MS Mincho"/>
          <w:lang w:val="en-GB"/>
        </w:rPr>
        <w:t xml:space="preserve">Convention on the Physical Protection of </w:t>
      </w:r>
      <w:r w:rsidR="00625607" w:rsidRPr="00CD2EEF">
        <w:rPr>
          <w:rStyle w:val="LPnavadenposevnoZnak"/>
          <w:rFonts w:eastAsia="MS Mincho"/>
          <w:lang w:val="en-GB"/>
        </w:rPr>
        <w:t>Nuclear</w:t>
      </w:r>
      <w:r w:rsidRPr="00CD2EEF">
        <w:rPr>
          <w:rStyle w:val="LPnavadenposevnoZnak"/>
          <w:rFonts w:eastAsia="MS Mincho"/>
          <w:lang w:val="en-GB"/>
        </w:rPr>
        <w:t xml:space="preserve"> Material </w:t>
      </w:r>
      <w:r w:rsidRPr="00CD2EEF">
        <w:rPr>
          <w:rFonts w:eastAsia="MS Mincho"/>
          <w:lang w:val="en-GB"/>
        </w:rPr>
        <w:t>(CPPNM/A) conference was held, organ</w:t>
      </w:r>
      <w:r w:rsidR="00837F00">
        <w:rPr>
          <w:rFonts w:eastAsia="MS Mincho"/>
          <w:lang w:val="en-GB"/>
        </w:rPr>
        <w:t>ised</w:t>
      </w:r>
      <w:r w:rsidRPr="00CD2EEF">
        <w:rPr>
          <w:rFonts w:eastAsia="MS Mincho"/>
          <w:lang w:val="en-GB"/>
        </w:rPr>
        <w:t xml:space="preserve"> by </w:t>
      </w:r>
      <w:r w:rsidR="00625607">
        <w:rPr>
          <w:rFonts w:eastAsia="MS Mincho"/>
          <w:lang w:val="en-GB"/>
        </w:rPr>
        <w:t xml:space="preserve">the </w:t>
      </w:r>
      <w:r w:rsidRPr="00CD2EEF">
        <w:rPr>
          <w:rFonts w:eastAsia="MS Mincho"/>
          <w:lang w:val="en-GB"/>
        </w:rPr>
        <w:t>IAEA, with</w:t>
      </w:r>
      <w:r w:rsidR="00625607">
        <w:rPr>
          <w:rFonts w:eastAsia="MS Mincho"/>
          <w:lang w:val="en-GB"/>
        </w:rPr>
        <w:t xml:space="preserve"> the</w:t>
      </w:r>
      <w:r w:rsidRPr="00CD2EEF">
        <w:rPr>
          <w:rFonts w:eastAsia="MS Mincho"/>
          <w:lang w:val="en-GB"/>
        </w:rPr>
        <w:t xml:space="preserve"> </w:t>
      </w:r>
      <w:r w:rsidR="00625607" w:rsidRPr="00CD2EEF">
        <w:rPr>
          <w:rFonts w:eastAsia="MS Mincho"/>
          <w:lang w:val="en-GB"/>
        </w:rPr>
        <w:t>participation</w:t>
      </w:r>
      <w:r w:rsidR="00625607">
        <w:rPr>
          <w:rFonts w:eastAsia="MS Mincho"/>
          <w:lang w:val="en-GB"/>
        </w:rPr>
        <w:t xml:space="preserve"> of</w:t>
      </w:r>
      <w:r w:rsidR="00625607" w:rsidRPr="00CD2EEF">
        <w:rPr>
          <w:rFonts w:eastAsia="MS Mincho"/>
          <w:lang w:val="en-GB"/>
        </w:rPr>
        <w:t xml:space="preserve"> </w:t>
      </w:r>
      <w:r w:rsidRPr="00CD2EEF">
        <w:rPr>
          <w:rFonts w:eastAsia="MS Mincho"/>
          <w:lang w:val="en-GB"/>
        </w:rPr>
        <w:t xml:space="preserve">numerous </w:t>
      </w:r>
      <w:r w:rsidR="00625607" w:rsidRPr="00CD2EEF">
        <w:rPr>
          <w:rFonts w:eastAsia="MS Mincho"/>
          <w:lang w:val="en-GB"/>
        </w:rPr>
        <w:t>delegates</w:t>
      </w:r>
      <w:r w:rsidR="00625607" w:rsidRPr="00CD2EEF" w:rsidDel="00625607">
        <w:rPr>
          <w:rFonts w:eastAsia="MS Mincho"/>
          <w:lang w:val="en-GB"/>
        </w:rPr>
        <w:t xml:space="preserve"> </w:t>
      </w:r>
      <w:r w:rsidRPr="00CD2EEF">
        <w:rPr>
          <w:rFonts w:eastAsia="MS Mincho"/>
          <w:lang w:val="en-GB"/>
        </w:rPr>
        <w:t xml:space="preserve">of States </w:t>
      </w:r>
      <w:r w:rsidR="006832BF">
        <w:rPr>
          <w:rFonts w:eastAsia="MS Mincho"/>
          <w:lang w:val="en-GB"/>
        </w:rPr>
        <w:t>S</w:t>
      </w:r>
      <w:r w:rsidRPr="00CD2EEF">
        <w:rPr>
          <w:rFonts w:eastAsia="MS Mincho"/>
          <w:lang w:val="en-GB"/>
        </w:rPr>
        <w:t xml:space="preserve">ignatories. By the end of 2021, a string of virtual, </w:t>
      </w:r>
      <w:r w:rsidR="007219D2">
        <w:rPr>
          <w:rFonts w:eastAsia="MS Mincho"/>
          <w:lang w:val="en-GB"/>
        </w:rPr>
        <w:t>“</w:t>
      </w:r>
      <w:r w:rsidRPr="00CD2EEF">
        <w:rPr>
          <w:rFonts w:eastAsia="MS Mincho"/>
          <w:lang w:val="en-GB"/>
        </w:rPr>
        <w:t>open-ended meetings</w:t>
      </w:r>
      <w:r w:rsidR="007219D2">
        <w:rPr>
          <w:rFonts w:eastAsia="MS Mincho"/>
          <w:lang w:val="en-GB"/>
        </w:rPr>
        <w:t>”</w:t>
      </w:r>
      <w:r w:rsidRPr="00CD2EEF">
        <w:rPr>
          <w:rFonts w:eastAsia="MS Mincho"/>
          <w:lang w:val="en-GB"/>
        </w:rPr>
        <w:t xml:space="preserve"> </w:t>
      </w:r>
      <w:r w:rsidR="00CB39E6">
        <w:rPr>
          <w:rFonts w:eastAsia="MS Mincho"/>
          <w:lang w:val="en-GB"/>
        </w:rPr>
        <w:t>had been</w:t>
      </w:r>
      <w:r w:rsidR="00CB39E6" w:rsidRPr="00CD2EEF">
        <w:rPr>
          <w:rFonts w:eastAsia="MS Mincho"/>
          <w:lang w:val="en-GB"/>
        </w:rPr>
        <w:t xml:space="preserve"> </w:t>
      </w:r>
      <w:r w:rsidRPr="00CD2EEF">
        <w:rPr>
          <w:rFonts w:eastAsia="MS Mincho"/>
          <w:lang w:val="en-GB"/>
        </w:rPr>
        <w:t>held; the participants deal</w:t>
      </w:r>
      <w:r w:rsidR="00CB39E6">
        <w:rPr>
          <w:rFonts w:eastAsia="MS Mincho"/>
          <w:lang w:val="en-GB"/>
        </w:rPr>
        <w:t>t</w:t>
      </w:r>
      <w:r w:rsidRPr="00CD2EEF">
        <w:rPr>
          <w:rFonts w:eastAsia="MS Mincho"/>
          <w:lang w:val="en-GB"/>
        </w:rPr>
        <w:t xml:space="preserve"> with the agenda and rules of procedures for the conference. The meetings were followed by several Slovenian </w:t>
      </w:r>
      <w:r w:rsidRPr="00D57F59">
        <w:rPr>
          <w:rFonts w:eastAsia="MS Mincho"/>
          <w:lang w:val="en-GB"/>
        </w:rPr>
        <w:t>counterparts</w:t>
      </w:r>
      <w:r w:rsidRPr="00CD2EEF">
        <w:rPr>
          <w:rFonts w:eastAsia="MS Mincho"/>
          <w:lang w:val="en-GB"/>
        </w:rPr>
        <w:t xml:space="preserve"> (</w:t>
      </w:r>
      <w:r w:rsidR="00510320">
        <w:rPr>
          <w:rFonts w:eastAsia="MS Mincho"/>
          <w:lang w:val="en-GB"/>
        </w:rPr>
        <w:t xml:space="preserve">the </w:t>
      </w:r>
      <w:r w:rsidRPr="00CD2EEF">
        <w:rPr>
          <w:rFonts w:eastAsia="MS Mincho"/>
          <w:lang w:val="en-GB"/>
        </w:rPr>
        <w:t xml:space="preserve">MFA, </w:t>
      </w:r>
      <w:r w:rsidR="00E63423">
        <w:rPr>
          <w:rFonts w:eastAsia="MS Mincho"/>
          <w:lang w:val="en-GB"/>
        </w:rPr>
        <w:t>the SNSA</w:t>
      </w:r>
      <w:r w:rsidRPr="00CD2EEF">
        <w:rPr>
          <w:rFonts w:eastAsia="MS Mincho"/>
          <w:lang w:val="en-GB"/>
        </w:rPr>
        <w:t xml:space="preserve">, </w:t>
      </w:r>
      <w:r w:rsidR="00510320">
        <w:rPr>
          <w:rFonts w:eastAsia="MS Mincho"/>
          <w:lang w:val="en-GB"/>
        </w:rPr>
        <w:t xml:space="preserve">the </w:t>
      </w:r>
      <w:r w:rsidRPr="00CD2EEF">
        <w:rPr>
          <w:rFonts w:eastAsia="MS Mincho"/>
          <w:lang w:val="en-GB"/>
        </w:rPr>
        <w:t>Ministry of the Interior).</w:t>
      </w:r>
    </w:p>
    <w:p w14:paraId="5127C233" w14:textId="120388D9" w:rsidR="00412AFC" w:rsidRPr="00CD2EEF" w:rsidRDefault="00412AFC" w:rsidP="00D86DBC">
      <w:pPr>
        <w:pStyle w:val="LPnavaden"/>
        <w:rPr>
          <w:rFonts w:eastAsia="MS Mincho"/>
          <w:lang w:val="en-GB"/>
        </w:rPr>
      </w:pPr>
      <w:r w:rsidRPr="00CD2EEF">
        <w:rPr>
          <w:rFonts w:eastAsia="MS Mincho"/>
          <w:lang w:val="en-GB"/>
        </w:rPr>
        <w:t xml:space="preserve">In 2021, the collaboration amongst the Ministry of the Interior, the Police, </w:t>
      </w:r>
      <w:r w:rsidR="00E63423">
        <w:rPr>
          <w:rFonts w:eastAsia="MS Mincho"/>
          <w:lang w:val="en-GB"/>
        </w:rPr>
        <w:t>the SNSA</w:t>
      </w:r>
      <w:r w:rsidRPr="00CD2EEF">
        <w:rPr>
          <w:rFonts w:eastAsia="MS Mincho"/>
          <w:lang w:val="en-GB"/>
        </w:rPr>
        <w:t xml:space="preserve">, </w:t>
      </w:r>
      <w:r w:rsidR="00510320">
        <w:rPr>
          <w:rFonts w:eastAsia="MS Mincho"/>
          <w:lang w:val="en-GB"/>
        </w:rPr>
        <w:t xml:space="preserve">the </w:t>
      </w:r>
      <w:r w:rsidRPr="00CD2EEF">
        <w:rPr>
          <w:rFonts w:eastAsia="MS Mincho"/>
          <w:lang w:val="en-GB"/>
        </w:rPr>
        <w:t>operators of nuclear facilities</w:t>
      </w:r>
      <w:r w:rsidR="00510320">
        <w:rPr>
          <w:rFonts w:eastAsia="MS Mincho"/>
          <w:lang w:val="en-GB"/>
        </w:rPr>
        <w:t>,</w:t>
      </w:r>
      <w:r w:rsidRPr="00CD2EEF">
        <w:rPr>
          <w:rFonts w:eastAsia="MS Mincho"/>
          <w:lang w:val="en-GB"/>
        </w:rPr>
        <w:t xml:space="preserve"> and other relevant organi</w:t>
      </w:r>
      <w:r w:rsidR="00E9756B">
        <w:rPr>
          <w:rFonts w:eastAsia="MS Mincho"/>
          <w:lang w:val="en-GB"/>
        </w:rPr>
        <w:t>sation</w:t>
      </w:r>
      <w:r w:rsidRPr="00CD2EEF">
        <w:rPr>
          <w:rFonts w:eastAsia="MS Mincho"/>
          <w:lang w:val="en-GB"/>
        </w:rPr>
        <w:t xml:space="preserve">s in the sphere of physical protection was constructive and appropriate despite </w:t>
      </w:r>
      <w:r w:rsidR="00510320">
        <w:rPr>
          <w:rFonts w:eastAsia="MS Mincho"/>
          <w:lang w:val="en-GB"/>
        </w:rPr>
        <w:t xml:space="preserve">the </w:t>
      </w:r>
      <w:r w:rsidRPr="00CD2EEF">
        <w:rPr>
          <w:rFonts w:eastAsia="MS Mincho"/>
          <w:lang w:val="en-GB"/>
        </w:rPr>
        <w:t>Covid-19 situation.</w:t>
      </w:r>
    </w:p>
    <w:p w14:paraId="7D51F990" w14:textId="03A2C9DA" w:rsidR="00412AFC" w:rsidRPr="00CD2EEF" w:rsidRDefault="00412AFC" w:rsidP="009F14CE">
      <w:pPr>
        <w:pStyle w:val="LPVirienojni"/>
        <w:rPr>
          <w:lang w:val="en-GB"/>
        </w:rPr>
      </w:pPr>
      <w:r w:rsidRPr="00CD2EEF">
        <w:rPr>
          <w:lang w:val="en-GB"/>
        </w:rPr>
        <w:t>Reference: [</w:t>
      </w:r>
      <w:hyperlink w:anchor="r45" w:history="1">
        <w:r w:rsidRPr="00CD2EEF">
          <w:rPr>
            <w:rStyle w:val="Hiperpovezava"/>
            <w:lang w:val="en-GB"/>
          </w:rPr>
          <w:t>45</w:t>
        </w:r>
      </w:hyperlink>
      <w:r w:rsidRPr="00CD2EEF">
        <w:rPr>
          <w:lang w:val="en-GB"/>
        </w:rPr>
        <w:t>]</w:t>
      </w:r>
    </w:p>
    <w:p w14:paraId="4CDFFDC0" w14:textId="2CA5B9C9" w:rsidR="00412AFC" w:rsidRPr="00CD2EEF" w:rsidRDefault="00412AFC" w:rsidP="009F14CE">
      <w:pPr>
        <w:pStyle w:val="LPNaslov2"/>
        <w:rPr>
          <w:rStyle w:val="LPpobarvan1"/>
          <w:shd w:val="clear" w:color="auto" w:fill="auto"/>
          <w:lang w:val="en-GB"/>
        </w:rPr>
      </w:pPr>
      <w:bookmarkStart w:id="416" w:name="_Toc126312053"/>
      <w:r w:rsidRPr="00CD2EEF">
        <w:rPr>
          <w:rStyle w:val="LPpobarvan1"/>
          <w:shd w:val="clear" w:color="auto" w:fill="auto"/>
          <w:lang w:val="en-GB"/>
        </w:rPr>
        <w:t>CYBERSECURITY</w:t>
      </w:r>
      <w:bookmarkEnd w:id="416"/>
      <w:r w:rsidR="007B17B3">
        <w:rPr>
          <w:rStyle w:val="LPpobarvan1"/>
          <w:shd w:val="clear" w:color="auto" w:fill="auto"/>
          <w:lang w:val="en-GB"/>
        </w:rPr>
        <w:t xml:space="preserve"> </w:t>
      </w:r>
    </w:p>
    <w:p w14:paraId="48169314" w14:textId="7F5EA8D2" w:rsidR="00412AFC" w:rsidRPr="00CD2EEF" w:rsidRDefault="00412AFC" w:rsidP="009F14CE">
      <w:pPr>
        <w:pStyle w:val="LPnavaden"/>
        <w:rPr>
          <w:rStyle w:val="LPpobarvan1"/>
          <w:shd w:val="clear" w:color="auto" w:fill="auto"/>
          <w:lang w:val="en-GB"/>
        </w:rPr>
      </w:pPr>
      <w:r w:rsidRPr="00CD2EEF">
        <w:rPr>
          <w:rStyle w:val="LPpobarvan1"/>
          <w:shd w:val="clear" w:color="auto" w:fill="auto"/>
          <w:lang w:val="en-GB"/>
        </w:rPr>
        <w:t xml:space="preserve">Cyber-attacks are becoming more frequent and sophisticated, and malicious actors are more motivated and focused on the nuclear sector. In response to these evolving cyber threats, </w:t>
      </w:r>
      <w:r w:rsidR="00E63423">
        <w:rPr>
          <w:rStyle w:val="LPpobarvan1"/>
          <w:shd w:val="clear" w:color="auto" w:fill="auto"/>
          <w:lang w:val="en-GB"/>
        </w:rPr>
        <w:t>the SNSA</w:t>
      </w:r>
      <w:r w:rsidRPr="00CD2EEF">
        <w:rPr>
          <w:rStyle w:val="LPpobarvan1"/>
          <w:shd w:val="clear" w:color="auto" w:fill="auto"/>
          <w:lang w:val="en-GB"/>
        </w:rPr>
        <w:t xml:space="preserve"> has been actively involved in </w:t>
      </w:r>
      <w:r w:rsidRPr="00D57F59">
        <w:rPr>
          <w:rStyle w:val="LPpobarvan1"/>
          <w:shd w:val="clear" w:color="auto" w:fill="auto"/>
          <w:lang w:val="en-GB"/>
        </w:rPr>
        <w:t>cybersecurity</w:t>
      </w:r>
      <w:r w:rsidRPr="00CD2EEF">
        <w:rPr>
          <w:rStyle w:val="LPpobarvan1"/>
          <w:shd w:val="clear" w:color="auto" w:fill="auto"/>
          <w:lang w:val="en-GB"/>
        </w:rPr>
        <w:t xml:space="preserve"> since 2012</w:t>
      </w:r>
      <w:r w:rsidR="00E63423">
        <w:rPr>
          <w:rStyle w:val="LPpobarvan1"/>
          <w:shd w:val="clear" w:color="auto" w:fill="auto"/>
          <w:lang w:val="en-GB"/>
        </w:rPr>
        <w:t>. The SNSA</w:t>
      </w:r>
      <w:r w:rsidRPr="00CD2EEF">
        <w:rPr>
          <w:rStyle w:val="LPpobarvan1"/>
          <w:shd w:val="clear" w:color="auto" w:fill="auto"/>
          <w:lang w:val="en-GB"/>
        </w:rPr>
        <w:t xml:space="preserve"> extensively cooperates with </w:t>
      </w:r>
      <w:r w:rsidR="00510320">
        <w:rPr>
          <w:rStyle w:val="LPpobarvan1"/>
          <w:shd w:val="clear" w:color="auto" w:fill="auto"/>
          <w:lang w:val="en-GB"/>
        </w:rPr>
        <w:t xml:space="preserve">the </w:t>
      </w:r>
      <w:r w:rsidRPr="00CD2EEF">
        <w:rPr>
          <w:rStyle w:val="LPpobarvan1"/>
          <w:shd w:val="clear" w:color="auto" w:fill="auto"/>
          <w:lang w:val="en-GB"/>
        </w:rPr>
        <w:t xml:space="preserve">IAEA to develop computer security guidance and exercises and to implement training courses. Since 2015, </w:t>
      </w:r>
      <w:r w:rsidR="00E63423">
        <w:rPr>
          <w:rStyle w:val="LPpobarvan1"/>
          <w:shd w:val="clear" w:color="auto" w:fill="auto"/>
          <w:lang w:val="en-GB"/>
        </w:rPr>
        <w:t>the SNSA</w:t>
      </w:r>
      <w:r w:rsidRPr="00CD2EEF">
        <w:rPr>
          <w:rStyle w:val="LPpobarvan1"/>
          <w:shd w:val="clear" w:color="auto" w:fill="auto"/>
          <w:lang w:val="en-GB"/>
        </w:rPr>
        <w:t xml:space="preserve"> has been coordinating a national cybersecurity working group, which focuses on maintaining </w:t>
      </w:r>
      <w:r w:rsidR="006832BF">
        <w:rPr>
          <w:rStyle w:val="LPpobarvan1"/>
          <w:shd w:val="clear" w:color="auto" w:fill="auto"/>
          <w:lang w:val="en-GB"/>
        </w:rPr>
        <w:t>the</w:t>
      </w:r>
      <w:r w:rsidR="006832BF" w:rsidRPr="00CD2EEF">
        <w:rPr>
          <w:rStyle w:val="LPpobarvan1"/>
          <w:shd w:val="clear" w:color="auto" w:fill="auto"/>
          <w:lang w:val="en-GB"/>
        </w:rPr>
        <w:t xml:space="preserve"> </w:t>
      </w:r>
      <w:r w:rsidRPr="00CD2EEF">
        <w:rPr>
          <w:rStyle w:val="LPpobarvan1"/>
          <w:shd w:val="clear" w:color="auto" w:fill="auto"/>
          <w:lang w:val="en-GB"/>
        </w:rPr>
        <w:t>circle of trust, and the exchange of experiences and knowledge.</w:t>
      </w:r>
    </w:p>
    <w:p w14:paraId="2515486C" w14:textId="256476B7" w:rsidR="00412AFC" w:rsidRPr="00CD2EEF" w:rsidRDefault="00412AFC" w:rsidP="009F14CE">
      <w:pPr>
        <w:pStyle w:val="LPnavaden"/>
        <w:rPr>
          <w:rStyle w:val="LPpobarvan1"/>
          <w:shd w:val="clear" w:color="auto" w:fill="auto"/>
          <w:lang w:val="en-GB"/>
        </w:rPr>
      </w:pPr>
      <w:r w:rsidRPr="00CD2EEF">
        <w:rPr>
          <w:rStyle w:val="LPpobarvan1"/>
          <w:shd w:val="clear" w:color="auto" w:fill="auto"/>
          <w:lang w:val="en-GB"/>
        </w:rPr>
        <w:t xml:space="preserve">In 2020, </w:t>
      </w:r>
      <w:r w:rsidR="00E63423">
        <w:rPr>
          <w:rStyle w:val="LPpobarvan1"/>
          <w:shd w:val="clear" w:color="auto" w:fill="auto"/>
          <w:lang w:val="en-GB"/>
        </w:rPr>
        <w:t>the SNSA</w:t>
      </w:r>
      <w:r w:rsidRPr="00CD2EEF">
        <w:rPr>
          <w:rStyle w:val="LPpobarvan1"/>
          <w:shd w:val="clear" w:color="auto" w:fill="auto"/>
          <w:lang w:val="en-GB"/>
        </w:rPr>
        <w:t xml:space="preserve"> produced the content </w:t>
      </w:r>
      <w:r w:rsidR="00510320">
        <w:rPr>
          <w:rStyle w:val="LPpobarvan1"/>
          <w:shd w:val="clear" w:color="auto" w:fill="auto"/>
          <w:lang w:val="en-GB"/>
        </w:rPr>
        <w:t>of</w:t>
      </w:r>
      <w:r w:rsidR="00510320" w:rsidRPr="00CD2EEF">
        <w:rPr>
          <w:rStyle w:val="LPpobarvan1"/>
          <w:shd w:val="clear" w:color="auto" w:fill="auto"/>
          <w:lang w:val="en-GB"/>
        </w:rPr>
        <w:t xml:space="preserve"> </w:t>
      </w:r>
      <w:r w:rsidRPr="00CD2EEF">
        <w:rPr>
          <w:rStyle w:val="LPpobarvan1"/>
          <w:shd w:val="clear" w:color="auto" w:fill="auto"/>
          <w:lang w:val="en-GB"/>
        </w:rPr>
        <w:t>a new process</w:t>
      </w:r>
      <w:r w:rsidR="006832BF">
        <w:rPr>
          <w:rStyle w:val="LPpobarvan1"/>
          <w:shd w:val="clear" w:color="auto" w:fill="auto"/>
          <w:lang w:val="en-GB"/>
        </w:rPr>
        <w:t>,</w:t>
      </w:r>
      <w:r w:rsidRPr="00CD2EEF">
        <w:rPr>
          <w:rStyle w:val="LPpobarvan1"/>
          <w:shd w:val="clear" w:color="auto" w:fill="auto"/>
          <w:lang w:val="en-GB"/>
        </w:rPr>
        <w:t xml:space="preserve"> No. 10, entitled </w:t>
      </w:r>
      <w:r w:rsidR="00263D93">
        <w:rPr>
          <w:rStyle w:val="LPpobarvan1"/>
          <w:shd w:val="clear" w:color="auto" w:fill="auto"/>
          <w:lang w:val="en-GB"/>
        </w:rPr>
        <w:t>“</w:t>
      </w:r>
      <w:r w:rsidRPr="00CD2EEF">
        <w:rPr>
          <w:rStyle w:val="LPpobarvan1"/>
          <w:shd w:val="clear" w:color="auto" w:fill="auto"/>
          <w:lang w:val="en-GB"/>
        </w:rPr>
        <w:t>Information security</w:t>
      </w:r>
      <w:r w:rsidR="00263D93">
        <w:rPr>
          <w:rStyle w:val="LPpobarvan1"/>
          <w:shd w:val="clear" w:color="auto" w:fill="auto"/>
          <w:lang w:val="en-GB"/>
        </w:rPr>
        <w:t>”</w:t>
      </w:r>
      <w:r w:rsidRPr="00CD2EEF">
        <w:rPr>
          <w:rStyle w:val="LPpobarvan1"/>
          <w:shd w:val="clear" w:color="auto" w:fill="auto"/>
          <w:lang w:val="en-GB"/>
        </w:rPr>
        <w:t xml:space="preserve">. This process was based on the requirements of the </w:t>
      </w:r>
      <w:r w:rsidRPr="00CD2EEF">
        <w:rPr>
          <w:rStyle w:val="LPpobarvan1"/>
          <w:i/>
          <w:iCs/>
          <w:shd w:val="clear" w:color="auto" w:fill="auto"/>
          <w:lang w:val="en-GB"/>
        </w:rPr>
        <w:t>Information Security Act</w:t>
      </w:r>
      <w:r w:rsidRPr="00CD2EEF">
        <w:rPr>
          <w:rStyle w:val="LPpobarvan1"/>
          <w:shd w:val="clear" w:color="auto" w:fill="auto"/>
          <w:lang w:val="en-GB"/>
        </w:rPr>
        <w:t xml:space="preserve"> and the </w:t>
      </w:r>
      <w:r w:rsidRPr="00CD2EEF">
        <w:rPr>
          <w:rStyle w:val="LPpobarvan1"/>
          <w:i/>
          <w:iCs/>
          <w:shd w:val="clear" w:color="auto" w:fill="auto"/>
          <w:lang w:val="en-GB"/>
        </w:rPr>
        <w:t>Decree on Information Security in the State Administration</w:t>
      </w:r>
      <w:r w:rsidRPr="00CD2EEF">
        <w:rPr>
          <w:rStyle w:val="LPpobarvan1"/>
          <w:shd w:val="clear" w:color="auto" w:fill="auto"/>
          <w:lang w:val="en-GB"/>
        </w:rPr>
        <w:t xml:space="preserve">. In 2021, the process </w:t>
      </w:r>
      <w:r w:rsidR="006832BF">
        <w:rPr>
          <w:rStyle w:val="LPpobarvan1"/>
          <w:shd w:val="clear" w:color="auto" w:fill="auto"/>
          <w:lang w:val="en-GB"/>
        </w:rPr>
        <w:t>was</w:t>
      </w:r>
      <w:r w:rsidR="006832BF" w:rsidRPr="00CD2EEF">
        <w:rPr>
          <w:rStyle w:val="LPpobarvan1"/>
          <w:shd w:val="clear" w:color="auto" w:fill="auto"/>
          <w:lang w:val="en-GB"/>
        </w:rPr>
        <w:t xml:space="preserve"> </w:t>
      </w:r>
      <w:r w:rsidRPr="00CD2EEF">
        <w:rPr>
          <w:rStyle w:val="LPpobarvan1"/>
          <w:shd w:val="clear" w:color="auto" w:fill="auto"/>
          <w:lang w:val="en-GB"/>
        </w:rPr>
        <w:t xml:space="preserve">updated based on </w:t>
      </w:r>
      <w:r w:rsidR="00510320">
        <w:rPr>
          <w:rStyle w:val="LPpobarvan1"/>
          <w:shd w:val="clear" w:color="auto" w:fill="auto"/>
          <w:lang w:val="en-GB"/>
        </w:rPr>
        <w:t xml:space="preserve">the </w:t>
      </w:r>
      <w:r w:rsidRPr="00CD2EEF">
        <w:rPr>
          <w:rStyle w:val="LPpobarvan1"/>
          <w:shd w:val="clear" w:color="auto" w:fill="auto"/>
          <w:lang w:val="en-GB"/>
        </w:rPr>
        <w:t>lessons learned.</w:t>
      </w:r>
    </w:p>
    <w:p w14:paraId="3C882F20" w14:textId="23F69A29" w:rsidR="00412AFC" w:rsidRPr="00CD2EEF" w:rsidRDefault="00412AFC" w:rsidP="009F14CE">
      <w:pPr>
        <w:pStyle w:val="LPnavaden"/>
        <w:rPr>
          <w:rStyle w:val="LPpobarvan1"/>
          <w:shd w:val="clear" w:color="auto" w:fill="auto"/>
          <w:lang w:val="en-GB"/>
        </w:rPr>
      </w:pPr>
      <w:r w:rsidRPr="00CD2EEF">
        <w:rPr>
          <w:rStyle w:val="LPpobarvan1"/>
          <w:shd w:val="clear" w:color="auto" w:fill="auto"/>
          <w:lang w:val="en-GB"/>
        </w:rPr>
        <w:t xml:space="preserve">As part of updating the process No. 10, </w:t>
      </w:r>
      <w:r w:rsidR="00E63423">
        <w:rPr>
          <w:rStyle w:val="LPpobarvan1"/>
          <w:shd w:val="clear" w:color="auto" w:fill="auto"/>
          <w:lang w:val="en-GB"/>
        </w:rPr>
        <w:t>the SNSA</w:t>
      </w:r>
      <w:r w:rsidRPr="00CD2EEF">
        <w:rPr>
          <w:rStyle w:val="LPpobarvan1"/>
          <w:shd w:val="clear" w:color="auto" w:fill="auto"/>
          <w:lang w:val="en-GB"/>
        </w:rPr>
        <w:t xml:space="preserve"> has already started developing new guidelines for the implementation of cybersecurity inspections in nuclear facilities as well as drafting organi</w:t>
      </w:r>
      <w:r w:rsidR="00E9756B">
        <w:rPr>
          <w:rStyle w:val="LPpobarvan1"/>
          <w:shd w:val="clear" w:color="auto" w:fill="auto"/>
          <w:lang w:val="en-GB"/>
        </w:rPr>
        <w:t>sation</w:t>
      </w:r>
      <w:r w:rsidRPr="00CD2EEF">
        <w:rPr>
          <w:rStyle w:val="LPpobarvan1"/>
          <w:shd w:val="clear" w:color="auto" w:fill="auto"/>
          <w:lang w:val="en-GB"/>
        </w:rPr>
        <w:t xml:space="preserve">al procedures for </w:t>
      </w:r>
      <w:r w:rsidR="00A726E8">
        <w:rPr>
          <w:rStyle w:val="LPpobarvan1"/>
          <w:shd w:val="clear" w:color="auto" w:fill="auto"/>
          <w:lang w:val="en-GB"/>
        </w:rPr>
        <w:t>the</w:t>
      </w:r>
      <w:r w:rsidR="00E63423">
        <w:rPr>
          <w:rStyle w:val="LPpobarvan1"/>
          <w:shd w:val="clear" w:color="auto" w:fill="auto"/>
          <w:lang w:val="en-GB"/>
        </w:rPr>
        <w:t xml:space="preserve"> SNSA</w:t>
      </w:r>
      <w:r w:rsidRPr="00CD2EEF">
        <w:rPr>
          <w:rStyle w:val="LPpobarvan1"/>
          <w:shd w:val="clear" w:color="auto" w:fill="auto"/>
          <w:lang w:val="en-GB"/>
        </w:rPr>
        <w:t xml:space="preserve"> cybersecurity incident response team (CSIRT).</w:t>
      </w:r>
    </w:p>
    <w:p w14:paraId="4F84BAF0" w14:textId="5C46ECE6" w:rsidR="00412AFC" w:rsidRPr="00CD2EEF" w:rsidRDefault="00412AFC" w:rsidP="009F14CE">
      <w:pPr>
        <w:pStyle w:val="LPnavaden"/>
        <w:rPr>
          <w:rStyle w:val="LPpobarvan1"/>
          <w:shd w:val="clear" w:color="auto" w:fill="auto"/>
          <w:lang w:val="en-GB"/>
        </w:rPr>
      </w:pPr>
      <w:r w:rsidRPr="00CD2EEF">
        <w:rPr>
          <w:rStyle w:val="LPpobarvan1"/>
          <w:shd w:val="clear" w:color="auto" w:fill="auto"/>
          <w:lang w:val="en-GB"/>
        </w:rPr>
        <w:lastRenderedPageBreak/>
        <w:t xml:space="preserve">Following the highly successful implementation of the </w:t>
      </w:r>
      <w:r w:rsidRPr="0058019A">
        <w:rPr>
          <w:rStyle w:val="LPpobarvan1"/>
          <w:shd w:val="clear" w:color="auto" w:fill="auto"/>
          <w:lang w:val="en-GB"/>
        </w:rPr>
        <w:t>KiVA</w:t>
      </w:r>
      <w:r w:rsidRPr="0058019A">
        <w:rPr>
          <w:rStyle w:val="LPpobarvan1"/>
          <w:shd w:val="clear" w:color="auto" w:fill="auto"/>
          <w:vertAlign w:val="superscript"/>
          <w:lang w:val="en-GB"/>
        </w:rPr>
        <w:t>2019</w:t>
      </w:r>
      <w:r w:rsidRPr="0058019A">
        <w:rPr>
          <w:rStyle w:val="LPpobarvan1"/>
          <w:shd w:val="clear" w:color="auto" w:fill="auto"/>
          <w:lang w:val="en-GB"/>
        </w:rPr>
        <w:t xml:space="preserve"> exercise, in 2020 and 2021, </w:t>
      </w:r>
      <w:r w:rsidR="00E63423" w:rsidRPr="0058019A">
        <w:rPr>
          <w:rStyle w:val="LPpobarvan1"/>
          <w:shd w:val="clear" w:color="auto" w:fill="auto"/>
          <w:lang w:val="en-GB"/>
        </w:rPr>
        <w:t>the SNSA</w:t>
      </w:r>
      <w:r w:rsidRPr="0058019A">
        <w:rPr>
          <w:rStyle w:val="LPpobarvan1"/>
          <w:shd w:val="clear" w:color="auto" w:fill="auto"/>
          <w:lang w:val="en-GB"/>
        </w:rPr>
        <w:t xml:space="preserve"> prepared and organised the second national cybersecurity exercise KiVA</w:t>
      </w:r>
      <w:r w:rsidRPr="0058019A">
        <w:rPr>
          <w:rStyle w:val="LPpobarvan1"/>
          <w:shd w:val="clear" w:color="auto" w:fill="auto"/>
          <w:vertAlign w:val="superscript"/>
          <w:lang w:val="en-GB"/>
        </w:rPr>
        <w:t>2022</w:t>
      </w:r>
      <w:r w:rsidR="006573C4" w:rsidRPr="0058019A">
        <w:rPr>
          <w:rStyle w:val="LPpobarvan1"/>
          <w:shd w:val="clear" w:color="auto" w:fill="auto"/>
          <w:lang w:val="en-GB"/>
        </w:rPr>
        <w:t xml:space="preserve">, </w:t>
      </w:r>
      <w:r w:rsidRPr="0058019A">
        <w:rPr>
          <w:rStyle w:val="LPpobarvan1"/>
          <w:shd w:val="clear" w:color="auto" w:fill="auto"/>
          <w:lang w:val="en-GB"/>
        </w:rPr>
        <w:t>which</w:t>
      </w:r>
      <w:r w:rsidRPr="00CD2EEF">
        <w:rPr>
          <w:rStyle w:val="LPpobarvan1"/>
          <w:shd w:val="clear" w:color="auto" w:fill="auto"/>
          <w:lang w:val="en-GB"/>
        </w:rPr>
        <w:t xml:space="preserve"> will take place in 2022.</w:t>
      </w:r>
    </w:p>
    <w:p w14:paraId="32045AA3" w14:textId="23287139" w:rsidR="00412AFC" w:rsidRPr="00CD2EEF" w:rsidRDefault="00412AFC" w:rsidP="00D86DBC">
      <w:pPr>
        <w:pStyle w:val="LPnavaden"/>
        <w:rPr>
          <w:lang w:val="en-GB"/>
        </w:rPr>
      </w:pPr>
      <w:r w:rsidRPr="00CD2EEF">
        <w:rPr>
          <w:rStyle w:val="LPpobarvan1"/>
          <w:shd w:val="clear" w:color="auto" w:fill="auto"/>
          <w:lang w:val="en-GB"/>
        </w:rPr>
        <w:t xml:space="preserve">During 2021, </w:t>
      </w:r>
      <w:r w:rsidR="00E63423">
        <w:rPr>
          <w:rStyle w:val="LPpobarvan1"/>
          <w:shd w:val="clear" w:color="auto" w:fill="auto"/>
          <w:lang w:val="en-GB"/>
        </w:rPr>
        <w:t>the SNSA</w:t>
      </w:r>
      <w:r w:rsidRPr="00CD2EEF">
        <w:rPr>
          <w:rStyle w:val="LPpobarvan1"/>
          <w:shd w:val="clear" w:color="auto" w:fill="auto"/>
          <w:lang w:val="en-GB"/>
        </w:rPr>
        <w:t xml:space="preserve"> collaborated with IAEA in the preparation of several technical instructions, assisted the Romanian administrative authority with drafting instructions for inspections in this domain, carried out a full-day training</w:t>
      </w:r>
      <w:r w:rsidR="008F4CA5">
        <w:rPr>
          <w:rStyle w:val="LPpobarvan1"/>
          <w:shd w:val="clear" w:color="auto" w:fill="auto"/>
          <w:lang w:val="en-GB"/>
        </w:rPr>
        <w:t xml:space="preserve"> course</w:t>
      </w:r>
      <w:r w:rsidRPr="00CD2EEF">
        <w:rPr>
          <w:rStyle w:val="LPpobarvan1"/>
          <w:shd w:val="clear" w:color="auto" w:fill="auto"/>
          <w:lang w:val="en-GB"/>
        </w:rPr>
        <w:t xml:space="preserve"> for employees and operators of nuclear facilities about new cyber threats, as well as organised numerous meetings with the Government Information Security Office and </w:t>
      </w:r>
      <w:r w:rsidR="008F4CA5">
        <w:rPr>
          <w:rStyle w:val="LPpobarvan1"/>
          <w:shd w:val="clear" w:color="auto" w:fill="auto"/>
          <w:lang w:val="en-GB"/>
        </w:rPr>
        <w:t xml:space="preserve">the </w:t>
      </w:r>
      <w:r w:rsidRPr="00CD2EEF">
        <w:rPr>
          <w:rStyle w:val="LPpobarvan1"/>
          <w:shd w:val="clear" w:color="auto" w:fill="auto"/>
          <w:lang w:val="en-GB"/>
        </w:rPr>
        <w:t xml:space="preserve">National Cybersecurity Response Centre SI-CERT </w:t>
      </w:r>
      <w:r w:rsidRPr="00CD2EEF">
        <w:rPr>
          <w:lang w:val="en-GB"/>
        </w:rPr>
        <w:t>(</w:t>
      </w:r>
      <w:r w:rsidRPr="00CD2EEF">
        <w:rPr>
          <w:rStyle w:val="LPnavadenpoevno"/>
          <w:lang w:val="en-GB"/>
        </w:rPr>
        <w:t>Slovenian Computer Emergency Response Team</w:t>
      </w:r>
      <w:r w:rsidRPr="00CD2EEF">
        <w:rPr>
          <w:lang w:val="en-GB"/>
        </w:rPr>
        <w:t>).</w:t>
      </w:r>
    </w:p>
    <w:p w14:paraId="6C15E3B2" w14:textId="618C4B1B" w:rsidR="00412AFC" w:rsidRPr="00CD2EEF" w:rsidRDefault="00412AFC" w:rsidP="00D86DBC">
      <w:pPr>
        <w:pStyle w:val="LPNaslov2"/>
        <w:rPr>
          <w:lang w:val="en-GB"/>
        </w:rPr>
      </w:pPr>
      <w:bookmarkStart w:id="417" w:name="_Toc126312054"/>
      <w:r w:rsidRPr="00CD2EEF">
        <w:rPr>
          <w:lang w:val="en-GB"/>
        </w:rPr>
        <w:t>ILLICIT TRAFFICKING IN NUCLEAR AND RADIOACTIVE MATERIALS</w:t>
      </w:r>
      <w:bookmarkEnd w:id="417"/>
      <w:r w:rsidR="008A1E6B">
        <w:rPr>
          <w:lang w:val="en-GB"/>
        </w:rPr>
        <w:t xml:space="preserve"> </w:t>
      </w:r>
    </w:p>
    <w:p w14:paraId="1ECD249E" w14:textId="5E2A3BE0" w:rsidR="00412AFC" w:rsidRPr="00CD2EEF" w:rsidRDefault="00412AFC" w:rsidP="00473F3A">
      <w:pPr>
        <w:pStyle w:val="LPnavaden"/>
        <w:rPr>
          <w:lang w:val="en-GB"/>
        </w:rPr>
      </w:pPr>
      <w:r w:rsidRPr="00CD2EEF">
        <w:rPr>
          <w:lang w:val="en-GB"/>
        </w:rPr>
        <w:t xml:space="preserve">At the beginning of 2019, </w:t>
      </w:r>
      <w:r w:rsidR="005F1287">
        <w:rPr>
          <w:lang w:val="en-GB"/>
        </w:rPr>
        <w:t>the</w:t>
      </w:r>
      <w:r w:rsidR="005F1287" w:rsidRPr="00CD2EEF">
        <w:rPr>
          <w:lang w:val="en-GB"/>
        </w:rPr>
        <w:t xml:space="preserve"> </w:t>
      </w:r>
      <w:r w:rsidRPr="00CD2EEF">
        <w:rPr>
          <w:rStyle w:val="LPnavadenposevnoZnak"/>
          <w:lang w:val="en-GB"/>
        </w:rPr>
        <w:t>Regulation on the verification of the radioactivity of shipments that could contain radiation sources of unknown origin</w:t>
      </w:r>
      <w:r w:rsidRPr="00CD2EEF">
        <w:rPr>
          <w:lang w:val="en-GB"/>
        </w:rPr>
        <w:t xml:space="preserve"> was adopted. The regulation upgraded and replaced the Decree on the Radioactivity Verification of Scrap Metal Shipments from 2007. </w:t>
      </w:r>
    </w:p>
    <w:p w14:paraId="3F028C1A" w14:textId="73FFD09C" w:rsidR="00412AFC" w:rsidRPr="00CD2EEF" w:rsidRDefault="00412AFC" w:rsidP="00DA6280">
      <w:pPr>
        <w:pStyle w:val="LPnavaden"/>
        <w:rPr>
          <w:lang w:val="en-GB"/>
        </w:rPr>
      </w:pPr>
      <w:r w:rsidRPr="00CD2EEF">
        <w:rPr>
          <w:lang w:val="en-GB"/>
        </w:rPr>
        <w:t xml:space="preserve">The new Regulation defines the requirements and rules of conduct for radiation protection measures to be implemented by waste and scrap metal processing plants, and other waste collectors, waste treatment operators, electrical and electronic waste treatment operators, operators of major post offices, airports, ports, as well as operators of municipal waste management centres, and measures to prevent </w:t>
      </w:r>
      <w:r w:rsidR="005F1287">
        <w:rPr>
          <w:lang w:val="en-GB"/>
        </w:rPr>
        <w:t xml:space="preserve">the </w:t>
      </w:r>
      <w:r w:rsidRPr="00CD2EEF">
        <w:rPr>
          <w:lang w:val="en-GB"/>
        </w:rPr>
        <w:t>excessive exposure of workers</w:t>
      </w:r>
      <w:r w:rsidR="005F1287">
        <w:rPr>
          <w:lang w:val="en-GB"/>
        </w:rPr>
        <w:t xml:space="preserve"> and</w:t>
      </w:r>
      <w:r w:rsidRPr="00CD2EEF">
        <w:rPr>
          <w:lang w:val="en-GB"/>
        </w:rPr>
        <w:t xml:space="preserve"> </w:t>
      </w:r>
      <w:r w:rsidR="005F1287">
        <w:rPr>
          <w:lang w:val="en-GB"/>
        </w:rPr>
        <w:t xml:space="preserve">the </w:t>
      </w:r>
      <w:r w:rsidRPr="00CD2EEF">
        <w:rPr>
          <w:lang w:val="en-GB"/>
        </w:rPr>
        <w:t>population</w:t>
      </w:r>
      <w:r w:rsidR="005F1287">
        <w:rPr>
          <w:lang w:val="en-GB"/>
        </w:rPr>
        <w:t>,</w:t>
      </w:r>
      <w:r w:rsidRPr="00CD2EEF">
        <w:rPr>
          <w:lang w:val="en-GB"/>
        </w:rPr>
        <w:t xml:space="preserve"> and environment</w:t>
      </w:r>
      <w:r w:rsidR="005F1287">
        <w:rPr>
          <w:lang w:val="en-GB"/>
        </w:rPr>
        <w:t>al</w:t>
      </w:r>
      <w:r w:rsidRPr="00CD2EEF">
        <w:rPr>
          <w:lang w:val="en-GB"/>
        </w:rPr>
        <w:t xml:space="preserve"> contamination due to insufficient control over radiation sources of unknown origin</w:t>
      </w:r>
      <w:r w:rsidR="007A7BB6">
        <w:rPr>
          <w:lang w:val="en-GB"/>
        </w:rPr>
        <w:t>,</w:t>
      </w:r>
      <w:r w:rsidRPr="00CD2EEF">
        <w:rPr>
          <w:lang w:val="en-GB"/>
        </w:rPr>
        <w:t xml:space="preserve"> and to prevent major property damage while eliminating</w:t>
      </w:r>
      <w:r w:rsidR="007A7BB6">
        <w:rPr>
          <w:lang w:val="en-GB"/>
        </w:rPr>
        <w:t xml:space="preserve"> the</w:t>
      </w:r>
      <w:r w:rsidRPr="00CD2EEF">
        <w:rPr>
          <w:lang w:val="en-GB"/>
        </w:rPr>
        <w:t xml:space="preserve"> consequences of excessive radiological contamination.</w:t>
      </w:r>
    </w:p>
    <w:p w14:paraId="5FC59EF4" w14:textId="04A0CE26" w:rsidR="00412AFC" w:rsidRPr="00CD2EEF" w:rsidRDefault="00412AFC" w:rsidP="00473F3A">
      <w:pPr>
        <w:pStyle w:val="LPnavaden"/>
        <w:rPr>
          <w:lang w:val="en-GB"/>
        </w:rPr>
      </w:pPr>
      <w:r w:rsidRPr="00CD2EEF">
        <w:rPr>
          <w:lang w:val="en-GB"/>
        </w:rPr>
        <w:t>There were a total of 28 authorised providers of radioactivity measurements of scrap metal shipments in 2021. The list of authorised providers of radioactivity measurements of shipments, along with the validity of their authorisation as well as the nature, scope</w:t>
      </w:r>
      <w:r w:rsidR="007A7BB6">
        <w:rPr>
          <w:lang w:val="en-GB"/>
        </w:rPr>
        <w:t>,</w:t>
      </w:r>
      <w:r w:rsidRPr="00CD2EEF">
        <w:rPr>
          <w:lang w:val="en-GB"/>
        </w:rPr>
        <w:t xml:space="preserve"> and </w:t>
      </w:r>
      <w:r w:rsidR="006923FD">
        <w:rPr>
          <w:lang w:val="en-GB"/>
        </w:rPr>
        <w:t xml:space="preserve">the </w:t>
      </w:r>
      <w:r w:rsidRPr="00CD2EEF">
        <w:rPr>
          <w:lang w:val="en-GB"/>
        </w:rPr>
        <w:t xml:space="preserve">extent of radioactivity monitoring subject to such authorisation </w:t>
      </w:r>
      <w:r w:rsidRPr="006923FD">
        <w:rPr>
          <w:lang w:val="en-GB"/>
        </w:rPr>
        <w:t xml:space="preserve">is published in Slovenian on the </w:t>
      </w:r>
      <w:hyperlink r:id="rId66" w:history="1">
        <w:r w:rsidRPr="006923FD">
          <w:rPr>
            <w:rStyle w:val="Hiperpovezava"/>
            <w:lang w:val="en-GB"/>
          </w:rPr>
          <w:t>SNSA website</w:t>
        </w:r>
      </w:hyperlink>
      <w:r w:rsidRPr="006923FD">
        <w:rPr>
          <w:lang w:val="en-GB"/>
        </w:rPr>
        <w:t>.</w:t>
      </w:r>
    </w:p>
    <w:p w14:paraId="3B6FEADB" w14:textId="01E9BD57" w:rsidR="00412AFC" w:rsidRPr="00CD2EEF" w:rsidRDefault="00412AFC" w:rsidP="00473F3A">
      <w:pPr>
        <w:pStyle w:val="LPnavaden"/>
        <w:rPr>
          <w:lang w:val="en-GB"/>
        </w:rPr>
      </w:pPr>
      <w:r w:rsidRPr="00CD2EEF">
        <w:rPr>
          <w:lang w:val="en-GB"/>
        </w:rPr>
        <w:t xml:space="preserve">In 2021, </w:t>
      </w:r>
      <w:r w:rsidR="00A726E8">
        <w:rPr>
          <w:lang w:val="en-GB"/>
        </w:rPr>
        <w:t>the</w:t>
      </w:r>
      <w:r w:rsidR="00E63423">
        <w:rPr>
          <w:lang w:val="en-GB"/>
        </w:rPr>
        <w:t xml:space="preserve"> SNSA</w:t>
      </w:r>
      <w:r w:rsidRPr="00CD2EEF">
        <w:rPr>
          <w:lang w:val="en-GB"/>
        </w:rPr>
        <w:t xml:space="preserve"> issued five new authorisations. The measurement providers stated in their annual reports that they performed a total of 188,625 measurements of shipments in 2021. Increased radiation exceeding 50% </w:t>
      </w:r>
      <w:r w:rsidR="007A7BB6">
        <w:rPr>
          <w:lang w:val="en-GB"/>
        </w:rPr>
        <w:t xml:space="preserve">of the </w:t>
      </w:r>
      <w:r w:rsidRPr="00CD2EEF">
        <w:rPr>
          <w:lang w:val="en-GB"/>
        </w:rPr>
        <w:t xml:space="preserve">dose rate of </w:t>
      </w:r>
      <w:r w:rsidR="007A7BB6">
        <w:rPr>
          <w:lang w:val="en-GB"/>
        </w:rPr>
        <w:t xml:space="preserve">the </w:t>
      </w:r>
      <w:r w:rsidRPr="00CD2EEF">
        <w:rPr>
          <w:lang w:val="en-GB"/>
        </w:rPr>
        <w:t>natural background was detected by six measurement providers in a total of 23 shipments.</w:t>
      </w:r>
    </w:p>
    <w:p w14:paraId="4F91A2D5" w14:textId="58083D8E" w:rsidR="00412AFC" w:rsidRPr="00CD2EEF" w:rsidRDefault="00412AFC" w:rsidP="00D86DBC">
      <w:pPr>
        <w:pStyle w:val="LPnavaden"/>
        <w:rPr>
          <w:lang w:val="en-GB"/>
        </w:rPr>
      </w:pPr>
      <w:r w:rsidRPr="00CD2EEF">
        <w:rPr>
          <w:lang w:val="en-GB"/>
        </w:rPr>
        <w:t xml:space="preserve">To assist and consult </w:t>
      </w:r>
      <w:r w:rsidR="007A7BB6">
        <w:rPr>
          <w:lang w:val="en-GB"/>
        </w:rPr>
        <w:t xml:space="preserve">with </w:t>
      </w:r>
      <w:r w:rsidRPr="00CD2EEF">
        <w:rPr>
          <w:lang w:val="en-GB"/>
        </w:rPr>
        <w:t xml:space="preserve">other authorities, as well as collectors and processors of scrap metal raw materials, a system of permanent preparedness has been established at </w:t>
      </w:r>
      <w:r w:rsidR="00A726E8">
        <w:rPr>
          <w:lang w:val="en-GB"/>
        </w:rPr>
        <w:t>the</w:t>
      </w:r>
      <w:r w:rsidR="00E63423">
        <w:rPr>
          <w:lang w:val="en-GB"/>
        </w:rPr>
        <w:t xml:space="preserve"> SNSA</w:t>
      </w:r>
      <w:r w:rsidRPr="00CD2EEF">
        <w:rPr>
          <w:lang w:val="en-GB"/>
        </w:rPr>
        <w:t xml:space="preserve">. In 2021, </w:t>
      </w:r>
      <w:r w:rsidR="00A726E8">
        <w:rPr>
          <w:lang w:val="en-GB"/>
        </w:rPr>
        <w:t>the</w:t>
      </w:r>
      <w:r w:rsidR="00E63423">
        <w:rPr>
          <w:lang w:val="en-GB"/>
        </w:rPr>
        <w:t xml:space="preserve"> SNSA</w:t>
      </w:r>
      <w:r w:rsidRPr="00CD2EEF">
        <w:rPr>
          <w:lang w:val="en-GB"/>
        </w:rPr>
        <w:t xml:space="preserve"> dealt with a total of 35 such reports. </w:t>
      </w:r>
      <w:r w:rsidR="007A7BB6">
        <w:rPr>
          <w:lang w:val="en-GB"/>
        </w:rPr>
        <w:t>The m</w:t>
      </w:r>
      <w:r w:rsidRPr="00CD2EEF">
        <w:rPr>
          <w:lang w:val="en-GB"/>
        </w:rPr>
        <w:t xml:space="preserve">ajority of interventions were related to </w:t>
      </w:r>
      <w:r w:rsidR="007A7BB6">
        <w:rPr>
          <w:lang w:val="en-GB"/>
        </w:rPr>
        <w:t xml:space="preserve">the </w:t>
      </w:r>
      <w:r w:rsidRPr="00CD2EEF">
        <w:rPr>
          <w:lang w:val="en-GB"/>
        </w:rPr>
        <w:t>transport of municipal waste (28). In most cases</w:t>
      </w:r>
      <w:r w:rsidR="007A7BB6">
        <w:rPr>
          <w:lang w:val="en-GB"/>
        </w:rPr>
        <w:t>,</w:t>
      </w:r>
      <w:r w:rsidRPr="00CD2EEF">
        <w:rPr>
          <w:lang w:val="en-GB"/>
        </w:rPr>
        <w:t xml:space="preserve"> the source was hospital waste from hospitals using radioactive sources. More information about such interventions is presented in </w:t>
      </w:r>
      <w:hyperlink w:anchor="ch222" w:history="1">
        <w:r w:rsidRPr="00CD2EEF">
          <w:rPr>
            <w:rStyle w:val="Hiperpovezava"/>
            <w:lang w:val="en-GB"/>
          </w:rPr>
          <w:t>Chapter 2.2.2</w:t>
        </w:r>
      </w:hyperlink>
      <w:r w:rsidRPr="00CD2EEF">
        <w:rPr>
          <w:lang w:val="en-GB"/>
        </w:rPr>
        <w:t>.</w:t>
      </w:r>
    </w:p>
    <w:p w14:paraId="2120A5F7" w14:textId="37DB9AB6" w:rsidR="00412AFC" w:rsidRPr="00CD2EEF" w:rsidRDefault="00A726E8" w:rsidP="00D86DBC">
      <w:pPr>
        <w:pStyle w:val="LPnavaden"/>
        <w:rPr>
          <w:lang w:val="en-GB"/>
        </w:rPr>
      </w:pPr>
      <w:r>
        <w:rPr>
          <w:lang w:val="en-GB"/>
        </w:rPr>
        <w:t>The</w:t>
      </w:r>
      <w:r w:rsidR="00E63423">
        <w:rPr>
          <w:lang w:val="en-GB"/>
        </w:rPr>
        <w:t xml:space="preserve"> SNSA</w:t>
      </w:r>
      <w:r w:rsidR="00412AFC" w:rsidRPr="00CD2EEF">
        <w:rPr>
          <w:lang w:val="en-GB"/>
        </w:rPr>
        <w:t xml:space="preserve"> regularly receives and to a certain extent analyses information on incidents and trafficking cases in foreign countries. </w:t>
      </w:r>
      <w:r>
        <w:rPr>
          <w:lang w:val="en-GB"/>
        </w:rPr>
        <w:t>The</w:t>
      </w:r>
      <w:r w:rsidR="00E63423">
        <w:rPr>
          <w:lang w:val="en-GB"/>
        </w:rPr>
        <w:t xml:space="preserve"> SNSA</w:t>
      </w:r>
      <w:r w:rsidR="00412AFC" w:rsidRPr="00CD2EEF">
        <w:rPr>
          <w:lang w:val="en-GB"/>
        </w:rPr>
        <w:t xml:space="preserve"> disseminates this information appropriately to other Slovenian stakeholders whose scope of responsibilities also includes (</w:t>
      </w:r>
      <w:r w:rsidR="00412AFC" w:rsidRPr="00553440">
        <w:rPr>
          <w:lang w:val="en-GB"/>
        </w:rPr>
        <w:t>combating</w:t>
      </w:r>
      <w:r w:rsidR="00412AFC" w:rsidRPr="00CD2EEF">
        <w:rPr>
          <w:lang w:val="en-GB"/>
        </w:rPr>
        <w:t>) illicit trafficking in nuclear and other radioactive material. In 2021, Slovenia (</w:t>
      </w:r>
      <w:r w:rsidR="00E63423">
        <w:rPr>
          <w:lang w:val="en-GB"/>
        </w:rPr>
        <w:t>the SNSA</w:t>
      </w:r>
      <w:r w:rsidR="00412AFC" w:rsidRPr="00CD2EEF">
        <w:rPr>
          <w:lang w:val="en-GB"/>
        </w:rPr>
        <w:t xml:space="preserve">) reported to the IAEA Incident and Trafficking Database (ITDB) four </w:t>
      </w:r>
      <w:r w:rsidR="00263D93">
        <w:rPr>
          <w:lang w:val="en-GB"/>
        </w:rPr>
        <w:t>“</w:t>
      </w:r>
      <w:r w:rsidR="00412AFC" w:rsidRPr="00CD2EEF">
        <w:rPr>
          <w:lang w:val="en-GB"/>
        </w:rPr>
        <w:t>events</w:t>
      </w:r>
      <w:r w:rsidR="00263D93">
        <w:rPr>
          <w:lang w:val="en-GB"/>
        </w:rPr>
        <w:t>”</w:t>
      </w:r>
      <w:r w:rsidR="00412AFC" w:rsidRPr="00CD2EEF">
        <w:rPr>
          <w:lang w:val="en-GB"/>
        </w:rPr>
        <w:t>, namely</w:t>
      </w:r>
      <w:r w:rsidR="008A1E6B">
        <w:rPr>
          <w:lang w:val="en-GB"/>
        </w:rPr>
        <w:t xml:space="preserve"> </w:t>
      </w:r>
      <w:r w:rsidR="00412AFC" w:rsidRPr="00CD2EEF">
        <w:rPr>
          <w:lang w:val="en-GB"/>
        </w:rPr>
        <w:t xml:space="preserve">two </w:t>
      </w:r>
      <w:r w:rsidR="00263D93">
        <w:rPr>
          <w:lang w:val="en-GB"/>
        </w:rPr>
        <w:t>“</w:t>
      </w:r>
      <w:r w:rsidR="00412AFC" w:rsidRPr="00CD2EEF">
        <w:rPr>
          <w:lang w:val="en-GB"/>
        </w:rPr>
        <w:t>discoveries</w:t>
      </w:r>
      <w:r w:rsidR="00263D93">
        <w:rPr>
          <w:lang w:val="en-GB"/>
        </w:rPr>
        <w:t>”</w:t>
      </w:r>
      <w:r w:rsidR="00412AFC" w:rsidRPr="00CD2EEF">
        <w:rPr>
          <w:lang w:val="en-GB"/>
        </w:rPr>
        <w:t xml:space="preserve"> of luminous items with </w:t>
      </w:r>
      <w:r w:rsidR="00412AFC" w:rsidRPr="00CD2EEF">
        <w:rPr>
          <w:vertAlign w:val="superscript"/>
          <w:lang w:val="en-GB"/>
        </w:rPr>
        <w:t>226</w:t>
      </w:r>
      <w:r w:rsidR="00412AFC" w:rsidRPr="00CD2EEF">
        <w:rPr>
          <w:lang w:val="en-GB"/>
        </w:rPr>
        <w:t>Ra (</w:t>
      </w:r>
      <w:r w:rsidR="007A7BB6">
        <w:rPr>
          <w:lang w:val="en-GB"/>
        </w:rPr>
        <w:t xml:space="preserve">a </w:t>
      </w:r>
      <w:r w:rsidR="00412AFC" w:rsidRPr="00CD2EEF">
        <w:rPr>
          <w:lang w:val="en-GB"/>
        </w:rPr>
        <w:t>button-like item</w:t>
      </w:r>
      <w:r w:rsidR="008342C3">
        <w:rPr>
          <w:lang w:val="en-GB"/>
        </w:rPr>
        <w:t xml:space="preserve"> – </w:t>
      </w:r>
      <w:r w:rsidR="007A7BB6">
        <w:rPr>
          <w:lang w:val="en-GB"/>
        </w:rPr>
        <w:t xml:space="preserve">the </w:t>
      </w:r>
      <w:r w:rsidR="00412AFC" w:rsidRPr="00CD2EEF">
        <w:rPr>
          <w:lang w:val="en-GB"/>
        </w:rPr>
        <w:t xml:space="preserve">shipment was denied by Italy), one </w:t>
      </w:r>
      <w:r w:rsidR="007A7BB6">
        <w:rPr>
          <w:lang w:val="en-GB"/>
        </w:rPr>
        <w:t xml:space="preserve">– </w:t>
      </w:r>
      <w:r w:rsidR="00412AFC" w:rsidRPr="00CD2EEF">
        <w:rPr>
          <w:lang w:val="en-GB"/>
        </w:rPr>
        <w:t>most probably</w:t>
      </w:r>
      <w:r w:rsidR="007A7BB6">
        <w:rPr>
          <w:lang w:val="en-GB"/>
        </w:rPr>
        <w:t xml:space="preserve"> –</w:t>
      </w:r>
      <w:r w:rsidR="00412AFC" w:rsidRPr="00CD2EEF">
        <w:rPr>
          <w:lang w:val="en-GB"/>
        </w:rPr>
        <w:t xml:space="preserve"> luminous switch, </w:t>
      </w:r>
      <w:r w:rsidR="007A7BB6">
        <w:rPr>
          <w:lang w:val="en-GB"/>
        </w:rPr>
        <w:t xml:space="preserve">the </w:t>
      </w:r>
      <w:r w:rsidR="00412AFC" w:rsidRPr="00CD2EEF">
        <w:rPr>
          <w:lang w:val="en-GB"/>
        </w:rPr>
        <w:t xml:space="preserve">detection and recovery of </w:t>
      </w:r>
      <w:r w:rsidR="00412AFC" w:rsidRPr="00CD2EEF">
        <w:rPr>
          <w:rStyle w:val="LPnadpisano"/>
          <w:lang w:val="en-GB"/>
        </w:rPr>
        <w:t>152</w:t>
      </w:r>
      <w:r w:rsidR="00412AFC" w:rsidRPr="00CD2EEF">
        <w:rPr>
          <w:lang w:val="en-GB"/>
        </w:rPr>
        <w:t>Eu (</w:t>
      </w:r>
      <w:r w:rsidR="007A7BB6">
        <w:rPr>
          <w:lang w:val="en-GB"/>
        </w:rPr>
        <w:t xml:space="preserve">a </w:t>
      </w:r>
      <w:r w:rsidR="00412AFC" w:rsidRPr="00CD2EEF">
        <w:rPr>
          <w:lang w:val="en-GB"/>
        </w:rPr>
        <w:t>radioactive lightning arrestor)</w:t>
      </w:r>
      <w:r w:rsidR="007A7BB6">
        <w:rPr>
          <w:lang w:val="en-GB"/>
        </w:rPr>
        <w:t>,</w:t>
      </w:r>
      <w:r w:rsidR="00412AFC" w:rsidRPr="00CD2EEF">
        <w:rPr>
          <w:lang w:val="en-GB"/>
        </w:rPr>
        <w:t xml:space="preserve"> and a flask with</w:t>
      </w:r>
      <w:r w:rsidR="007A7BB6">
        <w:rPr>
          <w:lang w:val="en-GB"/>
        </w:rPr>
        <w:t xml:space="preserve"> a</w:t>
      </w:r>
      <w:r w:rsidR="00412AFC" w:rsidRPr="00CD2EEF">
        <w:rPr>
          <w:lang w:val="en-GB"/>
        </w:rPr>
        <w:t xml:space="preserve"> U</w:t>
      </w:r>
      <w:r w:rsidR="007A7BB6">
        <w:rPr>
          <w:lang w:val="en-GB"/>
        </w:rPr>
        <w:t xml:space="preserve"> </w:t>
      </w:r>
      <w:r w:rsidR="00412AFC" w:rsidRPr="00CD2EEF">
        <w:rPr>
          <w:lang w:val="en-GB"/>
        </w:rPr>
        <w:t>substance (</w:t>
      </w:r>
      <w:r w:rsidR="007A7BB6">
        <w:rPr>
          <w:lang w:val="en-GB"/>
        </w:rPr>
        <w:t xml:space="preserve">a </w:t>
      </w:r>
      <w:r w:rsidR="00263D93">
        <w:rPr>
          <w:lang w:val="en-GB"/>
        </w:rPr>
        <w:t>“</w:t>
      </w:r>
      <w:r w:rsidR="00412AFC" w:rsidRPr="00CD2EEF">
        <w:rPr>
          <w:lang w:val="en-GB"/>
        </w:rPr>
        <w:t>historical source</w:t>
      </w:r>
      <w:r w:rsidR="00263D93">
        <w:rPr>
          <w:lang w:val="en-GB"/>
        </w:rPr>
        <w:t>”</w:t>
      </w:r>
      <w:r w:rsidR="00412AFC" w:rsidRPr="00CD2EEF">
        <w:rPr>
          <w:lang w:val="en-GB"/>
        </w:rPr>
        <w:t>, stored for quite some time in</w:t>
      </w:r>
      <w:r w:rsidR="007A7BB6">
        <w:rPr>
          <w:lang w:val="en-GB"/>
        </w:rPr>
        <w:t xml:space="preserve"> the</w:t>
      </w:r>
      <w:r w:rsidR="00412AFC" w:rsidRPr="00CD2EEF">
        <w:rPr>
          <w:lang w:val="en-GB"/>
        </w:rPr>
        <w:t xml:space="preserve"> town of Škofja Loka) – which</w:t>
      </w:r>
      <w:r w:rsidR="007A7BB6">
        <w:rPr>
          <w:lang w:val="en-GB"/>
        </w:rPr>
        <w:t>,</w:t>
      </w:r>
      <w:r w:rsidR="00412AFC" w:rsidRPr="00CD2EEF">
        <w:rPr>
          <w:lang w:val="en-GB"/>
        </w:rPr>
        <w:t xml:space="preserve"> as </w:t>
      </w:r>
      <w:r w:rsidR="007A7BB6">
        <w:rPr>
          <w:lang w:val="en-GB"/>
        </w:rPr>
        <w:t xml:space="preserve">with </w:t>
      </w:r>
      <w:r w:rsidR="00412AFC" w:rsidRPr="00CD2EEF">
        <w:rPr>
          <w:lang w:val="en-GB"/>
        </w:rPr>
        <w:t>the other items</w:t>
      </w:r>
      <w:r w:rsidR="007A7BB6">
        <w:rPr>
          <w:lang w:val="en-GB"/>
        </w:rPr>
        <w:t>,</w:t>
      </w:r>
      <w:r w:rsidR="00412AFC" w:rsidRPr="00CD2EEF">
        <w:rPr>
          <w:lang w:val="en-GB"/>
        </w:rPr>
        <w:t xml:space="preserve"> </w:t>
      </w:r>
      <w:r w:rsidR="007A7BB6">
        <w:rPr>
          <w:lang w:val="en-GB"/>
        </w:rPr>
        <w:t>were</w:t>
      </w:r>
      <w:r w:rsidR="007A7BB6" w:rsidRPr="00CD2EEF">
        <w:rPr>
          <w:lang w:val="en-GB"/>
        </w:rPr>
        <w:t xml:space="preserve"> </w:t>
      </w:r>
      <w:r w:rsidR="00412AFC" w:rsidRPr="00CD2EEF">
        <w:rPr>
          <w:lang w:val="en-GB"/>
        </w:rPr>
        <w:t>transferred to CSRW Brinje.</w:t>
      </w:r>
    </w:p>
    <w:p w14:paraId="7C8BAD5F" w14:textId="25A5C6E6" w:rsidR="00412AFC" w:rsidRPr="00CD2EEF" w:rsidRDefault="00412AFC" w:rsidP="00D86DBC">
      <w:pPr>
        <w:pStyle w:val="LPnavaden"/>
        <w:rPr>
          <w:lang w:val="en-GB"/>
        </w:rPr>
      </w:pPr>
      <w:r w:rsidRPr="00CD2EEF">
        <w:rPr>
          <w:lang w:val="en-GB"/>
        </w:rPr>
        <w:lastRenderedPageBreak/>
        <w:t xml:space="preserve">The annual meeting of </w:t>
      </w:r>
      <w:r w:rsidR="00A726E8">
        <w:rPr>
          <w:lang w:val="en-GB"/>
        </w:rPr>
        <w:t>the</w:t>
      </w:r>
      <w:r w:rsidR="00E63423">
        <w:rPr>
          <w:lang w:val="en-GB"/>
        </w:rPr>
        <w:t xml:space="preserve"> </w:t>
      </w:r>
      <w:r w:rsidR="00E63423" w:rsidRPr="005B3685">
        <w:rPr>
          <w:lang w:val="en-GB"/>
        </w:rPr>
        <w:t>SNSA</w:t>
      </w:r>
      <w:r w:rsidR="005B3685">
        <w:rPr>
          <w:lang w:val="en-GB"/>
        </w:rPr>
        <w:t xml:space="preserve"> and other institutions </w:t>
      </w:r>
      <w:r w:rsidRPr="005B3685">
        <w:rPr>
          <w:lang w:val="en-GB"/>
        </w:rPr>
        <w:t>(amongst</w:t>
      </w:r>
      <w:r w:rsidRPr="00CD2EEF">
        <w:rPr>
          <w:lang w:val="en-GB"/>
        </w:rPr>
        <w:t xml:space="preserve"> other</w:t>
      </w:r>
      <w:r w:rsidR="00464CF4">
        <w:rPr>
          <w:lang w:val="en-GB"/>
        </w:rPr>
        <w:t>s,</w:t>
      </w:r>
      <w:r w:rsidRPr="00CD2EEF">
        <w:rPr>
          <w:lang w:val="en-GB"/>
        </w:rPr>
        <w:t xml:space="preserve"> the Financial Administration (Customs), the SRPA, the Market Inspectorate, the Ministry of the Interior, the Civil Aviation Agency</w:t>
      </w:r>
      <w:r w:rsidR="00464CF4">
        <w:rPr>
          <w:lang w:val="en-GB"/>
        </w:rPr>
        <w:t>,</w:t>
      </w:r>
      <w:r w:rsidRPr="00CD2EEF">
        <w:rPr>
          <w:lang w:val="en-GB"/>
        </w:rPr>
        <w:t xml:space="preserve"> and others) was held in two dedicated virtual-only meetings in September 2021. The first one was special</w:t>
      </w:r>
      <w:r w:rsidR="002E37DE">
        <w:rPr>
          <w:lang w:val="en-GB"/>
        </w:rPr>
        <w:t>,</w:t>
      </w:r>
      <w:r w:rsidRPr="00CD2EEF">
        <w:rPr>
          <w:lang w:val="en-GB"/>
        </w:rPr>
        <w:t xml:space="preserve"> </w:t>
      </w:r>
      <w:r w:rsidRPr="005B3685">
        <w:rPr>
          <w:i/>
          <w:iCs/>
          <w:lang w:val="en-GB"/>
        </w:rPr>
        <w:t>per se</w:t>
      </w:r>
      <w:r w:rsidR="002E37DE" w:rsidRPr="005B3685">
        <w:rPr>
          <w:i/>
          <w:iCs/>
          <w:lang w:val="en-GB"/>
        </w:rPr>
        <w:t>,</w:t>
      </w:r>
      <w:r w:rsidRPr="00CD2EEF">
        <w:rPr>
          <w:lang w:val="en-GB"/>
        </w:rPr>
        <w:t xml:space="preserve"> due to the involvement of the IAEA</w:t>
      </w:r>
      <w:r w:rsidR="00F21D56">
        <w:rPr>
          <w:lang w:val="en-GB"/>
        </w:rPr>
        <w:t>’</w:t>
      </w:r>
      <w:r w:rsidRPr="00CD2EEF">
        <w:rPr>
          <w:lang w:val="en-GB"/>
        </w:rPr>
        <w:t xml:space="preserve">s staff, being directly responsible and dealing </w:t>
      </w:r>
      <w:r w:rsidR="00464CF4">
        <w:rPr>
          <w:lang w:val="en-GB"/>
        </w:rPr>
        <w:t>with the</w:t>
      </w:r>
      <w:r w:rsidRPr="00CD2EEF">
        <w:rPr>
          <w:lang w:val="en-GB"/>
        </w:rPr>
        <w:t xml:space="preserve"> ITDB. The second, </w:t>
      </w:r>
      <w:r w:rsidR="00263D93">
        <w:rPr>
          <w:lang w:val="en-GB"/>
        </w:rPr>
        <w:t>“</w:t>
      </w:r>
      <w:r w:rsidRPr="00CD2EEF">
        <w:rPr>
          <w:lang w:val="en-GB"/>
        </w:rPr>
        <w:t>classical one</w:t>
      </w:r>
      <w:r w:rsidR="00263D93">
        <w:rPr>
          <w:lang w:val="en-GB"/>
        </w:rPr>
        <w:t>”</w:t>
      </w:r>
      <w:r w:rsidRPr="00CD2EEF">
        <w:rPr>
          <w:lang w:val="en-GB"/>
        </w:rPr>
        <w:t>, followed the usual course, where the stakeholders exchanged their approaches regarding the topic, challenges</w:t>
      </w:r>
      <w:r w:rsidR="00953B80">
        <w:rPr>
          <w:lang w:val="en-GB"/>
        </w:rPr>
        <w:t>,</w:t>
      </w:r>
      <w:r w:rsidRPr="00CD2EEF">
        <w:rPr>
          <w:lang w:val="en-GB"/>
        </w:rPr>
        <w:t xml:space="preserve"> as well global issues and patterns, underpinning the need to exchange relevant information also in the future.</w:t>
      </w:r>
    </w:p>
    <w:p w14:paraId="15872201" w14:textId="3C0AA1E2" w:rsidR="00412AFC" w:rsidRPr="00CD2EEF" w:rsidRDefault="00953B80" w:rsidP="00D86DBC">
      <w:pPr>
        <w:pStyle w:val="LPnavaden"/>
        <w:rPr>
          <w:lang w:val="en-GB"/>
        </w:rPr>
      </w:pPr>
      <w:r>
        <w:rPr>
          <w:lang w:val="en-GB"/>
        </w:rPr>
        <w:t>T</w:t>
      </w:r>
      <w:r w:rsidR="00E63423">
        <w:rPr>
          <w:lang w:val="en-GB"/>
        </w:rPr>
        <w:t>he SNSA</w:t>
      </w:r>
      <w:r w:rsidR="00412AFC" w:rsidRPr="00CD2EEF">
        <w:rPr>
          <w:lang w:val="en-GB"/>
        </w:rPr>
        <w:t xml:space="preserve"> briefly marked the 25</w:t>
      </w:r>
      <w:r w:rsidR="00412AFC" w:rsidRPr="00CD2EEF">
        <w:rPr>
          <w:vertAlign w:val="superscript"/>
          <w:lang w:val="en-GB"/>
        </w:rPr>
        <w:t>th</w:t>
      </w:r>
      <w:r w:rsidR="00412AFC" w:rsidRPr="00CD2EEF">
        <w:rPr>
          <w:lang w:val="en-GB"/>
        </w:rPr>
        <w:t xml:space="preserve"> anniversary of the Slovenian participation in</w:t>
      </w:r>
      <w:r w:rsidR="004A53C8">
        <w:rPr>
          <w:lang w:val="en-GB"/>
        </w:rPr>
        <w:t xml:space="preserve"> the</w:t>
      </w:r>
      <w:r w:rsidR="00412AFC" w:rsidRPr="00CD2EEF">
        <w:rPr>
          <w:lang w:val="en-GB"/>
        </w:rPr>
        <w:t xml:space="preserve"> ITDB in one of the editions of Radiation News in 2021. Also, a poster and an article were prepared in the frame of the annual nuclear conference (NENE 2021), held in Bled, Slovenia</w:t>
      </w:r>
      <w:r w:rsidR="004A53C8">
        <w:rPr>
          <w:lang w:val="en-GB"/>
        </w:rPr>
        <w:t>,</w:t>
      </w:r>
      <w:r w:rsidR="00412AFC" w:rsidRPr="00CD2EEF">
        <w:rPr>
          <w:lang w:val="en-GB"/>
        </w:rPr>
        <w:t xml:space="preserve"> in September 2021</w:t>
      </w:r>
      <w:r w:rsidR="00E63423">
        <w:rPr>
          <w:lang w:val="en-GB"/>
        </w:rPr>
        <w:t>. The SNSA</w:t>
      </w:r>
      <w:r w:rsidR="00F21D56">
        <w:rPr>
          <w:lang w:val="en-GB"/>
        </w:rPr>
        <w:t>’</w:t>
      </w:r>
      <w:r w:rsidR="00412AFC" w:rsidRPr="00CD2EEF">
        <w:rPr>
          <w:lang w:val="en-GB"/>
        </w:rPr>
        <w:t xml:space="preserve">s staff </w:t>
      </w:r>
      <w:r w:rsidR="004A53C8" w:rsidRPr="00CD2EEF">
        <w:rPr>
          <w:lang w:val="en-GB"/>
        </w:rPr>
        <w:t xml:space="preserve">again </w:t>
      </w:r>
      <w:r w:rsidR="00412AFC" w:rsidRPr="00CD2EEF">
        <w:rPr>
          <w:lang w:val="en-GB"/>
        </w:rPr>
        <w:t xml:space="preserve">presented the Decree on checking the radioactivity </w:t>
      </w:r>
      <w:r w:rsidR="002E37DE">
        <w:rPr>
          <w:lang w:val="en-GB"/>
        </w:rPr>
        <w:t>of</w:t>
      </w:r>
      <w:r w:rsidR="002E37DE" w:rsidRPr="00CD2EEF">
        <w:rPr>
          <w:lang w:val="en-GB"/>
        </w:rPr>
        <w:t xml:space="preserve"> </w:t>
      </w:r>
      <w:r w:rsidR="00412AFC" w:rsidRPr="00CD2EEF">
        <w:rPr>
          <w:lang w:val="en-GB"/>
        </w:rPr>
        <w:t xml:space="preserve">shipments of metal scrap as well as endeavours to prevent unauthorised </w:t>
      </w:r>
      <w:r w:rsidR="004A53C8" w:rsidRPr="00CD2EEF">
        <w:rPr>
          <w:lang w:val="en-GB"/>
        </w:rPr>
        <w:t xml:space="preserve">trafficking </w:t>
      </w:r>
      <w:r w:rsidR="00412AFC" w:rsidRPr="00CD2EEF">
        <w:rPr>
          <w:lang w:val="en-GB"/>
        </w:rPr>
        <w:t>of nuclear and radioactive material in the frame of the annual conference (8</w:t>
      </w:r>
      <w:r w:rsidR="00412AFC" w:rsidRPr="00CD2EEF">
        <w:rPr>
          <w:vertAlign w:val="superscript"/>
          <w:lang w:val="en-GB"/>
        </w:rPr>
        <w:t>th</w:t>
      </w:r>
      <w:r w:rsidR="00412AFC" w:rsidRPr="00CD2EEF">
        <w:rPr>
          <w:lang w:val="en-GB"/>
        </w:rPr>
        <w:t xml:space="preserve"> REC2021) in Rimske Toplice, Slovenia</w:t>
      </w:r>
      <w:r w:rsidR="004A53C8">
        <w:rPr>
          <w:lang w:val="en-GB"/>
        </w:rPr>
        <w:t>,</w:t>
      </w:r>
      <w:r w:rsidR="00412AFC" w:rsidRPr="00CD2EEF">
        <w:rPr>
          <w:lang w:val="en-GB"/>
        </w:rPr>
        <w:t xml:space="preserve"> in October 2020. </w:t>
      </w:r>
    </w:p>
    <w:p w14:paraId="7C304A04" w14:textId="27C8F68C" w:rsidR="00412AFC" w:rsidRPr="00CD2EEF" w:rsidRDefault="00412AFC" w:rsidP="002F1C2A">
      <w:pPr>
        <w:pStyle w:val="LPVirienojni"/>
        <w:rPr>
          <w:lang w:val="en-GB"/>
        </w:rPr>
      </w:pPr>
      <w:r w:rsidRPr="00CD2EEF">
        <w:rPr>
          <w:lang w:val="en-GB"/>
        </w:rPr>
        <w:t>References: [</w:t>
      </w:r>
      <w:hyperlink w:anchor="r46" w:history="1">
        <w:r w:rsidRPr="00CD2EEF">
          <w:rPr>
            <w:rStyle w:val="Hiperpovezava"/>
            <w:lang w:val="en-GB"/>
          </w:rPr>
          <w:t>46</w:t>
        </w:r>
      </w:hyperlink>
      <w:r w:rsidRPr="00CD2EEF">
        <w:rPr>
          <w:lang w:val="en-GB"/>
        </w:rPr>
        <w:t>], [</w:t>
      </w:r>
      <w:hyperlink w:anchor="r47" w:history="1">
        <w:r w:rsidRPr="00CD2EEF">
          <w:rPr>
            <w:rStyle w:val="Hiperpovezava"/>
            <w:lang w:val="en-GB"/>
          </w:rPr>
          <w:t>47</w:t>
        </w:r>
      </w:hyperlink>
      <w:r w:rsidRPr="00CD2EEF">
        <w:rPr>
          <w:lang w:val="en-GB"/>
        </w:rPr>
        <w:t>], [</w:t>
      </w:r>
      <w:hyperlink w:anchor="r48" w:history="1">
        <w:r w:rsidRPr="00CD2EEF">
          <w:rPr>
            <w:rStyle w:val="Hiperpovezava"/>
            <w:lang w:val="en-GB"/>
          </w:rPr>
          <w:t>48</w:t>
        </w:r>
      </w:hyperlink>
      <w:r w:rsidRPr="00CD2EEF">
        <w:rPr>
          <w:lang w:val="en-GB"/>
        </w:rPr>
        <w:t>]</w:t>
      </w:r>
    </w:p>
    <w:p w14:paraId="39E40576" w14:textId="77777777" w:rsidR="00D54273" w:rsidRPr="00CD2EEF" w:rsidRDefault="00D54273" w:rsidP="009019BF">
      <w:pPr>
        <w:pStyle w:val="LPNaslov1"/>
        <w:rPr>
          <w:lang w:val="en-GB"/>
        </w:rPr>
      </w:pPr>
      <w:bookmarkStart w:id="418" w:name="_Toc74219393"/>
      <w:bookmarkStart w:id="419" w:name="_Toc106616657"/>
      <w:bookmarkStart w:id="420" w:name="_Toc108088185"/>
      <w:bookmarkStart w:id="421" w:name="_Toc126312055"/>
      <w:r w:rsidRPr="00CD2EEF">
        <w:rPr>
          <w:lang w:val="en-GB"/>
        </w:rPr>
        <w:lastRenderedPageBreak/>
        <w:t>INTERNATIONAL COOPERATION</w:t>
      </w:r>
      <w:bookmarkEnd w:id="418"/>
      <w:bookmarkEnd w:id="419"/>
      <w:bookmarkEnd w:id="420"/>
      <w:bookmarkEnd w:id="421"/>
    </w:p>
    <w:p w14:paraId="7BB25249" w14:textId="77777777" w:rsidR="00D54273" w:rsidRPr="00CD2EEF" w:rsidRDefault="00D54273" w:rsidP="009019BF">
      <w:pPr>
        <w:pStyle w:val="LPNaslov2"/>
        <w:rPr>
          <w:lang w:val="en-GB"/>
        </w:rPr>
      </w:pPr>
      <w:bookmarkStart w:id="422" w:name="_Toc74219394"/>
      <w:bookmarkStart w:id="423" w:name="_Toc106616658"/>
      <w:bookmarkStart w:id="424" w:name="_Toc108088186"/>
      <w:bookmarkStart w:id="425" w:name="_Toc126312056"/>
      <w:r w:rsidRPr="00CD2EEF">
        <w:rPr>
          <w:lang w:val="en-GB"/>
        </w:rPr>
        <w:t>COOPERATION WITH THE EUROPEAN UNION</w:t>
      </w:r>
      <w:bookmarkEnd w:id="422"/>
      <w:bookmarkEnd w:id="423"/>
      <w:bookmarkEnd w:id="424"/>
      <w:bookmarkEnd w:id="425"/>
    </w:p>
    <w:p w14:paraId="030BB33C" w14:textId="77777777" w:rsidR="00D54273" w:rsidRPr="00CD2EEF" w:rsidRDefault="00D54273" w:rsidP="00EC4FDC">
      <w:pPr>
        <w:pStyle w:val="LPnaslovkrepko"/>
        <w:rPr>
          <w:lang w:val="en-GB"/>
        </w:rPr>
      </w:pPr>
      <w:bookmarkStart w:id="426" w:name="_Hlk108012682"/>
      <w:r w:rsidRPr="00CD2EEF">
        <w:rPr>
          <w:lang w:val="en-GB"/>
        </w:rPr>
        <w:t>Working Party on Atomic Questions (WPAQ)</w:t>
      </w:r>
      <w:bookmarkEnd w:id="426"/>
    </w:p>
    <w:p w14:paraId="72E7A9E2" w14:textId="7EF13756" w:rsidR="00D54273" w:rsidRPr="00CD2EEF" w:rsidRDefault="00D54273" w:rsidP="00BE7EDF">
      <w:pPr>
        <w:pStyle w:val="LPnavaden"/>
        <w:rPr>
          <w:lang w:val="en-GB"/>
        </w:rPr>
      </w:pPr>
      <w:r w:rsidRPr="00CD2EEF">
        <w:rPr>
          <w:lang w:val="en-GB"/>
        </w:rPr>
        <w:t xml:space="preserve">In the first half of 2021, Portugal assumed the presidency of the Council of </w:t>
      </w:r>
      <w:r w:rsidR="001A2DB0">
        <w:rPr>
          <w:lang w:val="en-GB"/>
        </w:rPr>
        <w:t xml:space="preserve">the </w:t>
      </w:r>
      <w:r w:rsidRPr="00CD2EEF">
        <w:rPr>
          <w:lang w:val="en-GB"/>
        </w:rPr>
        <w:t xml:space="preserve">EU. During this period, the work of the WPAQ was mainly dedicated to coordinating meetings and tasks in the framework of the implementation of the Convention on the Physical Protection of Nuclear Material, the Convention on Nuclear Safety, and the Joint Convention on the Safety of Spent Fuel Management and on the Safety of Radioactive Waste Management, as well as to concluding the process of implementing regulations on the financing of the decommissioning of nuclear facilities. The European Commission has set up a special expert group to address the financial aspects of decommissioning and the management of radioactive waste and spent nuclear fuel, in which Slovenia also participates, and has organised a mission in Belarus to review the implementation of the recommendations resulting from the stress tests for their nuclear power plant. During the second half of 2021, when Slovenia assumed the presidency of the Council of </w:t>
      </w:r>
      <w:r w:rsidR="001A2DB0">
        <w:rPr>
          <w:lang w:val="en-GB"/>
        </w:rPr>
        <w:t xml:space="preserve">the </w:t>
      </w:r>
      <w:r w:rsidRPr="00CD2EEF">
        <w:rPr>
          <w:lang w:val="en-GB"/>
        </w:rPr>
        <w:t xml:space="preserve">EU, new rules of the Euratom Supply Agency (ESA) were adopted, </w:t>
      </w:r>
      <w:r w:rsidR="001A2DB0">
        <w:rPr>
          <w:lang w:val="en-GB"/>
        </w:rPr>
        <w:t>and</w:t>
      </w:r>
      <w:r w:rsidRPr="00CD2EEF">
        <w:rPr>
          <w:lang w:val="en-GB"/>
        </w:rPr>
        <w:t xml:space="preserve"> the negotiations on cooperation with the United Kingdom continued after their exit from the EU. The presiding country presented its activities in the field of nuclear technology and ensuring security, namely the research of the Reactor Physics Department at the JSI and the organisation of the planned international exercise regarding cybersecurity at nuclear facilities (KiVA).</w:t>
      </w:r>
    </w:p>
    <w:p w14:paraId="3C6D3FEF" w14:textId="77777777" w:rsidR="00D54273" w:rsidRPr="00CD2EEF" w:rsidRDefault="00D54273" w:rsidP="00EC4FDC">
      <w:pPr>
        <w:pStyle w:val="LPnaslovkrepko"/>
        <w:rPr>
          <w:lang w:val="en-GB"/>
        </w:rPr>
      </w:pPr>
      <w:r w:rsidRPr="00CD2EEF">
        <w:rPr>
          <w:lang w:val="en-GB"/>
        </w:rPr>
        <w:t>The High-level Group on Nuclear Safety and Waste Management (ENSREG)</w:t>
      </w:r>
    </w:p>
    <w:p w14:paraId="463A95E8" w14:textId="77777777" w:rsidR="00D54273" w:rsidRPr="00CD2EEF" w:rsidRDefault="00D54273" w:rsidP="0049278F">
      <w:pPr>
        <w:pStyle w:val="LPnavaden"/>
        <w:rPr>
          <w:lang w:val="en-GB"/>
        </w:rPr>
      </w:pPr>
      <w:r w:rsidRPr="00CD2EEF">
        <w:rPr>
          <w:lang w:val="en-GB"/>
        </w:rPr>
        <w:t>The High-level Group on Nuclear Safety and Waste Management (ENSREG) is an independent expert body established in 2007 by a decision of the European Commission. It consists of prominent representatives of the regulatory bodies responsible for nuclear safety, radiation protection, and the safety of radioactive waste from all Member States of the European Union. Representatives of the European Commission collaborate in the group on an equal basis. The role of the ENSREG is to help establish conditions for continuous improvement and to reach a common understanding in the areas of nuclear safety and radioactive waste management.</w:t>
      </w:r>
    </w:p>
    <w:p w14:paraId="5095B634" w14:textId="37520787" w:rsidR="00D54273" w:rsidRPr="00CD2EEF" w:rsidRDefault="00D54273" w:rsidP="00705FB7">
      <w:pPr>
        <w:pStyle w:val="LPnavaden"/>
        <w:rPr>
          <w:lang w:val="en-GB"/>
        </w:rPr>
      </w:pPr>
      <w:r w:rsidRPr="00CD2EEF">
        <w:rPr>
          <w:lang w:val="en-GB"/>
        </w:rPr>
        <w:t>In 2021, the delegates discussed the preparation</w:t>
      </w:r>
      <w:r w:rsidR="006F65C4">
        <w:rPr>
          <w:lang w:val="en-GB"/>
        </w:rPr>
        <w:t>s</w:t>
      </w:r>
      <w:r w:rsidRPr="00CD2EEF">
        <w:rPr>
          <w:lang w:val="en-GB"/>
        </w:rPr>
        <w:t xml:space="preserve"> for the second Topical Peer Review (TPR), established a group for implementing stress tests in Turkey</w:t>
      </w:r>
      <w:r w:rsidR="006F65C4">
        <w:rPr>
          <w:lang w:val="en-GB"/>
        </w:rPr>
        <w:t>,</w:t>
      </w:r>
      <w:r w:rsidRPr="00CD2EEF">
        <w:rPr>
          <w:lang w:val="en-GB"/>
        </w:rPr>
        <w:t xml:space="preserve"> and took note of the implementation of the Action Plan prepared after the stress tests at the nuclear power plant in Belarus, where the </w:t>
      </w:r>
      <w:r w:rsidR="00BE025A">
        <w:rPr>
          <w:lang w:val="en-GB"/>
        </w:rPr>
        <w:t>epi</w:t>
      </w:r>
      <w:r w:rsidRPr="00CD2EEF">
        <w:rPr>
          <w:lang w:val="en-GB"/>
        </w:rPr>
        <w:t xml:space="preserve">demic made it impossible to carry out a full-scale observation mission. A new financial mechanism to assist third countries in ensuring nuclear safety (European Instrument for International Nuclear Safety Cooperation, EI-INSC) was presented. The ENSREG conference was postponed </w:t>
      </w:r>
      <w:r w:rsidR="006F65C4">
        <w:rPr>
          <w:lang w:val="en-GB"/>
        </w:rPr>
        <w:t>for</w:t>
      </w:r>
      <w:r w:rsidR="006F65C4" w:rsidRPr="00CD2EEF">
        <w:rPr>
          <w:lang w:val="en-GB"/>
        </w:rPr>
        <w:t xml:space="preserve"> </w:t>
      </w:r>
      <w:r w:rsidRPr="00CD2EEF">
        <w:rPr>
          <w:lang w:val="en-GB"/>
        </w:rPr>
        <w:t xml:space="preserve">one year due to the </w:t>
      </w:r>
      <w:r w:rsidR="00BE025A">
        <w:rPr>
          <w:lang w:val="en-GB"/>
        </w:rPr>
        <w:t>epi</w:t>
      </w:r>
      <w:r w:rsidRPr="00CD2EEF">
        <w:rPr>
          <w:lang w:val="en-GB"/>
        </w:rPr>
        <w:t>demic. The Slovenian representatives also participated in the ENSREG</w:t>
      </w:r>
      <w:r w:rsidR="00F21D56">
        <w:rPr>
          <w:lang w:val="en-GB"/>
        </w:rPr>
        <w:t>’</w:t>
      </w:r>
      <w:r w:rsidRPr="00CD2EEF">
        <w:rPr>
          <w:lang w:val="en-GB"/>
        </w:rPr>
        <w:t>s working groups, namely in the Working Group on Nuclear Safety and the Working Group on Waste Management and Decommissioning.</w:t>
      </w:r>
    </w:p>
    <w:p w14:paraId="1A7BC953" w14:textId="77777777" w:rsidR="00D54273" w:rsidRPr="00CD2EEF" w:rsidRDefault="00D54273" w:rsidP="003D01F1">
      <w:pPr>
        <w:pStyle w:val="LPnaslovkrepko"/>
        <w:rPr>
          <w:lang w:val="en-GB"/>
        </w:rPr>
      </w:pPr>
      <w:r w:rsidRPr="00CD2EEF">
        <w:rPr>
          <w:lang w:val="en-GB"/>
        </w:rPr>
        <w:t>Consultative Committees under the Euratom Treaty</w:t>
      </w:r>
    </w:p>
    <w:p w14:paraId="19E7463A" w14:textId="60F7A1D4" w:rsidR="00D54273" w:rsidRPr="00CD2EEF" w:rsidRDefault="00D54273" w:rsidP="00EC4FDC">
      <w:pPr>
        <w:pStyle w:val="LPnavaden"/>
        <w:rPr>
          <w:lang w:val="en-GB"/>
        </w:rPr>
      </w:pPr>
      <w:r w:rsidRPr="00CD2EEF">
        <w:rPr>
          <w:lang w:val="en-GB"/>
        </w:rPr>
        <w:t>Within the framework of the Treaty on European Union, which is a part of the Community acquis, at present several technical and consultative committees are active</w:t>
      </w:r>
      <w:r w:rsidR="00E63423">
        <w:rPr>
          <w:lang w:val="en-GB"/>
        </w:rPr>
        <w:t>. The SNSA</w:t>
      </w:r>
      <w:r w:rsidRPr="00CD2EEF">
        <w:rPr>
          <w:lang w:val="en-GB"/>
        </w:rPr>
        <w:t xml:space="preserve"> complies with its obligations in three committees: The Committee under Article 31 of the Treaty, the Committee under Article 35, and the Committee under Article 37.</w:t>
      </w:r>
    </w:p>
    <w:p w14:paraId="587DE713" w14:textId="64F21049" w:rsidR="00D54273" w:rsidRPr="00CD2EEF" w:rsidRDefault="00D54273" w:rsidP="007416AB">
      <w:pPr>
        <w:pStyle w:val="LPnavaden"/>
        <w:rPr>
          <w:lang w:val="en-GB"/>
        </w:rPr>
      </w:pPr>
      <w:r w:rsidRPr="00CD2EEF">
        <w:rPr>
          <w:rStyle w:val="LPnavadenkrepko"/>
          <w:lang w:val="en-GB"/>
        </w:rPr>
        <w:t>The Committee under Article 31</w:t>
      </w:r>
      <w:r w:rsidRPr="00CD2EEF">
        <w:rPr>
          <w:lang w:val="en-GB"/>
        </w:rPr>
        <w:t xml:space="preserve"> makes recommendations to the European Commission related to radiation protection and public health. The Slovenian representative chaired the working group for natural radionuclides, which mainly dealt with the preparation of a document on radionuclides </w:t>
      </w:r>
      <w:r w:rsidRPr="00CD2EEF">
        <w:rPr>
          <w:lang w:val="en-GB"/>
        </w:rPr>
        <w:lastRenderedPageBreak/>
        <w:t>in building materials on the basis of the requirements of the Directive on establishing basic safety standards for protection against the dangers arising from exposure to i</w:t>
      </w:r>
      <w:r w:rsidR="00837F00">
        <w:rPr>
          <w:lang w:val="en-GB"/>
        </w:rPr>
        <w:t>onis</w:t>
      </w:r>
      <w:r w:rsidRPr="00CD2EEF">
        <w:rPr>
          <w:lang w:val="en-GB"/>
        </w:rPr>
        <w:t>ing radiation (</w:t>
      </w:r>
      <w:r w:rsidR="006F65C4">
        <w:rPr>
          <w:lang w:val="en-GB"/>
        </w:rPr>
        <w:t xml:space="preserve">the </w:t>
      </w:r>
      <w:r w:rsidRPr="00CD2EEF">
        <w:rPr>
          <w:lang w:val="en-GB"/>
        </w:rPr>
        <w:t>BSS Directive). The representative also collaborated in the taxonomy working group</w:t>
      </w:r>
      <w:r w:rsidR="00A82D48">
        <w:rPr>
          <w:lang w:val="en-GB"/>
        </w:rPr>
        <w:t>,</w:t>
      </w:r>
      <w:r w:rsidRPr="00CD2EEF">
        <w:rPr>
          <w:lang w:val="en-GB"/>
        </w:rPr>
        <w:t xml:space="preserve"> </w:t>
      </w:r>
      <w:r w:rsidR="00A82D48">
        <w:rPr>
          <w:lang w:val="en-GB"/>
        </w:rPr>
        <w:t>which</w:t>
      </w:r>
      <w:r w:rsidRPr="00CD2EEF">
        <w:rPr>
          <w:lang w:val="en-GB"/>
        </w:rPr>
        <w:t xml:space="preserve"> analysed the results of the technical study to determine whether nuclear energy meets the criteria of technical solutions addressing the </w:t>
      </w:r>
      <w:r w:rsidR="00A82D48">
        <w:rPr>
          <w:lang w:val="en-GB"/>
        </w:rPr>
        <w:t>struggle</w:t>
      </w:r>
      <w:r w:rsidR="00A82D48" w:rsidRPr="00CD2EEF">
        <w:rPr>
          <w:lang w:val="en-GB"/>
        </w:rPr>
        <w:t xml:space="preserve"> </w:t>
      </w:r>
      <w:r w:rsidRPr="00CD2EEF">
        <w:rPr>
          <w:lang w:val="en-GB"/>
        </w:rPr>
        <w:t>against climate change and can thus be financed from EU funds under the so-called Green Deal.</w:t>
      </w:r>
    </w:p>
    <w:p w14:paraId="7116B318" w14:textId="7E6EC954" w:rsidR="00D54273" w:rsidRPr="00CD2EEF" w:rsidRDefault="00D54273" w:rsidP="007416AB">
      <w:pPr>
        <w:pStyle w:val="LPnavaden"/>
        <w:rPr>
          <w:lang w:val="en-GB"/>
        </w:rPr>
      </w:pPr>
      <w:r w:rsidRPr="00CD2EEF">
        <w:rPr>
          <w:lang w:val="en-GB"/>
        </w:rPr>
        <w:t xml:space="preserve">The work of the </w:t>
      </w:r>
      <w:r w:rsidRPr="00CD2EEF">
        <w:rPr>
          <w:rStyle w:val="LPnavadenkrepko"/>
          <w:lang w:val="en-GB"/>
        </w:rPr>
        <w:t xml:space="preserve">Committee under Article 35 </w:t>
      </w:r>
      <w:r w:rsidRPr="00CD2EEF">
        <w:rPr>
          <w:rStyle w:val="LPnavadenkrepko"/>
          <w:b w:val="0"/>
          <w:bCs/>
          <w:lang w:val="en-GB"/>
        </w:rPr>
        <w:t>relates</w:t>
      </w:r>
      <w:r w:rsidRPr="00CD2EEF">
        <w:rPr>
          <w:lang w:val="en-GB"/>
        </w:rPr>
        <w:t xml:space="preserve"> to the provisions of the Euratom Treaty that require EU Member States to set up a system in their territory for measuring radioactivity in the environment (Article 35) and to report the results thereof regularly to the European Commission. The Commission has the right to verify whether such system is established and whether it complies with the established requirements (Article 36). In 2021, the respective committee held a virtual meeting with the following main themes: verification processes in the Member States, the presentation of the project entitled </w:t>
      </w:r>
      <w:r w:rsidR="00263D93">
        <w:rPr>
          <w:lang w:val="en-GB"/>
        </w:rPr>
        <w:t>“</w:t>
      </w:r>
      <w:r w:rsidRPr="00CD2EEF">
        <w:rPr>
          <w:rStyle w:val="LPnavadenpoevno"/>
          <w:lang w:val="en-GB"/>
        </w:rPr>
        <w:t>Inventory of Member States</w:t>
      </w:r>
      <w:r w:rsidR="00F21D56">
        <w:rPr>
          <w:rStyle w:val="LPnavadenpoevno"/>
          <w:lang w:val="en-GB"/>
        </w:rPr>
        <w:t>’</w:t>
      </w:r>
      <w:r w:rsidRPr="00CD2EEF">
        <w:rPr>
          <w:rStyle w:val="LPnavadenpoevno"/>
          <w:lang w:val="en-GB"/>
        </w:rPr>
        <w:t xml:space="preserve"> Environmental Radioactivity Monitoring Systems</w:t>
      </w:r>
      <w:r w:rsidR="00263D93">
        <w:rPr>
          <w:lang w:val="en-GB"/>
        </w:rPr>
        <w:t>”</w:t>
      </w:r>
      <w:r w:rsidR="003840AD">
        <w:rPr>
          <w:lang w:val="en-GB"/>
        </w:rPr>
        <w:t>,</w:t>
      </w:r>
      <w:r w:rsidRPr="00CD2EEF">
        <w:rPr>
          <w:lang w:val="en-GB"/>
        </w:rPr>
        <w:t xml:space="preserve"> and the development of tools for reporting and collecting data on discharges and measurements in the environment.</w:t>
      </w:r>
    </w:p>
    <w:p w14:paraId="0EE18ED7" w14:textId="45AE5873" w:rsidR="00D54273" w:rsidRPr="00CD2EEF" w:rsidRDefault="00D54273" w:rsidP="000A6645">
      <w:pPr>
        <w:pStyle w:val="LPnavaden"/>
        <w:rPr>
          <w:lang w:val="en-GB"/>
        </w:rPr>
      </w:pPr>
      <w:r w:rsidRPr="00CD2EEF">
        <w:rPr>
          <w:lang w:val="en-GB"/>
        </w:rPr>
        <w:t xml:space="preserve">The Consultative </w:t>
      </w:r>
      <w:r w:rsidRPr="00CD2EEF">
        <w:rPr>
          <w:rStyle w:val="LPnavadenkrepko"/>
          <w:lang w:val="en-GB"/>
        </w:rPr>
        <w:t>Committee under Article 37</w:t>
      </w:r>
      <w:r w:rsidRPr="00CD2EEF">
        <w:rPr>
          <w:lang w:val="en-GB"/>
        </w:rPr>
        <w:t xml:space="preserve"> has correspondence meetings, as needed, wherein the European Commission provides its opinion on major reconstruction projects or the construction of new nuclear installations. </w:t>
      </w:r>
      <w:r w:rsidR="009339F7">
        <w:rPr>
          <w:lang w:val="en-GB"/>
        </w:rPr>
        <w:t>T</w:t>
      </w:r>
      <w:r w:rsidRPr="00CD2EEF">
        <w:rPr>
          <w:lang w:val="en-GB"/>
        </w:rPr>
        <w:t>here were no meetings of the Committee</w:t>
      </w:r>
      <w:r w:rsidR="009339F7" w:rsidRPr="009339F7">
        <w:rPr>
          <w:lang w:val="en-GB"/>
        </w:rPr>
        <w:t xml:space="preserve"> </w:t>
      </w:r>
      <w:r w:rsidR="009339F7">
        <w:rPr>
          <w:lang w:val="en-GB"/>
        </w:rPr>
        <w:t>i</w:t>
      </w:r>
      <w:r w:rsidR="009339F7" w:rsidRPr="00CD2EEF">
        <w:rPr>
          <w:lang w:val="en-GB"/>
        </w:rPr>
        <w:t>n 2021</w:t>
      </w:r>
      <w:r w:rsidRPr="00CD2EEF">
        <w:rPr>
          <w:lang w:val="en-GB"/>
        </w:rPr>
        <w:t>.</w:t>
      </w:r>
    </w:p>
    <w:p w14:paraId="7E318FF7" w14:textId="77777777" w:rsidR="00D54273" w:rsidRPr="00CD2EEF" w:rsidRDefault="00D54273" w:rsidP="00AC142E">
      <w:pPr>
        <w:pStyle w:val="LPNaslov3"/>
        <w:rPr>
          <w:lang w:val="en-GB"/>
        </w:rPr>
      </w:pPr>
      <w:bookmarkStart w:id="427" w:name="_Toc84321680"/>
      <w:bookmarkStart w:id="428" w:name="_Toc126312057"/>
      <w:r w:rsidRPr="00CD2EEF">
        <w:rPr>
          <w:lang w:val="en-GB"/>
        </w:rPr>
        <w:t>Cooperation in EU Projects</w:t>
      </w:r>
      <w:bookmarkEnd w:id="427"/>
      <w:bookmarkEnd w:id="428"/>
    </w:p>
    <w:p w14:paraId="4E6CE9F8" w14:textId="3B02C4F7" w:rsidR="00D54273" w:rsidRPr="00CD2EEF" w:rsidRDefault="00D54273" w:rsidP="00375A7B">
      <w:pPr>
        <w:pStyle w:val="LPnavaden"/>
        <w:rPr>
          <w:rFonts w:eastAsiaTheme="minorHAnsi"/>
          <w:lang w:val="en-GB"/>
        </w:rPr>
      </w:pPr>
      <w:r w:rsidRPr="00CD2EEF">
        <w:rPr>
          <w:lang w:val="en-GB"/>
        </w:rPr>
        <w:t xml:space="preserve">Since 2017, </w:t>
      </w:r>
      <w:r w:rsidR="00E63423">
        <w:rPr>
          <w:lang w:val="en-GB"/>
        </w:rPr>
        <w:t>the SNSA</w:t>
      </w:r>
      <w:r w:rsidRPr="00CD2EEF">
        <w:rPr>
          <w:lang w:val="en-GB"/>
        </w:rPr>
        <w:t xml:space="preserve"> has been participating in the European Commission</w:t>
      </w:r>
      <w:r w:rsidR="00F21D56">
        <w:rPr>
          <w:lang w:val="en-GB"/>
        </w:rPr>
        <w:t>’</w:t>
      </w:r>
      <w:r w:rsidRPr="00CD2EEF">
        <w:rPr>
          <w:lang w:val="en-GB"/>
        </w:rPr>
        <w:t xml:space="preserve">s project for </w:t>
      </w:r>
      <w:r w:rsidR="00263D93">
        <w:rPr>
          <w:lang w:val="en-GB"/>
        </w:rPr>
        <w:t>“</w:t>
      </w:r>
      <w:r w:rsidRPr="00CD2EEF">
        <w:rPr>
          <w:rStyle w:val="LPnavadenpoevno"/>
          <w:lang w:val="en-GB"/>
        </w:rPr>
        <w:t>Enhancing the Capabilities of the Iranian Nuclear Regulatory Authority and Supporting the Implementation of the Stress Tests at the Bushehr Nuclear Power Plant</w:t>
      </w:r>
      <w:r w:rsidR="00263D93">
        <w:rPr>
          <w:lang w:val="en-GB"/>
        </w:rPr>
        <w:t>”</w:t>
      </w:r>
      <w:r w:rsidRPr="00CD2EEF">
        <w:rPr>
          <w:lang w:val="en-GB"/>
        </w:rPr>
        <w:t>, performed within the INSC – Instrument for Nuclear Safety Cooperation. The objective of this project is to assist the Iranian nuclear and radiation safety regulatory body in improving the knowledge and expertise of its staff, modernising its administrative infrastructure, and in transferring the nuclear regulatory methodology of experienced EU regulatory bodies to the Iranian regulatory authority</w:t>
      </w:r>
      <w:r w:rsidR="00E63423">
        <w:rPr>
          <w:lang w:val="en-GB"/>
        </w:rPr>
        <w:t>. The SNSA</w:t>
      </w:r>
      <w:r w:rsidRPr="00CD2EEF">
        <w:rPr>
          <w:lang w:val="en-GB"/>
        </w:rPr>
        <w:t xml:space="preserve"> participates in a consortium consisting of nuclear safety regulatory bodies from the Czech Republic, Slovakia, and Hungary, as well as the Austrian company ENCO</w:t>
      </w:r>
      <w:r w:rsidR="00E63423">
        <w:rPr>
          <w:lang w:val="en-GB"/>
        </w:rPr>
        <w:t>. The SNSA</w:t>
      </w:r>
      <w:r w:rsidRPr="00CD2EEF">
        <w:rPr>
          <w:lang w:val="en-GB"/>
        </w:rPr>
        <w:t xml:space="preserve"> completed most of its project tasks in 2017 and 2018. In 2021, no activities </w:t>
      </w:r>
      <w:r w:rsidR="003840AD" w:rsidRPr="00CD2EEF">
        <w:rPr>
          <w:lang w:val="en-GB"/>
        </w:rPr>
        <w:t xml:space="preserve">on this project </w:t>
      </w:r>
      <w:r w:rsidRPr="00CD2EEF">
        <w:rPr>
          <w:lang w:val="en-GB"/>
        </w:rPr>
        <w:t xml:space="preserve">were performed by </w:t>
      </w:r>
      <w:r w:rsidR="00E63423">
        <w:rPr>
          <w:lang w:val="en-GB"/>
        </w:rPr>
        <w:t>the SNSA</w:t>
      </w:r>
      <w:r w:rsidRPr="00CD2EEF">
        <w:rPr>
          <w:lang w:val="en-GB"/>
        </w:rPr>
        <w:t xml:space="preserve">. </w:t>
      </w:r>
    </w:p>
    <w:p w14:paraId="4358B705" w14:textId="08D70607" w:rsidR="00D54273" w:rsidRPr="00CD2EEF" w:rsidRDefault="00D54273" w:rsidP="00BF187D">
      <w:pPr>
        <w:pStyle w:val="LPnavaden"/>
        <w:rPr>
          <w:lang w:val="en-GB"/>
        </w:rPr>
      </w:pPr>
      <w:r w:rsidRPr="00CD2EEF">
        <w:rPr>
          <w:lang w:val="en-GB"/>
        </w:rPr>
        <w:t xml:space="preserve">The same consortium of the so-called first Iranian project described above applied for the second Iranian project, </w:t>
      </w:r>
      <w:r w:rsidR="00457753">
        <w:rPr>
          <w:lang w:val="en-GB"/>
        </w:rPr>
        <w:t xml:space="preserve">i.e. </w:t>
      </w:r>
      <w:r w:rsidR="00263D93">
        <w:rPr>
          <w:lang w:val="en-GB"/>
        </w:rPr>
        <w:t>“</w:t>
      </w:r>
      <w:r w:rsidRPr="00CD2EEF">
        <w:rPr>
          <w:rStyle w:val="LPnavadenposevnoZnak"/>
          <w:lang w:val="en-GB"/>
        </w:rPr>
        <w:t>INSC</w:t>
      </w:r>
      <w:r w:rsidR="008342C3">
        <w:rPr>
          <w:rStyle w:val="LPnavadenposevnoZnak"/>
          <w:lang w:val="en-GB"/>
        </w:rPr>
        <w:t xml:space="preserve"> – </w:t>
      </w:r>
      <w:r w:rsidRPr="00CD2EEF">
        <w:rPr>
          <w:rStyle w:val="LPnavadenpoevno"/>
          <w:lang w:val="en-GB"/>
        </w:rPr>
        <w:t>Support to the Iranian Nuclear Regulatory Authority – INRA</w:t>
      </w:r>
      <w:r w:rsidR="00263D93">
        <w:rPr>
          <w:lang w:val="en-GB"/>
        </w:rPr>
        <w:t>”</w:t>
      </w:r>
      <w:r w:rsidRPr="00CD2EEF">
        <w:rPr>
          <w:lang w:val="en-GB"/>
        </w:rPr>
        <w:t xml:space="preserve">. For this project, the consortium was augmented by the German company TÜV Nord. The assignments of </w:t>
      </w:r>
      <w:r w:rsidR="00E63423">
        <w:rPr>
          <w:lang w:val="en-GB"/>
        </w:rPr>
        <w:t>the SNSA</w:t>
      </w:r>
      <w:r w:rsidRPr="00CD2EEF">
        <w:rPr>
          <w:lang w:val="en-GB"/>
        </w:rPr>
        <w:t xml:space="preserve"> include the further development of the management system of the Iranian regulatory authority, which is also meant for the nuclear safety centre, for which </w:t>
      </w:r>
      <w:r w:rsidR="00E63423">
        <w:rPr>
          <w:lang w:val="en-GB"/>
        </w:rPr>
        <w:t>the SNSA</w:t>
      </w:r>
      <w:r w:rsidRPr="00CD2EEF">
        <w:rPr>
          <w:lang w:val="en-GB"/>
        </w:rPr>
        <w:t xml:space="preserve"> developed a feasibility study within the first Iranian assistance project. In 2021, </w:t>
      </w:r>
      <w:r w:rsidR="00A726E8">
        <w:rPr>
          <w:lang w:val="en-GB"/>
        </w:rPr>
        <w:t>the</w:t>
      </w:r>
      <w:r w:rsidR="00E63423">
        <w:rPr>
          <w:lang w:val="en-GB"/>
        </w:rPr>
        <w:t xml:space="preserve"> SNSA</w:t>
      </w:r>
      <w:r w:rsidRPr="00CD2EEF">
        <w:rPr>
          <w:lang w:val="en-GB"/>
        </w:rPr>
        <w:t xml:space="preserve"> was also active in emergency preparedness and prepared two virtual workshops on this topic, as well as drafted the technical specifications for the emergency communication system and </w:t>
      </w:r>
      <w:r w:rsidR="003840AD">
        <w:rPr>
          <w:lang w:val="en-GB"/>
        </w:rPr>
        <w:t>an</w:t>
      </w:r>
      <w:r w:rsidR="003840AD" w:rsidRPr="00CD2EEF">
        <w:rPr>
          <w:lang w:val="en-GB"/>
        </w:rPr>
        <w:t xml:space="preserve"> </w:t>
      </w:r>
      <w:r w:rsidRPr="00CD2EEF">
        <w:rPr>
          <w:lang w:val="en-GB"/>
        </w:rPr>
        <w:t xml:space="preserve">overview of the management system procedures. Due to the unstable political situation in Iran (elections and </w:t>
      </w:r>
      <w:r w:rsidR="003840AD">
        <w:rPr>
          <w:lang w:val="en-GB"/>
        </w:rPr>
        <w:t xml:space="preserve">the </w:t>
      </w:r>
      <w:r w:rsidRPr="00CD2EEF">
        <w:rPr>
          <w:lang w:val="en-GB"/>
        </w:rPr>
        <w:t xml:space="preserve">new leadership of </w:t>
      </w:r>
      <w:r w:rsidR="003840AD">
        <w:rPr>
          <w:lang w:val="en-GB"/>
        </w:rPr>
        <w:t xml:space="preserve">the </w:t>
      </w:r>
      <w:r w:rsidRPr="00CD2EEF">
        <w:rPr>
          <w:lang w:val="en-GB"/>
        </w:rPr>
        <w:t xml:space="preserve">INRA) and the </w:t>
      </w:r>
      <w:r w:rsidR="00BE025A">
        <w:rPr>
          <w:lang w:val="en-GB"/>
        </w:rPr>
        <w:t>epi</w:t>
      </w:r>
      <w:r w:rsidRPr="00CD2EEF">
        <w:rPr>
          <w:lang w:val="en-GB"/>
        </w:rPr>
        <w:t>demic, the project activities have slightly decelerated since workshops and training courses were organised virtually, while other events (e.g. training</w:t>
      </w:r>
      <w:r w:rsidR="00457753">
        <w:rPr>
          <w:lang w:val="en-GB"/>
        </w:rPr>
        <w:t xml:space="preserve"> programmes</w:t>
      </w:r>
      <w:r w:rsidRPr="00CD2EEF">
        <w:rPr>
          <w:lang w:val="en-GB"/>
        </w:rPr>
        <w:t xml:space="preserve"> in the EU) were postponed.</w:t>
      </w:r>
    </w:p>
    <w:p w14:paraId="3D72122F" w14:textId="68B9B616" w:rsidR="00D54273" w:rsidRPr="00CD2EEF" w:rsidRDefault="00D54273" w:rsidP="00D4624A">
      <w:pPr>
        <w:pStyle w:val="LPnavaden"/>
        <w:rPr>
          <w:lang w:val="en-GB"/>
        </w:rPr>
      </w:pPr>
      <w:r w:rsidRPr="00CD2EEF">
        <w:rPr>
          <w:lang w:val="en-GB"/>
        </w:rPr>
        <w:t xml:space="preserve">In 2019, the project </w:t>
      </w:r>
      <w:r w:rsidR="00263D93">
        <w:rPr>
          <w:lang w:val="en-GB"/>
        </w:rPr>
        <w:t>“</w:t>
      </w:r>
      <w:r w:rsidRPr="00CD2EEF">
        <w:rPr>
          <w:rStyle w:val="LPnavadenpoevno"/>
          <w:lang w:val="en-GB"/>
        </w:rPr>
        <w:t>INSC – Support to the regulatory authority of Ghana</w:t>
      </w:r>
      <w:r w:rsidR="00263D93">
        <w:rPr>
          <w:rStyle w:val="LPnavadenpoevno"/>
          <w:lang w:val="en-GB"/>
        </w:rPr>
        <w:t>”</w:t>
      </w:r>
      <w:r w:rsidRPr="00CD2EEF">
        <w:rPr>
          <w:lang w:val="en-GB"/>
        </w:rPr>
        <w:t xml:space="preserve"> was launched, in which </w:t>
      </w:r>
      <w:r w:rsidR="00E63423">
        <w:rPr>
          <w:lang w:val="en-GB"/>
        </w:rPr>
        <w:t>the SNSA</w:t>
      </w:r>
      <w:r w:rsidRPr="00CD2EEF">
        <w:rPr>
          <w:lang w:val="en-GB"/>
        </w:rPr>
        <w:t xml:space="preserve"> has been participating together with the Slovak and the Hungarian regulatory bodies and the company ENCO. The objective of the project is to assist the Ghanaian regulatory body for nuclear safety in strengthening the knowledge and expertise of its staff in order to achieve the highest possible level of regulatory independence. In 2021, </w:t>
      </w:r>
      <w:r w:rsidR="00E63423">
        <w:rPr>
          <w:lang w:val="en-GB"/>
        </w:rPr>
        <w:t>the SNSA</w:t>
      </w:r>
      <w:r w:rsidRPr="00CD2EEF">
        <w:rPr>
          <w:lang w:val="en-GB"/>
        </w:rPr>
        <w:t xml:space="preserve"> completed all the tasks regarding the development of a strategic plan of the regulatory body, while the activities regarding the enhancement of the management system are still being carried out. In the area of the strategic </w:t>
      </w:r>
      <w:r w:rsidRPr="00CD2EEF">
        <w:rPr>
          <w:lang w:val="en-GB"/>
        </w:rPr>
        <w:lastRenderedPageBreak/>
        <w:t xml:space="preserve">plan, a virtual workshop (so called </w:t>
      </w:r>
      <w:r w:rsidR="00263D93">
        <w:rPr>
          <w:lang w:val="en-GB"/>
        </w:rPr>
        <w:t>“</w:t>
      </w:r>
      <w:r w:rsidRPr="00CD2EEF">
        <w:rPr>
          <w:lang w:val="en-GB"/>
        </w:rPr>
        <w:t>on-the-job-training</w:t>
      </w:r>
      <w:r w:rsidR="00263D93">
        <w:rPr>
          <w:lang w:val="en-GB"/>
        </w:rPr>
        <w:t>”</w:t>
      </w:r>
      <w:r w:rsidRPr="00CD2EEF">
        <w:rPr>
          <w:lang w:val="en-GB"/>
        </w:rPr>
        <w:t>) was organised. In the area of</w:t>
      </w:r>
      <w:r w:rsidR="0011546B">
        <w:rPr>
          <w:lang w:val="en-GB"/>
        </w:rPr>
        <w:t xml:space="preserve"> the</w:t>
      </w:r>
      <w:r w:rsidRPr="00CD2EEF">
        <w:rPr>
          <w:lang w:val="en-GB"/>
        </w:rPr>
        <w:t xml:space="preserve"> management system, </w:t>
      </w:r>
      <w:r w:rsidR="00E63423">
        <w:rPr>
          <w:lang w:val="en-GB"/>
        </w:rPr>
        <w:t>the SNSA</w:t>
      </w:r>
      <w:r w:rsidRPr="00CD2EEF">
        <w:rPr>
          <w:lang w:val="en-GB"/>
        </w:rPr>
        <w:t xml:space="preserve"> reviewed procedures and co-organised a virtual workshop.</w:t>
      </w:r>
    </w:p>
    <w:p w14:paraId="5C3066F8" w14:textId="74750695" w:rsidR="00D54273" w:rsidRPr="00CD2EEF" w:rsidRDefault="00D54273" w:rsidP="002F1512">
      <w:pPr>
        <w:pStyle w:val="LPnavaden"/>
        <w:rPr>
          <w:lang w:val="en-GB"/>
        </w:rPr>
      </w:pPr>
      <w:r w:rsidRPr="00CD2EEF">
        <w:rPr>
          <w:lang w:val="en-GB"/>
        </w:rPr>
        <w:t xml:space="preserve">At the end of 2019, the European Commission published a notice on selecting </w:t>
      </w:r>
      <w:r w:rsidR="00E63423">
        <w:rPr>
          <w:lang w:val="en-GB"/>
        </w:rPr>
        <w:t>the SNSA</w:t>
      </w:r>
      <w:r w:rsidRPr="00CD2EEF">
        <w:rPr>
          <w:lang w:val="en-GB"/>
        </w:rPr>
        <w:t xml:space="preserve"> together with other consortium members to participate in the project </w:t>
      </w:r>
      <w:r w:rsidR="00263D93">
        <w:rPr>
          <w:lang w:val="en-GB"/>
        </w:rPr>
        <w:t>“</w:t>
      </w:r>
      <w:r w:rsidRPr="00CD2EEF">
        <w:rPr>
          <w:rStyle w:val="LPnavadenpoevno"/>
          <w:lang w:val="en-GB"/>
        </w:rPr>
        <w:t>INSC – Support to the regulatory authority of Bosnia and Herzegovina</w:t>
      </w:r>
      <w:r w:rsidR="00263D93">
        <w:rPr>
          <w:lang w:val="en-GB"/>
        </w:rPr>
        <w:t>”</w:t>
      </w:r>
      <w:r w:rsidRPr="00CD2EEF">
        <w:rPr>
          <w:lang w:val="en-GB"/>
        </w:rPr>
        <w:t>. The objective of this project is to assist Bosnia and Herzegovina</w:t>
      </w:r>
      <w:r w:rsidR="00F21D56">
        <w:rPr>
          <w:lang w:val="en-GB"/>
        </w:rPr>
        <w:t>’</w:t>
      </w:r>
      <w:r w:rsidRPr="00CD2EEF">
        <w:rPr>
          <w:lang w:val="en-GB"/>
        </w:rPr>
        <w:t xml:space="preserve">s regulatory authority for nuclear and radiation safety in issuing an operating licence for a radioactive waste storage facility and also to enhance the national capabilities in the field of radioactive waste management. In 2021, </w:t>
      </w:r>
      <w:r w:rsidR="00E63423">
        <w:rPr>
          <w:lang w:val="en-GB"/>
        </w:rPr>
        <w:t>the SNSA</w:t>
      </w:r>
      <w:r w:rsidRPr="00CD2EEF">
        <w:rPr>
          <w:lang w:val="en-GB"/>
        </w:rPr>
        <w:t xml:space="preserve"> participated in </w:t>
      </w:r>
      <w:r w:rsidR="00D27CC6">
        <w:rPr>
          <w:lang w:val="en-GB"/>
        </w:rPr>
        <w:t>a</w:t>
      </w:r>
      <w:r w:rsidR="00D27CC6" w:rsidRPr="00CD2EEF">
        <w:rPr>
          <w:lang w:val="en-GB"/>
        </w:rPr>
        <w:t xml:space="preserve"> </w:t>
      </w:r>
      <w:r w:rsidRPr="00CD2EEF">
        <w:rPr>
          <w:lang w:val="en-GB"/>
        </w:rPr>
        <w:t xml:space="preserve">workshop in Sarajevo on </w:t>
      </w:r>
      <w:r w:rsidR="00D27CC6">
        <w:rPr>
          <w:lang w:val="en-GB"/>
        </w:rPr>
        <w:t xml:space="preserve">a </w:t>
      </w:r>
      <w:r w:rsidRPr="00CD2EEF">
        <w:rPr>
          <w:lang w:val="en-GB"/>
        </w:rPr>
        <w:t xml:space="preserve">legislation review of issuing an operating licence for a radioactive waste storage facility and reviewed and complemented drafts of beneficiary rules on licencing, </w:t>
      </w:r>
      <w:r w:rsidR="00D27CC6">
        <w:rPr>
          <w:lang w:val="en-GB"/>
        </w:rPr>
        <w:t xml:space="preserve">and </w:t>
      </w:r>
      <w:r w:rsidRPr="00CD2EEF">
        <w:rPr>
          <w:lang w:val="en-GB"/>
        </w:rPr>
        <w:t>review</w:t>
      </w:r>
      <w:r w:rsidR="00D27CC6">
        <w:rPr>
          <w:lang w:val="en-GB"/>
        </w:rPr>
        <w:t>ed</w:t>
      </w:r>
      <w:r w:rsidRPr="00CD2EEF">
        <w:rPr>
          <w:lang w:val="en-GB"/>
        </w:rPr>
        <w:t xml:space="preserve"> safety assessment and inspection procedures. In the third quarter of 2021, </w:t>
      </w:r>
      <w:r w:rsidR="00196943">
        <w:rPr>
          <w:lang w:val="en-GB"/>
        </w:rPr>
        <w:t xml:space="preserve">the </w:t>
      </w:r>
      <w:r w:rsidRPr="00CD2EEF">
        <w:rPr>
          <w:lang w:val="en-GB"/>
        </w:rPr>
        <w:t xml:space="preserve">practical training of </w:t>
      </w:r>
      <w:r w:rsidRPr="00DF5649">
        <w:rPr>
          <w:lang w:val="en-GB"/>
        </w:rPr>
        <w:t>beneficiary experts was</w:t>
      </w:r>
      <w:r w:rsidRPr="00CD2EEF">
        <w:rPr>
          <w:lang w:val="en-GB"/>
        </w:rPr>
        <w:t xml:space="preserve"> also carried out in Slovenia (so-called </w:t>
      </w:r>
      <w:r w:rsidR="00263D93">
        <w:rPr>
          <w:lang w:val="en-GB"/>
        </w:rPr>
        <w:t>“</w:t>
      </w:r>
      <w:r w:rsidRPr="00CD2EEF">
        <w:rPr>
          <w:lang w:val="en-GB"/>
        </w:rPr>
        <w:t>on-the-job training</w:t>
      </w:r>
      <w:r w:rsidR="00263D93">
        <w:rPr>
          <w:lang w:val="en-GB"/>
        </w:rPr>
        <w:t>”</w:t>
      </w:r>
      <w:r w:rsidRPr="00CD2EEF">
        <w:rPr>
          <w:lang w:val="en-GB"/>
        </w:rPr>
        <w:t xml:space="preserve">). This project went on as planned and the </w:t>
      </w:r>
      <w:r w:rsidR="00BE025A">
        <w:rPr>
          <w:lang w:val="en-GB"/>
        </w:rPr>
        <w:t>epi</w:t>
      </w:r>
      <w:r w:rsidRPr="00CD2EEF">
        <w:rPr>
          <w:lang w:val="en-GB"/>
        </w:rPr>
        <w:t>demic had little impact on it.</w:t>
      </w:r>
    </w:p>
    <w:p w14:paraId="47EB2663" w14:textId="0C733B5C" w:rsidR="00D54273" w:rsidRPr="00CD2EEF" w:rsidRDefault="00D54273" w:rsidP="00A26E7A">
      <w:pPr>
        <w:pStyle w:val="LPnavaden"/>
        <w:rPr>
          <w:lang w:val="en-GB"/>
        </w:rPr>
      </w:pPr>
      <w:r w:rsidRPr="00CD2EEF">
        <w:rPr>
          <w:rStyle w:val="LPpobarvan2"/>
          <w:rFonts w:eastAsiaTheme="minorHAnsi"/>
          <w:shd w:val="clear" w:color="auto" w:fill="auto"/>
          <w:lang w:val="en-GB"/>
        </w:rPr>
        <w:t xml:space="preserve">In 2020, </w:t>
      </w:r>
      <w:r w:rsidR="00E63423">
        <w:rPr>
          <w:rStyle w:val="LPpobarvan2"/>
          <w:rFonts w:eastAsiaTheme="minorHAnsi"/>
          <w:shd w:val="clear" w:color="auto" w:fill="auto"/>
          <w:lang w:val="en-GB"/>
        </w:rPr>
        <w:t>the SNSA</w:t>
      </w:r>
      <w:r w:rsidRPr="00CD2EEF">
        <w:rPr>
          <w:rStyle w:val="LPpobarvan2"/>
          <w:rFonts w:eastAsiaTheme="minorHAnsi"/>
          <w:shd w:val="clear" w:color="auto" w:fill="auto"/>
          <w:lang w:val="en-GB"/>
        </w:rPr>
        <w:t xml:space="preserve">, together with the </w:t>
      </w:r>
      <w:r w:rsidRPr="00CD2EEF">
        <w:rPr>
          <w:rStyle w:val="LPpobarvan2"/>
          <w:shd w:val="clear" w:color="auto" w:fill="auto"/>
          <w:lang w:val="en-GB"/>
        </w:rPr>
        <w:t xml:space="preserve">Slovak and Hungarian regulatory bodies and the company ENCO, was selected to participate in the so-called third Iranian project </w:t>
      </w:r>
      <w:r w:rsidR="00263D93">
        <w:rPr>
          <w:rStyle w:val="LPpobarvan2"/>
          <w:shd w:val="clear" w:color="auto" w:fill="auto"/>
          <w:lang w:val="en-GB"/>
        </w:rPr>
        <w:t>“</w:t>
      </w:r>
      <w:r w:rsidRPr="00CD2EEF">
        <w:rPr>
          <w:rStyle w:val="LPnavadenpoevno"/>
          <w:lang w:val="en-GB"/>
        </w:rPr>
        <w:t>INSC – Enhancing the capabilities of the Iranian Nuclear Regulatory Authority (INRA) for an effective nuclear safety culture and implementation of the highest nuclear safety and radiation protection standards</w:t>
      </w:r>
      <w:r w:rsidR="00263D93">
        <w:rPr>
          <w:rStyle w:val="LPpobarvan2"/>
          <w:shd w:val="clear" w:color="auto" w:fill="auto"/>
          <w:lang w:val="en-GB"/>
        </w:rPr>
        <w:t>”</w:t>
      </w:r>
      <w:r w:rsidRPr="00CD2EEF">
        <w:rPr>
          <w:rStyle w:val="LPpobarvan2"/>
          <w:shd w:val="clear" w:color="auto" w:fill="auto"/>
          <w:lang w:val="en-GB"/>
        </w:rPr>
        <w:t>. The objective of this project is to achieve an effective nuclear safety culture and implementation of the highest nuclear safety and radiation protection standards by the INRA</w:t>
      </w:r>
      <w:r w:rsidR="00E63423">
        <w:rPr>
          <w:rStyle w:val="LPpobarvan2"/>
          <w:shd w:val="clear" w:color="auto" w:fill="auto"/>
          <w:lang w:val="en-GB"/>
        </w:rPr>
        <w:t>. The SNSA</w:t>
      </w:r>
      <w:r w:rsidRPr="00CD2EEF">
        <w:rPr>
          <w:rStyle w:val="LPpobarvan2"/>
          <w:shd w:val="clear" w:color="auto" w:fill="auto"/>
          <w:lang w:val="en-GB"/>
        </w:rPr>
        <w:t xml:space="preserve"> will participate in the review of the implementation of the stress tests action plan, the development of the nuclear safety centre management system, and in drafting the technical specifications for equipment needed for emergency preparedness activities. In 2021</w:t>
      </w:r>
      <w:r w:rsidRPr="00CD2EEF">
        <w:rPr>
          <w:lang w:val="en-GB"/>
        </w:rPr>
        <w:t xml:space="preserve">, </w:t>
      </w:r>
      <w:r w:rsidR="00E63423">
        <w:rPr>
          <w:lang w:val="en-GB"/>
        </w:rPr>
        <w:t>the SNSA</w:t>
      </w:r>
      <w:r w:rsidRPr="00CD2EEF">
        <w:rPr>
          <w:lang w:val="en-GB"/>
        </w:rPr>
        <w:t xml:space="preserve"> was involved in setting up </w:t>
      </w:r>
      <w:r w:rsidR="00196943">
        <w:rPr>
          <w:lang w:val="en-GB"/>
        </w:rPr>
        <w:t>the</w:t>
      </w:r>
      <w:r w:rsidR="00196943" w:rsidRPr="00CD2EEF">
        <w:rPr>
          <w:lang w:val="en-GB"/>
        </w:rPr>
        <w:t xml:space="preserve"> </w:t>
      </w:r>
      <w:r w:rsidRPr="00CD2EEF">
        <w:rPr>
          <w:lang w:val="en-GB"/>
        </w:rPr>
        <w:t>management system of the nuclear safety centre, while</w:t>
      </w:r>
      <w:r w:rsidR="00196943">
        <w:rPr>
          <w:lang w:val="en-GB"/>
        </w:rPr>
        <w:t xml:space="preserve"> it was</w:t>
      </w:r>
      <w:r w:rsidRPr="00CD2EEF">
        <w:rPr>
          <w:lang w:val="en-GB"/>
        </w:rPr>
        <w:t xml:space="preserve"> not </w:t>
      </w:r>
      <w:r w:rsidR="00196943">
        <w:rPr>
          <w:lang w:val="en-GB"/>
        </w:rPr>
        <w:t>involved</w:t>
      </w:r>
      <w:r w:rsidRPr="00CD2EEF">
        <w:rPr>
          <w:lang w:val="en-GB"/>
        </w:rPr>
        <w:t xml:space="preserve"> in other activities. The </w:t>
      </w:r>
      <w:r w:rsidR="00BE025A">
        <w:rPr>
          <w:lang w:val="en-GB"/>
        </w:rPr>
        <w:t>epi</w:t>
      </w:r>
      <w:r w:rsidRPr="00CD2EEF">
        <w:rPr>
          <w:lang w:val="en-GB"/>
        </w:rPr>
        <w:t xml:space="preserve">demic caused significantly fewer working days than originally planned. </w:t>
      </w:r>
    </w:p>
    <w:p w14:paraId="232C8C31" w14:textId="6D12FCA5" w:rsidR="00D54273" w:rsidRPr="00CD2EEF" w:rsidRDefault="00D54273" w:rsidP="00106230">
      <w:pPr>
        <w:pStyle w:val="LPnavaden"/>
        <w:rPr>
          <w:rStyle w:val="LPnavadenpoevno"/>
          <w:i w:val="0"/>
          <w:lang w:val="en-GB"/>
        </w:rPr>
      </w:pPr>
      <w:r w:rsidRPr="00CD2EEF">
        <w:rPr>
          <w:rStyle w:val="LPnavadenpoevno"/>
          <w:i w:val="0"/>
          <w:lang w:val="en-GB"/>
        </w:rPr>
        <w:t xml:space="preserve">In 2020, Slovenia was selected to participate in a European project entitled </w:t>
      </w:r>
      <w:r w:rsidR="00263D93">
        <w:rPr>
          <w:rStyle w:val="LPnavadenpoevno"/>
          <w:i w:val="0"/>
          <w:lang w:val="en-GB"/>
        </w:rPr>
        <w:t>“</w:t>
      </w:r>
      <w:r w:rsidRPr="00CD2EEF">
        <w:rPr>
          <w:rStyle w:val="LPnavadenposevnoZnak"/>
          <w:lang w:val="en-GB"/>
        </w:rPr>
        <w:t>European coordinated action on improving justification of computed tomography</w:t>
      </w:r>
      <w:r w:rsidR="00263D93">
        <w:rPr>
          <w:rStyle w:val="LPnavadenposevnoZnak"/>
          <w:lang w:val="en-GB"/>
        </w:rPr>
        <w:t>”</w:t>
      </w:r>
      <w:r w:rsidRPr="00CD2EEF">
        <w:rPr>
          <w:rStyle w:val="LPnavadenposevnoZnak"/>
          <w:lang w:val="en-GB"/>
        </w:rPr>
        <w:t xml:space="preserve"> </w:t>
      </w:r>
      <w:r w:rsidRPr="00CD2EEF">
        <w:rPr>
          <w:rStyle w:val="LPnavadenpoevno"/>
          <w:i w:val="0"/>
          <w:lang w:val="en-GB"/>
        </w:rPr>
        <w:t xml:space="preserve">(EU-JUST-CT), which is used to assess the eligibility of referrals to CT examinations. Therefore, </w:t>
      </w:r>
      <w:r w:rsidR="009078CD">
        <w:rPr>
          <w:rStyle w:val="LPnavadenpoevno"/>
          <w:i w:val="0"/>
          <w:lang w:val="en-GB"/>
        </w:rPr>
        <w:t xml:space="preserve">the </w:t>
      </w:r>
      <w:r w:rsidRPr="00CD2EEF">
        <w:rPr>
          <w:rStyle w:val="LPnavadenpoevno"/>
          <w:i w:val="0"/>
          <w:lang w:val="en-GB"/>
        </w:rPr>
        <w:t xml:space="preserve">SRPA will collect data </w:t>
      </w:r>
      <w:r w:rsidR="006B0B1F">
        <w:rPr>
          <w:rStyle w:val="LPnavadenpoevno"/>
          <w:i w:val="0"/>
          <w:lang w:val="en-GB"/>
        </w:rPr>
        <w:t>on</w:t>
      </w:r>
      <w:r w:rsidR="006B0B1F" w:rsidRPr="00CD2EEF">
        <w:rPr>
          <w:rStyle w:val="LPnavadenpoevno"/>
          <w:i w:val="0"/>
          <w:lang w:val="en-GB"/>
        </w:rPr>
        <w:t xml:space="preserve"> </w:t>
      </w:r>
      <w:r w:rsidRPr="00CD2EEF">
        <w:rPr>
          <w:rStyle w:val="LPnavadenpoevno"/>
          <w:i w:val="0"/>
          <w:lang w:val="en-GB"/>
        </w:rPr>
        <w:t xml:space="preserve">referrals to all CT examinations carried out in Slovenia during the selected period, and a specially trained group of radiologists selected in cooperation between the European Society of Radiologists and the Slovenian </w:t>
      </w:r>
      <w:r w:rsidRPr="00CD2EEF">
        <w:rPr>
          <w:lang w:val="en-GB"/>
        </w:rPr>
        <w:t>Association of Radiology </w:t>
      </w:r>
      <w:r w:rsidRPr="00CD2EEF">
        <w:rPr>
          <w:rStyle w:val="LPnavadenpoevno"/>
          <w:i w:val="0"/>
          <w:lang w:val="en-GB"/>
        </w:rPr>
        <w:t>will evaluate their eligibility in accordance with the prepared methodology.</w:t>
      </w:r>
    </w:p>
    <w:p w14:paraId="7F0B00AC" w14:textId="6950A404" w:rsidR="00D54273" w:rsidRPr="00CD2EEF" w:rsidRDefault="00D54273" w:rsidP="00EC4FDC">
      <w:pPr>
        <w:pStyle w:val="LPVirienojni"/>
        <w:rPr>
          <w:lang w:val="en-GB"/>
        </w:rPr>
      </w:pPr>
      <w:r w:rsidRPr="00CD2EEF">
        <w:rPr>
          <w:lang w:val="en-GB"/>
        </w:rPr>
        <w:t>Reference: [</w:t>
      </w:r>
      <w:hyperlink w:anchor="r15" w:history="1">
        <w:r w:rsidRPr="00CD2EEF">
          <w:rPr>
            <w:rStyle w:val="Hiperpovezava"/>
            <w:lang w:val="en-GB"/>
          </w:rPr>
          <w:t>15</w:t>
        </w:r>
      </w:hyperlink>
      <w:r w:rsidRPr="00CD2EEF">
        <w:rPr>
          <w:lang w:val="en-GB"/>
        </w:rPr>
        <w:t xml:space="preserve">] </w:t>
      </w:r>
    </w:p>
    <w:p w14:paraId="6425D49F" w14:textId="77777777" w:rsidR="00D54273" w:rsidRPr="00CD2EEF" w:rsidRDefault="00D54273" w:rsidP="00AC142E">
      <w:pPr>
        <w:pStyle w:val="LPNaslov2"/>
        <w:rPr>
          <w:lang w:val="en-GB"/>
        </w:rPr>
      </w:pPr>
      <w:bookmarkStart w:id="429" w:name="_Ref39575770"/>
      <w:bookmarkStart w:id="430" w:name="_Ref39577019"/>
      <w:bookmarkStart w:id="431" w:name="_Toc44570740"/>
      <w:bookmarkStart w:id="432" w:name="_Toc74219396"/>
      <w:bookmarkStart w:id="433" w:name="_Toc106616660"/>
      <w:bookmarkStart w:id="434" w:name="_Toc108088188"/>
      <w:bookmarkStart w:id="435" w:name="_Toc126312058"/>
      <w:r w:rsidRPr="00CD2EEF">
        <w:rPr>
          <w:lang w:val="en-GB"/>
        </w:rPr>
        <w:t>THE INTERNATIONAL ATOMIC ENERGY AGENCY</w:t>
      </w:r>
      <w:bookmarkEnd w:id="429"/>
      <w:bookmarkEnd w:id="430"/>
      <w:bookmarkEnd w:id="431"/>
      <w:bookmarkEnd w:id="432"/>
      <w:bookmarkEnd w:id="433"/>
      <w:bookmarkEnd w:id="434"/>
      <w:bookmarkEnd w:id="435"/>
    </w:p>
    <w:p w14:paraId="1A5AC7A2" w14:textId="3E22408A" w:rsidR="00D54273" w:rsidRPr="00CD2EEF" w:rsidRDefault="00D54273" w:rsidP="00EC4FDC">
      <w:pPr>
        <w:pStyle w:val="LPnavaden"/>
        <w:rPr>
          <w:lang w:val="en-GB"/>
        </w:rPr>
      </w:pPr>
      <w:bookmarkStart w:id="436" w:name="_Hlk78890354"/>
      <w:r w:rsidRPr="00CD2EEF">
        <w:rPr>
          <w:lang w:val="en-GB"/>
        </w:rPr>
        <w:t>Slovenia</w:t>
      </w:r>
      <w:r w:rsidR="00F21D56">
        <w:rPr>
          <w:lang w:val="en-GB"/>
        </w:rPr>
        <w:t>’</w:t>
      </w:r>
      <w:r w:rsidRPr="00CD2EEF">
        <w:rPr>
          <w:lang w:val="en-GB"/>
        </w:rPr>
        <w:t xml:space="preserve">s close and successful cooperation with the International Atomic Energy Agency (IAEA) continued in 2021. As is the case every year, in September 2021, the Slovenian delegation attended the regular annual session of the General Conference, which due to the </w:t>
      </w:r>
      <w:r w:rsidR="00BE025A">
        <w:rPr>
          <w:lang w:val="en-GB"/>
        </w:rPr>
        <w:t>epi</w:t>
      </w:r>
      <w:r w:rsidRPr="00CD2EEF">
        <w:rPr>
          <w:lang w:val="en-GB"/>
        </w:rPr>
        <w:t xml:space="preserve">demic took place in a hybrid form once again. In 2021, the Republic of Slovenia settled all financial obligations to the IAEA. </w:t>
      </w:r>
      <w:bookmarkEnd w:id="436"/>
    </w:p>
    <w:p w14:paraId="27A94C99" w14:textId="33CDD4D2" w:rsidR="00D54273" w:rsidRPr="00CD2EEF" w:rsidRDefault="00D54273" w:rsidP="00207C53">
      <w:pPr>
        <w:pStyle w:val="LPnavaden"/>
        <w:rPr>
          <w:lang w:val="en-GB"/>
        </w:rPr>
      </w:pPr>
      <w:r w:rsidRPr="00CD2EEF">
        <w:rPr>
          <w:lang w:val="en-GB"/>
        </w:rPr>
        <w:t xml:space="preserve">In 2021, Slovenia received a smaller number of application requests for the training of foreign experts. If the </w:t>
      </w:r>
      <w:r w:rsidR="00BE025A">
        <w:rPr>
          <w:lang w:val="en-GB"/>
        </w:rPr>
        <w:t>epi</w:t>
      </w:r>
      <w:r w:rsidRPr="00CD2EEF">
        <w:rPr>
          <w:lang w:val="en-GB"/>
        </w:rPr>
        <w:t>demic situation had improved, experts would have been trained. So, only a two-week scientific visit of two Croatian experts at the Institute of Oncology was completed.</w:t>
      </w:r>
    </w:p>
    <w:p w14:paraId="24EC4CA5" w14:textId="77777777" w:rsidR="00D54273" w:rsidRPr="00CD2EEF" w:rsidRDefault="00D54273" w:rsidP="00696C29">
      <w:pPr>
        <w:pStyle w:val="LPnavaden"/>
        <w:rPr>
          <w:lang w:val="en-GB"/>
        </w:rPr>
      </w:pPr>
      <w:r w:rsidRPr="00CD2EEF">
        <w:rPr>
          <w:lang w:val="en-GB"/>
        </w:rPr>
        <w:t xml:space="preserve">The </w:t>
      </w:r>
      <w:bookmarkStart w:id="437" w:name="_Hlk78890557"/>
      <w:r w:rsidRPr="00CD2EEF">
        <w:rPr>
          <w:lang w:val="en-GB"/>
        </w:rPr>
        <w:t xml:space="preserve">IAEA encourages the dissemination and development of applied science in the field of the use of atomic energy for peaceful purposes. The IAEA closely collaborates with interested Member States, including Slovenia in the field of research and the funding of larger (national) projects within the Coordinated Research Projects (CRPs). </w:t>
      </w:r>
      <w:bookmarkEnd w:id="437"/>
    </w:p>
    <w:p w14:paraId="18451F39" w14:textId="77777777" w:rsidR="00D54273" w:rsidRPr="00CD2EEF" w:rsidRDefault="00D54273" w:rsidP="009032A2">
      <w:pPr>
        <w:pStyle w:val="LPnavaden"/>
        <w:rPr>
          <w:lang w:val="en-GB"/>
        </w:rPr>
      </w:pPr>
      <w:bookmarkStart w:id="438" w:name="_Hlk78890581"/>
      <w:r w:rsidRPr="00CD2EEF">
        <w:rPr>
          <w:lang w:val="en-GB"/>
        </w:rPr>
        <w:lastRenderedPageBreak/>
        <w:t>Within the framework of the Technical Cooperation and Assistance Programme, which is implemented in two-year cycles, the current two-year programme started on 1 January 2020 and will last until 31 December 2021</w:t>
      </w:r>
      <w:bookmarkEnd w:id="438"/>
      <w:r w:rsidRPr="00CD2EEF">
        <w:rPr>
          <w:lang w:val="en-GB"/>
        </w:rPr>
        <w:t>.</w:t>
      </w:r>
    </w:p>
    <w:p w14:paraId="2ECB99E9" w14:textId="60C73260" w:rsidR="00D54273" w:rsidRPr="00CD2EEF" w:rsidRDefault="00D54273" w:rsidP="009032A2">
      <w:pPr>
        <w:pStyle w:val="LPnavaden"/>
        <w:rPr>
          <w:lang w:val="en-GB"/>
        </w:rPr>
      </w:pPr>
      <w:r w:rsidRPr="00CD2EEF">
        <w:rPr>
          <w:lang w:val="en-GB"/>
        </w:rPr>
        <w:t xml:space="preserve">In 2021, the activities of </w:t>
      </w:r>
      <w:r w:rsidR="00A26DCD">
        <w:rPr>
          <w:lang w:val="en-GB"/>
        </w:rPr>
        <w:t xml:space="preserve">the </w:t>
      </w:r>
      <w:r w:rsidRPr="00CD2EEF">
        <w:rPr>
          <w:lang w:val="en-GB"/>
        </w:rPr>
        <w:t>national projects of the annual cycle continued to be carried out. The Institute of Oncology</w:t>
      </w:r>
      <w:r w:rsidR="00A26DCD">
        <w:rPr>
          <w:lang w:val="en-GB"/>
        </w:rPr>
        <w:t>,</w:t>
      </w:r>
      <w:r w:rsidRPr="00CD2EEF">
        <w:rPr>
          <w:lang w:val="en-GB"/>
        </w:rPr>
        <w:t xml:space="preserve"> </w:t>
      </w:r>
      <w:r w:rsidRPr="00CD2EEF">
        <w:rPr>
          <w:rFonts w:eastAsia="Calibri"/>
          <w:lang w:val="en-GB"/>
        </w:rPr>
        <w:t>Ljubljana</w:t>
      </w:r>
      <w:r w:rsidR="00A26DCD">
        <w:rPr>
          <w:rFonts w:eastAsia="Calibri"/>
          <w:lang w:val="en-GB"/>
        </w:rPr>
        <w:t>,</w:t>
      </w:r>
      <w:r w:rsidRPr="00CD2EEF">
        <w:rPr>
          <w:rFonts w:eastAsia="Calibri"/>
          <w:lang w:val="en-GB"/>
        </w:rPr>
        <w:t xml:space="preserve"> and the Department of Nuclear Medicine are cooperating </w:t>
      </w:r>
      <w:r w:rsidR="00A26DCD">
        <w:rPr>
          <w:rFonts w:eastAsia="Calibri"/>
          <w:lang w:val="en-GB"/>
        </w:rPr>
        <w:t>in</w:t>
      </w:r>
      <w:r w:rsidR="00A26DCD" w:rsidRPr="00CD2EEF">
        <w:rPr>
          <w:rFonts w:eastAsia="Calibri"/>
          <w:lang w:val="en-GB"/>
        </w:rPr>
        <w:t xml:space="preserve"> </w:t>
      </w:r>
      <w:r w:rsidRPr="00CD2EEF">
        <w:rPr>
          <w:rFonts w:eastAsia="Calibri"/>
          <w:lang w:val="en-GB"/>
        </w:rPr>
        <w:t xml:space="preserve">the project SLO/6/006 </w:t>
      </w:r>
      <w:r w:rsidR="00263D93">
        <w:rPr>
          <w:rFonts w:eastAsia="Calibri"/>
          <w:lang w:val="en-GB"/>
        </w:rPr>
        <w:t>“</w:t>
      </w:r>
      <w:r w:rsidRPr="00CD2EEF">
        <w:rPr>
          <w:rStyle w:val="LPnavadenpoevno"/>
          <w:rFonts w:eastAsia="Calibri"/>
          <w:lang w:val="en-GB"/>
        </w:rPr>
        <w:t>Improving the Safety and Quality of Radiology Services through the Development of the Medical Physics Department and Enhancing the Theranostic Nuclear Medicine Approach</w:t>
      </w:r>
      <w:r w:rsidR="00263D93">
        <w:rPr>
          <w:rFonts w:eastAsia="Calibri"/>
          <w:lang w:val="en-GB"/>
        </w:rPr>
        <w:t>”</w:t>
      </w:r>
      <w:r w:rsidRPr="00CD2EEF">
        <w:rPr>
          <w:rFonts w:eastAsia="Calibri"/>
          <w:lang w:val="en-GB"/>
        </w:rPr>
        <w:t xml:space="preserve">. The joint national </w:t>
      </w:r>
      <w:r w:rsidRPr="00CD2EEF">
        <w:rPr>
          <w:lang w:val="en-GB"/>
        </w:rPr>
        <w:t xml:space="preserve">project of the Nuclear Safety Administration of the Republic of Slovenia and the Radioactive Waste Agency ARAO SLO/9/020 </w:t>
      </w:r>
      <w:r w:rsidR="00263D93">
        <w:rPr>
          <w:lang w:val="en-GB"/>
        </w:rPr>
        <w:t>“</w:t>
      </w:r>
      <w:r w:rsidRPr="00CD2EEF">
        <w:rPr>
          <w:rStyle w:val="LPnavadenpoevno"/>
          <w:lang w:val="en-GB"/>
        </w:rPr>
        <w:t>Enhancing the Capacities of the Regulatory Authority and the Implementing Organisation on Radioactive Waste Management for the Safe Operation of Nuclear and Radiation Facilities</w:t>
      </w:r>
      <w:r w:rsidR="00263D93">
        <w:rPr>
          <w:lang w:val="en-GB"/>
        </w:rPr>
        <w:t>”</w:t>
      </w:r>
      <w:r w:rsidRPr="00CD2EEF">
        <w:rPr>
          <w:lang w:val="en-GB"/>
        </w:rPr>
        <w:t xml:space="preserve"> </w:t>
      </w:r>
      <w:r w:rsidR="00A26DCD">
        <w:rPr>
          <w:lang w:val="en-GB"/>
        </w:rPr>
        <w:t>has been</w:t>
      </w:r>
      <w:r w:rsidR="00A26DCD" w:rsidRPr="00CD2EEF">
        <w:rPr>
          <w:lang w:val="en-GB"/>
        </w:rPr>
        <w:t xml:space="preserve"> </w:t>
      </w:r>
      <w:r w:rsidRPr="00CD2EEF">
        <w:rPr>
          <w:lang w:val="en-GB"/>
        </w:rPr>
        <w:t xml:space="preserve">carried out since the beginning of 2021 and will continue in 2022. </w:t>
      </w:r>
    </w:p>
    <w:p w14:paraId="53DC4F11" w14:textId="5CC903AC" w:rsidR="00D54273" w:rsidRPr="00CD2EEF" w:rsidRDefault="00D54273" w:rsidP="00096EE9">
      <w:pPr>
        <w:pStyle w:val="LPnavaden"/>
        <w:rPr>
          <w:lang w:val="en-GB"/>
        </w:rPr>
      </w:pPr>
      <w:r w:rsidRPr="00CD2EEF">
        <w:rPr>
          <w:rFonts w:eastAsia="Calibri"/>
          <w:lang w:val="en-GB"/>
        </w:rPr>
        <w:t xml:space="preserve">The training of Slovenian experts through fellowships and scientific visits is carried out within national technical assistance projects </w:t>
      </w:r>
      <w:r w:rsidR="00671026">
        <w:rPr>
          <w:rFonts w:eastAsia="Calibri"/>
          <w:lang w:val="en-GB"/>
        </w:rPr>
        <w:t>as well as</w:t>
      </w:r>
      <w:r w:rsidR="00671026" w:rsidRPr="00CD2EEF">
        <w:rPr>
          <w:rFonts w:eastAsia="Calibri"/>
          <w:lang w:val="en-GB"/>
        </w:rPr>
        <w:t xml:space="preserve"> </w:t>
      </w:r>
      <w:r w:rsidRPr="00CD2EEF">
        <w:rPr>
          <w:rFonts w:eastAsia="Calibri"/>
          <w:lang w:val="en-GB"/>
        </w:rPr>
        <w:t>some regional and interregional ones.</w:t>
      </w:r>
    </w:p>
    <w:p w14:paraId="45D22DB2" w14:textId="49271D98" w:rsidR="00D54273" w:rsidRPr="00CD2EEF" w:rsidRDefault="00D54273" w:rsidP="00C16956">
      <w:pPr>
        <w:pStyle w:val="LPnavaden"/>
        <w:rPr>
          <w:lang w:val="en-GB"/>
        </w:rPr>
      </w:pPr>
      <w:r w:rsidRPr="00CD2EEF">
        <w:rPr>
          <w:lang w:val="en-GB"/>
        </w:rPr>
        <w:t>In 2021, a limited number of workshops, training</w:t>
      </w:r>
      <w:r w:rsidR="00671026">
        <w:rPr>
          <w:lang w:val="en-GB"/>
        </w:rPr>
        <w:t xml:space="preserve"> </w:t>
      </w:r>
      <w:r w:rsidR="00DF5649">
        <w:rPr>
          <w:lang w:val="en-GB"/>
        </w:rPr>
        <w:t>programmes</w:t>
      </w:r>
      <w:r w:rsidRPr="00CD2EEF">
        <w:rPr>
          <w:lang w:val="en-GB"/>
        </w:rPr>
        <w:t xml:space="preserve">, seminars, and conferences took place in person due to the </w:t>
      </w:r>
      <w:r w:rsidR="00BE025A">
        <w:rPr>
          <w:lang w:val="en-GB"/>
        </w:rPr>
        <w:t>epi</w:t>
      </w:r>
      <w:r w:rsidRPr="00CD2EEF">
        <w:rPr>
          <w:lang w:val="en-GB"/>
        </w:rPr>
        <w:t xml:space="preserve">demic, and most of them were organised virtually by IAEA. Slovenia was planning to organise three workshops on the following subjects: safety culture, </w:t>
      </w:r>
      <w:r w:rsidR="00671026">
        <w:rPr>
          <w:lang w:val="en-GB"/>
        </w:rPr>
        <w:t xml:space="preserve">the </w:t>
      </w:r>
      <w:r w:rsidRPr="00CD2EEF">
        <w:rPr>
          <w:lang w:val="en-GB"/>
        </w:rPr>
        <w:t>aftermath of a nuclear accident</w:t>
      </w:r>
      <w:r w:rsidR="00671026">
        <w:rPr>
          <w:lang w:val="en-GB"/>
        </w:rPr>
        <w:t>,</w:t>
      </w:r>
      <w:r w:rsidRPr="00CD2EEF">
        <w:rPr>
          <w:lang w:val="en-GB"/>
        </w:rPr>
        <w:t xml:space="preserve"> and digital instrumentation systems in nuclear power plants. The first two events were eventually carried out virtually, while the third one took place in Ljubljana. Although the IAEA had to organise several international events in virtual form, Slovenian experts actively participated in IAEA activities by presenting papers and posters</w:t>
      </w:r>
      <w:r w:rsidR="00671026">
        <w:rPr>
          <w:lang w:val="en-GB"/>
        </w:rPr>
        <w:t>,</w:t>
      </w:r>
      <w:r w:rsidRPr="00CD2EEF">
        <w:rPr>
          <w:lang w:val="en-GB"/>
        </w:rPr>
        <w:t xml:space="preserve"> and also contributed as experts and lecturers in IAEA missions and meetings.</w:t>
      </w:r>
    </w:p>
    <w:p w14:paraId="2B2FDC6F" w14:textId="15708E65" w:rsidR="00D54273" w:rsidRPr="00CD2EEF" w:rsidRDefault="00D54273" w:rsidP="009626CF">
      <w:pPr>
        <w:pStyle w:val="LPnavaden"/>
        <w:rPr>
          <w:lang w:val="en-GB"/>
        </w:rPr>
      </w:pPr>
      <w:r w:rsidRPr="00CD2EEF">
        <w:rPr>
          <w:lang w:val="en-GB"/>
        </w:rPr>
        <w:t xml:space="preserve">Slovenia is involved in the work of committees established within the Safety Standards Commission. Namely, in EPReSC – </w:t>
      </w:r>
      <w:r w:rsidR="00A001BA">
        <w:rPr>
          <w:lang w:val="en-GB"/>
        </w:rPr>
        <w:t xml:space="preserve">the </w:t>
      </w:r>
      <w:r w:rsidRPr="00CD2EEF">
        <w:rPr>
          <w:lang w:val="en-GB"/>
        </w:rPr>
        <w:t>Emergency Preparedness and Response Standards Committee, NUSSC – </w:t>
      </w:r>
      <w:r w:rsidR="00A001BA">
        <w:rPr>
          <w:lang w:val="en-GB"/>
        </w:rPr>
        <w:t xml:space="preserve">the </w:t>
      </w:r>
      <w:r w:rsidRPr="00CD2EEF">
        <w:rPr>
          <w:lang w:val="en-GB"/>
        </w:rPr>
        <w:t>Nuclear Safety Standards Committee, RASSC – </w:t>
      </w:r>
      <w:r w:rsidR="00A001BA">
        <w:rPr>
          <w:lang w:val="en-GB"/>
        </w:rPr>
        <w:t xml:space="preserve">the </w:t>
      </w:r>
      <w:r w:rsidRPr="00CD2EEF">
        <w:rPr>
          <w:lang w:val="en-GB"/>
        </w:rPr>
        <w:t xml:space="preserve">Radiation Safety Standards Committee, TRANSSC – </w:t>
      </w:r>
      <w:r w:rsidR="00A001BA">
        <w:rPr>
          <w:lang w:val="en-GB"/>
        </w:rPr>
        <w:t xml:space="preserve">the </w:t>
      </w:r>
      <w:r w:rsidRPr="00CD2EEF">
        <w:rPr>
          <w:lang w:val="en-GB"/>
        </w:rPr>
        <w:t xml:space="preserve">Transport Safety Standards Committee, WASSC – </w:t>
      </w:r>
      <w:r w:rsidR="00A001BA">
        <w:rPr>
          <w:lang w:val="en-GB"/>
        </w:rPr>
        <w:t xml:space="preserve">the </w:t>
      </w:r>
      <w:r w:rsidRPr="00CD2EEF">
        <w:rPr>
          <w:lang w:val="en-GB"/>
        </w:rPr>
        <w:t xml:space="preserve">Waste Safety Standards Committee, and NSGC – </w:t>
      </w:r>
      <w:r w:rsidR="00A001BA">
        <w:rPr>
          <w:lang w:val="en-GB"/>
        </w:rPr>
        <w:t xml:space="preserve">the </w:t>
      </w:r>
      <w:r w:rsidRPr="00CD2EEF">
        <w:rPr>
          <w:lang w:val="en-GB"/>
        </w:rPr>
        <w:t>Nuclear Security Guidance Committee.</w:t>
      </w:r>
    </w:p>
    <w:p w14:paraId="66284ED6" w14:textId="77777777" w:rsidR="00D54273" w:rsidRPr="00CD2EEF" w:rsidRDefault="00D54273" w:rsidP="00C16956">
      <w:pPr>
        <w:pStyle w:val="LPnavaden"/>
        <w:rPr>
          <w:lang w:val="en-GB"/>
        </w:rPr>
      </w:pPr>
      <w:r w:rsidRPr="00CD2EEF">
        <w:rPr>
          <w:lang w:val="en-GB"/>
        </w:rPr>
        <w:t>A Slovenian representative has also been nominated to the Steering Committee on Denials of Shipment of Radioactive Material.</w:t>
      </w:r>
    </w:p>
    <w:p w14:paraId="336550A5" w14:textId="34206D82" w:rsidR="00D54273" w:rsidRPr="00CD2EEF" w:rsidRDefault="00D54273" w:rsidP="00EC4FDC">
      <w:pPr>
        <w:pStyle w:val="LPnavaden"/>
        <w:rPr>
          <w:rFonts w:eastAsia="Calibri"/>
          <w:lang w:val="en-GB"/>
        </w:rPr>
      </w:pPr>
      <w:r w:rsidRPr="00CD2EEF">
        <w:rPr>
          <w:lang w:val="en-GB"/>
        </w:rPr>
        <w:t xml:space="preserve">At the end of 2021, </w:t>
      </w:r>
      <w:r w:rsidRPr="00CD2EEF">
        <w:rPr>
          <w:rFonts w:eastAsia="Calibri"/>
          <w:lang w:val="en-GB"/>
        </w:rPr>
        <w:t xml:space="preserve">the IAEA projects in the field of the use of ionising radiation in healthcare were concluded. The SRPA participates in a project (RER/6/038 </w:t>
      </w:r>
      <w:r w:rsidR="00263D93">
        <w:rPr>
          <w:rFonts w:eastAsia="Calibri"/>
          <w:lang w:val="en-GB"/>
        </w:rPr>
        <w:t>“</w:t>
      </w:r>
      <w:r w:rsidRPr="00CD2EEF">
        <w:rPr>
          <w:rStyle w:val="LPnavadenpoevno"/>
          <w:rFonts w:eastAsia="Calibri"/>
          <w:lang w:val="en-GB"/>
        </w:rPr>
        <w:t>Applying Best Practices for Quality and Safety in Diagnostic Radiology</w:t>
      </w:r>
      <w:r w:rsidR="00263D93">
        <w:rPr>
          <w:rFonts w:eastAsia="Calibri"/>
          <w:lang w:val="en-GB"/>
        </w:rPr>
        <w:t>”</w:t>
      </w:r>
      <w:r w:rsidRPr="00CD2EEF">
        <w:rPr>
          <w:rFonts w:eastAsia="Calibri"/>
          <w:lang w:val="en-GB"/>
        </w:rPr>
        <w:t xml:space="preserve">) aimed at improving quality and safety in diagnostic radiology primarily in terms of quality assurance and verification. The project is also aimed at training key professionals, including a practical part, thus the implementation of project activities was mostly not transferred to a virtual form, but the majority of the activities were focused on the preparation of a </w:t>
      </w:r>
      <w:r w:rsidR="00263D93">
        <w:rPr>
          <w:rFonts w:eastAsia="Calibri"/>
          <w:lang w:val="en-GB"/>
        </w:rPr>
        <w:t>“</w:t>
      </w:r>
      <w:r w:rsidRPr="00CD2EEF">
        <w:rPr>
          <w:rFonts w:eastAsia="Calibri"/>
          <w:lang w:val="en-GB"/>
        </w:rPr>
        <w:t>manual</w:t>
      </w:r>
      <w:r w:rsidR="00263D93">
        <w:rPr>
          <w:rFonts w:eastAsia="Calibri"/>
          <w:lang w:val="en-GB"/>
        </w:rPr>
        <w:t>”</w:t>
      </w:r>
      <w:r w:rsidRPr="00CD2EEF">
        <w:rPr>
          <w:rFonts w:eastAsia="Calibri"/>
          <w:lang w:val="en-GB"/>
        </w:rPr>
        <w:t xml:space="preserve"> for the implementation of technical quality control of X-ray devices. The other project with </w:t>
      </w:r>
      <w:r w:rsidR="00886A5E">
        <w:rPr>
          <w:rFonts w:eastAsia="Calibri"/>
          <w:lang w:val="en-GB"/>
        </w:rPr>
        <w:t xml:space="preserve">the </w:t>
      </w:r>
      <w:r w:rsidR="009078CD" w:rsidRPr="00CD2EEF">
        <w:rPr>
          <w:rFonts w:eastAsia="Calibri"/>
          <w:lang w:val="en-GB"/>
        </w:rPr>
        <w:t>involvement</w:t>
      </w:r>
      <w:r w:rsidR="009078CD">
        <w:rPr>
          <w:rFonts w:eastAsia="Calibri"/>
          <w:lang w:val="en-GB"/>
        </w:rPr>
        <w:t xml:space="preserve"> of</w:t>
      </w:r>
      <w:r w:rsidR="009078CD" w:rsidRPr="00CD2EEF">
        <w:rPr>
          <w:rFonts w:eastAsia="Calibri"/>
          <w:lang w:val="en-GB"/>
        </w:rPr>
        <w:t xml:space="preserve"> </w:t>
      </w:r>
      <w:r w:rsidR="00886A5E">
        <w:rPr>
          <w:rFonts w:eastAsia="Calibri"/>
          <w:lang w:val="en-GB"/>
        </w:rPr>
        <w:t xml:space="preserve">the </w:t>
      </w:r>
      <w:r w:rsidRPr="00CD2EEF">
        <w:rPr>
          <w:rFonts w:eastAsia="Calibri"/>
          <w:lang w:val="en-GB"/>
        </w:rPr>
        <w:t>SRPA is</w:t>
      </w:r>
      <w:r w:rsidR="00705DA0">
        <w:rPr>
          <w:rFonts w:eastAsia="Calibri"/>
          <w:lang w:val="en-GB"/>
        </w:rPr>
        <w:t xml:space="preserve"> entitled</w:t>
      </w:r>
      <w:r w:rsidRPr="00CD2EEF">
        <w:rPr>
          <w:rFonts w:eastAsia="Calibri"/>
          <w:lang w:val="en-GB"/>
        </w:rPr>
        <w:t xml:space="preserve"> </w:t>
      </w:r>
      <w:r w:rsidR="00263D93">
        <w:rPr>
          <w:rFonts w:eastAsia="Calibri"/>
          <w:lang w:val="en-GB"/>
        </w:rPr>
        <w:t>“</w:t>
      </w:r>
      <w:r w:rsidRPr="00CD2EEF">
        <w:rPr>
          <w:rStyle w:val="LPnavadenpoevno"/>
          <w:rFonts w:eastAsia="Calibri"/>
          <w:lang w:val="en-GB"/>
        </w:rPr>
        <w:t>Enhancing Member States</w:t>
      </w:r>
      <w:r w:rsidR="00F21D56">
        <w:rPr>
          <w:rStyle w:val="LPnavadenpoevno"/>
          <w:rFonts w:eastAsia="Calibri"/>
          <w:lang w:val="en-GB"/>
        </w:rPr>
        <w:t>’</w:t>
      </w:r>
      <w:r w:rsidRPr="00CD2EEF">
        <w:rPr>
          <w:rStyle w:val="LPnavadenpoevno"/>
          <w:rFonts w:eastAsia="Calibri"/>
          <w:lang w:val="en-GB"/>
        </w:rPr>
        <w:t xml:space="preserve"> Capabilities for Ensuring the Radiation Protection of Individuals Undergoing Medical Exposure</w:t>
      </w:r>
      <w:r w:rsidR="00263D93">
        <w:rPr>
          <w:rFonts w:eastAsia="Calibri"/>
          <w:lang w:val="en-GB"/>
        </w:rPr>
        <w:t>”</w:t>
      </w:r>
      <w:r w:rsidRPr="00CD2EEF">
        <w:rPr>
          <w:rFonts w:eastAsia="Calibri"/>
          <w:lang w:val="en-GB"/>
        </w:rPr>
        <w:t>, which is aimed at improving the radiation protection system in the medical use of ionising radiation, with an emphasis on strengthening cooperation between the competent administrative authorities and professional associations, and on the implementation of international safety standards (the IAEA GSR Part 3) in the medical use of ionising radiation. Slovenia is primarily interested in optimisation with an emphasis on the design of diagnostic reference levels for CT examinations of paediatric patients, the design and implementation of guidelines for referrals to radiological examinations</w:t>
      </w:r>
      <w:r w:rsidR="00886A5E">
        <w:rPr>
          <w:rFonts w:eastAsia="Calibri"/>
          <w:lang w:val="en-GB"/>
        </w:rPr>
        <w:t>,</w:t>
      </w:r>
      <w:r w:rsidRPr="00CD2EEF">
        <w:rPr>
          <w:rFonts w:eastAsia="Calibri"/>
          <w:lang w:val="en-GB"/>
        </w:rPr>
        <w:t xml:space="preserve"> and improv</w:t>
      </w:r>
      <w:r w:rsidR="00886A5E">
        <w:rPr>
          <w:rFonts w:eastAsia="Calibri"/>
          <w:lang w:val="en-GB"/>
        </w:rPr>
        <w:t>ing</w:t>
      </w:r>
      <w:r w:rsidRPr="00CD2EEF">
        <w:rPr>
          <w:rFonts w:eastAsia="Calibri"/>
          <w:lang w:val="en-GB"/>
        </w:rPr>
        <w:t xml:space="preserve"> emergency reporting systems in radiotherapy and radiological examinations with high patient exposure. In 2021, </w:t>
      </w:r>
      <w:r w:rsidRPr="00CD2EEF">
        <w:rPr>
          <w:lang w:val="en-GB"/>
        </w:rPr>
        <w:t xml:space="preserve">in cooperation with the IAEA </w:t>
      </w:r>
      <w:r w:rsidR="00C1682B">
        <w:rPr>
          <w:lang w:val="en-GB"/>
        </w:rPr>
        <w:t>regarding</w:t>
      </w:r>
      <w:r w:rsidR="00C1682B" w:rsidRPr="00CD2EEF">
        <w:rPr>
          <w:lang w:val="en-GB"/>
        </w:rPr>
        <w:t xml:space="preserve"> </w:t>
      </w:r>
      <w:r w:rsidRPr="00CD2EEF">
        <w:rPr>
          <w:lang w:val="en-GB"/>
        </w:rPr>
        <w:t>the application of ionising radiation in healthcare,</w:t>
      </w:r>
      <w:r w:rsidRPr="00CD2EEF">
        <w:rPr>
          <w:rFonts w:eastAsia="Calibri"/>
          <w:lang w:val="en-GB"/>
        </w:rPr>
        <w:t xml:space="preserve"> </w:t>
      </w:r>
      <w:r w:rsidR="00C1682B">
        <w:rPr>
          <w:rFonts w:eastAsia="Calibri"/>
          <w:lang w:val="en-GB"/>
        </w:rPr>
        <w:t xml:space="preserve">a </w:t>
      </w:r>
      <w:r w:rsidRPr="00CD2EEF">
        <w:rPr>
          <w:rFonts w:eastAsia="Calibri"/>
          <w:lang w:val="en-GB"/>
        </w:rPr>
        <w:t>Slovenian representative attended</w:t>
      </w:r>
      <w:r w:rsidR="00C1682B">
        <w:rPr>
          <w:rFonts w:eastAsia="Calibri"/>
          <w:lang w:val="en-GB"/>
        </w:rPr>
        <w:t xml:space="preserve"> the</w:t>
      </w:r>
      <w:r w:rsidRPr="00CD2EEF">
        <w:rPr>
          <w:rFonts w:eastAsia="Calibri"/>
          <w:lang w:val="en-GB"/>
        </w:rPr>
        <w:t xml:space="preserve"> </w:t>
      </w:r>
      <w:r w:rsidRPr="00CD2EEF">
        <w:rPr>
          <w:lang w:val="en-GB"/>
        </w:rPr>
        <w:t>coordination meetings of these projects and various online seminars organised by the IAEA on a significantly larger scale than before the start of the Covid-19 epidemic.</w:t>
      </w:r>
      <w:r w:rsidR="008A1E6B">
        <w:rPr>
          <w:lang w:val="en-GB"/>
        </w:rPr>
        <w:t xml:space="preserve"> </w:t>
      </w:r>
    </w:p>
    <w:p w14:paraId="50D388CE" w14:textId="52C239EF" w:rsidR="00D54273" w:rsidRPr="00CD2EEF" w:rsidRDefault="00D54273" w:rsidP="00657061">
      <w:pPr>
        <w:pStyle w:val="LPnavaden"/>
        <w:rPr>
          <w:lang w:val="en-GB"/>
        </w:rPr>
      </w:pPr>
      <w:r w:rsidRPr="00CD2EEF">
        <w:rPr>
          <w:lang w:val="en-GB"/>
        </w:rPr>
        <w:lastRenderedPageBreak/>
        <w:t xml:space="preserve">The SRPA has been participating in IAEA regional projects in the field of radon since 2014. In 2018, a four-year regional project </w:t>
      </w:r>
      <w:r w:rsidR="00263D93">
        <w:rPr>
          <w:lang w:val="en-GB"/>
        </w:rPr>
        <w:t>“</w:t>
      </w:r>
      <w:r w:rsidRPr="00CD2EEF">
        <w:rPr>
          <w:rStyle w:val="LPnavadenpoevno"/>
          <w:lang w:val="en-GB"/>
        </w:rPr>
        <w:t>Enhancing the Regional Capacity to Control the Long-term Risk to the Public due to Radon in Dwellings and Workplaces</w:t>
      </w:r>
      <w:r w:rsidR="00263D93">
        <w:rPr>
          <w:lang w:val="en-GB"/>
        </w:rPr>
        <w:t>”</w:t>
      </w:r>
      <w:r w:rsidRPr="00CD2EEF">
        <w:rPr>
          <w:lang w:val="en-GB"/>
        </w:rPr>
        <w:t xml:space="preserve"> was launched. The objective of the project is to assist the countries of Eastern Europe and the former Soviet Union in the implementation of the national radon programmes, and monitoring and building awareness of the risks due to radon in the living and working environment. The SRPA is responsible for coordinating participation in workshops, training course</w:t>
      </w:r>
      <w:r w:rsidR="00BD2B22">
        <w:rPr>
          <w:lang w:val="en-GB"/>
        </w:rPr>
        <w:t>,</w:t>
      </w:r>
      <w:r w:rsidRPr="00CD2EEF">
        <w:rPr>
          <w:lang w:val="en-GB"/>
        </w:rPr>
        <w:t xml:space="preserve">s and other meetings in this field. In May 2021, a SRPA representative attended a workshop entitled </w:t>
      </w:r>
      <w:r w:rsidR="00263D93">
        <w:rPr>
          <w:lang w:val="en-GB"/>
        </w:rPr>
        <w:t>“</w:t>
      </w:r>
      <w:r w:rsidRPr="00CD2EEF">
        <w:rPr>
          <w:rStyle w:val="LPnavadenpoevno"/>
          <w:lang w:val="en-GB"/>
        </w:rPr>
        <w:t>Regional Workshop on Protection against Radon in Workplaces</w:t>
      </w:r>
      <w:r w:rsidR="00263D93">
        <w:rPr>
          <w:lang w:val="en-GB"/>
        </w:rPr>
        <w:t>”</w:t>
      </w:r>
      <w:r w:rsidRPr="00CD2EEF">
        <w:rPr>
          <w:lang w:val="en-GB"/>
        </w:rPr>
        <w:t>. The SRPA reported on Slovenia</w:t>
      </w:r>
      <w:r w:rsidR="00F21D56">
        <w:rPr>
          <w:lang w:val="en-GB"/>
        </w:rPr>
        <w:t>’</w:t>
      </w:r>
      <w:r w:rsidRPr="00CD2EEF">
        <w:rPr>
          <w:lang w:val="en-GB"/>
        </w:rPr>
        <w:t xml:space="preserve">s progress and exchanged experiences with other countries. The countries were instructed on how to proceed with the work in their respective countries. Due to the </w:t>
      </w:r>
      <w:r w:rsidR="00EB3A1B">
        <w:rPr>
          <w:lang w:val="en-GB"/>
        </w:rPr>
        <w:t>epi</w:t>
      </w:r>
      <w:r w:rsidRPr="00CD2EEF">
        <w:rPr>
          <w:lang w:val="en-GB"/>
        </w:rPr>
        <w:t xml:space="preserve">demic, most workshops were carried out in virtual form. Despite the problems due to the </w:t>
      </w:r>
      <w:r w:rsidR="00EB3A1B">
        <w:rPr>
          <w:lang w:val="en-GB"/>
        </w:rPr>
        <w:t>epi</w:t>
      </w:r>
      <w:r w:rsidRPr="00CD2EEF">
        <w:rPr>
          <w:lang w:val="en-GB"/>
        </w:rPr>
        <w:t>demic, the project is on-going and is expected to be successfully completed with a workshop in Athens in May 2022.</w:t>
      </w:r>
    </w:p>
    <w:p w14:paraId="1C14CF96" w14:textId="0C12A1C6" w:rsidR="00F423A7" w:rsidRPr="00CD2EEF" w:rsidRDefault="00F423A7" w:rsidP="00F423A7">
      <w:pPr>
        <w:pStyle w:val="LPVirienojni"/>
        <w:rPr>
          <w:lang w:val="en-GB"/>
        </w:rPr>
      </w:pPr>
      <w:r w:rsidRPr="00CD2EEF">
        <w:rPr>
          <w:lang w:val="en-GB"/>
        </w:rPr>
        <w:t>Reference: [</w:t>
      </w:r>
      <w:hyperlink w:anchor="r15" w:history="1">
        <w:r w:rsidRPr="00CD2EEF">
          <w:rPr>
            <w:rStyle w:val="Hiperpovezava"/>
            <w:lang w:val="en-GB"/>
          </w:rPr>
          <w:t>15</w:t>
        </w:r>
      </w:hyperlink>
      <w:r w:rsidRPr="00CD2EEF">
        <w:rPr>
          <w:lang w:val="en-GB"/>
        </w:rPr>
        <w:t xml:space="preserve">] </w:t>
      </w:r>
    </w:p>
    <w:p w14:paraId="131DE445" w14:textId="77777777" w:rsidR="00D54273" w:rsidRPr="00CD2EEF" w:rsidRDefault="00D54273" w:rsidP="00AC142E">
      <w:pPr>
        <w:pStyle w:val="LPNaslov2"/>
        <w:rPr>
          <w:lang w:val="en-GB"/>
        </w:rPr>
      </w:pPr>
      <w:bookmarkStart w:id="439" w:name="_Toc44570741"/>
      <w:bookmarkStart w:id="440" w:name="_Toc74219397"/>
      <w:bookmarkStart w:id="441" w:name="_Toc106616661"/>
      <w:bookmarkStart w:id="442" w:name="_Toc108088189"/>
      <w:bookmarkStart w:id="443" w:name="_Toc126312059"/>
      <w:r w:rsidRPr="00CD2EEF">
        <w:rPr>
          <w:lang w:val="en-GB"/>
        </w:rPr>
        <w:t>THE NUCLEAR ENERGY AGENCY (NEA) OF THE OECD</w:t>
      </w:r>
      <w:bookmarkEnd w:id="439"/>
      <w:bookmarkEnd w:id="440"/>
      <w:bookmarkEnd w:id="441"/>
      <w:bookmarkEnd w:id="442"/>
      <w:bookmarkEnd w:id="443"/>
      <w:r w:rsidRPr="00CD2EEF">
        <w:rPr>
          <w:lang w:val="en-GB"/>
        </w:rPr>
        <w:t xml:space="preserve"> </w:t>
      </w:r>
    </w:p>
    <w:p w14:paraId="7CCAE582" w14:textId="00356C55" w:rsidR="00D54273" w:rsidRPr="00CD2EEF" w:rsidRDefault="00D54273" w:rsidP="007B2847">
      <w:pPr>
        <w:pStyle w:val="LPnavaden"/>
        <w:rPr>
          <w:lang w:val="en-GB"/>
        </w:rPr>
      </w:pPr>
      <w:r w:rsidRPr="00CD2EEF">
        <w:rPr>
          <w:lang w:val="en-GB"/>
        </w:rPr>
        <w:t xml:space="preserve">The NEA is a specialised agency within the Organisation for Economic Co-operation and Development. The purpose of the </w:t>
      </w:r>
      <w:r w:rsidR="0042274E">
        <w:rPr>
          <w:lang w:val="en-GB"/>
        </w:rPr>
        <w:t>A</w:t>
      </w:r>
      <w:r w:rsidR="0042274E" w:rsidRPr="00CD2EEF">
        <w:rPr>
          <w:lang w:val="en-GB"/>
        </w:rPr>
        <w:t xml:space="preserve">gency </w:t>
      </w:r>
      <w:r w:rsidRPr="00CD2EEF">
        <w:rPr>
          <w:lang w:val="en-GB"/>
        </w:rPr>
        <w:t xml:space="preserve">is to assist its member states in maintaining and further developing, through international co-operation, the scientific, technological, and legal bases required for the safe, environmentally sound, and economical use of nuclear energy for peaceful purposes. Slovenia has been a full member of the NEA since 2011. </w:t>
      </w:r>
    </w:p>
    <w:p w14:paraId="0ED3A025" w14:textId="70E3F395" w:rsidR="00D54273" w:rsidRPr="00CD2EEF" w:rsidRDefault="00D54273" w:rsidP="000E3C53">
      <w:pPr>
        <w:pStyle w:val="LPnavaden"/>
        <w:rPr>
          <w:lang w:val="en-GB"/>
        </w:rPr>
      </w:pPr>
      <w:r w:rsidRPr="00CD2EEF">
        <w:rPr>
          <w:lang w:val="en-GB"/>
        </w:rPr>
        <w:t xml:space="preserve">In 2021, Slovenian representatives participated in eight standing committees as well as in several working groups within the committees. Due to the </w:t>
      </w:r>
      <w:r w:rsidR="00EB3A1B">
        <w:rPr>
          <w:lang w:val="en-GB"/>
        </w:rPr>
        <w:t>epi</w:t>
      </w:r>
      <w:r w:rsidRPr="00CD2EEF">
        <w:rPr>
          <w:lang w:val="en-GB"/>
        </w:rPr>
        <w:t>demic, the regular committee and working group meetings were mostly held virtually. The Steering Committee, which is the governing body of the NEA and oversees the work of the standing committees, held two regular meetings. The Regulators</w:t>
      </w:r>
      <w:r w:rsidR="00F21D56">
        <w:rPr>
          <w:lang w:val="en-GB"/>
        </w:rPr>
        <w:t>’</w:t>
      </w:r>
      <w:r w:rsidRPr="00CD2EEF">
        <w:rPr>
          <w:lang w:val="en-GB"/>
        </w:rPr>
        <w:t xml:space="preserve"> Forum was also organised during the Radioactive Waste Management Committee meeting. The Committee on the Decommissioning of Nuclear Installations and Legacy Management held one meeting and one joint meeting with the Radioactive Waste Management Committee. The Committee on the Safety of Nuclear Installations held two regular meetings; the Slovenian representatives also participated in the Working Group on Human and Organisational Factors. Slovenian delegates took part in the meetings of the Committee on Nuclear Regulatory Activities and its Working Group on Inspection Practices and the Working Group on Operating Experiences. One regular meeting of the Nuclear Law Committee was held, during which several meetings of the Contracting Parties to the Paris Convention </w:t>
      </w:r>
      <w:r w:rsidR="0042274E">
        <w:rPr>
          <w:lang w:val="en-GB"/>
        </w:rPr>
        <w:t>were</w:t>
      </w:r>
      <w:r w:rsidR="0042274E" w:rsidRPr="00CD2EEF">
        <w:rPr>
          <w:lang w:val="en-GB"/>
        </w:rPr>
        <w:t xml:space="preserve"> </w:t>
      </w:r>
      <w:r w:rsidRPr="00CD2EEF">
        <w:rPr>
          <w:lang w:val="en-GB"/>
        </w:rPr>
        <w:t>also organised by the NEA. Slovenian representatives also participated in the regular yearly meetings of the Committee for Technical and Economic Studies on Nuclear Energy Development and the Fuel Cycle, the Nuclear Science Committee, as well as the Committee on Radiological Protection and Public Health.</w:t>
      </w:r>
    </w:p>
    <w:p w14:paraId="67B35EEA" w14:textId="77777777" w:rsidR="00D54273" w:rsidRPr="00CD2EEF" w:rsidRDefault="00D54273" w:rsidP="000E3C53">
      <w:pPr>
        <w:pStyle w:val="LPnavaden"/>
        <w:rPr>
          <w:lang w:val="en-GB"/>
        </w:rPr>
      </w:pPr>
      <w:r w:rsidRPr="00CD2EEF">
        <w:rPr>
          <w:lang w:val="en-GB"/>
        </w:rPr>
        <w:t>Slovenia is also active in the management committee of the NEA Data Bank, which provides access to a large amount of information and scientific data, and in the International System on Occupational Exposure (ISOE). The system is being maintained by the technical centres with the support of professional organisations, nuclear power plants, and regulatory bodies. In 2021, the representative of the SRPA participated in the ISOE management board regular meeting.</w:t>
      </w:r>
    </w:p>
    <w:p w14:paraId="674D2F0A" w14:textId="6BD12B5A" w:rsidR="00D54273" w:rsidRPr="00CD2EEF" w:rsidRDefault="00D54273" w:rsidP="000E3C53">
      <w:pPr>
        <w:pStyle w:val="LPnavaden"/>
        <w:rPr>
          <w:lang w:val="en-GB"/>
        </w:rPr>
      </w:pPr>
      <w:r w:rsidRPr="00CD2EEF">
        <w:rPr>
          <w:lang w:val="en-GB"/>
        </w:rPr>
        <w:t xml:space="preserve">In 2021, the Nuclear Energy Agency also discussed the development of its strategic plan for the period from 2023 to 2028: the member states as well as the standing committees participated in the discussion. At OECD level, a new IPAC (International Plan for Action on Climate) programme </w:t>
      </w:r>
      <w:r w:rsidR="00732E58">
        <w:rPr>
          <w:lang w:val="en-GB"/>
        </w:rPr>
        <w:t>was</w:t>
      </w:r>
      <w:r w:rsidRPr="00CD2EEF">
        <w:rPr>
          <w:lang w:val="en-GB"/>
        </w:rPr>
        <w:t xml:space="preserve"> launched, which is expected to last two years, comprising action control activities, peer reviews, dialogue and joint learning, data collection</w:t>
      </w:r>
      <w:r w:rsidR="0042274E">
        <w:rPr>
          <w:lang w:val="en-GB"/>
        </w:rPr>
        <w:t>,</w:t>
      </w:r>
      <w:r w:rsidRPr="00CD2EEF">
        <w:rPr>
          <w:lang w:val="en-GB"/>
        </w:rPr>
        <w:t xml:space="preserve"> and the preparation of new policies, including economic </w:t>
      </w:r>
      <w:r w:rsidRPr="00CD2EEF">
        <w:rPr>
          <w:lang w:val="en-GB"/>
        </w:rPr>
        <w:lastRenderedPageBreak/>
        <w:t xml:space="preserve">instruments. The new FIDES (Framework for Irradiation Experiments) project will consist of a network of reactors and experimental installations that will allow further research to verify the properties of materials, specifically studying the behaviour of materials at different temperature, pressure, and radiant loads, which could no longer be carried out after the closure of the Halden reactor in Norway. The Slovenian representative also took part in the launch of activities in </w:t>
      </w:r>
      <w:r w:rsidR="0042274E">
        <w:rPr>
          <w:lang w:val="en-GB"/>
        </w:rPr>
        <w:t>the</w:t>
      </w:r>
      <w:r w:rsidR="0042274E" w:rsidRPr="00CD2EEF">
        <w:rPr>
          <w:lang w:val="en-GB"/>
        </w:rPr>
        <w:t xml:space="preserve"> </w:t>
      </w:r>
      <w:r w:rsidRPr="00CD2EEF">
        <w:rPr>
          <w:lang w:val="en-GB"/>
        </w:rPr>
        <w:t>new Task Group on Improving the Gender Balance in the Nuclear Sector (GB-TG).</w:t>
      </w:r>
    </w:p>
    <w:p w14:paraId="17129263" w14:textId="77777777" w:rsidR="00D54273" w:rsidRPr="00CD2EEF" w:rsidRDefault="00D54273" w:rsidP="00AC142E">
      <w:pPr>
        <w:pStyle w:val="LPNaslov2"/>
        <w:rPr>
          <w:lang w:val="en-GB"/>
        </w:rPr>
      </w:pPr>
      <w:bookmarkStart w:id="444" w:name="_Toc44570742"/>
      <w:bookmarkStart w:id="445" w:name="_Toc74219398"/>
      <w:bookmarkStart w:id="446" w:name="_Toc106616662"/>
      <w:bookmarkStart w:id="447" w:name="_Toc108088190"/>
      <w:bookmarkStart w:id="448" w:name="_Toc126312060"/>
      <w:r w:rsidRPr="00CD2EEF">
        <w:rPr>
          <w:lang w:val="en-GB"/>
        </w:rPr>
        <w:t>COOPERATION WITH OTHER ASSOCIATIONS</w:t>
      </w:r>
      <w:bookmarkEnd w:id="444"/>
      <w:bookmarkEnd w:id="445"/>
      <w:bookmarkEnd w:id="446"/>
      <w:bookmarkEnd w:id="447"/>
      <w:bookmarkEnd w:id="448"/>
    </w:p>
    <w:p w14:paraId="3E86AE31" w14:textId="77777777" w:rsidR="00D54273" w:rsidRPr="00CD2EEF" w:rsidRDefault="00D54273" w:rsidP="00EC4FDC">
      <w:pPr>
        <w:pStyle w:val="LPnaslovkrepko"/>
        <w:rPr>
          <w:lang w:val="en-GB"/>
        </w:rPr>
      </w:pPr>
      <w:bookmarkStart w:id="449" w:name="_Hlk108006949"/>
      <w:r w:rsidRPr="00CD2EEF">
        <w:rPr>
          <w:lang w:val="en-GB"/>
        </w:rPr>
        <w:t>The Western European Nuclear Regulators Association</w:t>
      </w:r>
      <w:bookmarkEnd w:id="449"/>
      <w:r w:rsidRPr="00CD2EEF">
        <w:rPr>
          <w:lang w:val="en-GB"/>
        </w:rPr>
        <w:t xml:space="preserve"> </w:t>
      </w:r>
    </w:p>
    <w:p w14:paraId="4FD5598D" w14:textId="77777777" w:rsidR="00D54273" w:rsidRPr="00CD2EEF" w:rsidRDefault="00D54273" w:rsidP="00EF64FE">
      <w:pPr>
        <w:pStyle w:val="LPnavaden"/>
        <w:rPr>
          <w:lang w:val="en-GB"/>
        </w:rPr>
      </w:pPr>
      <w:r w:rsidRPr="00CD2EEF">
        <w:rPr>
          <w:lang w:val="en-GB"/>
        </w:rPr>
        <w:t xml:space="preserve">The Western European Nuclear Regulators Association (WENRA) is an informal association consisting of representatives of nuclear regulatory authorities from European countries with nuclear power plants. The main objectives of WENRA are to develop a common approach to nuclear safety, to provide independent reviews of nuclear safety in candidate countries for accession to the EU, and to exchange experiences in the field of nuclear safety. The Association consists of eighteen member states and thirteen observers, also including non-European states. </w:t>
      </w:r>
    </w:p>
    <w:p w14:paraId="46D96890" w14:textId="7A4A558D" w:rsidR="00D54273" w:rsidRPr="00CD2EEF" w:rsidRDefault="00D54273" w:rsidP="00AE2C0D">
      <w:pPr>
        <w:pStyle w:val="LPnavaden"/>
        <w:rPr>
          <w:rStyle w:val="LPpobarvan2"/>
          <w:shd w:val="clear" w:color="auto" w:fill="auto"/>
          <w:lang w:val="en-GB"/>
        </w:rPr>
      </w:pPr>
      <w:r w:rsidRPr="00CD2EEF">
        <w:rPr>
          <w:lang w:val="en-GB"/>
        </w:rPr>
        <w:t xml:space="preserve">During the virtual plenary meeting, the participants founded a working group for the second </w:t>
      </w:r>
      <w:r w:rsidRPr="00CD2EEF">
        <w:rPr>
          <w:rStyle w:val="LPpobarvan2"/>
          <w:shd w:val="clear" w:color="auto" w:fill="auto"/>
          <w:lang w:val="en-GB"/>
        </w:rPr>
        <w:t>TPR</w:t>
      </w:r>
      <w:r w:rsidRPr="00CD2EEF">
        <w:rPr>
          <w:lang w:val="en-GB"/>
        </w:rPr>
        <w:t>, which prepared proposals for relevant technical basis</w:t>
      </w:r>
      <w:r w:rsidR="0042274E">
        <w:rPr>
          <w:lang w:val="en-GB"/>
        </w:rPr>
        <w:t>,</w:t>
      </w:r>
      <w:r w:rsidRPr="00CD2EEF">
        <w:rPr>
          <w:lang w:val="en-GB"/>
        </w:rPr>
        <w:t xml:space="preserve"> including technical specifications that need to be established on the Safety Reference Levels (SRL) and focused on differences in implementation among countries. The first SRL periodic review of 2014 is expected to be completed in 2024 and will include ongoing working groups. With regard to the expansion of membership, a decision was taken that the US and Canadian regulatory bodies should join WENRA. Delegates reviewed the implementation of the</w:t>
      </w:r>
      <w:r w:rsidR="0042274E">
        <w:rPr>
          <w:lang w:val="en-GB"/>
        </w:rPr>
        <w:t xml:space="preserve"> A</w:t>
      </w:r>
      <w:r w:rsidRPr="00CD2EEF">
        <w:rPr>
          <w:lang w:val="en-GB"/>
        </w:rPr>
        <w:t>ssociation</w:t>
      </w:r>
      <w:r w:rsidR="00F21D56">
        <w:rPr>
          <w:lang w:val="en-GB"/>
        </w:rPr>
        <w:t>’</w:t>
      </w:r>
      <w:r w:rsidRPr="00CD2EEF">
        <w:rPr>
          <w:lang w:val="en-GB"/>
        </w:rPr>
        <w:t xml:space="preserve">s strategy and found that the objectives were properly met. </w:t>
      </w:r>
      <w:r w:rsidRPr="00CD2EEF">
        <w:rPr>
          <w:rStyle w:val="LPpobarvan2"/>
          <w:shd w:val="clear" w:color="auto" w:fill="auto"/>
          <w:lang w:val="en-GB"/>
        </w:rPr>
        <w:t>The Slovenian representatives also actively participated in WENRA working groups, namely the Reactor Harmonisation Working Group, the Working Group on Waste and Decommissioning, and the Working Group on Research Reactors.</w:t>
      </w:r>
    </w:p>
    <w:p w14:paraId="1D8D3D32" w14:textId="77777777" w:rsidR="00D54273" w:rsidRPr="00CD2EEF" w:rsidRDefault="00D54273" w:rsidP="003D01F1">
      <w:pPr>
        <w:pStyle w:val="LPnaslovkrepko"/>
        <w:rPr>
          <w:lang w:val="en-GB"/>
        </w:rPr>
      </w:pPr>
      <w:r w:rsidRPr="00CD2EEF">
        <w:rPr>
          <w:lang w:val="en-GB"/>
        </w:rPr>
        <w:t>The International Nuclear Law Association</w:t>
      </w:r>
    </w:p>
    <w:p w14:paraId="4E717BAF" w14:textId="77777777" w:rsidR="00D54273" w:rsidRPr="00CD2EEF" w:rsidRDefault="00D54273" w:rsidP="00187350">
      <w:pPr>
        <w:pStyle w:val="LPnavaden"/>
        <w:rPr>
          <w:lang w:val="en-GB"/>
        </w:rPr>
      </w:pPr>
      <w:bookmarkStart w:id="450" w:name="_Hlk108082600"/>
      <w:r w:rsidRPr="00CD2EEF">
        <w:rPr>
          <w:lang w:val="en-GB"/>
        </w:rPr>
        <w:t>The International Nuclear Law Association (INLA) is an international association of legal and other experts in the field of the peaceful use of nuclear energy whose main objectives are to support and promote the knowledge and development of legal issues and research related to this field, the exchange of information among its members, and cooperation with similar associations and institutions. The INLA has approximately 600 members from more than 60 countries and international organisations.</w:t>
      </w:r>
    </w:p>
    <w:p w14:paraId="72A2BE37" w14:textId="3771BCFE" w:rsidR="00D54273" w:rsidRPr="00CD2EEF" w:rsidRDefault="00D54273" w:rsidP="00AE1528">
      <w:pPr>
        <w:pStyle w:val="LPnavaden"/>
        <w:rPr>
          <w:lang w:val="en-GB"/>
        </w:rPr>
      </w:pPr>
      <w:r w:rsidRPr="00CD2EEF">
        <w:rPr>
          <w:lang w:val="en-GB"/>
        </w:rPr>
        <w:t>INLA operates in six working groups, namely: Safety and Regulations, Nuclear Liability and Insurance, International Nuclear Trade/New Built, Radiological Protection, Waste Management, Nuclear Security and Non-Proliferation, Transport and Nuclear Fusion.</w:t>
      </w:r>
    </w:p>
    <w:p w14:paraId="6868356B" w14:textId="6CC72033" w:rsidR="00D54273" w:rsidRPr="00CD2EEF" w:rsidRDefault="00D54273" w:rsidP="00AE1528">
      <w:pPr>
        <w:pStyle w:val="LPnavaden"/>
        <w:rPr>
          <w:lang w:val="en-GB"/>
        </w:rPr>
      </w:pPr>
      <w:r w:rsidRPr="00CD2EEF">
        <w:rPr>
          <w:lang w:val="en-GB"/>
        </w:rPr>
        <w:t>As a rule, the INLA organi</w:t>
      </w:r>
      <w:r w:rsidR="00837F00">
        <w:rPr>
          <w:lang w:val="en-GB"/>
        </w:rPr>
        <w:t>s</w:t>
      </w:r>
      <w:r w:rsidRPr="00CD2EEF">
        <w:rPr>
          <w:lang w:val="en-GB"/>
        </w:rPr>
        <w:t xml:space="preserve">es a congress every two years, the last one was in Abu Dhabi in 2018, and the Congress, which was scheduled for 2020 in Washington, was postponed for one year due to the </w:t>
      </w:r>
      <w:r w:rsidR="001829DD">
        <w:rPr>
          <w:lang w:val="en-GB"/>
        </w:rPr>
        <w:t>Covid</w:t>
      </w:r>
      <w:r w:rsidRPr="00CD2EEF">
        <w:rPr>
          <w:lang w:val="en-GB"/>
        </w:rPr>
        <w:t xml:space="preserve">-19 </w:t>
      </w:r>
      <w:r w:rsidR="00EB3A1B">
        <w:rPr>
          <w:lang w:val="en-GB"/>
        </w:rPr>
        <w:t>epi</w:t>
      </w:r>
      <w:r w:rsidRPr="00CD2EEF">
        <w:rPr>
          <w:lang w:val="en-GB"/>
        </w:rPr>
        <w:t xml:space="preserve">demic and was postponed again in 2021 and </w:t>
      </w:r>
      <w:r w:rsidR="00FE1621">
        <w:rPr>
          <w:lang w:val="en-GB"/>
        </w:rPr>
        <w:t>is to</w:t>
      </w:r>
      <w:r w:rsidR="00FE1621" w:rsidRPr="00CD2EEF">
        <w:rPr>
          <w:lang w:val="en-GB"/>
        </w:rPr>
        <w:t xml:space="preserve"> </w:t>
      </w:r>
      <w:r w:rsidRPr="00CD2EEF">
        <w:rPr>
          <w:lang w:val="en-GB"/>
        </w:rPr>
        <w:t>be held from 23 to 27 October 2022.</w:t>
      </w:r>
    </w:p>
    <w:p w14:paraId="00D64A61" w14:textId="77777777" w:rsidR="00D54273" w:rsidRPr="00CD2EEF" w:rsidRDefault="00D54273" w:rsidP="00187350">
      <w:pPr>
        <w:pStyle w:val="LPnavaden"/>
        <w:rPr>
          <w:lang w:val="en-GB"/>
        </w:rPr>
      </w:pPr>
      <w:r w:rsidRPr="00CD2EEF">
        <w:rPr>
          <w:lang w:val="en-GB"/>
        </w:rPr>
        <w:t>In 2005, the INLA congress was organised in Portorož, Slovenia.</w:t>
      </w:r>
    </w:p>
    <w:bookmarkEnd w:id="450"/>
    <w:p w14:paraId="37F00C0F" w14:textId="77777777" w:rsidR="00D54273" w:rsidRPr="00CD2EEF" w:rsidRDefault="00D54273" w:rsidP="003D01F1">
      <w:pPr>
        <w:pStyle w:val="LPnaslovkrepko"/>
        <w:rPr>
          <w:lang w:val="en-GB"/>
        </w:rPr>
      </w:pPr>
      <w:r w:rsidRPr="00CD2EEF">
        <w:rPr>
          <w:lang w:val="en-GB"/>
        </w:rPr>
        <w:t xml:space="preserve">The European Nuclear Security Regulators Association </w:t>
      </w:r>
    </w:p>
    <w:p w14:paraId="0F0B645C" w14:textId="77777777" w:rsidR="00D54273" w:rsidRPr="00CD2EEF" w:rsidRDefault="00D54273" w:rsidP="007F575B">
      <w:pPr>
        <w:pStyle w:val="LPnavaden"/>
        <w:rPr>
          <w:lang w:val="en-GB"/>
        </w:rPr>
      </w:pPr>
      <w:r w:rsidRPr="00CD2EEF">
        <w:rPr>
          <w:lang w:val="en-GB"/>
        </w:rPr>
        <w:t xml:space="preserve">The European Nuclear Security Regulators Association (ENSRA) is an association consisting of 16 representatives of nuclear regulatory authorities that cover nuclear security. It was established in 2004. Slovenia joined the ENSRA in 2008. The main objectives of the ENSRA are to exchange information on nuclear security, current security issues, and events regarding the development of </w:t>
      </w:r>
      <w:r w:rsidRPr="00CD2EEF">
        <w:rPr>
          <w:lang w:val="en-GB"/>
        </w:rPr>
        <w:lastRenderedPageBreak/>
        <w:t>a comprehensive understanding of the fundamental principles of physical protection, and to promote common security principles in Europe.</w:t>
      </w:r>
    </w:p>
    <w:p w14:paraId="4315D23F" w14:textId="1857E1C3" w:rsidR="00D54273" w:rsidRPr="00CD2EEF" w:rsidRDefault="00D54273" w:rsidP="00EC4FDC">
      <w:pPr>
        <w:pStyle w:val="LPnavaden"/>
        <w:rPr>
          <w:lang w:val="en-GB"/>
        </w:rPr>
      </w:pPr>
      <w:r w:rsidRPr="00CD2EEF">
        <w:rPr>
          <w:lang w:val="en-GB"/>
        </w:rPr>
        <w:t xml:space="preserve">The regular annual (plenary) meeting did not take place in person due to the </w:t>
      </w:r>
      <w:r w:rsidR="00EB3A1B">
        <w:rPr>
          <w:lang w:val="en-GB"/>
        </w:rPr>
        <w:t>epi</w:t>
      </w:r>
      <w:r w:rsidRPr="00CD2EEF">
        <w:rPr>
          <w:lang w:val="en-GB"/>
        </w:rPr>
        <w:t>demic. Nevertheless, a virtual meeting was held in June 2021 devoted to a set of themes, e.g. the form</w:t>
      </w:r>
      <w:r w:rsidR="00C14AF9">
        <w:rPr>
          <w:lang w:val="en-GB"/>
        </w:rPr>
        <w:t>ation</w:t>
      </w:r>
      <w:r w:rsidRPr="00CD2EEF">
        <w:rPr>
          <w:lang w:val="en-GB"/>
        </w:rPr>
        <w:t xml:space="preserve"> of the ENSRA</w:t>
      </w:r>
      <w:r w:rsidR="00F21D56">
        <w:rPr>
          <w:lang w:val="en-GB"/>
        </w:rPr>
        <w:t>’</w:t>
      </w:r>
      <w:r w:rsidRPr="00CD2EEF">
        <w:rPr>
          <w:lang w:val="en-GB"/>
        </w:rPr>
        <w:t xml:space="preserve">s Troïka in the nearer future (France will join in 2022, Slovenia will follow in 2023), preliminary exchanges of views regarding the forthcoming CPPNM/A conference, co-operation with other organisation, etc.; in 2021, a short, dedicated ENSRA document on nuclear security-related inspections was published. The association was headed by the representative of the Finnish regulatory body (STUK). The next meeting is foreseen at some time in 2022. In April 2021, </w:t>
      </w:r>
      <w:r w:rsidR="00E63423">
        <w:rPr>
          <w:lang w:val="en-GB"/>
        </w:rPr>
        <w:t>the SNSA</w:t>
      </w:r>
      <w:r w:rsidRPr="00CD2EEF">
        <w:rPr>
          <w:lang w:val="en-GB"/>
        </w:rPr>
        <w:t xml:space="preserve"> endorsed </w:t>
      </w:r>
      <w:r w:rsidR="00C14AF9" w:rsidRPr="00CD2EEF">
        <w:rPr>
          <w:lang w:val="en-GB"/>
        </w:rPr>
        <w:t>ENSRA</w:t>
      </w:r>
      <w:r w:rsidR="00C14AF9">
        <w:rPr>
          <w:lang w:val="en-GB"/>
        </w:rPr>
        <w:t>’</w:t>
      </w:r>
      <w:r w:rsidR="00C14AF9" w:rsidRPr="00CD2EEF">
        <w:rPr>
          <w:lang w:val="en-GB"/>
        </w:rPr>
        <w:t xml:space="preserve">s </w:t>
      </w:r>
      <w:r w:rsidRPr="00CD2EEF">
        <w:rPr>
          <w:lang w:val="en-GB"/>
        </w:rPr>
        <w:t>newest Terms of Reference (also on behalf of the Ministry of the Interior).</w:t>
      </w:r>
    </w:p>
    <w:p w14:paraId="372F96E6" w14:textId="7E7CC4E3" w:rsidR="00D54273" w:rsidRPr="00CD2EEF" w:rsidRDefault="00D54273" w:rsidP="00EC4FDC">
      <w:pPr>
        <w:pStyle w:val="LPnavaden"/>
        <w:rPr>
          <w:lang w:val="en-GB"/>
        </w:rPr>
      </w:pPr>
      <w:r w:rsidRPr="00CD2EEF">
        <w:rPr>
          <w:lang w:val="en-GB"/>
        </w:rPr>
        <w:t xml:space="preserve">On 19 October 2021, </w:t>
      </w:r>
      <w:r w:rsidR="00E63423">
        <w:rPr>
          <w:lang w:val="en-GB"/>
        </w:rPr>
        <w:t>the SNSA</w:t>
      </w:r>
      <w:r w:rsidRPr="00CD2EEF">
        <w:rPr>
          <w:lang w:val="en-GB"/>
        </w:rPr>
        <w:t xml:space="preserve"> hosted a meeting of the ENSRA and WENRA joint working group, which is working on a unified approach to the preparation of cybersecurity legislation in nuclear facilities. The central topic was the presentation of existing cybersecurity systems in the nuclear sector by French, British</w:t>
      </w:r>
      <w:r w:rsidR="000421F3">
        <w:rPr>
          <w:lang w:val="en-GB"/>
        </w:rPr>
        <w:t>,</w:t>
      </w:r>
      <w:r w:rsidRPr="00CD2EEF">
        <w:rPr>
          <w:lang w:val="en-GB"/>
        </w:rPr>
        <w:t xml:space="preserve"> and Slovenian participants.</w:t>
      </w:r>
    </w:p>
    <w:p w14:paraId="37BCD17E" w14:textId="0D9CDE5B" w:rsidR="00D54273" w:rsidRPr="00CD2EEF" w:rsidRDefault="00D54273" w:rsidP="00EC4FDC">
      <w:pPr>
        <w:pStyle w:val="LPVirienojni"/>
        <w:rPr>
          <w:lang w:val="en-GB"/>
        </w:rPr>
      </w:pPr>
      <w:r w:rsidRPr="00CD2EEF">
        <w:rPr>
          <w:lang w:val="en-GB"/>
        </w:rPr>
        <w:t>Reference: [</w:t>
      </w:r>
      <w:hyperlink w:anchor="r49" w:history="1">
        <w:r w:rsidRPr="00CD2EEF">
          <w:rPr>
            <w:rStyle w:val="Hiperpovezava"/>
            <w:lang w:val="en-GB"/>
          </w:rPr>
          <w:t>49</w:t>
        </w:r>
      </w:hyperlink>
      <w:r w:rsidRPr="00CD2EEF">
        <w:rPr>
          <w:lang w:val="en-GB"/>
        </w:rPr>
        <w:t>], [</w:t>
      </w:r>
      <w:hyperlink w:anchor="r50" w:history="1">
        <w:r w:rsidRPr="00CD2EEF">
          <w:rPr>
            <w:rStyle w:val="Hiperpovezava"/>
            <w:lang w:val="en-GB"/>
          </w:rPr>
          <w:t>50</w:t>
        </w:r>
      </w:hyperlink>
      <w:r w:rsidRPr="00CD2EEF">
        <w:rPr>
          <w:lang w:val="en-GB"/>
        </w:rPr>
        <w:t>], [</w:t>
      </w:r>
      <w:hyperlink w:anchor="r51" w:history="1">
        <w:r w:rsidRPr="00CD2EEF">
          <w:rPr>
            <w:rStyle w:val="Hiperpovezava"/>
            <w:lang w:val="en-GB"/>
          </w:rPr>
          <w:t>51</w:t>
        </w:r>
      </w:hyperlink>
      <w:r w:rsidRPr="00CD2EEF">
        <w:rPr>
          <w:lang w:val="en-GB"/>
        </w:rPr>
        <w:t xml:space="preserve">] </w:t>
      </w:r>
    </w:p>
    <w:p w14:paraId="61BDA3BE" w14:textId="12DDBECA" w:rsidR="00D54273" w:rsidRPr="00CD2EEF" w:rsidRDefault="00D54273" w:rsidP="003D01F1">
      <w:pPr>
        <w:pStyle w:val="LPnaslovkrepko"/>
        <w:rPr>
          <w:lang w:val="en-GB"/>
        </w:rPr>
      </w:pPr>
      <w:bookmarkStart w:id="451" w:name="_Hlk108082739"/>
      <w:r w:rsidRPr="00CD2EEF">
        <w:rPr>
          <w:lang w:val="en-GB"/>
        </w:rPr>
        <w:t>The Nuclear Security Contact Group</w:t>
      </w:r>
    </w:p>
    <w:p w14:paraId="433F891D" w14:textId="4A5FDC8B" w:rsidR="00D54273" w:rsidRPr="00CD2EEF" w:rsidRDefault="00D54273" w:rsidP="00C55230">
      <w:pPr>
        <w:pStyle w:val="LPnavaden"/>
        <w:rPr>
          <w:lang w:val="en-GB"/>
        </w:rPr>
      </w:pPr>
      <w:r w:rsidRPr="00CD2EEF">
        <w:rPr>
          <w:lang w:val="en-GB"/>
        </w:rPr>
        <w:t>The Nuclear Security Contact Group (NSCG) is an association that was established after the 4</w:t>
      </w:r>
      <w:r w:rsidRPr="00CD2EEF">
        <w:rPr>
          <w:rStyle w:val="LPnadpisano"/>
          <w:rFonts w:eastAsiaTheme="majorEastAsia"/>
          <w:lang w:val="en-GB"/>
        </w:rPr>
        <w:t>th</w:t>
      </w:r>
      <w:r w:rsidRPr="00CD2EEF">
        <w:rPr>
          <w:lang w:val="en-GB"/>
        </w:rPr>
        <w:t xml:space="preserve"> Nuclear Security Summit, held in 2016. The NSCG has also attracted a few countries that were not invited to the previous summits. Slovenia joined the NSCG in March 2017; this was a step forward in the framework of Slovenian activities in the nuclear security domain. The NSCG</w:t>
      </w:r>
      <w:r w:rsidR="00F21D56">
        <w:rPr>
          <w:lang w:val="en-GB"/>
        </w:rPr>
        <w:t>’</w:t>
      </w:r>
      <w:r w:rsidRPr="00CD2EEF">
        <w:rPr>
          <w:lang w:val="en-GB"/>
        </w:rPr>
        <w:t xml:space="preserve">s members from Slovenia comprise representatives from the Ministry of Foreign Affairs and </w:t>
      </w:r>
      <w:r w:rsidR="00A726E8">
        <w:rPr>
          <w:lang w:val="en-GB"/>
        </w:rPr>
        <w:t>the</w:t>
      </w:r>
      <w:r w:rsidR="00E63423">
        <w:rPr>
          <w:lang w:val="en-GB"/>
        </w:rPr>
        <w:t xml:space="preserve"> SNSA</w:t>
      </w:r>
      <w:r w:rsidRPr="00CD2EEF">
        <w:rPr>
          <w:lang w:val="en-GB"/>
        </w:rPr>
        <w:t>.</w:t>
      </w:r>
    </w:p>
    <w:bookmarkEnd w:id="451"/>
    <w:p w14:paraId="777BF63F" w14:textId="6B276E1D" w:rsidR="00D54273" w:rsidRPr="00CD2EEF" w:rsidRDefault="00D54273" w:rsidP="00EE5972">
      <w:pPr>
        <w:pStyle w:val="LPnavaden"/>
        <w:rPr>
          <w:lang w:val="en-GB"/>
        </w:rPr>
      </w:pPr>
      <w:r w:rsidRPr="00CD2EEF">
        <w:rPr>
          <w:lang w:val="en-GB"/>
        </w:rPr>
        <w:t>A number of thematic areas have resulted from past summits and different groups of states have been set up to promote these endeavours. In September 2018, Slovenia (through the Ministry of Foreign Affairs) officially sent a letter (</w:t>
      </w:r>
      <w:r w:rsidRPr="005B3685">
        <w:rPr>
          <w:i/>
          <w:iCs/>
          <w:lang w:val="en-GB"/>
        </w:rPr>
        <w:t>note verbale</w:t>
      </w:r>
      <w:r w:rsidRPr="00CD2EEF">
        <w:rPr>
          <w:lang w:val="en-GB"/>
        </w:rPr>
        <w:t>), stating that it would join two specific initiatives, i.e. INFCIRC/910 (the security of high</w:t>
      </w:r>
      <w:r w:rsidR="008057FE">
        <w:rPr>
          <w:lang w:val="en-GB"/>
        </w:rPr>
        <w:t>-</w:t>
      </w:r>
      <w:r w:rsidRPr="00CD2EEF">
        <w:rPr>
          <w:lang w:val="en-GB"/>
        </w:rPr>
        <w:t xml:space="preserve">activity radioactive sources) and INFCIRC/918 (countering nuclear smuggling). In 2020, </w:t>
      </w:r>
      <w:r w:rsidR="00E63423">
        <w:rPr>
          <w:lang w:val="en-GB"/>
        </w:rPr>
        <w:t>the SNSA</w:t>
      </w:r>
      <w:r w:rsidRPr="00CD2EEF">
        <w:rPr>
          <w:lang w:val="en-GB"/>
        </w:rPr>
        <w:t xml:space="preserve"> co-</w:t>
      </w:r>
      <w:r w:rsidR="00845A66" w:rsidRPr="00CD2EEF">
        <w:rPr>
          <w:lang w:val="en-GB"/>
        </w:rPr>
        <w:t>operat</w:t>
      </w:r>
      <w:r w:rsidR="00845A66">
        <w:rPr>
          <w:lang w:val="en-GB"/>
        </w:rPr>
        <w:t>ed</w:t>
      </w:r>
      <w:r w:rsidR="00845A66" w:rsidRPr="00CD2EEF">
        <w:rPr>
          <w:lang w:val="en-GB"/>
        </w:rPr>
        <w:t xml:space="preserve"> </w:t>
      </w:r>
      <w:r w:rsidRPr="00CD2EEF">
        <w:rPr>
          <w:lang w:val="en-GB"/>
        </w:rPr>
        <w:t xml:space="preserve">with the Ministry of Foreign Affairs (and the Ministry of the Interior, too) to become an associate member of INFCIRC/908 – the initiative on mitigating insider threats. </w:t>
      </w:r>
    </w:p>
    <w:p w14:paraId="69A2D17C" w14:textId="44BDEAC4" w:rsidR="00D54273" w:rsidRPr="00CD2EEF" w:rsidRDefault="00D54273" w:rsidP="00EE5972">
      <w:pPr>
        <w:pStyle w:val="LPnavaden"/>
        <w:rPr>
          <w:lang w:val="en-GB"/>
        </w:rPr>
      </w:pPr>
      <w:r w:rsidRPr="00CD2EEF">
        <w:rPr>
          <w:lang w:val="en-GB"/>
        </w:rPr>
        <w:t xml:space="preserve">There were no special (plenary-like) meetings of NSCG in 2020 or 2021 – due to </w:t>
      </w:r>
      <w:r w:rsidR="00845A66">
        <w:rPr>
          <w:lang w:val="en-GB"/>
        </w:rPr>
        <w:t xml:space="preserve">the </w:t>
      </w:r>
      <w:r w:rsidR="00EB3A1B">
        <w:rPr>
          <w:lang w:val="en-GB"/>
        </w:rPr>
        <w:t>epi</w:t>
      </w:r>
      <w:r w:rsidRPr="00CD2EEF">
        <w:rPr>
          <w:lang w:val="en-GB"/>
        </w:rPr>
        <w:t xml:space="preserve">demic and Covid-19. Referring to the initiative under </w:t>
      </w:r>
      <w:bookmarkStart w:id="452" w:name="_Hlk62214303"/>
      <w:r w:rsidRPr="00CD2EEF">
        <w:rPr>
          <w:lang w:val="en-GB"/>
        </w:rPr>
        <w:t>INFCIRC/908, it is worth mention</w:t>
      </w:r>
      <w:r w:rsidR="00845A66">
        <w:rPr>
          <w:lang w:val="en-GB"/>
        </w:rPr>
        <w:t>ing</w:t>
      </w:r>
      <w:r w:rsidRPr="00CD2EEF">
        <w:rPr>
          <w:lang w:val="en-GB"/>
        </w:rPr>
        <w:t xml:space="preserve"> an invitation to Slovenia (</w:t>
      </w:r>
      <w:r w:rsidR="00E63423">
        <w:rPr>
          <w:lang w:val="en-GB"/>
        </w:rPr>
        <w:t>the SNSA</w:t>
      </w:r>
      <w:r w:rsidRPr="00CD2EEF">
        <w:rPr>
          <w:lang w:val="en-GB"/>
        </w:rPr>
        <w:t>) to take part in a virtual panel on insider threats in the framework of the international INMM/ESARDA conference at the end of August 2021.</w:t>
      </w:r>
      <w:bookmarkEnd w:id="452"/>
    </w:p>
    <w:p w14:paraId="264B72F7" w14:textId="3227FEDD" w:rsidR="00D54273" w:rsidRPr="00CD2EEF" w:rsidRDefault="00D54273" w:rsidP="00EC4FDC">
      <w:pPr>
        <w:pStyle w:val="LPVirienojni"/>
        <w:rPr>
          <w:lang w:val="en-GB"/>
        </w:rPr>
      </w:pPr>
      <w:r w:rsidRPr="00CD2EEF">
        <w:rPr>
          <w:lang w:val="en-GB"/>
        </w:rPr>
        <w:t>Reference: [</w:t>
      </w:r>
      <w:hyperlink w:anchor="r52" w:history="1">
        <w:r w:rsidRPr="00CD2EEF">
          <w:rPr>
            <w:rStyle w:val="Hiperpovezava"/>
            <w:lang w:val="en-GB"/>
          </w:rPr>
          <w:t>52</w:t>
        </w:r>
      </w:hyperlink>
      <w:r w:rsidRPr="00CD2EEF">
        <w:rPr>
          <w:lang w:val="en-GB"/>
        </w:rPr>
        <w:t>], [</w:t>
      </w:r>
      <w:hyperlink w:anchor="r53" w:history="1">
        <w:r w:rsidRPr="00CD2EEF">
          <w:rPr>
            <w:rStyle w:val="Hiperpovezava"/>
            <w:lang w:val="en-GB"/>
          </w:rPr>
          <w:t>53</w:t>
        </w:r>
      </w:hyperlink>
      <w:r w:rsidRPr="00CD2EEF">
        <w:rPr>
          <w:lang w:val="en-GB"/>
        </w:rPr>
        <w:t>], [</w:t>
      </w:r>
      <w:hyperlink w:anchor="r54" w:history="1">
        <w:r w:rsidRPr="00CD2EEF">
          <w:rPr>
            <w:rStyle w:val="Hiperpovezava"/>
            <w:lang w:val="en-GB"/>
          </w:rPr>
          <w:t>54</w:t>
        </w:r>
      </w:hyperlink>
      <w:r w:rsidRPr="00CD2EEF">
        <w:rPr>
          <w:lang w:val="en-GB"/>
        </w:rPr>
        <w:t>], [</w:t>
      </w:r>
      <w:hyperlink w:anchor="r55" w:history="1">
        <w:r w:rsidRPr="00CD2EEF">
          <w:rPr>
            <w:rStyle w:val="Hiperpovezava"/>
            <w:lang w:val="en-GB"/>
          </w:rPr>
          <w:t>55</w:t>
        </w:r>
      </w:hyperlink>
      <w:r w:rsidRPr="00CD2EEF">
        <w:rPr>
          <w:lang w:val="en-GB"/>
        </w:rPr>
        <w:t>], [</w:t>
      </w:r>
      <w:hyperlink w:anchor="r56" w:history="1">
        <w:r w:rsidRPr="00CD2EEF">
          <w:rPr>
            <w:rStyle w:val="Hiperpovezava"/>
            <w:lang w:val="en-GB"/>
          </w:rPr>
          <w:t>56</w:t>
        </w:r>
      </w:hyperlink>
      <w:r w:rsidRPr="00CD2EEF">
        <w:rPr>
          <w:lang w:val="en-GB"/>
        </w:rPr>
        <w:t>], [</w:t>
      </w:r>
      <w:hyperlink w:anchor="r57" w:history="1">
        <w:r w:rsidRPr="00CD2EEF">
          <w:rPr>
            <w:rStyle w:val="Hiperpovezava"/>
            <w:lang w:val="en-GB"/>
          </w:rPr>
          <w:t>57</w:t>
        </w:r>
      </w:hyperlink>
      <w:r w:rsidRPr="00CD2EEF">
        <w:rPr>
          <w:lang w:val="en-GB"/>
        </w:rPr>
        <w:t>], [</w:t>
      </w:r>
      <w:hyperlink w:anchor="r58" w:history="1">
        <w:r w:rsidRPr="00CD2EEF">
          <w:rPr>
            <w:rStyle w:val="Hiperpovezava"/>
            <w:lang w:val="en-GB"/>
          </w:rPr>
          <w:t>58</w:t>
        </w:r>
      </w:hyperlink>
      <w:r w:rsidRPr="00CD2EEF">
        <w:rPr>
          <w:lang w:val="en-GB"/>
        </w:rPr>
        <w:t>]</w:t>
      </w:r>
    </w:p>
    <w:p w14:paraId="37863D4E" w14:textId="77777777" w:rsidR="00D54273" w:rsidRPr="00CD2EEF" w:rsidRDefault="00D54273" w:rsidP="00EC4FDC">
      <w:pPr>
        <w:pStyle w:val="LPnaslovkrepko"/>
        <w:rPr>
          <w:lang w:val="en-GB"/>
        </w:rPr>
      </w:pPr>
      <w:r w:rsidRPr="00CD2EEF">
        <w:rPr>
          <w:lang w:val="en-GB"/>
        </w:rPr>
        <w:t xml:space="preserve">CAMP (NRC) </w:t>
      </w:r>
    </w:p>
    <w:p w14:paraId="33EAAF6E" w14:textId="02B1470F" w:rsidR="00D54273" w:rsidRPr="00CD2EEF" w:rsidRDefault="00D54273" w:rsidP="006B229B">
      <w:pPr>
        <w:pStyle w:val="LPnavaden"/>
        <w:rPr>
          <w:rStyle w:val="LPnavadenpoevno"/>
          <w:i w:val="0"/>
          <w:lang w:val="en-GB"/>
        </w:rPr>
      </w:pPr>
      <w:r w:rsidRPr="00CD2EEF">
        <w:rPr>
          <w:rStyle w:val="LPnavadenpoevno"/>
          <w:i w:val="0"/>
          <w:lang w:val="en-GB"/>
        </w:rPr>
        <w:t xml:space="preserve">An agreement with the US NRC (the United States Nuclear Regulatory Commission) and </w:t>
      </w:r>
      <w:r w:rsidR="00A726E8">
        <w:rPr>
          <w:rStyle w:val="LPnavadenpoevno"/>
          <w:i w:val="0"/>
          <w:lang w:val="en-GB"/>
        </w:rPr>
        <w:t>the</w:t>
      </w:r>
      <w:r w:rsidR="00E63423">
        <w:rPr>
          <w:rStyle w:val="LPnavadenpoevno"/>
          <w:i w:val="0"/>
          <w:lang w:val="en-GB"/>
        </w:rPr>
        <w:t xml:space="preserve"> SNSA</w:t>
      </w:r>
      <w:r w:rsidRPr="00CD2EEF">
        <w:rPr>
          <w:rStyle w:val="LPnavadenpoevno"/>
          <w:i w:val="0"/>
          <w:lang w:val="en-GB"/>
        </w:rPr>
        <w:t xml:space="preserve"> is the basis for cooperation in the CAMP (</w:t>
      </w:r>
      <w:r w:rsidRPr="00CD2EEF">
        <w:rPr>
          <w:rStyle w:val="LPnavadenposevnoZnak"/>
          <w:lang w:val="en-GB"/>
        </w:rPr>
        <w:t>Code Application and Maintenance Programme</w:t>
      </w:r>
      <w:r w:rsidRPr="00CD2EEF">
        <w:rPr>
          <w:rStyle w:val="LPnavadenpoevno"/>
          <w:i w:val="0"/>
          <w:lang w:val="en-GB"/>
        </w:rPr>
        <w:t>). The CAMP enables cooperation in the maintenance and use of software in the field of the prevention and management of accidents and abnormal events at nuclear power plants.</w:t>
      </w:r>
    </w:p>
    <w:p w14:paraId="4D58DD7C" w14:textId="673164B3" w:rsidR="00D54273" w:rsidRPr="00CD2EEF" w:rsidRDefault="00D54273" w:rsidP="006B229B">
      <w:pPr>
        <w:pStyle w:val="LPnavaden"/>
        <w:rPr>
          <w:rStyle w:val="LPnavadenpoevno"/>
          <w:i w:val="0"/>
          <w:lang w:val="en-GB"/>
        </w:rPr>
      </w:pPr>
      <w:r w:rsidRPr="00CD2EEF">
        <w:rPr>
          <w:rStyle w:val="LPnavadenpoevno"/>
          <w:i w:val="0"/>
          <w:lang w:val="en-GB"/>
        </w:rPr>
        <w:t>The CAMP agreement provides access to computer program</w:t>
      </w:r>
      <w:r w:rsidR="00DD2FF9">
        <w:rPr>
          <w:rStyle w:val="LPnavadenpoevno"/>
          <w:i w:val="0"/>
          <w:lang w:val="en-GB"/>
        </w:rPr>
        <w:t>me</w:t>
      </w:r>
      <w:r w:rsidRPr="00CD2EEF">
        <w:rPr>
          <w:rStyle w:val="LPnavadenpoevno"/>
          <w:i w:val="0"/>
          <w:lang w:val="en-GB"/>
        </w:rPr>
        <w:t>s that are developed under the programme. The latest versions of software tools are currently available to users.</w:t>
      </w:r>
    </w:p>
    <w:p w14:paraId="6535C5AC" w14:textId="21A7F8E1" w:rsidR="00D54273" w:rsidRPr="00CD2EEF" w:rsidRDefault="00D54273" w:rsidP="006B229B">
      <w:pPr>
        <w:pStyle w:val="LPnavaden"/>
        <w:rPr>
          <w:rStyle w:val="LPnavadenpoevno"/>
          <w:i w:val="0"/>
          <w:lang w:val="en-GB"/>
        </w:rPr>
      </w:pPr>
      <w:r w:rsidRPr="00CD2EEF">
        <w:rPr>
          <w:rStyle w:val="LPnavadenpoevno"/>
          <w:i w:val="0"/>
          <w:lang w:val="en-GB"/>
        </w:rPr>
        <w:t xml:space="preserve">For 2021, the JSI prepared a contribution entitled </w:t>
      </w:r>
      <w:r w:rsidR="00263D93">
        <w:rPr>
          <w:rStyle w:val="LPnavadenpoevno"/>
          <w:i w:val="0"/>
          <w:lang w:val="en-GB"/>
        </w:rPr>
        <w:t>“</w:t>
      </w:r>
      <w:r w:rsidRPr="00CD2EEF">
        <w:rPr>
          <w:rStyle w:val="LPnavadenpoevno"/>
          <w:i w:val="0"/>
          <w:lang w:val="en-GB"/>
        </w:rPr>
        <w:t xml:space="preserve">RELAP5 and TRACE simulation of </w:t>
      </w:r>
      <w:r w:rsidR="00657C3D" w:rsidRPr="008C07B3">
        <w:rPr>
          <w:rStyle w:val="LPnavadenpoevno"/>
          <w:i w:val="0"/>
          <w:lang w:val="en-GB"/>
        </w:rPr>
        <w:t>the</w:t>
      </w:r>
      <w:r w:rsidR="00657C3D">
        <w:rPr>
          <w:rStyle w:val="LPnavadenpoevno"/>
          <w:i w:val="0"/>
          <w:lang w:val="en-GB"/>
        </w:rPr>
        <w:t xml:space="preserve"> </w:t>
      </w:r>
      <w:r w:rsidRPr="00CD2EEF">
        <w:rPr>
          <w:rStyle w:val="LPnavadenpoevno"/>
          <w:i w:val="0"/>
          <w:lang w:val="en-GB"/>
        </w:rPr>
        <w:t>Bethsy 9.1b test with accuracy quantification</w:t>
      </w:r>
      <w:r w:rsidR="00263D93">
        <w:rPr>
          <w:rStyle w:val="LPnavadenpoevno"/>
          <w:i w:val="0"/>
          <w:lang w:val="en-GB"/>
        </w:rPr>
        <w:t>”</w:t>
      </w:r>
    </w:p>
    <w:p w14:paraId="5AED3957" w14:textId="6532186F" w:rsidR="00D54273" w:rsidRPr="00CD2EEF" w:rsidRDefault="00D54273" w:rsidP="006B229B">
      <w:pPr>
        <w:pStyle w:val="LPnavaden"/>
        <w:rPr>
          <w:rStyle w:val="LPnavadenpoevno"/>
          <w:i w:val="0"/>
          <w:lang w:val="en-GB"/>
        </w:rPr>
      </w:pPr>
      <w:r w:rsidRPr="00CD2EEF">
        <w:rPr>
          <w:rStyle w:val="LPnavadenpoevno"/>
          <w:i w:val="0"/>
          <w:lang w:val="en-GB"/>
        </w:rPr>
        <w:t xml:space="preserve">At the CAMP 2021 autumn meeting, the JSI presented a 2022 </w:t>
      </w:r>
      <w:r w:rsidRPr="008C07B3">
        <w:rPr>
          <w:rStyle w:val="LPnavadenpoevno"/>
          <w:i w:val="0"/>
          <w:lang w:val="en-GB"/>
        </w:rPr>
        <w:t>in</w:t>
      </w:r>
      <w:r w:rsidR="008C07B3">
        <w:rPr>
          <w:rStyle w:val="LPnavadenpoevno"/>
          <w:i w:val="0"/>
          <w:lang w:val="en-GB"/>
        </w:rPr>
        <w:t>-</w:t>
      </w:r>
      <w:r w:rsidRPr="008C07B3">
        <w:rPr>
          <w:rStyle w:val="LPnavadenpoevno"/>
          <w:i w:val="0"/>
          <w:lang w:val="en-GB"/>
        </w:rPr>
        <w:t>kind</w:t>
      </w:r>
      <w:r w:rsidRPr="00CD2EEF">
        <w:rPr>
          <w:rStyle w:val="LPnavadenpoevno"/>
          <w:i w:val="0"/>
          <w:lang w:val="en-GB"/>
        </w:rPr>
        <w:t xml:space="preserve"> contribution entitled </w:t>
      </w:r>
      <w:r w:rsidR="00263D93">
        <w:rPr>
          <w:rStyle w:val="LPnavadenpoevno"/>
          <w:i w:val="0"/>
          <w:lang w:val="en-GB"/>
        </w:rPr>
        <w:t>“</w:t>
      </w:r>
      <w:r w:rsidRPr="00CD2EEF">
        <w:rPr>
          <w:rStyle w:val="LPnavadenpoevno"/>
          <w:i w:val="0"/>
          <w:lang w:val="en-GB"/>
        </w:rPr>
        <w:t xml:space="preserve">RELAP5 and TRACE simulation of </w:t>
      </w:r>
      <w:r w:rsidR="00657C3D" w:rsidRPr="008C07B3">
        <w:rPr>
          <w:rStyle w:val="LPnavadenpoevno"/>
          <w:i w:val="0"/>
          <w:lang w:val="en-GB"/>
        </w:rPr>
        <w:t xml:space="preserve">the </w:t>
      </w:r>
      <w:r w:rsidRPr="008C07B3">
        <w:rPr>
          <w:rStyle w:val="LPnavadenpoevno"/>
          <w:i w:val="0"/>
          <w:lang w:val="en-GB"/>
        </w:rPr>
        <w:t>total</w:t>
      </w:r>
      <w:r w:rsidRPr="00CD2EEF">
        <w:rPr>
          <w:rStyle w:val="LPnavadenpoevno"/>
          <w:i w:val="0"/>
          <w:lang w:val="en-GB"/>
        </w:rPr>
        <w:t xml:space="preserve"> loss of feedwater in two-loop PWR</w:t>
      </w:r>
      <w:r w:rsidR="00263D93">
        <w:rPr>
          <w:rStyle w:val="LPnavadenpoevno"/>
          <w:i w:val="0"/>
          <w:lang w:val="en-GB"/>
        </w:rPr>
        <w:t>”</w:t>
      </w:r>
      <w:r w:rsidRPr="00CD2EEF">
        <w:rPr>
          <w:rStyle w:val="LPnavadenpoevno"/>
          <w:i w:val="0"/>
          <w:lang w:val="en-GB"/>
        </w:rPr>
        <w:t xml:space="preserve">, which was </w:t>
      </w:r>
      <w:r w:rsidRPr="00CD2EEF">
        <w:rPr>
          <w:rStyle w:val="LPnavadenpoevno"/>
          <w:i w:val="0"/>
          <w:lang w:val="en-GB"/>
        </w:rPr>
        <w:lastRenderedPageBreak/>
        <w:t xml:space="preserve">approved by the Technical Programme Committee. For this </w:t>
      </w:r>
      <w:r w:rsidRPr="008C07B3">
        <w:rPr>
          <w:rStyle w:val="LPnavadenpoevno"/>
          <w:i w:val="0"/>
          <w:lang w:val="en-GB"/>
        </w:rPr>
        <w:t>in</w:t>
      </w:r>
      <w:r w:rsidR="008C07B3" w:rsidRPr="008C07B3">
        <w:rPr>
          <w:rStyle w:val="LPnavadenpoevno"/>
          <w:i w:val="0"/>
          <w:lang w:val="en-GB"/>
        </w:rPr>
        <w:t>-</w:t>
      </w:r>
      <w:r w:rsidRPr="008C07B3">
        <w:rPr>
          <w:rStyle w:val="LPnavadenpoevno"/>
          <w:i w:val="0"/>
          <w:lang w:val="en-GB"/>
        </w:rPr>
        <w:t xml:space="preserve">kind contribution, it is proposed to use the TRACE computer </w:t>
      </w:r>
      <w:r w:rsidR="00AB71FB" w:rsidRPr="008C07B3">
        <w:rPr>
          <w:rStyle w:val="LPnavadenpoevno"/>
          <w:i w:val="0"/>
          <w:lang w:val="en-GB"/>
        </w:rPr>
        <w:t xml:space="preserve">programme </w:t>
      </w:r>
      <w:r w:rsidRPr="008C07B3">
        <w:rPr>
          <w:rStyle w:val="LPnavadenpoevno"/>
          <w:i w:val="0"/>
          <w:lang w:val="en-GB"/>
        </w:rPr>
        <w:t xml:space="preserve">to analyse the scenario of the extended project disaster loss of </w:t>
      </w:r>
      <w:r w:rsidR="00246A3C" w:rsidRPr="008C07B3">
        <w:rPr>
          <w:rStyle w:val="LPnavadenpoevno"/>
          <w:i w:val="0"/>
          <w:lang w:val="en-GB"/>
        </w:rPr>
        <w:t xml:space="preserve">the entire </w:t>
      </w:r>
      <w:r w:rsidRPr="008C07B3">
        <w:rPr>
          <w:rStyle w:val="LPnavadenpoevno"/>
          <w:i w:val="0"/>
          <w:lang w:val="en-GB"/>
        </w:rPr>
        <w:t xml:space="preserve">power supply for the NEK power plant. At the virtual </w:t>
      </w:r>
      <w:r w:rsidR="00263D93" w:rsidRPr="008C07B3">
        <w:rPr>
          <w:rStyle w:val="LPnavadenpoevno"/>
          <w:i w:val="0"/>
          <w:lang w:val="en-GB"/>
        </w:rPr>
        <w:t>“</w:t>
      </w:r>
      <w:r w:rsidRPr="008C07B3">
        <w:rPr>
          <w:rStyle w:val="LPnavadenpoevno"/>
          <w:i w:val="0"/>
          <w:lang w:val="en-GB"/>
        </w:rPr>
        <w:t>Spring 2021 CAMP Meeting</w:t>
      </w:r>
      <w:r w:rsidR="00263D93" w:rsidRPr="008C07B3">
        <w:rPr>
          <w:rStyle w:val="LPnavadenpoevno"/>
          <w:i w:val="0"/>
          <w:lang w:val="en-GB"/>
        </w:rPr>
        <w:t>”</w:t>
      </w:r>
      <w:r w:rsidRPr="008C07B3">
        <w:rPr>
          <w:rStyle w:val="LPnavadenpoevno"/>
          <w:i w:val="0"/>
          <w:lang w:val="en-GB"/>
        </w:rPr>
        <w:t xml:space="preserve">, a </w:t>
      </w:r>
      <w:r w:rsidR="003A4664" w:rsidRPr="008C07B3">
        <w:rPr>
          <w:lang w:val="en-GB"/>
        </w:rPr>
        <w:t>JSI</w:t>
      </w:r>
      <w:r w:rsidR="003A4664" w:rsidRPr="008C07B3" w:rsidDel="003A4664">
        <w:rPr>
          <w:rStyle w:val="LPnavadenpoevno"/>
          <w:i w:val="0"/>
          <w:lang w:val="en-GB"/>
        </w:rPr>
        <w:t xml:space="preserve"> </w:t>
      </w:r>
      <w:r w:rsidRPr="008C07B3">
        <w:rPr>
          <w:rStyle w:val="LPnavadenpoevno"/>
          <w:i w:val="0"/>
          <w:lang w:val="en-GB"/>
        </w:rPr>
        <w:t xml:space="preserve">representative presented a paper entitled </w:t>
      </w:r>
      <w:r w:rsidR="00263D93" w:rsidRPr="008C07B3">
        <w:rPr>
          <w:rStyle w:val="LPnavadenpoevno"/>
          <w:i w:val="0"/>
          <w:lang w:val="en-GB"/>
        </w:rPr>
        <w:t>“</w:t>
      </w:r>
      <w:r w:rsidRPr="008C07B3">
        <w:rPr>
          <w:rStyle w:val="LPnavadenpoevno"/>
          <w:i w:val="0"/>
          <w:lang w:val="en-GB"/>
        </w:rPr>
        <w:t>TRACE and RELAP5 comparison of simulations for Semiscale natural circulation tests S-NC-2 and S-NC-3</w:t>
      </w:r>
      <w:r w:rsidR="00263D93" w:rsidRPr="008C07B3">
        <w:rPr>
          <w:rStyle w:val="LPnavadenpoevno"/>
          <w:i w:val="0"/>
          <w:lang w:val="en-GB"/>
        </w:rPr>
        <w:t>”</w:t>
      </w:r>
      <w:r w:rsidRPr="008C07B3">
        <w:rPr>
          <w:rStyle w:val="LPnavadenpoevno"/>
          <w:i w:val="0"/>
          <w:lang w:val="en-GB"/>
        </w:rPr>
        <w:t xml:space="preserve">. At the fall 2021 CAMP Meeting, </w:t>
      </w:r>
      <w:r w:rsidR="003A4664" w:rsidRPr="008C07B3">
        <w:rPr>
          <w:rStyle w:val="LPnavadenpoevno"/>
          <w:i w:val="0"/>
          <w:lang w:val="en-GB"/>
        </w:rPr>
        <w:t xml:space="preserve">a </w:t>
      </w:r>
      <w:r w:rsidR="003A4664" w:rsidRPr="008C07B3">
        <w:rPr>
          <w:lang w:val="en-GB"/>
        </w:rPr>
        <w:t>JSI</w:t>
      </w:r>
      <w:r w:rsidR="003A4664" w:rsidRPr="008C07B3" w:rsidDel="003A4664">
        <w:rPr>
          <w:rStyle w:val="LPnavadenpoevno"/>
          <w:i w:val="0"/>
          <w:lang w:val="en-GB"/>
        </w:rPr>
        <w:t xml:space="preserve"> </w:t>
      </w:r>
      <w:r w:rsidRPr="008C07B3">
        <w:rPr>
          <w:rStyle w:val="LPnavadenpoevno"/>
          <w:i w:val="0"/>
          <w:lang w:val="en-GB"/>
        </w:rPr>
        <w:t xml:space="preserve"> representative presented the contribution </w:t>
      </w:r>
      <w:r w:rsidR="00263D93" w:rsidRPr="008C07B3">
        <w:rPr>
          <w:rStyle w:val="LPnavadenpoevno"/>
          <w:i w:val="0"/>
          <w:lang w:val="en-GB"/>
        </w:rPr>
        <w:t>“</w:t>
      </w:r>
      <w:r w:rsidRPr="008C07B3">
        <w:rPr>
          <w:rStyle w:val="LPnavadenpoevno"/>
          <w:i w:val="0"/>
          <w:lang w:val="en-GB"/>
        </w:rPr>
        <w:t>Status of CAMP Activities in Slovenia</w:t>
      </w:r>
      <w:r w:rsidR="00263D93" w:rsidRPr="008C07B3">
        <w:rPr>
          <w:rStyle w:val="LPnavadenpoevno"/>
          <w:i w:val="0"/>
          <w:lang w:val="en-GB"/>
        </w:rPr>
        <w:t>”</w:t>
      </w:r>
      <w:r w:rsidRPr="008C07B3">
        <w:rPr>
          <w:rStyle w:val="LPnavadenpoevno"/>
          <w:i w:val="0"/>
          <w:lang w:val="en-GB"/>
        </w:rPr>
        <w:t>.</w:t>
      </w:r>
    </w:p>
    <w:p w14:paraId="59BDA0FC" w14:textId="4DE04AB7" w:rsidR="00D54273" w:rsidRPr="00CD2EEF" w:rsidRDefault="00D54273" w:rsidP="006B229B">
      <w:pPr>
        <w:pStyle w:val="LPnavaden"/>
        <w:rPr>
          <w:lang w:val="en-GB"/>
        </w:rPr>
      </w:pPr>
      <w:r w:rsidRPr="00CD2EEF">
        <w:rPr>
          <w:rStyle w:val="LPnavadenpoevno"/>
          <w:i w:val="0"/>
          <w:lang w:val="en-GB"/>
        </w:rPr>
        <w:t>The representatives of the Slovenian CAMP members met in June and December 2021 at virtual</w:t>
      </w:r>
      <w:r w:rsidR="008A1E6B">
        <w:rPr>
          <w:rStyle w:val="LPnavadenpoevno"/>
          <w:i w:val="0"/>
          <w:lang w:val="en-GB"/>
        </w:rPr>
        <w:t xml:space="preserve"> </w:t>
      </w:r>
      <w:r w:rsidRPr="00CD2EEF">
        <w:rPr>
          <w:rStyle w:val="LPnavadenpoevno"/>
          <w:i w:val="0"/>
          <w:lang w:val="en-GB"/>
        </w:rPr>
        <w:t>working sessions, where the national coordinator presented the latest developments in the CAMP research programme and its work and JSI activities in this area.</w:t>
      </w:r>
    </w:p>
    <w:p w14:paraId="5AD5D057" w14:textId="77777777" w:rsidR="00D54273" w:rsidRPr="00CD2EEF" w:rsidRDefault="00D54273" w:rsidP="00EC4FDC">
      <w:pPr>
        <w:pStyle w:val="LPnaslovkrepko"/>
        <w:rPr>
          <w:lang w:val="en-GB"/>
        </w:rPr>
      </w:pPr>
      <w:r w:rsidRPr="00CD2EEF">
        <w:rPr>
          <w:lang w:val="en-GB"/>
        </w:rPr>
        <w:t>CSARP (NRC)</w:t>
      </w:r>
    </w:p>
    <w:p w14:paraId="57A68FEB" w14:textId="3EB9050E" w:rsidR="00D54273" w:rsidRPr="00CD2EEF" w:rsidRDefault="00D54273" w:rsidP="00080679">
      <w:pPr>
        <w:pStyle w:val="LPnavaden"/>
        <w:rPr>
          <w:lang w:val="en-GB"/>
        </w:rPr>
      </w:pPr>
      <w:r w:rsidRPr="00CD2EEF">
        <w:rPr>
          <w:lang w:val="en-GB"/>
        </w:rPr>
        <w:t>In 2015</w:t>
      </w:r>
      <w:r w:rsidR="00767391">
        <w:rPr>
          <w:lang w:val="en-GB"/>
        </w:rPr>
        <w:t>,</w:t>
      </w:r>
      <w:r w:rsidRPr="00CD2EEF">
        <w:rPr>
          <w:lang w:val="en-GB"/>
        </w:rPr>
        <w:t xml:space="preserve"> Slovenia renewed cooperation in the US NRC severe accident research programme CSARP (Cooperative Severe Accident Research </w:t>
      </w:r>
      <w:r w:rsidR="00AB71FB" w:rsidRPr="00CD2EEF">
        <w:rPr>
          <w:lang w:val="en-GB"/>
        </w:rPr>
        <w:t>Program</w:t>
      </w:r>
      <w:r w:rsidR="00AB71FB">
        <w:rPr>
          <w:lang w:val="en-GB"/>
        </w:rPr>
        <w:t>me</w:t>
      </w:r>
      <w:r w:rsidRPr="00CD2EEF">
        <w:rPr>
          <w:lang w:val="en-GB"/>
        </w:rPr>
        <w:t xml:space="preserve">). The Slovenian CSARP members are the Slovenian Nuclear Safety Administration, </w:t>
      </w:r>
      <w:r w:rsidR="001B146F">
        <w:rPr>
          <w:lang w:val="en-GB"/>
        </w:rPr>
        <w:t>the Krško NPP</w:t>
      </w:r>
      <w:r w:rsidRPr="00CD2EEF">
        <w:rPr>
          <w:lang w:val="en-GB"/>
        </w:rPr>
        <w:t xml:space="preserve">, and the Jožef Stefan Institute as the Slovenian National Coordinator. Membership in the CSARP programme enables usage of the </w:t>
      </w:r>
      <w:r w:rsidRPr="00767391">
        <w:rPr>
          <w:lang w:val="en-GB"/>
        </w:rPr>
        <w:t xml:space="preserve">computer </w:t>
      </w:r>
      <w:r w:rsidR="004D1189" w:rsidRPr="00767391">
        <w:rPr>
          <w:lang w:val="en-GB"/>
        </w:rPr>
        <w:t>programme</w:t>
      </w:r>
      <w:r w:rsidR="004D1189" w:rsidRPr="00CD2EEF">
        <w:rPr>
          <w:lang w:val="en-GB"/>
        </w:rPr>
        <w:t xml:space="preserve"> </w:t>
      </w:r>
      <w:r w:rsidRPr="00CD2EEF">
        <w:rPr>
          <w:lang w:val="en-GB"/>
        </w:rPr>
        <w:t>MELCOR for the simulation of severe accidents in nuclear power plants.</w:t>
      </w:r>
    </w:p>
    <w:p w14:paraId="2BEBFCF2" w14:textId="7DDBBCB4" w:rsidR="00D54273" w:rsidRPr="00CD2EEF" w:rsidRDefault="00D54273" w:rsidP="00080679">
      <w:pPr>
        <w:pStyle w:val="LPnavaden"/>
        <w:rPr>
          <w:lang w:val="en-GB"/>
        </w:rPr>
      </w:pPr>
      <w:r w:rsidRPr="00CD2EEF">
        <w:rPr>
          <w:lang w:val="en-GB"/>
        </w:rPr>
        <w:t xml:space="preserve">In 2021, the representatives of the Slovenian and Croatian CSARP institutions had an online working meeting. The National Coordinator presented the status of CSARP research in Slovenia, past activities, attendance at the virtual CSARP/MCAP (MELCOR Code Assessment </w:t>
      </w:r>
      <w:r w:rsidR="00AB71FB" w:rsidRPr="00CD2EEF">
        <w:rPr>
          <w:lang w:val="en-GB"/>
        </w:rPr>
        <w:t>Program</w:t>
      </w:r>
      <w:r w:rsidR="00AB71FB">
        <w:rPr>
          <w:lang w:val="en-GB"/>
        </w:rPr>
        <w:t>me</w:t>
      </w:r>
      <w:r w:rsidRPr="00CD2EEF">
        <w:rPr>
          <w:lang w:val="en-GB"/>
        </w:rPr>
        <w:t>) meeting, fusion MELCOR activity, as well as the realisation of plans. Additionally, the representative pointed out the issue of funding MELCOR activities. The participants of the meeting agreed that even with consider</w:t>
      </w:r>
      <w:r w:rsidR="00610F74">
        <w:rPr>
          <w:lang w:val="en-GB"/>
        </w:rPr>
        <w:t>ation of</w:t>
      </w:r>
      <w:r w:rsidRPr="00CD2EEF">
        <w:rPr>
          <w:lang w:val="en-GB"/>
        </w:rPr>
        <w:t xml:space="preserve"> the planning of the second nuclear power plant, it would make sense to provide the JSI with sufficient long-term stable funding for MELCOR activities. This would allow the JSI to set up a team to carry out analyses using the MELCOR programme, which would also include younger researchers to whom knowledge would be passed on. At the meeting, the FER representative (Faculty of Electrical Engineering and Computing) gave an overview of the status of the CSARP research programme in Croatia.</w:t>
      </w:r>
      <w:r w:rsidR="008A1E6B">
        <w:rPr>
          <w:lang w:val="en-GB"/>
        </w:rPr>
        <w:t xml:space="preserve"> </w:t>
      </w:r>
    </w:p>
    <w:p w14:paraId="175389D6" w14:textId="77777777" w:rsidR="00D54273" w:rsidRPr="00CD2EEF" w:rsidRDefault="00D54273" w:rsidP="003D01F1">
      <w:pPr>
        <w:pStyle w:val="LPnaslovkrepko"/>
        <w:rPr>
          <w:lang w:val="en-GB"/>
        </w:rPr>
      </w:pPr>
      <w:r w:rsidRPr="00CD2EEF">
        <w:rPr>
          <w:lang w:val="en-GB"/>
        </w:rPr>
        <w:t xml:space="preserve">The Association of the Heads of the European Radiological Protection Competent Authorities </w:t>
      </w:r>
    </w:p>
    <w:p w14:paraId="7ADB99E0" w14:textId="77777777" w:rsidR="00D54273" w:rsidRPr="00CD2EEF" w:rsidRDefault="00D54273" w:rsidP="001D1C76">
      <w:pPr>
        <w:pStyle w:val="LPnavaden"/>
        <w:rPr>
          <w:lang w:val="en-GB"/>
        </w:rPr>
      </w:pPr>
      <w:r w:rsidRPr="00CD2EEF">
        <w:rPr>
          <w:lang w:val="en-GB"/>
        </w:rPr>
        <w:t>A representative of the SRPA is a member of the Association of the Heads of the European Radiological Protection Competent Authorities (HERCA) and participated in two regular online meetings in 2021.</w:t>
      </w:r>
    </w:p>
    <w:p w14:paraId="55AB1CFC" w14:textId="71E333FB" w:rsidR="00D54273" w:rsidRPr="00CD2EEF" w:rsidRDefault="00D54273" w:rsidP="00935621">
      <w:pPr>
        <w:pStyle w:val="LPnavaden"/>
        <w:rPr>
          <w:lang w:val="en-GB"/>
        </w:rPr>
      </w:pPr>
      <w:r w:rsidRPr="00CD2EEF">
        <w:rPr>
          <w:lang w:val="en-GB"/>
        </w:rPr>
        <w:t xml:space="preserve">The SRPA also participates in the HERCA working group on medical applications of ionising radiation. As the Covid-19 epidemic has had a profound impact on the work of all administrative authorities, especially those related to the functioning of health systems, the regular activities of the working group have been impaired, and communication between the competent administrative authorities on the response to the epidemic played an important role in 2021. </w:t>
      </w:r>
    </w:p>
    <w:p w14:paraId="2083DE11" w14:textId="4BA84454" w:rsidR="00D54273" w:rsidRPr="00CD2EEF" w:rsidRDefault="00D54273" w:rsidP="00935621">
      <w:pPr>
        <w:pStyle w:val="LPnavaden"/>
        <w:rPr>
          <w:lang w:val="en-GB"/>
        </w:rPr>
      </w:pPr>
      <w:r w:rsidRPr="00CD2EEF">
        <w:rPr>
          <w:lang w:val="en-GB"/>
        </w:rPr>
        <w:t xml:space="preserve">The SRPA also actively participated in the project European Study of Occupational Radiation Exposure – ESOREX, which is aimed at collecting, processing, and comparing the data on ionising radiation doses received by exposed workers in different countries. Within this project, the participating states are also able to exchange experiences in the field of the organisation of personal dosimetry and the management of national dosimetry registers. The project used to be financed by the European Commission, but henceforth it is to be maintained solely by the participating states. In 2019, the project was redesigned as the Network of National Dosimetry Registries within the framework of HERCA. In 2021, the results of a questionnaire for regulatory authorities on the registration of </w:t>
      </w:r>
      <w:r w:rsidR="00DA4242">
        <w:rPr>
          <w:lang w:val="en-GB"/>
        </w:rPr>
        <w:t xml:space="preserve">the </w:t>
      </w:r>
      <w:r w:rsidRPr="00CD2EEF">
        <w:rPr>
          <w:lang w:val="en-GB"/>
        </w:rPr>
        <w:t xml:space="preserve">personal doses of exposed workers were collected and presented to the HERCA Committee. </w:t>
      </w:r>
    </w:p>
    <w:p w14:paraId="7DEB08F0" w14:textId="133997CB" w:rsidR="00D54273" w:rsidRPr="00CD2EEF" w:rsidRDefault="00D54273" w:rsidP="00935621">
      <w:pPr>
        <w:pStyle w:val="LPnavaden"/>
        <w:rPr>
          <w:lang w:val="en-GB"/>
        </w:rPr>
      </w:pPr>
      <w:r w:rsidRPr="00CD2EEF">
        <w:rPr>
          <w:lang w:val="en-GB"/>
        </w:rPr>
        <w:lastRenderedPageBreak/>
        <w:t xml:space="preserve">In 2021, two representatives of </w:t>
      </w:r>
      <w:r w:rsidR="00E63423">
        <w:rPr>
          <w:lang w:val="en-GB"/>
        </w:rPr>
        <w:t>the SNSA</w:t>
      </w:r>
      <w:r w:rsidRPr="00CD2EEF">
        <w:rPr>
          <w:lang w:val="en-GB"/>
        </w:rPr>
        <w:t xml:space="preserve"> who take part in the HERCA WGE</w:t>
      </w:r>
      <w:r w:rsidR="008342C3">
        <w:rPr>
          <w:lang w:val="en-GB"/>
        </w:rPr>
        <w:t xml:space="preserve"> – </w:t>
      </w:r>
      <w:r w:rsidRPr="00CD2EEF">
        <w:rPr>
          <w:lang w:val="en-GB"/>
        </w:rPr>
        <w:t xml:space="preserve">Working Group on Emergencies attended two regular meetings online where the collaboration with WENRA was discussed, in particular the coordination of emergency preparedness (criteria for safeguards, cross-border cooperation, </w:t>
      </w:r>
      <w:r w:rsidR="00420D7C">
        <w:rPr>
          <w:lang w:val="en-GB"/>
        </w:rPr>
        <w:t xml:space="preserve">the </w:t>
      </w:r>
      <w:r w:rsidRPr="00CD2EEF">
        <w:rPr>
          <w:lang w:val="en-GB"/>
        </w:rPr>
        <w:t xml:space="preserve">monitoring strategy for radioactivity during an emergency and </w:t>
      </w:r>
      <w:r w:rsidR="00420D7C">
        <w:rPr>
          <w:lang w:val="en-GB"/>
        </w:rPr>
        <w:t xml:space="preserve">the </w:t>
      </w:r>
      <w:r w:rsidRPr="00CD2EEF">
        <w:rPr>
          <w:lang w:val="en-GB"/>
        </w:rPr>
        <w:t xml:space="preserve">exchange of measurements, etc.). One of the tasks that Slovenia has in this group is to prepare Country Fact Sheets of member states with key information on the preparedness and response to nuclear and radiological disasters in European countries. </w:t>
      </w:r>
    </w:p>
    <w:p w14:paraId="3CC2EC6E" w14:textId="77777777" w:rsidR="00D54273" w:rsidRPr="00CD2EEF" w:rsidRDefault="00D54273" w:rsidP="003D01F1">
      <w:pPr>
        <w:pStyle w:val="LPnaslovkrepko"/>
        <w:rPr>
          <w:lang w:val="en-GB"/>
        </w:rPr>
      </w:pPr>
      <w:r w:rsidRPr="00CD2EEF">
        <w:rPr>
          <w:lang w:val="en-GB"/>
        </w:rPr>
        <w:t>The European Association of Competent Authorities</w:t>
      </w:r>
    </w:p>
    <w:p w14:paraId="1CF4FA93" w14:textId="461CC729" w:rsidR="00D54273" w:rsidRPr="00CD2EEF" w:rsidRDefault="00D54273" w:rsidP="00D12882">
      <w:pPr>
        <w:pStyle w:val="LPnavaden"/>
        <w:rPr>
          <w:lang w:val="en-GB"/>
        </w:rPr>
      </w:pPr>
      <w:r w:rsidRPr="00CD2EEF">
        <w:rPr>
          <w:lang w:val="en-GB"/>
        </w:rPr>
        <w:t>The European Association of Competent Authorities (EACA) is an association that was established in 2008. It consists of regulatory authorities that are responsible for the safe transport of radioactive material. The prime goal of this group is to formulate a common approach to, as well as</w:t>
      </w:r>
      <w:r w:rsidR="00420D7C">
        <w:rPr>
          <w:lang w:val="en-GB"/>
        </w:rPr>
        <w:t xml:space="preserve"> an</w:t>
      </w:r>
      <w:r w:rsidRPr="00CD2EEF">
        <w:rPr>
          <w:lang w:val="en-GB"/>
        </w:rPr>
        <w:t xml:space="preserve"> understanding of, the pertinent legislation in Europe. This has been tackled in various ways – particularly by developing a network of competent authorities for the safe transport of radioactive material, sharing knowledge and good practices amongst members, as well as through dedicated working groups and developing a common understanding and efficient co-operation among authorities</w:t>
      </w:r>
      <w:r w:rsidR="00F21D56">
        <w:rPr>
          <w:lang w:val="en-GB"/>
        </w:rPr>
        <w:t>’</w:t>
      </w:r>
      <w:r w:rsidRPr="00CD2EEF">
        <w:rPr>
          <w:lang w:val="en-GB"/>
        </w:rPr>
        <w:t xml:space="preserve"> experts. Since 2015, when Slovenia was an observer, and fully since 2016, </w:t>
      </w:r>
      <w:r w:rsidR="00A726E8">
        <w:rPr>
          <w:lang w:val="en-GB"/>
        </w:rPr>
        <w:t>the</w:t>
      </w:r>
      <w:r w:rsidR="00E63423">
        <w:rPr>
          <w:lang w:val="en-GB"/>
        </w:rPr>
        <w:t xml:space="preserve"> SNSA</w:t>
      </w:r>
      <w:r w:rsidRPr="00CD2EEF">
        <w:rPr>
          <w:lang w:val="en-GB"/>
        </w:rPr>
        <w:t xml:space="preserve"> has taken part in the work of the EACA. </w:t>
      </w:r>
    </w:p>
    <w:p w14:paraId="7D3D9F3B" w14:textId="35CB4A5B" w:rsidR="00D54273" w:rsidRPr="00CD2EEF" w:rsidRDefault="00D54273" w:rsidP="006B229B">
      <w:pPr>
        <w:pStyle w:val="LPnavaden"/>
        <w:rPr>
          <w:lang w:val="en-GB"/>
        </w:rPr>
      </w:pPr>
      <w:r w:rsidRPr="00CD2EEF">
        <w:rPr>
          <w:lang w:val="en-GB"/>
        </w:rPr>
        <w:t xml:space="preserve">The annual, </w:t>
      </w:r>
      <w:r w:rsidR="00263D93">
        <w:rPr>
          <w:lang w:val="en-GB"/>
        </w:rPr>
        <w:t>“</w:t>
      </w:r>
      <w:r w:rsidRPr="00CD2EEF">
        <w:rPr>
          <w:lang w:val="en-GB"/>
        </w:rPr>
        <w:t>in-person</w:t>
      </w:r>
      <w:r w:rsidR="00263D93">
        <w:rPr>
          <w:lang w:val="en-GB"/>
        </w:rPr>
        <w:t>”</w:t>
      </w:r>
      <w:r w:rsidRPr="00CD2EEF">
        <w:rPr>
          <w:lang w:val="en-GB"/>
        </w:rPr>
        <w:t xml:space="preserve"> meeting of the </w:t>
      </w:r>
      <w:r w:rsidR="00420D7C">
        <w:rPr>
          <w:lang w:val="en-GB"/>
        </w:rPr>
        <w:t>A</w:t>
      </w:r>
      <w:r w:rsidRPr="00CD2EEF">
        <w:rPr>
          <w:lang w:val="en-GB"/>
        </w:rPr>
        <w:t xml:space="preserve">ssociation, scheduled for 2021 </w:t>
      </w:r>
      <w:r w:rsidR="00B159A4">
        <w:rPr>
          <w:lang w:val="en-GB"/>
        </w:rPr>
        <w:t>was</w:t>
      </w:r>
      <w:r w:rsidRPr="00CD2EEF">
        <w:rPr>
          <w:lang w:val="en-GB"/>
        </w:rPr>
        <w:t xml:space="preserve"> (again) postponed </w:t>
      </w:r>
      <w:r w:rsidR="00B159A4">
        <w:rPr>
          <w:lang w:val="en-GB"/>
        </w:rPr>
        <w:t>until</w:t>
      </w:r>
      <w:r w:rsidR="00B159A4" w:rsidRPr="00CD2EEF">
        <w:rPr>
          <w:lang w:val="en-GB"/>
        </w:rPr>
        <w:t xml:space="preserve"> </w:t>
      </w:r>
      <w:r w:rsidRPr="00CD2EEF">
        <w:rPr>
          <w:lang w:val="en-GB"/>
        </w:rPr>
        <w:t xml:space="preserve">2022. Nevertheless, two virtual meetings were held in May and October. They were devoted to a number of themes, e.g. denials of shipments of radioactive material, national transport-related approaches and briefings, co-operation with </w:t>
      </w:r>
      <w:r w:rsidR="00420D7C">
        <w:rPr>
          <w:lang w:val="en-GB"/>
        </w:rPr>
        <w:t xml:space="preserve">the </w:t>
      </w:r>
      <w:r w:rsidRPr="00CD2EEF">
        <w:rPr>
          <w:lang w:val="en-GB"/>
        </w:rPr>
        <w:t>IAEA (TRANSSC), etc. The representatives were active in reviewing some changes brought up by the ADR-2021 revision.</w:t>
      </w:r>
    </w:p>
    <w:p w14:paraId="4012A5BA" w14:textId="1F339548" w:rsidR="00D54273" w:rsidRPr="00CD2EEF" w:rsidRDefault="00D54273" w:rsidP="00C963B0">
      <w:pPr>
        <w:pStyle w:val="LPVirienojni"/>
        <w:ind w:left="0" w:firstLine="0"/>
        <w:rPr>
          <w:lang w:val="en-GB"/>
        </w:rPr>
      </w:pPr>
      <w:r w:rsidRPr="00CD2EEF">
        <w:rPr>
          <w:lang w:val="en-GB"/>
        </w:rPr>
        <w:t>Reference: [</w:t>
      </w:r>
      <w:hyperlink w:anchor="r59" w:history="1">
        <w:r w:rsidRPr="00CD2EEF">
          <w:rPr>
            <w:rStyle w:val="Hiperpovezava"/>
            <w:lang w:val="en-GB"/>
          </w:rPr>
          <w:t>59</w:t>
        </w:r>
      </w:hyperlink>
      <w:r w:rsidRPr="00CD2EEF">
        <w:rPr>
          <w:lang w:val="en-GB"/>
        </w:rPr>
        <w:t xml:space="preserve">] </w:t>
      </w:r>
    </w:p>
    <w:p w14:paraId="266C9DD3" w14:textId="77777777" w:rsidR="00D54273" w:rsidRPr="00CD2EEF" w:rsidRDefault="00D54273" w:rsidP="003D01F1">
      <w:pPr>
        <w:pStyle w:val="LPnaslovkrepko"/>
        <w:rPr>
          <w:lang w:val="en-GB"/>
        </w:rPr>
      </w:pPr>
      <w:r w:rsidRPr="00CD2EEF">
        <w:rPr>
          <w:lang w:val="en-GB"/>
        </w:rPr>
        <w:t xml:space="preserve">The European ALARA Network </w:t>
      </w:r>
    </w:p>
    <w:p w14:paraId="2FEF658B" w14:textId="77777777" w:rsidR="00D54273" w:rsidRPr="00CD2EEF" w:rsidRDefault="00D54273" w:rsidP="00EC4FDC">
      <w:pPr>
        <w:pStyle w:val="LPnavaden"/>
        <w:rPr>
          <w:lang w:val="en-GB"/>
        </w:rPr>
      </w:pPr>
      <w:r w:rsidRPr="00CD2EEF">
        <w:rPr>
          <w:lang w:val="en-GB"/>
        </w:rPr>
        <w:t xml:space="preserve">Along with 20 other European countries, Slovenia participates in the European ALARA Network (EAN). The EAN is dedicated to optimising radiation protection and sharing good ALARA practices in industry, research, and medicine. In the framework of the EAN, international workshops on specific fields are organised. In addition, the EAN issues a newsletter on practical implementation of the ALARA principle, examples of good practices, and other news on radiation protection. The EAN plays an active role in studies conducted by the European Commission and other international organisations in the field of radiation protection. The network is also involved in other aspects of implementing the ALARA principle in practice. There are several sub-networks within the framework of the EAN. The SRPA is active in the ERPAN (the European Radiation Protection Authorities Network), which is dedicated to the exchange of operational information on surveillance and measures in radiation protection. </w:t>
      </w:r>
    </w:p>
    <w:p w14:paraId="0E1760B0" w14:textId="47200886" w:rsidR="00D54273" w:rsidRPr="00CD2EEF" w:rsidRDefault="00D54273" w:rsidP="00EC4FDC">
      <w:pPr>
        <w:pStyle w:val="LPVirienojni"/>
        <w:rPr>
          <w:lang w:val="en-GB"/>
        </w:rPr>
      </w:pPr>
      <w:r w:rsidRPr="00CD2EEF">
        <w:rPr>
          <w:lang w:val="en-GB"/>
        </w:rPr>
        <w:t>Reference: [</w:t>
      </w:r>
      <w:hyperlink w:anchor="r15" w:history="1">
        <w:r w:rsidRPr="00CD2EEF">
          <w:rPr>
            <w:rStyle w:val="Hiperpovezava"/>
            <w:lang w:val="en-GB"/>
          </w:rPr>
          <w:t>15</w:t>
        </w:r>
      </w:hyperlink>
      <w:r w:rsidRPr="00CD2EEF">
        <w:rPr>
          <w:lang w:val="en-GB"/>
        </w:rPr>
        <w:t xml:space="preserve">] </w:t>
      </w:r>
    </w:p>
    <w:p w14:paraId="31E4F596" w14:textId="77777777" w:rsidR="00D54273" w:rsidRPr="00CD2EEF" w:rsidRDefault="00D54273" w:rsidP="00AC142E">
      <w:pPr>
        <w:pStyle w:val="LPNaslov2"/>
        <w:rPr>
          <w:lang w:val="en-GB"/>
        </w:rPr>
      </w:pPr>
      <w:bookmarkStart w:id="453" w:name="_Toc74219399"/>
      <w:bookmarkStart w:id="454" w:name="_Toc106616663"/>
      <w:bookmarkStart w:id="455" w:name="_Toc108088191"/>
      <w:bookmarkStart w:id="456" w:name="_Toc126312061"/>
      <w:r w:rsidRPr="00CD2EEF">
        <w:rPr>
          <w:lang w:val="en-GB"/>
        </w:rPr>
        <w:t>AGREEMENT ON THE CO-OWNERSHIP OF THE KRŠKO NUCLEAR POWER PLANT</w:t>
      </w:r>
      <w:bookmarkEnd w:id="453"/>
      <w:bookmarkEnd w:id="454"/>
      <w:bookmarkEnd w:id="455"/>
      <w:bookmarkEnd w:id="456"/>
    </w:p>
    <w:p w14:paraId="37AE576E" w14:textId="3DCFC5A0" w:rsidR="00D54273" w:rsidRPr="00CD2EEF" w:rsidRDefault="00D54273" w:rsidP="009B01A2">
      <w:pPr>
        <w:pStyle w:val="LPnavaden"/>
        <w:rPr>
          <w:lang w:val="en-GB"/>
        </w:rPr>
      </w:pPr>
      <w:r w:rsidRPr="00CD2EEF">
        <w:rPr>
          <w:rStyle w:val="LPpobarvan2"/>
          <w:shd w:val="clear" w:color="auto" w:fill="auto"/>
          <w:lang w:val="en-GB"/>
        </w:rPr>
        <w:t xml:space="preserve">In 2021, the Intergovernmental Commission of </w:t>
      </w:r>
      <w:r w:rsidR="001B146F">
        <w:rPr>
          <w:rStyle w:val="LPpobarvan2"/>
          <w:shd w:val="clear" w:color="auto" w:fill="auto"/>
          <w:lang w:val="en-GB"/>
        </w:rPr>
        <w:t>the Krško NPP</w:t>
      </w:r>
      <w:r w:rsidRPr="00CD2EEF">
        <w:rPr>
          <w:rStyle w:val="LPpobarvan2"/>
          <w:shd w:val="clear" w:color="auto" w:fill="auto"/>
          <w:lang w:val="en-GB"/>
        </w:rPr>
        <w:t xml:space="preserve"> met only once at a meeting in Bled on 20 October 2021. </w:t>
      </w:r>
      <w:r w:rsidRPr="00CD2EEF">
        <w:rPr>
          <w:lang w:val="en-GB"/>
        </w:rPr>
        <w:t xml:space="preserve">The Intergovernmental Commission discussed the operations of </w:t>
      </w:r>
      <w:r w:rsidR="001B146F">
        <w:rPr>
          <w:lang w:val="en-GB"/>
        </w:rPr>
        <w:t xml:space="preserve">the Krško </w:t>
      </w:r>
      <w:r w:rsidR="001B146F" w:rsidRPr="008C07B3">
        <w:rPr>
          <w:lang w:val="en-GB"/>
        </w:rPr>
        <w:t>NPP</w:t>
      </w:r>
      <w:r w:rsidRPr="008C07B3">
        <w:rPr>
          <w:lang w:val="en-GB"/>
        </w:rPr>
        <w:t xml:space="preserve"> </w:t>
      </w:r>
      <w:r w:rsidR="008C07B3" w:rsidRPr="008C07B3">
        <w:rPr>
          <w:lang w:val="en-GB"/>
        </w:rPr>
        <w:t>since</w:t>
      </w:r>
      <w:r w:rsidRPr="008C07B3">
        <w:rPr>
          <w:lang w:val="en-GB"/>
        </w:rPr>
        <w:t xml:space="preserve"> its</w:t>
      </w:r>
      <w:r w:rsidR="008C07B3" w:rsidRPr="008C07B3">
        <w:rPr>
          <w:lang w:val="en-GB"/>
        </w:rPr>
        <w:t xml:space="preserve"> previous</w:t>
      </w:r>
      <w:r w:rsidRPr="008C07B3">
        <w:rPr>
          <w:lang w:val="en-GB"/>
        </w:rPr>
        <w:t xml:space="preserve"> 14</w:t>
      </w:r>
      <w:r w:rsidRPr="008C07B3">
        <w:rPr>
          <w:vertAlign w:val="superscript"/>
          <w:lang w:val="en-GB"/>
        </w:rPr>
        <w:t>th</w:t>
      </w:r>
      <w:r w:rsidRPr="008C07B3">
        <w:rPr>
          <w:lang w:val="en-GB"/>
        </w:rPr>
        <w:t xml:space="preserve"> session on the</w:t>
      </w:r>
      <w:r w:rsidRPr="00CD2EEF">
        <w:rPr>
          <w:lang w:val="en-GB"/>
        </w:rPr>
        <w:t xml:space="preserve"> fulfilment of the objectives of the third revision of </w:t>
      </w:r>
      <w:r w:rsidR="001B146F">
        <w:rPr>
          <w:lang w:val="en-GB"/>
        </w:rPr>
        <w:t>the Krško NPP</w:t>
      </w:r>
      <w:r w:rsidRPr="00CD2EEF">
        <w:rPr>
          <w:lang w:val="en-GB"/>
        </w:rPr>
        <w:t xml:space="preserve"> Decommissioning </w:t>
      </w:r>
      <w:r w:rsidR="00AF06F8">
        <w:rPr>
          <w:lang w:val="en-GB"/>
        </w:rPr>
        <w:t xml:space="preserve">Programme </w:t>
      </w:r>
      <w:r w:rsidRPr="00CD2EEF">
        <w:rPr>
          <w:lang w:val="en-GB"/>
        </w:rPr>
        <w:t xml:space="preserve">and the </w:t>
      </w:r>
      <w:r w:rsidR="00AF06F8">
        <w:rPr>
          <w:lang w:val="en-GB"/>
        </w:rPr>
        <w:t xml:space="preserve">Programme </w:t>
      </w:r>
      <w:r w:rsidRPr="00CD2EEF">
        <w:rPr>
          <w:lang w:val="en-GB"/>
        </w:rPr>
        <w:t xml:space="preserve">for the Disposal of Radioactive Waste and Spent Nuclear Fuel from </w:t>
      </w:r>
      <w:r w:rsidR="001B146F">
        <w:rPr>
          <w:lang w:val="en-GB"/>
        </w:rPr>
        <w:t>the Krško NPP</w:t>
      </w:r>
      <w:r w:rsidRPr="00CD2EEF">
        <w:rPr>
          <w:lang w:val="en-GB"/>
        </w:rPr>
        <w:t xml:space="preserve">, the start of the preparation of the fourth revision of </w:t>
      </w:r>
      <w:r w:rsidR="001B146F">
        <w:rPr>
          <w:lang w:val="en-GB"/>
        </w:rPr>
        <w:t>the Krško NPP</w:t>
      </w:r>
      <w:r w:rsidRPr="00CD2EEF">
        <w:rPr>
          <w:lang w:val="en-GB"/>
        </w:rPr>
        <w:t xml:space="preserve"> Decommissioning </w:t>
      </w:r>
      <w:r w:rsidR="00AF06F8">
        <w:rPr>
          <w:lang w:val="en-GB"/>
        </w:rPr>
        <w:t xml:space="preserve">Programme </w:t>
      </w:r>
      <w:r w:rsidRPr="00CD2EEF">
        <w:rPr>
          <w:lang w:val="en-GB"/>
        </w:rPr>
        <w:t xml:space="preserve">and the </w:t>
      </w:r>
      <w:r w:rsidR="00AF06F8">
        <w:rPr>
          <w:lang w:val="en-GB"/>
        </w:rPr>
        <w:t xml:space="preserve">Programme </w:t>
      </w:r>
      <w:r w:rsidRPr="00CD2EEF">
        <w:rPr>
          <w:lang w:val="en-GB"/>
        </w:rPr>
        <w:t xml:space="preserve">for the Disposal of Radioactive Waste and Spent Nuclear Fuel from </w:t>
      </w:r>
      <w:r w:rsidR="001B146F">
        <w:rPr>
          <w:lang w:val="en-GB"/>
        </w:rPr>
        <w:t>the Krško NPP</w:t>
      </w:r>
      <w:r w:rsidRPr="00CD2EEF">
        <w:rPr>
          <w:lang w:val="en-GB"/>
        </w:rPr>
        <w:t xml:space="preserve">, and a report on the state of funds </w:t>
      </w:r>
      <w:r w:rsidRPr="00CD2EEF">
        <w:rPr>
          <w:lang w:val="en-GB"/>
        </w:rPr>
        <w:lastRenderedPageBreak/>
        <w:t xml:space="preserve">collected in the Slovenian and Croatian funds for financing the decommissioning and storage of </w:t>
      </w:r>
      <w:r w:rsidR="00E739FB">
        <w:rPr>
          <w:lang w:val="en-GB"/>
        </w:rPr>
        <w:t xml:space="preserve">the </w:t>
      </w:r>
      <w:r w:rsidRPr="00CD2EEF">
        <w:rPr>
          <w:lang w:val="en-GB"/>
        </w:rPr>
        <w:t xml:space="preserve">radioactive waste and spent nuclear fuel of </w:t>
      </w:r>
      <w:r w:rsidR="001B146F">
        <w:rPr>
          <w:lang w:val="en-GB"/>
        </w:rPr>
        <w:t>the Krško NPP</w:t>
      </w:r>
      <w:r w:rsidRPr="00CD2EEF">
        <w:rPr>
          <w:lang w:val="en-GB"/>
        </w:rPr>
        <w:t>.</w:t>
      </w:r>
    </w:p>
    <w:p w14:paraId="365CEBEE" w14:textId="691FE3C6" w:rsidR="00D54273" w:rsidRPr="00CD2EEF" w:rsidRDefault="00D54273" w:rsidP="009B01A2">
      <w:pPr>
        <w:pStyle w:val="LPnavaden"/>
        <w:rPr>
          <w:lang w:val="en-GB"/>
        </w:rPr>
      </w:pPr>
      <w:r w:rsidRPr="00CD2EEF">
        <w:rPr>
          <w:lang w:val="en-GB"/>
        </w:rPr>
        <w:t xml:space="preserve">The Intergovernmental Commission received a report from </w:t>
      </w:r>
      <w:r w:rsidR="001B146F">
        <w:rPr>
          <w:lang w:val="en-GB"/>
        </w:rPr>
        <w:t>the Krško NPP</w:t>
      </w:r>
      <w:r w:rsidR="00F21D56">
        <w:rPr>
          <w:lang w:val="en-GB"/>
        </w:rPr>
        <w:t>’</w:t>
      </w:r>
      <w:r w:rsidRPr="00CD2EEF">
        <w:rPr>
          <w:lang w:val="en-GB"/>
        </w:rPr>
        <w:t xml:space="preserve">s management regarding the operations of the plant and assessed that </w:t>
      </w:r>
      <w:r w:rsidR="001B146F">
        <w:rPr>
          <w:lang w:val="en-GB"/>
        </w:rPr>
        <w:t>the Krško NPP</w:t>
      </w:r>
      <w:r w:rsidRPr="00CD2EEF">
        <w:rPr>
          <w:lang w:val="en-GB"/>
        </w:rPr>
        <w:t xml:space="preserve"> achieved excellent work, safety</w:t>
      </w:r>
      <w:r w:rsidR="00DC2C02">
        <w:rPr>
          <w:lang w:val="en-GB"/>
        </w:rPr>
        <w:t>,</w:t>
      </w:r>
      <w:r w:rsidRPr="00CD2EEF">
        <w:rPr>
          <w:lang w:val="en-GB"/>
        </w:rPr>
        <w:t xml:space="preserve"> and economic results</w:t>
      </w:r>
      <w:r w:rsidR="002B2C98">
        <w:rPr>
          <w:lang w:val="en-GB"/>
        </w:rPr>
        <w:t>,</w:t>
      </w:r>
      <w:r w:rsidRPr="00CD2EEF">
        <w:rPr>
          <w:lang w:val="en-GB"/>
        </w:rPr>
        <w:t xml:space="preserve"> and operated responsibly, safely, and reliably.</w:t>
      </w:r>
    </w:p>
    <w:p w14:paraId="25D3E28D" w14:textId="5A33159E" w:rsidR="00D54273" w:rsidRPr="00CD2EEF" w:rsidRDefault="00D54273" w:rsidP="009B01A2">
      <w:pPr>
        <w:pStyle w:val="LPnavaden"/>
        <w:rPr>
          <w:lang w:val="en-GB"/>
        </w:rPr>
      </w:pPr>
      <w:r w:rsidRPr="00CD2EEF">
        <w:rPr>
          <w:lang w:val="en-GB"/>
        </w:rPr>
        <w:t>At the 15</w:t>
      </w:r>
      <w:r w:rsidRPr="00CD2EEF">
        <w:rPr>
          <w:vertAlign w:val="superscript"/>
          <w:lang w:val="en-GB"/>
        </w:rPr>
        <w:t>th</w:t>
      </w:r>
      <w:r w:rsidRPr="00CD2EEF">
        <w:rPr>
          <w:lang w:val="en-GB"/>
        </w:rPr>
        <w:t xml:space="preserve"> session, the Intergovernmental Commission also appointed a Coordination Committee to monitor the takeover of </w:t>
      </w:r>
      <w:r w:rsidR="005D713B" w:rsidRPr="008C07B3">
        <w:rPr>
          <w:lang w:val="en-GB"/>
        </w:rPr>
        <w:t xml:space="preserve">low- and intermediate-level radioactive waste </w:t>
      </w:r>
      <w:r w:rsidRPr="007556FC">
        <w:rPr>
          <w:lang w:val="en-GB"/>
        </w:rPr>
        <w:t>from</w:t>
      </w:r>
      <w:r w:rsidRPr="00CD2EEF">
        <w:rPr>
          <w:lang w:val="en-GB"/>
        </w:rPr>
        <w:t xml:space="preserve"> </w:t>
      </w:r>
      <w:r w:rsidR="001B146F">
        <w:rPr>
          <w:lang w:val="en-GB"/>
        </w:rPr>
        <w:t>the Krško NPP</w:t>
      </w:r>
      <w:r w:rsidRPr="00CD2EEF">
        <w:rPr>
          <w:lang w:val="en-GB"/>
        </w:rPr>
        <w:t xml:space="preserve"> in </w:t>
      </w:r>
      <w:r w:rsidRPr="008C07B3">
        <w:rPr>
          <w:lang w:val="en-GB"/>
        </w:rPr>
        <w:t>2023</w:t>
      </w:r>
      <w:r w:rsidR="008C07B3">
        <w:rPr>
          <w:lang w:val="en-GB"/>
        </w:rPr>
        <w:t>-</w:t>
      </w:r>
      <w:r w:rsidRPr="008C07B3">
        <w:rPr>
          <w:lang w:val="en-GB"/>
        </w:rPr>
        <w:t>25</w:t>
      </w:r>
      <w:r w:rsidRPr="00CD2EEF">
        <w:rPr>
          <w:lang w:val="en-GB"/>
        </w:rPr>
        <w:t xml:space="preserve"> by </w:t>
      </w:r>
      <w:r w:rsidR="00DC2C02">
        <w:rPr>
          <w:lang w:val="en-GB"/>
        </w:rPr>
        <w:t xml:space="preserve">the </w:t>
      </w:r>
      <w:r w:rsidRPr="00CD2EEF">
        <w:rPr>
          <w:lang w:val="en-GB"/>
        </w:rPr>
        <w:t xml:space="preserve">Slovenian Radwaste Agency and the Croatian Fund, and to monitor the preparation of the fourth revision of </w:t>
      </w:r>
      <w:r w:rsidR="001B146F">
        <w:rPr>
          <w:lang w:val="en-GB"/>
        </w:rPr>
        <w:t>the Krško NPP</w:t>
      </w:r>
      <w:r w:rsidRPr="00CD2EEF">
        <w:rPr>
          <w:lang w:val="en-GB"/>
        </w:rPr>
        <w:t xml:space="preserve"> Decommissioning </w:t>
      </w:r>
      <w:r w:rsidR="00AF06F8">
        <w:rPr>
          <w:lang w:val="en-GB"/>
        </w:rPr>
        <w:t xml:space="preserve">Programme </w:t>
      </w:r>
      <w:r w:rsidRPr="00CD2EEF">
        <w:rPr>
          <w:lang w:val="en-GB"/>
        </w:rPr>
        <w:t xml:space="preserve">and the </w:t>
      </w:r>
      <w:r w:rsidR="00AF06F8">
        <w:rPr>
          <w:lang w:val="en-GB"/>
        </w:rPr>
        <w:t xml:space="preserve">Programme </w:t>
      </w:r>
      <w:r w:rsidRPr="00CD2EEF">
        <w:rPr>
          <w:lang w:val="en-GB"/>
        </w:rPr>
        <w:t xml:space="preserve">for </w:t>
      </w:r>
      <w:r w:rsidR="00DC2C02">
        <w:rPr>
          <w:lang w:val="en-GB"/>
        </w:rPr>
        <w:t xml:space="preserve">the </w:t>
      </w:r>
      <w:r w:rsidRPr="00CD2EEF">
        <w:rPr>
          <w:lang w:val="en-GB"/>
        </w:rPr>
        <w:t xml:space="preserve">Disposal of Radioactive Waste and Spent Nuclear Fuel from </w:t>
      </w:r>
      <w:r w:rsidR="001B146F">
        <w:rPr>
          <w:lang w:val="en-GB"/>
        </w:rPr>
        <w:t>the Krško NPP</w:t>
      </w:r>
      <w:r w:rsidRPr="00CD2EEF">
        <w:rPr>
          <w:lang w:val="en-GB"/>
        </w:rPr>
        <w:t xml:space="preserve">. The Coordination Committee, together with </w:t>
      </w:r>
      <w:r w:rsidR="001B146F">
        <w:rPr>
          <w:lang w:val="en-GB"/>
        </w:rPr>
        <w:t>the Krško NPP</w:t>
      </w:r>
      <w:r w:rsidRPr="00CD2EEF">
        <w:rPr>
          <w:lang w:val="en-GB"/>
        </w:rPr>
        <w:t xml:space="preserve">, </w:t>
      </w:r>
      <w:r w:rsidR="00DC2C02">
        <w:rPr>
          <w:lang w:val="en-GB"/>
        </w:rPr>
        <w:t xml:space="preserve">the </w:t>
      </w:r>
      <w:r w:rsidRPr="00CD2EEF">
        <w:rPr>
          <w:lang w:val="en-GB"/>
        </w:rPr>
        <w:t>Radwaste Agency</w:t>
      </w:r>
      <w:r w:rsidR="00DC2C02">
        <w:rPr>
          <w:lang w:val="en-GB"/>
        </w:rPr>
        <w:t>,</w:t>
      </w:r>
      <w:r w:rsidRPr="00CD2EEF">
        <w:rPr>
          <w:lang w:val="en-GB"/>
        </w:rPr>
        <w:t xml:space="preserve"> and the Fund, was tasked with preparing a report by the next Intergovernmental Commission</w:t>
      </w:r>
      <w:r w:rsidR="00F21D56">
        <w:rPr>
          <w:lang w:val="en-GB"/>
        </w:rPr>
        <w:t>’</w:t>
      </w:r>
      <w:r w:rsidRPr="00CD2EEF">
        <w:rPr>
          <w:lang w:val="en-GB"/>
        </w:rPr>
        <w:t xml:space="preserve">s session on the activities related to the handover </w:t>
      </w:r>
      <w:r w:rsidRPr="007556FC">
        <w:rPr>
          <w:lang w:val="en-GB"/>
        </w:rPr>
        <w:t xml:space="preserve">of </w:t>
      </w:r>
      <w:r w:rsidR="005D713B" w:rsidRPr="008C07B3">
        <w:rPr>
          <w:lang w:val="en-GB"/>
        </w:rPr>
        <w:t xml:space="preserve">low- and intermediate-level radioactive waste </w:t>
      </w:r>
      <w:r w:rsidRPr="007556FC">
        <w:rPr>
          <w:lang w:val="en-GB"/>
        </w:rPr>
        <w:t xml:space="preserve">from </w:t>
      </w:r>
      <w:r w:rsidR="001B146F" w:rsidRPr="007556FC">
        <w:rPr>
          <w:lang w:val="en-GB"/>
        </w:rPr>
        <w:t>the</w:t>
      </w:r>
      <w:r w:rsidR="001B146F">
        <w:rPr>
          <w:lang w:val="en-GB"/>
        </w:rPr>
        <w:t xml:space="preserve"> Krško NPP</w:t>
      </w:r>
      <w:r w:rsidRPr="00CD2EEF">
        <w:rPr>
          <w:lang w:val="en-GB"/>
        </w:rPr>
        <w:t xml:space="preserve"> to the Radwaste Agency and the Fund in the years </w:t>
      </w:r>
      <w:r w:rsidRPr="008C07B3">
        <w:rPr>
          <w:lang w:val="en-GB"/>
        </w:rPr>
        <w:t>2023</w:t>
      </w:r>
      <w:r w:rsidR="008C07B3">
        <w:rPr>
          <w:lang w:val="en-GB"/>
        </w:rPr>
        <w:t>-</w:t>
      </w:r>
      <w:r w:rsidRPr="008C07B3">
        <w:rPr>
          <w:lang w:val="en-GB"/>
        </w:rPr>
        <w:t>25</w:t>
      </w:r>
      <w:r w:rsidRPr="00CD2EEF">
        <w:rPr>
          <w:lang w:val="en-GB"/>
        </w:rPr>
        <w:t xml:space="preserve">. The Intergovernmental Commission also instructed the Coordination Committee to coordinate the agreement regarding the servicing of the </w:t>
      </w:r>
      <w:r w:rsidR="005D713B" w:rsidRPr="008C07B3">
        <w:rPr>
          <w:lang w:val="en-GB"/>
        </w:rPr>
        <w:t xml:space="preserve">low- and intermediate-level radioactive waste </w:t>
      </w:r>
      <w:r w:rsidRPr="007556FC">
        <w:rPr>
          <w:lang w:val="en-GB"/>
        </w:rPr>
        <w:t>takeover at</w:t>
      </w:r>
      <w:r w:rsidRPr="00CD2EEF">
        <w:rPr>
          <w:lang w:val="en-GB"/>
        </w:rPr>
        <w:t xml:space="preserve"> </w:t>
      </w:r>
      <w:r w:rsidR="001B146F">
        <w:rPr>
          <w:lang w:val="en-GB"/>
        </w:rPr>
        <w:t>the Krško NPP</w:t>
      </w:r>
      <w:r w:rsidRPr="00CD2EEF">
        <w:rPr>
          <w:lang w:val="en-GB"/>
        </w:rPr>
        <w:t xml:space="preserve"> site in an appropriate form at the expense of one </w:t>
      </w:r>
      <w:r w:rsidR="00DC2C02">
        <w:rPr>
          <w:lang w:val="en-GB"/>
        </w:rPr>
        <w:t>and/</w:t>
      </w:r>
      <w:r w:rsidRPr="00CD2EEF">
        <w:rPr>
          <w:lang w:val="en-GB"/>
        </w:rPr>
        <w:t xml:space="preserve">or the other party. Meeting the acceptance criteria for disposal or long-term storage remains the responsibility and </w:t>
      </w:r>
      <w:r w:rsidR="00F81D6B">
        <w:rPr>
          <w:lang w:val="en-GB"/>
        </w:rPr>
        <w:t xml:space="preserve">under the </w:t>
      </w:r>
      <w:r w:rsidRPr="00CD2EEF">
        <w:rPr>
          <w:lang w:val="en-GB"/>
        </w:rPr>
        <w:t xml:space="preserve">authority of the ARAO and the Fund. The Intergovernmental Commission also took note of the reports on the state of funds collected in the Slovenian and Croatian funds for financing the decommissioning and storage of </w:t>
      </w:r>
      <w:r w:rsidR="00F81D6B">
        <w:rPr>
          <w:lang w:val="en-GB"/>
        </w:rPr>
        <w:t xml:space="preserve">the </w:t>
      </w:r>
      <w:r w:rsidRPr="00CD2EEF">
        <w:rPr>
          <w:lang w:val="en-GB"/>
        </w:rPr>
        <w:t xml:space="preserve">radioactive waste and spent nuclear fuel of </w:t>
      </w:r>
      <w:r w:rsidR="001B146F">
        <w:rPr>
          <w:lang w:val="en-GB"/>
        </w:rPr>
        <w:t>the Krško NPP</w:t>
      </w:r>
      <w:r w:rsidRPr="00CD2EEF">
        <w:rPr>
          <w:lang w:val="en-GB"/>
        </w:rPr>
        <w:t xml:space="preserve"> as of 31 December 2020.</w:t>
      </w:r>
    </w:p>
    <w:p w14:paraId="4CA713F0" w14:textId="6782AAFC" w:rsidR="00D54273" w:rsidRPr="00CD2EEF" w:rsidRDefault="00D54273" w:rsidP="009B01A2">
      <w:pPr>
        <w:pStyle w:val="LPVirienojni"/>
        <w:rPr>
          <w:lang w:val="en-GB"/>
        </w:rPr>
      </w:pPr>
      <w:r w:rsidRPr="00CD2EEF">
        <w:rPr>
          <w:lang w:val="en-GB"/>
        </w:rPr>
        <w:t>Reference: [</w:t>
      </w:r>
      <w:hyperlink w:anchor="r60" w:history="1">
        <w:r w:rsidRPr="00CD2EEF">
          <w:rPr>
            <w:rStyle w:val="Hiperpovezava"/>
            <w:lang w:val="en-GB"/>
          </w:rPr>
          <w:t>60</w:t>
        </w:r>
      </w:hyperlink>
      <w:r w:rsidRPr="00CD2EEF">
        <w:rPr>
          <w:lang w:val="en-GB"/>
        </w:rPr>
        <w:t xml:space="preserve">] </w:t>
      </w:r>
    </w:p>
    <w:p w14:paraId="40B4BA6D" w14:textId="77777777" w:rsidR="00D54273" w:rsidRPr="00CD2EEF" w:rsidRDefault="00D54273" w:rsidP="00AC142E">
      <w:pPr>
        <w:pStyle w:val="LPNaslov2"/>
        <w:rPr>
          <w:lang w:val="en-GB"/>
        </w:rPr>
      </w:pPr>
      <w:bookmarkStart w:id="457" w:name="_Toc44570744"/>
      <w:bookmarkStart w:id="458" w:name="_Toc74219400"/>
      <w:bookmarkStart w:id="459" w:name="_Toc106616664"/>
      <w:bookmarkStart w:id="460" w:name="_Toc108088192"/>
      <w:bookmarkStart w:id="461" w:name="_Toc126312062"/>
      <w:r w:rsidRPr="00CD2EEF">
        <w:rPr>
          <w:lang w:val="en-GB"/>
        </w:rPr>
        <w:t>COOPERATION WITHIN THE FRAMEWORK OF INTERNATIONAL AGREEMENTS</w:t>
      </w:r>
      <w:bookmarkEnd w:id="457"/>
      <w:bookmarkEnd w:id="458"/>
      <w:bookmarkEnd w:id="459"/>
      <w:bookmarkEnd w:id="460"/>
      <w:bookmarkEnd w:id="461"/>
    </w:p>
    <w:p w14:paraId="7060B213" w14:textId="59F686C3" w:rsidR="00D54273" w:rsidRPr="00CD2EEF" w:rsidRDefault="00D54273" w:rsidP="00AC142E">
      <w:pPr>
        <w:pStyle w:val="LPNaslov3"/>
        <w:rPr>
          <w:lang w:val="en-GB"/>
        </w:rPr>
      </w:pPr>
      <w:bookmarkStart w:id="462" w:name="_Toc106616665"/>
      <w:bookmarkStart w:id="463" w:name="_Toc108088193"/>
      <w:bookmarkStart w:id="464" w:name="_Toc126312063"/>
      <w:r w:rsidRPr="00CD2EEF">
        <w:rPr>
          <w:lang w:val="en-GB"/>
        </w:rPr>
        <w:t xml:space="preserve">Bilateral </w:t>
      </w:r>
      <w:r w:rsidR="00717416">
        <w:rPr>
          <w:lang w:val="en-GB"/>
        </w:rPr>
        <w:t>A</w:t>
      </w:r>
      <w:r w:rsidRPr="00CD2EEF">
        <w:rPr>
          <w:lang w:val="en-GB"/>
        </w:rPr>
        <w:t>greements</w:t>
      </w:r>
      <w:bookmarkEnd w:id="462"/>
      <w:bookmarkEnd w:id="463"/>
      <w:bookmarkEnd w:id="464"/>
    </w:p>
    <w:p w14:paraId="489C71DF" w14:textId="74D14635" w:rsidR="00D54273" w:rsidRPr="00CD2EEF" w:rsidRDefault="00D54273" w:rsidP="00346594">
      <w:pPr>
        <w:pStyle w:val="LPnavaden"/>
        <w:rPr>
          <w:lang w:val="en-GB"/>
        </w:rPr>
      </w:pPr>
      <w:r w:rsidRPr="00CD2EEF">
        <w:rPr>
          <w:lang w:val="en-GB"/>
        </w:rPr>
        <w:t xml:space="preserve">In 2021, the regular annual meeting of the nuclear regulatory bodies of the Czech Republic, Hungary, Slovakia, and Slovenia, which all have bilateral agreements with each other, </w:t>
      </w:r>
      <w:r w:rsidR="00457753">
        <w:rPr>
          <w:lang w:val="en-GB"/>
        </w:rPr>
        <w:t xml:space="preserve">i.e. </w:t>
      </w:r>
      <w:r w:rsidRPr="00CD2EEF">
        <w:rPr>
          <w:lang w:val="en-GB"/>
        </w:rPr>
        <w:t>the so-called Quadrilateral Meeting, did not take place. The main objective of such meetings is to share experiences and inform each other of important developments in the field of nuclear safety. Therefore, the participating countries only exchanged short written summaries of the important events.</w:t>
      </w:r>
    </w:p>
    <w:p w14:paraId="34C9524D" w14:textId="15A25CE0" w:rsidR="00D54273" w:rsidRPr="00CD2EEF" w:rsidRDefault="00D54273" w:rsidP="000F2C10">
      <w:pPr>
        <w:pStyle w:val="LPnavaden"/>
        <w:rPr>
          <w:lang w:val="en-GB"/>
        </w:rPr>
      </w:pPr>
      <w:r w:rsidRPr="00CD2EEF">
        <w:rPr>
          <w:lang w:val="en-GB"/>
        </w:rPr>
        <w:t xml:space="preserve">The annual meeting between the representatives of Austria and Slovenia in accordance with the agreement on early notification and issues of common interest in the field of nuclear and radiological safety was held on 4 and 5 October 2021 in Ljubljana. The participants exchanged information, experiences, and updates in the areas of legislation, radiological monitoring, emergency preparedness, radioactive waste management, the operation of research reactors in both countries and </w:t>
      </w:r>
      <w:r w:rsidR="001B146F">
        <w:rPr>
          <w:lang w:val="en-GB"/>
        </w:rPr>
        <w:t>the Krško NPP</w:t>
      </w:r>
      <w:r w:rsidRPr="00CD2EEF">
        <w:rPr>
          <w:lang w:val="en-GB"/>
        </w:rPr>
        <w:t xml:space="preserve">. Both countries have concluded the transposition of the provisions of the relevant European Union directives into domestic legislation, and the Austrian delegation also reported </w:t>
      </w:r>
      <w:r w:rsidR="004B1D5A">
        <w:rPr>
          <w:lang w:val="en-GB"/>
        </w:rPr>
        <w:t>on</w:t>
      </w:r>
      <w:r w:rsidR="004B1D5A" w:rsidRPr="00CD2EEF">
        <w:rPr>
          <w:lang w:val="en-GB"/>
        </w:rPr>
        <w:t xml:space="preserve"> </w:t>
      </w:r>
      <w:r w:rsidRPr="00CD2EEF">
        <w:rPr>
          <w:lang w:val="en-GB"/>
        </w:rPr>
        <w:t xml:space="preserve">continued modernisation of the Austrian national waste management facilities in Seibersdorf. Slovenia also reported on the status of a new low- and intermediate-level radioactive waste repository in Vrbina near Krško, the operation of </w:t>
      </w:r>
      <w:r w:rsidR="001B146F">
        <w:rPr>
          <w:lang w:val="en-GB"/>
        </w:rPr>
        <w:t>the Krško NPP</w:t>
      </w:r>
      <w:r w:rsidRPr="00CD2EEF">
        <w:rPr>
          <w:lang w:val="en-GB"/>
        </w:rPr>
        <w:t xml:space="preserve">, the performed regular outage, and the NPP Safety Upgrade Programme, especially the construction of a dry storage for spent nuclear fuel and the upgrading of systems for the safe shutdown of a power plant in </w:t>
      </w:r>
      <w:r w:rsidR="004B1D5A">
        <w:rPr>
          <w:lang w:val="en-GB"/>
        </w:rPr>
        <w:t>the event</w:t>
      </w:r>
      <w:r w:rsidR="004B1D5A" w:rsidRPr="00CD2EEF">
        <w:rPr>
          <w:lang w:val="en-GB"/>
        </w:rPr>
        <w:t xml:space="preserve"> </w:t>
      </w:r>
      <w:r w:rsidRPr="00CD2EEF">
        <w:rPr>
          <w:lang w:val="en-GB"/>
        </w:rPr>
        <w:t xml:space="preserve">of a severe nuclear accident. Slovenia also presented </w:t>
      </w:r>
      <w:r w:rsidR="00A726E8">
        <w:rPr>
          <w:lang w:val="en-GB"/>
        </w:rPr>
        <w:t>the</w:t>
      </w:r>
      <w:r w:rsidR="00E63423">
        <w:rPr>
          <w:lang w:val="en-GB"/>
        </w:rPr>
        <w:t xml:space="preserve"> SNSA</w:t>
      </w:r>
      <w:r w:rsidRPr="00CD2EEF">
        <w:rPr>
          <w:lang w:val="en-GB"/>
        </w:rPr>
        <w:t xml:space="preserve"> action during the Petrinja earthquake in December 2020 and the reasons for the automatic shutdown of the power plant. </w:t>
      </w:r>
    </w:p>
    <w:p w14:paraId="2A672918" w14:textId="40CCB192" w:rsidR="00D54273" w:rsidRPr="00CD2EEF" w:rsidRDefault="00D54273" w:rsidP="000F2C10">
      <w:pPr>
        <w:pStyle w:val="LPnavaden"/>
        <w:rPr>
          <w:lang w:val="en-GB"/>
        </w:rPr>
      </w:pPr>
      <w:r w:rsidRPr="00CD2EEF">
        <w:rPr>
          <w:lang w:val="en-GB"/>
        </w:rPr>
        <w:lastRenderedPageBreak/>
        <w:t xml:space="preserve">On 10 December 2020, a regular annual meeting following the bilateral agreement with the Republic of Croatia on the early exchange of information in the event of radiological danger took place in a form of </w:t>
      </w:r>
      <w:r w:rsidR="004B1D5A">
        <w:rPr>
          <w:lang w:val="en-GB"/>
        </w:rPr>
        <w:t xml:space="preserve">a </w:t>
      </w:r>
      <w:r w:rsidRPr="00CD2EEF">
        <w:rPr>
          <w:lang w:val="en-GB"/>
        </w:rPr>
        <w:t xml:space="preserve">video conference. </w:t>
      </w:r>
    </w:p>
    <w:p w14:paraId="52A03E62" w14:textId="6C301658" w:rsidR="00D54273" w:rsidRPr="00CD2EEF" w:rsidRDefault="00D54273" w:rsidP="00EC4FDC">
      <w:pPr>
        <w:pStyle w:val="LPnavaden"/>
        <w:rPr>
          <w:rStyle w:val="LPpobarvan3"/>
          <w:shd w:val="clear" w:color="auto" w:fill="auto"/>
          <w:lang w:val="en-GB"/>
        </w:rPr>
      </w:pPr>
      <w:r w:rsidRPr="00CD2EEF">
        <w:rPr>
          <w:lang w:val="en-GB"/>
        </w:rPr>
        <w:t>Participants presented innovations in both administrative bodies in the areas of legislation, emergency preparedness</w:t>
      </w:r>
      <w:r w:rsidR="004B1D5A">
        <w:rPr>
          <w:lang w:val="en-GB"/>
        </w:rPr>
        <w:t>,</w:t>
      </w:r>
      <w:r w:rsidRPr="00CD2EEF">
        <w:rPr>
          <w:lang w:val="en-GB"/>
        </w:rPr>
        <w:t xml:space="preserve"> and the implementation of radiological monitoring. Both countries are coordinating legislation with the European acquis and are preparing changes or new national programmes for the management of radioactive waste. The Slovenian side invited its Croatian colleagues to participate as observers in the Emergency Response Centre at </w:t>
      </w:r>
      <w:r w:rsidR="00A726E8">
        <w:rPr>
          <w:lang w:val="en-GB"/>
        </w:rPr>
        <w:t>the</w:t>
      </w:r>
      <w:r w:rsidR="00E63423">
        <w:rPr>
          <w:lang w:val="en-GB"/>
        </w:rPr>
        <w:t xml:space="preserve"> SNSA</w:t>
      </w:r>
      <w:r w:rsidRPr="00CD2EEF">
        <w:rPr>
          <w:lang w:val="en-GB"/>
        </w:rPr>
        <w:t xml:space="preserve"> in one of the future exercises in the event of an emergency in </w:t>
      </w:r>
      <w:r w:rsidR="001B146F">
        <w:rPr>
          <w:lang w:val="en-GB"/>
        </w:rPr>
        <w:t>the Krško NPP</w:t>
      </w:r>
      <w:r w:rsidRPr="00CD2EEF">
        <w:rPr>
          <w:lang w:val="en-GB"/>
        </w:rPr>
        <w:t xml:space="preserve">, and both bodies will continue the process of coordinating safeguards in the event of an emergency at </w:t>
      </w:r>
      <w:r w:rsidR="001B146F">
        <w:rPr>
          <w:lang w:val="en-GB"/>
        </w:rPr>
        <w:t>the Krško NPP</w:t>
      </w:r>
      <w:r w:rsidRPr="00CD2EEF">
        <w:rPr>
          <w:lang w:val="en-GB"/>
        </w:rPr>
        <w:t xml:space="preserve">. Slovenia presented a project </w:t>
      </w:r>
      <w:r w:rsidR="004B1D5A">
        <w:rPr>
          <w:lang w:val="en-GB"/>
        </w:rPr>
        <w:t>on</w:t>
      </w:r>
      <w:r w:rsidR="004B1D5A" w:rsidRPr="00CD2EEF">
        <w:rPr>
          <w:lang w:val="en-GB"/>
        </w:rPr>
        <w:t xml:space="preserve"> </w:t>
      </w:r>
      <w:r w:rsidRPr="00CD2EEF">
        <w:rPr>
          <w:lang w:val="en-GB"/>
        </w:rPr>
        <w:t xml:space="preserve">renovating the early warning system for measuring radioactivity in the environment, while the Croatian side presented a process </w:t>
      </w:r>
      <w:r w:rsidR="00C6516C">
        <w:rPr>
          <w:lang w:val="en-GB"/>
        </w:rPr>
        <w:t>for</w:t>
      </w:r>
      <w:r w:rsidR="00C6516C" w:rsidRPr="00CD2EEF">
        <w:rPr>
          <w:lang w:val="en-GB"/>
        </w:rPr>
        <w:t xml:space="preserve"> </w:t>
      </w:r>
      <w:r w:rsidRPr="00CD2EEF">
        <w:rPr>
          <w:lang w:val="en-GB"/>
        </w:rPr>
        <w:t xml:space="preserve">exchanging data from </w:t>
      </w:r>
      <w:r w:rsidR="00C6516C">
        <w:rPr>
          <w:lang w:val="en-GB"/>
        </w:rPr>
        <w:t>its</w:t>
      </w:r>
      <w:r w:rsidR="00C6516C" w:rsidRPr="00CD2EEF">
        <w:rPr>
          <w:lang w:val="en-GB"/>
        </w:rPr>
        <w:t xml:space="preserve"> </w:t>
      </w:r>
      <w:r w:rsidRPr="00CD2EEF">
        <w:rPr>
          <w:lang w:val="en-GB"/>
        </w:rPr>
        <w:t>similar system. Both sides stressed the importance of continued good and regular cooperation and effective communication and information in all areas of nuclear and radiation safety.</w:t>
      </w:r>
      <w:r w:rsidR="008A1E6B">
        <w:rPr>
          <w:lang w:val="en-GB"/>
        </w:rPr>
        <w:t xml:space="preserve"> </w:t>
      </w:r>
    </w:p>
    <w:p w14:paraId="68860613" w14:textId="77777777" w:rsidR="00D54273" w:rsidRPr="00CD2EEF" w:rsidRDefault="00D54273" w:rsidP="00AC142E">
      <w:pPr>
        <w:pStyle w:val="LPNaslov3"/>
        <w:rPr>
          <w:lang w:val="en-GB"/>
        </w:rPr>
      </w:pPr>
      <w:bookmarkStart w:id="465" w:name="_Toc44570745"/>
      <w:bookmarkStart w:id="466" w:name="_Toc74219401"/>
      <w:bookmarkStart w:id="467" w:name="_Toc106616666"/>
      <w:bookmarkStart w:id="468" w:name="_Toc108088194"/>
      <w:bookmarkStart w:id="469" w:name="_Toc126312064"/>
      <w:r w:rsidRPr="00CD2EEF">
        <w:rPr>
          <w:lang w:val="en-GB"/>
        </w:rPr>
        <w:t>The Convention on Nuclear Safety</w:t>
      </w:r>
      <w:bookmarkEnd w:id="465"/>
      <w:bookmarkEnd w:id="466"/>
      <w:bookmarkEnd w:id="467"/>
      <w:bookmarkEnd w:id="468"/>
      <w:r w:rsidRPr="00CD2EEF">
        <w:rPr>
          <w:lang w:val="en-GB"/>
        </w:rPr>
        <w:t xml:space="preserve"> (CNS)</w:t>
      </w:r>
      <w:bookmarkEnd w:id="469"/>
    </w:p>
    <w:p w14:paraId="78A3E3E3" w14:textId="30C7B5FA" w:rsidR="00D54273" w:rsidRPr="00CD2EEF" w:rsidRDefault="00D54273" w:rsidP="00EC4FDC">
      <w:pPr>
        <w:pStyle w:val="LPnavaden"/>
        <w:rPr>
          <w:lang w:val="en-GB"/>
        </w:rPr>
      </w:pPr>
      <w:r w:rsidRPr="00CD2EEF">
        <w:rPr>
          <w:lang w:val="en-GB"/>
        </w:rPr>
        <w:t>The eighth review cycle according to the Convention on Nuclear Safety should have been concluded in spring 2020 by holding the review meeting of the contracting parties</w:t>
      </w:r>
      <w:r w:rsidR="00A66673">
        <w:rPr>
          <w:lang w:val="en-GB"/>
        </w:rPr>
        <w:t>,</w:t>
      </w:r>
      <w:r w:rsidRPr="00CD2EEF">
        <w:rPr>
          <w:lang w:val="en-GB"/>
        </w:rPr>
        <w:t xml:space="preserve"> which was postponed due to the </w:t>
      </w:r>
      <w:r w:rsidR="00EB3A1B">
        <w:rPr>
          <w:lang w:val="en-GB"/>
        </w:rPr>
        <w:t>epi</w:t>
      </w:r>
      <w:r w:rsidRPr="00CD2EEF">
        <w:rPr>
          <w:lang w:val="en-GB"/>
        </w:rPr>
        <w:t>demic. In December 2020, the meeting chair, Ms Dana Drabova</w:t>
      </w:r>
      <w:r w:rsidR="00A66673">
        <w:rPr>
          <w:lang w:val="en-GB"/>
        </w:rPr>
        <w:t>,</w:t>
      </w:r>
      <w:r w:rsidRPr="00CD2EEF">
        <w:rPr>
          <w:lang w:val="en-GB"/>
        </w:rPr>
        <w:t xml:space="preserve"> sent a written notice to all contracting parties with a proposal on how to continue and conclude the eighth review cycle. The main point was to hold a joint meeting for the eighth and ninth review cycles in 2023.</w:t>
      </w:r>
    </w:p>
    <w:p w14:paraId="426A6544" w14:textId="77777777" w:rsidR="00D54273" w:rsidRPr="00CD2EEF" w:rsidRDefault="00D54273" w:rsidP="00EC4FDC">
      <w:pPr>
        <w:pStyle w:val="LPnavaden"/>
        <w:rPr>
          <w:lang w:val="en-GB"/>
        </w:rPr>
      </w:pPr>
      <w:r w:rsidRPr="00CD2EEF">
        <w:rPr>
          <w:lang w:val="en-GB"/>
        </w:rPr>
        <w:t>From 23 to 25 March 2021, a meeting of CNS officials was held in Vienna, where all officials of this cycle were invited to retain their duties and perform them during the ninth cycle or at the ninth review meeting. They also decided that a joint review meeting for the eighth and ninth cycles would be held in March 2023 and that the groups of countries from the eighth cycle should be maintained in the ninth cycle.</w:t>
      </w:r>
    </w:p>
    <w:p w14:paraId="06BBA777" w14:textId="3AB3097A" w:rsidR="00D54273" w:rsidRPr="00CD2EEF" w:rsidRDefault="00D54273" w:rsidP="007110DD">
      <w:pPr>
        <w:pStyle w:val="LPnavaden"/>
        <w:rPr>
          <w:lang w:val="en-GB"/>
        </w:rPr>
      </w:pPr>
      <w:r w:rsidRPr="00CD2EEF">
        <w:rPr>
          <w:lang w:val="en-GB"/>
        </w:rPr>
        <w:t>On 20 October 2021, there was a meeting of the CNS contracting parties, where they confirmed the composition of the groups of countries for the joint eighth and ninth review meetings. The list was supplemented by members joining the CNS after the organi</w:t>
      </w:r>
      <w:r w:rsidR="00E9756B">
        <w:rPr>
          <w:lang w:val="en-GB"/>
        </w:rPr>
        <w:t>sation</w:t>
      </w:r>
      <w:r w:rsidR="00F21D56">
        <w:rPr>
          <w:lang w:val="en-GB"/>
        </w:rPr>
        <w:t>’</w:t>
      </w:r>
      <w:r w:rsidRPr="00CD2EEF">
        <w:rPr>
          <w:lang w:val="en-GB"/>
        </w:rPr>
        <w:t xml:space="preserve">s meeting for the eighth review meeting. Slovenia is in the second group, along with France, Spain, the Czech Republic, the Netherlands, </w:t>
      </w:r>
      <w:r w:rsidR="00A66673">
        <w:rPr>
          <w:lang w:val="en-GB"/>
        </w:rPr>
        <w:t xml:space="preserve">and </w:t>
      </w:r>
      <w:r w:rsidRPr="00CD2EEF">
        <w:rPr>
          <w:lang w:val="en-GB"/>
        </w:rPr>
        <w:t xml:space="preserve">Belarus as nuclear states, and non-nuclear Libya, </w:t>
      </w:r>
      <w:r w:rsidRPr="00CD2EEF">
        <w:rPr>
          <w:rStyle w:val="LPpobarvan2"/>
          <w:shd w:val="clear" w:color="auto" w:fill="auto"/>
          <w:lang w:val="en-GB"/>
        </w:rPr>
        <w:t>Niger</w:t>
      </w:r>
      <w:r w:rsidRPr="00CD2EEF">
        <w:rPr>
          <w:lang w:val="en-GB"/>
        </w:rPr>
        <w:t>, Portugal, Syria, Australia, Cuba, and Morocco.</w:t>
      </w:r>
    </w:p>
    <w:p w14:paraId="681437D3" w14:textId="77777777" w:rsidR="00D54273" w:rsidRPr="00CD2EEF" w:rsidRDefault="00D54273" w:rsidP="007110DD">
      <w:pPr>
        <w:pStyle w:val="LPnavaden"/>
        <w:rPr>
          <w:lang w:val="en-GB"/>
        </w:rPr>
      </w:pPr>
      <w:r w:rsidRPr="00CD2EEF">
        <w:rPr>
          <w:lang w:val="en-GB"/>
        </w:rPr>
        <w:t>At the meeting, delegates agreed on establishing a working group to discuss proposals to improve the review process. Concrete proposals from the working group will be submitted by the parties for consideration at the joint eighth and ninth review meeting. The meetings of this working group will take place at the IAEA headquarters in Vienna in 2022.</w:t>
      </w:r>
    </w:p>
    <w:p w14:paraId="6AAE914F" w14:textId="77777777" w:rsidR="00D54273" w:rsidRPr="00CD2EEF" w:rsidRDefault="00D54273" w:rsidP="001E4654">
      <w:pPr>
        <w:pStyle w:val="LPNaslov3"/>
        <w:numPr>
          <w:ilvl w:val="0"/>
          <w:numId w:val="0"/>
        </w:numPr>
        <w:ind w:left="709" w:hanging="709"/>
        <w:rPr>
          <w:lang w:val="en-GB"/>
        </w:rPr>
      </w:pPr>
      <w:bookmarkStart w:id="470" w:name="_Toc126312065"/>
      <w:r w:rsidRPr="00CD2EEF">
        <w:rPr>
          <w:lang w:val="en-GB"/>
        </w:rPr>
        <w:t>10.6.3 Joint Convention on the Safety of Spent Fuel Management and on the Safety of Radioactive Waste Management</w:t>
      </w:r>
      <w:bookmarkEnd w:id="470"/>
      <w:r w:rsidRPr="00CD2EEF">
        <w:rPr>
          <w:lang w:val="en-GB"/>
        </w:rPr>
        <w:t xml:space="preserve"> </w:t>
      </w:r>
    </w:p>
    <w:p w14:paraId="460986F9" w14:textId="77777777" w:rsidR="00D54273" w:rsidRPr="00CD2EEF" w:rsidRDefault="00D54273" w:rsidP="001E4654">
      <w:pPr>
        <w:pStyle w:val="LPnavaden"/>
        <w:rPr>
          <w:lang w:val="en-GB"/>
        </w:rPr>
      </w:pPr>
      <w:r w:rsidRPr="00CD2EEF">
        <w:rPr>
          <w:lang w:val="en-GB"/>
        </w:rPr>
        <w:t>At the end of 2021, the Joint Convention was in effect in 86 countries, including Slovenia.</w:t>
      </w:r>
    </w:p>
    <w:p w14:paraId="768BE149" w14:textId="0C63C713" w:rsidR="00D54273" w:rsidRPr="00CD2EEF" w:rsidRDefault="00D54273" w:rsidP="001E4654">
      <w:pPr>
        <w:pStyle w:val="LPnavaden"/>
        <w:rPr>
          <w:lang w:val="en-GB"/>
        </w:rPr>
      </w:pPr>
      <w:r w:rsidRPr="00CD2EEF">
        <w:rPr>
          <w:lang w:val="en-GB"/>
        </w:rPr>
        <w:t>The 7</w:t>
      </w:r>
      <w:r w:rsidRPr="00CD2EEF">
        <w:rPr>
          <w:rStyle w:val="LPnadpisano"/>
          <w:lang w:val="en-GB"/>
        </w:rPr>
        <w:t>th</w:t>
      </w:r>
      <w:r w:rsidRPr="00CD2EEF">
        <w:rPr>
          <w:lang w:val="en-GB"/>
        </w:rPr>
        <w:t xml:space="preserve"> national report, prepared in 2020, will be presented at the seventh review meeting of the Contracting Parties, which</w:t>
      </w:r>
      <w:r w:rsidR="0076557C">
        <w:rPr>
          <w:lang w:val="en-GB"/>
        </w:rPr>
        <w:t>,</w:t>
      </w:r>
      <w:r w:rsidRPr="00CD2EEF">
        <w:rPr>
          <w:lang w:val="en-GB"/>
        </w:rPr>
        <w:t xml:space="preserve"> due to </w:t>
      </w:r>
      <w:r w:rsidR="00A66673">
        <w:rPr>
          <w:lang w:val="en-GB"/>
        </w:rPr>
        <w:t>the Covid</w:t>
      </w:r>
      <w:r w:rsidRPr="00CD2EEF">
        <w:rPr>
          <w:lang w:val="en-GB"/>
        </w:rPr>
        <w:t>-19 crisis</w:t>
      </w:r>
      <w:r w:rsidR="0076557C">
        <w:rPr>
          <w:lang w:val="en-GB"/>
        </w:rPr>
        <w:t>,</w:t>
      </w:r>
      <w:r w:rsidRPr="00CD2EEF">
        <w:rPr>
          <w:lang w:val="en-GB"/>
        </w:rPr>
        <w:t xml:space="preserve"> </w:t>
      </w:r>
      <w:r w:rsidR="00A66673" w:rsidRPr="00CD2EEF">
        <w:rPr>
          <w:lang w:val="en-GB"/>
        </w:rPr>
        <w:t xml:space="preserve">was </w:t>
      </w:r>
      <w:r w:rsidRPr="00CD2EEF">
        <w:rPr>
          <w:lang w:val="en-GB"/>
        </w:rPr>
        <w:t>postponed from 2021 to 2022</w:t>
      </w:r>
      <w:r w:rsidR="0076557C">
        <w:rPr>
          <w:lang w:val="en-GB"/>
        </w:rPr>
        <w:t>,</w:t>
      </w:r>
      <w:r w:rsidRPr="00CD2EEF">
        <w:rPr>
          <w:lang w:val="en-GB"/>
        </w:rPr>
        <w:t xml:space="preserve"> and is to be held in Vienna from 27 June to 8 July 2022.</w:t>
      </w:r>
    </w:p>
    <w:p w14:paraId="58B0FBB8" w14:textId="36071F93" w:rsidR="00412AFC" w:rsidRPr="00CD2EEF" w:rsidRDefault="00D54273" w:rsidP="00F57737">
      <w:pPr>
        <w:pStyle w:val="LPnavaden"/>
        <w:rPr>
          <w:lang w:val="en-GB"/>
        </w:rPr>
      </w:pPr>
      <w:r w:rsidRPr="00CD2EEF">
        <w:rPr>
          <w:lang w:val="en-GB"/>
        </w:rPr>
        <w:t>During the 7</w:t>
      </w:r>
      <w:r w:rsidRPr="00CD2EEF">
        <w:rPr>
          <w:rStyle w:val="LPnadpisano"/>
          <w:lang w:val="en-GB"/>
        </w:rPr>
        <w:t>th</w:t>
      </w:r>
      <w:r w:rsidRPr="00CD2EEF">
        <w:rPr>
          <w:lang w:val="en-GB"/>
        </w:rPr>
        <w:t xml:space="preserve"> review cycle, the national reports of other contracting parties were reviewed in 2021. Slovenia posted ninety-four questions to twenty-three countries, and received seventy-one questions from sixteen contracting parties, to which it had to answer by the end of March 2022.</w:t>
      </w:r>
    </w:p>
    <w:p w14:paraId="15C46B24" w14:textId="77777777" w:rsidR="00094002" w:rsidRPr="00CD2EEF" w:rsidRDefault="00094002" w:rsidP="00E358C2">
      <w:pPr>
        <w:pStyle w:val="LPNaslov1"/>
        <w:rPr>
          <w:lang w:val="en-GB"/>
        </w:rPr>
      </w:pPr>
      <w:bookmarkStart w:id="471" w:name="_Toc362351110"/>
      <w:bookmarkStart w:id="472" w:name="_Toc413234667"/>
      <w:bookmarkStart w:id="473" w:name="_Toc14773805"/>
      <w:bookmarkStart w:id="474" w:name="_Toc74219403"/>
      <w:bookmarkStart w:id="475" w:name="_Toc106616668"/>
      <w:bookmarkStart w:id="476" w:name="_Toc108088196"/>
      <w:bookmarkStart w:id="477" w:name="_Toc126312066"/>
      <w:r w:rsidRPr="00CD2EEF">
        <w:rPr>
          <w:lang w:val="en-GB"/>
        </w:rPr>
        <w:lastRenderedPageBreak/>
        <w:t>USE OF NUCLEAR ENERGY IN THE WORLD</w:t>
      </w:r>
      <w:bookmarkEnd w:id="471"/>
      <w:bookmarkEnd w:id="472"/>
      <w:bookmarkEnd w:id="473"/>
      <w:bookmarkEnd w:id="474"/>
      <w:bookmarkEnd w:id="475"/>
      <w:bookmarkEnd w:id="476"/>
      <w:bookmarkEnd w:id="477"/>
    </w:p>
    <w:p w14:paraId="2B4F074A" w14:textId="7250B53E" w:rsidR="00094002" w:rsidRPr="00CD2EEF" w:rsidRDefault="00094002" w:rsidP="00DC322C">
      <w:pPr>
        <w:pStyle w:val="LPnavaden"/>
        <w:rPr>
          <w:lang w:val="en-GB"/>
        </w:rPr>
      </w:pPr>
      <w:r w:rsidRPr="00CD2EEF">
        <w:rPr>
          <w:lang w:val="en-GB"/>
        </w:rPr>
        <w:t>As of the end of 2021, there were 441 nuclear reactors for electricity production operating in 32 countries. There are 53 nuclear reactors under construction</w:t>
      </w:r>
      <w:r w:rsidR="00755025">
        <w:rPr>
          <w:lang w:val="en-GB"/>
        </w:rPr>
        <w:t>,</w:t>
      </w:r>
      <w:r w:rsidRPr="00CD2EEF">
        <w:rPr>
          <w:lang w:val="en-GB"/>
        </w:rPr>
        <w:t xml:space="preserve"> of which the construction of 10 nuclear power plants began</w:t>
      </w:r>
      <w:r w:rsidR="00755025" w:rsidRPr="00755025">
        <w:rPr>
          <w:lang w:val="en-GB"/>
        </w:rPr>
        <w:t xml:space="preserve"> </w:t>
      </w:r>
      <w:r w:rsidR="00755025" w:rsidRPr="00CD2EEF">
        <w:rPr>
          <w:lang w:val="en-GB"/>
        </w:rPr>
        <w:t>in 2021</w:t>
      </w:r>
      <w:r w:rsidRPr="00CD2EEF">
        <w:rPr>
          <w:lang w:val="en-GB"/>
        </w:rPr>
        <w:t>: 6 in China, 2 in India</w:t>
      </w:r>
      <w:r w:rsidR="006F0FE2">
        <w:rPr>
          <w:lang w:val="en-GB"/>
        </w:rPr>
        <w:t>,</w:t>
      </w:r>
      <w:r w:rsidRPr="00CD2EEF">
        <w:rPr>
          <w:lang w:val="en-GB"/>
        </w:rPr>
        <w:t xml:space="preserve"> and one in each </w:t>
      </w:r>
      <w:r w:rsidR="006F0FE2">
        <w:rPr>
          <w:lang w:val="en-GB"/>
        </w:rPr>
        <w:t xml:space="preserve">in </w:t>
      </w:r>
      <w:r w:rsidRPr="00CD2EEF">
        <w:rPr>
          <w:lang w:val="en-GB"/>
        </w:rPr>
        <w:t>Turkey and Russia. There were six new grid connections</w:t>
      </w:r>
      <w:r w:rsidR="008342C3">
        <w:rPr>
          <w:lang w:val="en-GB"/>
        </w:rPr>
        <w:t xml:space="preserve"> – </w:t>
      </w:r>
      <w:r w:rsidRPr="00CD2EEF">
        <w:rPr>
          <w:lang w:val="en-GB"/>
        </w:rPr>
        <w:t>three in China and one each in India, Pakistan, and the United Arab Emirates. In 2021, ten nuclear power plants were permanently shut down, three in both Germany and Great Britain, and one in each of the following countries: the United States of America, Russia, China</w:t>
      </w:r>
      <w:r w:rsidR="006F0FE2">
        <w:rPr>
          <w:lang w:val="en-GB"/>
        </w:rPr>
        <w:t>,</w:t>
      </w:r>
      <w:r w:rsidRPr="00CD2EEF">
        <w:rPr>
          <w:lang w:val="en-GB"/>
        </w:rPr>
        <w:t xml:space="preserve"> and Pakistan.</w:t>
      </w:r>
    </w:p>
    <w:p w14:paraId="11D7791A" w14:textId="77777777" w:rsidR="00094002" w:rsidRPr="00CD2EEF" w:rsidRDefault="00094002" w:rsidP="00DC322C">
      <w:pPr>
        <w:pStyle w:val="LPnavaden"/>
        <w:rPr>
          <w:lang w:val="en-GB"/>
        </w:rPr>
      </w:pPr>
      <w:r w:rsidRPr="00CD2EEF">
        <w:rPr>
          <w:lang w:val="en-GB"/>
        </w:rPr>
        <w:t>In Europe, there are nuclear power plants under construction in France, Slovakia, Great Britain, Ukraine, Belarus, and Turkey.</w:t>
      </w:r>
    </w:p>
    <w:p w14:paraId="124D9E69" w14:textId="592CB262" w:rsidR="00094002" w:rsidRPr="00CD2EEF" w:rsidRDefault="00094002" w:rsidP="00DC322C">
      <w:pPr>
        <w:pStyle w:val="LPnavaden"/>
        <w:rPr>
          <w:lang w:val="en-GB"/>
        </w:rPr>
      </w:pPr>
      <w:r w:rsidRPr="00CD2EEF">
        <w:rPr>
          <w:lang w:val="en-GB"/>
        </w:rPr>
        <w:t xml:space="preserve">Detailed data on the number of reactors by country and their installed power is presented in </w:t>
      </w:r>
      <w:hyperlink w:anchor="t11" w:history="1">
        <w:r w:rsidRPr="00CD2EEF">
          <w:rPr>
            <w:rStyle w:val="Hiperpovezava"/>
            <w:lang w:val="en-GB"/>
          </w:rPr>
          <w:t>Table 11</w:t>
        </w:r>
      </w:hyperlink>
      <w:r w:rsidRPr="00CD2EEF">
        <w:rPr>
          <w:lang w:val="en-GB"/>
        </w:rPr>
        <w:t>.</w:t>
      </w:r>
    </w:p>
    <w:p w14:paraId="46C2CBF4" w14:textId="6BFFBE22" w:rsidR="00094002" w:rsidRPr="00CD2EEF" w:rsidRDefault="00BE0188" w:rsidP="00BE0188">
      <w:pPr>
        <w:pStyle w:val="LPnaslovpreglednica"/>
        <w:rPr>
          <w:lang w:val="en-GB"/>
        </w:rPr>
      </w:pPr>
      <w:bookmarkStart w:id="478" w:name="_Toc106628901"/>
      <w:bookmarkStart w:id="479" w:name="_Toc74219418"/>
      <w:bookmarkStart w:id="480" w:name="_Toc14773869"/>
      <w:bookmarkStart w:id="481" w:name="_Toc452641961"/>
      <w:bookmarkStart w:id="482" w:name="_Toc449427542"/>
      <w:bookmarkStart w:id="483" w:name="_Toc449003486"/>
      <w:bookmarkStart w:id="484" w:name="_Toc126309918"/>
      <w:r w:rsidRPr="00CD2EEF">
        <w:rPr>
          <w:lang w:val="en-GB"/>
        </w:rPr>
        <w:t xml:space="preserve">Table </w:t>
      </w:r>
      <w:r w:rsidR="00366B6D" w:rsidRPr="00CD2EEF">
        <w:rPr>
          <w:lang w:val="en-GB"/>
        </w:rPr>
        <w:fldChar w:fldCharType="begin"/>
      </w:r>
      <w:r w:rsidR="00366B6D" w:rsidRPr="00CD2EEF">
        <w:rPr>
          <w:lang w:val="en-GB"/>
        </w:rPr>
        <w:instrText xml:space="preserve"> SEQ Table \* ARABIC </w:instrText>
      </w:r>
      <w:r w:rsidR="00366B6D" w:rsidRPr="00CD2EEF">
        <w:rPr>
          <w:lang w:val="en-GB"/>
        </w:rPr>
        <w:fldChar w:fldCharType="separate"/>
      </w:r>
      <w:r w:rsidRPr="00CD2EEF">
        <w:rPr>
          <w:lang w:val="en-GB"/>
        </w:rPr>
        <w:t>11</w:t>
      </w:r>
      <w:r w:rsidR="00366B6D" w:rsidRPr="00CD2EEF">
        <w:rPr>
          <w:lang w:val="en-GB"/>
        </w:rPr>
        <w:fldChar w:fldCharType="end"/>
      </w:r>
      <w:r w:rsidR="00094002" w:rsidRPr="00CD2EEF">
        <w:rPr>
          <w:rStyle w:val="LPNavadenkrepkotabela"/>
          <w:b/>
          <w:sz w:val="20"/>
          <w:lang w:val="en-GB"/>
        </w:rPr>
        <w:t>: The number of reactors in 2021 by country and their installed power</w:t>
      </w:r>
      <w:bookmarkEnd w:id="478"/>
      <w:bookmarkEnd w:id="479"/>
      <w:bookmarkEnd w:id="480"/>
      <w:bookmarkEnd w:id="481"/>
      <w:bookmarkEnd w:id="482"/>
      <w:bookmarkEnd w:id="483"/>
      <w:bookmarkEnd w:id="484"/>
    </w:p>
    <w:tbl>
      <w:tblPr>
        <w:tblW w:w="6200" w:type="dxa"/>
        <w:tblBorders>
          <w:top w:val="single" w:sz="2" w:space="0" w:color="9CC2E5"/>
          <w:left w:val="single" w:sz="2" w:space="0" w:color="9CC2E5"/>
          <w:bottom w:val="single" w:sz="2" w:space="0" w:color="9CC2E5"/>
          <w:right w:val="single" w:sz="2" w:space="0" w:color="9CC2E5"/>
          <w:insideH w:val="single" w:sz="6" w:space="0" w:color="9CC2E5"/>
          <w:insideV w:val="single" w:sz="6" w:space="0" w:color="9CC2E5"/>
        </w:tblBorders>
        <w:tblCellMar>
          <w:left w:w="70" w:type="dxa"/>
          <w:right w:w="70" w:type="dxa"/>
        </w:tblCellMar>
        <w:tblLook w:val="04A0" w:firstRow="1" w:lastRow="0" w:firstColumn="1" w:lastColumn="0" w:noHBand="0" w:noVBand="1"/>
      </w:tblPr>
      <w:tblGrid>
        <w:gridCol w:w="2360"/>
        <w:gridCol w:w="960"/>
        <w:gridCol w:w="960"/>
        <w:gridCol w:w="960"/>
        <w:gridCol w:w="960"/>
      </w:tblGrid>
      <w:tr w:rsidR="00094002" w:rsidRPr="00CD2EEF" w14:paraId="5DAB27E8" w14:textId="77777777" w:rsidTr="00E27592">
        <w:trPr>
          <w:trHeight w:val="300"/>
          <w:tblHeader/>
        </w:trPr>
        <w:tc>
          <w:tcPr>
            <w:tcW w:w="2360" w:type="dxa"/>
            <w:vMerge w:val="restart"/>
            <w:tcBorders>
              <w:top w:val="single" w:sz="2" w:space="0" w:color="9CC2E5"/>
              <w:left w:val="single" w:sz="2" w:space="0" w:color="9CC2E5"/>
              <w:bottom w:val="single" w:sz="6" w:space="0" w:color="9CC2E5"/>
              <w:right w:val="single" w:sz="6" w:space="0" w:color="9CC2E5"/>
            </w:tcBorders>
            <w:shd w:val="clear" w:color="auto" w:fill="5B9BD5"/>
            <w:vAlign w:val="center"/>
            <w:hideMark/>
          </w:tcPr>
          <w:p w14:paraId="3A17371E" w14:textId="77777777" w:rsidR="00094002" w:rsidRPr="00CD2EEF" w:rsidRDefault="00094002" w:rsidP="00E27592">
            <w:pPr>
              <w:pStyle w:val="LPpreglednicaglavasredina"/>
              <w:rPr>
                <w:lang w:val="en-GB"/>
              </w:rPr>
            </w:pPr>
            <w:bookmarkStart w:id="485" w:name="t11"/>
            <w:r w:rsidRPr="00CD2EEF">
              <w:rPr>
                <w:lang w:val="en-GB"/>
              </w:rPr>
              <w:t>Country</w:t>
            </w:r>
          </w:p>
        </w:tc>
        <w:tc>
          <w:tcPr>
            <w:tcW w:w="1920" w:type="dxa"/>
            <w:gridSpan w:val="2"/>
            <w:tcBorders>
              <w:top w:val="single" w:sz="2" w:space="0" w:color="9CC2E5"/>
              <w:left w:val="single" w:sz="6" w:space="0" w:color="9CC2E5"/>
              <w:bottom w:val="single" w:sz="4" w:space="0" w:color="9CC2E5"/>
              <w:right w:val="single" w:sz="6" w:space="0" w:color="9CC2E5"/>
            </w:tcBorders>
            <w:shd w:val="clear" w:color="auto" w:fill="5B9BD5"/>
            <w:vAlign w:val="center"/>
            <w:hideMark/>
          </w:tcPr>
          <w:p w14:paraId="27AA4DD2" w14:textId="77777777" w:rsidR="00094002" w:rsidRPr="00CD2EEF" w:rsidRDefault="00094002" w:rsidP="00E27592">
            <w:pPr>
              <w:pStyle w:val="LPpreglednicaglavasredina"/>
              <w:rPr>
                <w:lang w:val="en-GB"/>
              </w:rPr>
            </w:pPr>
            <w:r w:rsidRPr="00CD2EEF">
              <w:rPr>
                <w:lang w:val="en-GB"/>
              </w:rPr>
              <w:t>Operational</w:t>
            </w:r>
          </w:p>
        </w:tc>
        <w:tc>
          <w:tcPr>
            <w:tcW w:w="1920" w:type="dxa"/>
            <w:gridSpan w:val="2"/>
            <w:tcBorders>
              <w:top w:val="single" w:sz="2" w:space="0" w:color="9CC2E5"/>
              <w:left w:val="single" w:sz="6" w:space="0" w:color="9CC2E5"/>
              <w:bottom w:val="single" w:sz="4" w:space="0" w:color="9CC2E5"/>
              <w:right w:val="single" w:sz="2" w:space="0" w:color="9CC2E5"/>
            </w:tcBorders>
            <w:shd w:val="clear" w:color="auto" w:fill="5B9BD5"/>
            <w:vAlign w:val="center"/>
            <w:hideMark/>
          </w:tcPr>
          <w:p w14:paraId="4B78358C" w14:textId="77777777" w:rsidR="00094002" w:rsidRPr="00CD2EEF" w:rsidRDefault="00094002" w:rsidP="00E27592">
            <w:pPr>
              <w:pStyle w:val="LPpreglednicaglavasredina"/>
              <w:rPr>
                <w:lang w:val="en-GB"/>
              </w:rPr>
            </w:pPr>
            <w:r w:rsidRPr="00CD2EEF">
              <w:rPr>
                <w:lang w:val="en-GB"/>
              </w:rPr>
              <w:t xml:space="preserve">Under construction </w:t>
            </w:r>
          </w:p>
        </w:tc>
      </w:tr>
      <w:tr w:rsidR="00094002" w:rsidRPr="00CD2EEF" w14:paraId="11DAFC43" w14:textId="77777777" w:rsidTr="00E27592">
        <w:trPr>
          <w:trHeight w:val="540"/>
          <w:tblHeader/>
        </w:trPr>
        <w:tc>
          <w:tcPr>
            <w:tcW w:w="0" w:type="auto"/>
            <w:vMerge/>
            <w:tcBorders>
              <w:top w:val="single" w:sz="2" w:space="0" w:color="9CC2E5"/>
              <w:left w:val="single" w:sz="2" w:space="0" w:color="9CC2E5"/>
              <w:bottom w:val="single" w:sz="6" w:space="0" w:color="9CC2E5"/>
              <w:right w:val="single" w:sz="6" w:space="0" w:color="9CC2E5"/>
            </w:tcBorders>
            <w:vAlign w:val="center"/>
            <w:hideMark/>
          </w:tcPr>
          <w:p w14:paraId="0A26C647" w14:textId="77777777" w:rsidR="00094002" w:rsidRPr="00CD2EEF" w:rsidRDefault="00094002" w:rsidP="00E27592">
            <w:pPr>
              <w:rPr>
                <w:rFonts w:eastAsiaTheme="minorHAnsi"/>
                <w:lang w:val="en-GB"/>
              </w:rPr>
            </w:pPr>
          </w:p>
        </w:tc>
        <w:tc>
          <w:tcPr>
            <w:tcW w:w="960" w:type="dxa"/>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0C9140DA" w14:textId="77777777" w:rsidR="00094002" w:rsidRPr="00CD2EEF" w:rsidRDefault="00094002" w:rsidP="00E27592">
            <w:pPr>
              <w:pStyle w:val="LPpreglednicaglavasredina"/>
              <w:rPr>
                <w:lang w:val="en-GB"/>
              </w:rPr>
            </w:pPr>
            <w:r w:rsidRPr="00CD2EEF">
              <w:rPr>
                <w:lang w:val="en-GB"/>
              </w:rPr>
              <w:t>No.</w:t>
            </w:r>
          </w:p>
        </w:tc>
        <w:tc>
          <w:tcPr>
            <w:tcW w:w="960" w:type="dxa"/>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3B71A15E" w14:textId="77777777" w:rsidR="00094002" w:rsidRPr="00CD2EEF" w:rsidRDefault="00094002" w:rsidP="00E27592">
            <w:pPr>
              <w:pStyle w:val="LPpreglednicaglavasredina"/>
              <w:rPr>
                <w:lang w:val="en-GB"/>
              </w:rPr>
            </w:pPr>
            <w:r w:rsidRPr="00CD2EEF">
              <w:rPr>
                <w:lang w:val="en-GB"/>
              </w:rPr>
              <w:t>Power [MW]</w:t>
            </w:r>
          </w:p>
        </w:tc>
        <w:tc>
          <w:tcPr>
            <w:tcW w:w="960" w:type="dxa"/>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11487981" w14:textId="77777777" w:rsidR="00094002" w:rsidRPr="00CD2EEF" w:rsidRDefault="00094002" w:rsidP="00E27592">
            <w:pPr>
              <w:pStyle w:val="LPpreglednicaglavasredina"/>
              <w:rPr>
                <w:lang w:val="en-GB"/>
              </w:rPr>
            </w:pPr>
            <w:r w:rsidRPr="00CD2EEF">
              <w:rPr>
                <w:lang w:val="en-GB"/>
              </w:rPr>
              <w:t>No.</w:t>
            </w:r>
          </w:p>
        </w:tc>
        <w:tc>
          <w:tcPr>
            <w:tcW w:w="960" w:type="dxa"/>
            <w:tcBorders>
              <w:top w:val="single" w:sz="4" w:space="0" w:color="9CC2E5"/>
              <w:left w:val="single" w:sz="4" w:space="0" w:color="9CC2E5"/>
              <w:bottom w:val="single" w:sz="4" w:space="0" w:color="9CC2E5"/>
              <w:right w:val="single" w:sz="4" w:space="0" w:color="9CC2E5"/>
            </w:tcBorders>
            <w:shd w:val="clear" w:color="auto" w:fill="5B9BD5"/>
            <w:vAlign w:val="center"/>
            <w:hideMark/>
          </w:tcPr>
          <w:p w14:paraId="246A01FD" w14:textId="77777777" w:rsidR="00094002" w:rsidRPr="00CD2EEF" w:rsidRDefault="00094002" w:rsidP="00E27592">
            <w:pPr>
              <w:pStyle w:val="LPpreglednicaglavasredina"/>
              <w:rPr>
                <w:lang w:val="en-GB"/>
              </w:rPr>
            </w:pPr>
            <w:r w:rsidRPr="00CD2EEF">
              <w:rPr>
                <w:lang w:val="en-GB"/>
              </w:rPr>
              <w:t>Power [MW]</w:t>
            </w:r>
          </w:p>
        </w:tc>
      </w:tr>
      <w:tr w:rsidR="00094002" w:rsidRPr="00CD2EEF" w14:paraId="541BAFC6"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190C5668" w14:textId="77777777" w:rsidR="00094002" w:rsidRPr="00CD2EEF" w:rsidRDefault="00094002" w:rsidP="00E27592">
            <w:pPr>
              <w:pStyle w:val="LP-preglednicatelosredina"/>
              <w:rPr>
                <w:lang w:val="en-GB"/>
              </w:rPr>
            </w:pPr>
            <w:r w:rsidRPr="00CD2EEF">
              <w:rPr>
                <w:lang w:val="en-GB"/>
              </w:rPr>
              <w:t>Belarus</w:t>
            </w:r>
          </w:p>
        </w:tc>
        <w:tc>
          <w:tcPr>
            <w:tcW w:w="960" w:type="dxa"/>
            <w:tcBorders>
              <w:top w:val="single" w:sz="4" w:space="0" w:color="9CC2E5"/>
              <w:left w:val="single" w:sz="6" w:space="0" w:color="9CC2E5"/>
              <w:bottom w:val="single" w:sz="6" w:space="0" w:color="9CC2E5"/>
              <w:right w:val="single" w:sz="6" w:space="0" w:color="9CC2E5"/>
            </w:tcBorders>
            <w:shd w:val="clear" w:color="auto" w:fill="FFFFFF"/>
            <w:hideMark/>
          </w:tcPr>
          <w:p w14:paraId="095B92E0" w14:textId="77777777" w:rsidR="00094002" w:rsidRPr="00CD2EEF" w:rsidRDefault="00094002" w:rsidP="00E27592">
            <w:pPr>
              <w:pStyle w:val="LP-preglednicatelosredina"/>
              <w:rPr>
                <w:lang w:val="en-GB"/>
              </w:rPr>
            </w:pPr>
            <w:r w:rsidRPr="00CD2EEF">
              <w:rPr>
                <w:lang w:val="en-GB"/>
              </w:rPr>
              <w:t> 1</w:t>
            </w:r>
          </w:p>
        </w:tc>
        <w:tc>
          <w:tcPr>
            <w:tcW w:w="960" w:type="dxa"/>
            <w:tcBorders>
              <w:top w:val="single" w:sz="4" w:space="0" w:color="9CC2E5"/>
              <w:left w:val="single" w:sz="6" w:space="0" w:color="9CC2E5"/>
              <w:bottom w:val="single" w:sz="6" w:space="0" w:color="9CC2E5"/>
              <w:right w:val="single" w:sz="6" w:space="0" w:color="9CC2E5"/>
            </w:tcBorders>
            <w:shd w:val="clear" w:color="auto" w:fill="FFFFFF"/>
            <w:hideMark/>
          </w:tcPr>
          <w:p w14:paraId="191E4C9B" w14:textId="77777777" w:rsidR="00094002" w:rsidRPr="00CD2EEF" w:rsidRDefault="00094002" w:rsidP="00E27592">
            <w:pPr>
              <w:pStyle w:val="LP-preglednicatelosredina"/>
              <w:rPr>
                <w:lang w:val="en-GB"/>
              </w:rPr>
            </w:pPr>
            <w:r w:rsidRPr="00CD2EEF">
              <w:rPr>
                <w:lang w:val="en-GB"/>
              </w:rPr>
              <w:t> 1,110</w:t>
            </w:r>
          </w:p>
        </w:tc>
        <w:tc>
          <w:tcPr>
            <w:tcW w:w="960" w:type="dxa"/>
            <w:tcBorders>
              <w:top w:val="single" w:sz="4" w:space="0" w:color="9CC2E5"/>
              <w:left w:val="single" w:sz="6" w:space="0" w:color="9CC2E5"/>
              <w:bottom w:val="single" w:sz="6" w:space="0" w:color="9CC2E5"/>
              <w:right w:val="single" w:sz="6" w:space="0" w:color="9CC2E5"/>
            </w:tcBorders>
            <w:shd w:val="clear" w:color="auto" w:fill="FFFFFF"/>
            <w:hideMark/>
          </w:tcPr>
          <w:p w14:paraId="3A6D96BF"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4" w:space="0" w:color="9CC2E5"/>
              <w:left w:val="single" w:sz="6" w:space="0" w:color="9CC2E5"/>
              <w:bottom w:val="single" w:sz="6" w:space="0" w:color="9CC2E5"/>
              <w:right w:val="single" w:sz="2" w:space="0" w:color="9CC2E5"/>
            </w:tcBorders>
            <w:shd w:val="clear" w:color="auto" w:fill="FFFFFF"/>
            <w:hideMark/>
          </w:tcPr>
          <w:p w14:paraId="193CFF52" w14:textId="77777777" w:rsidR="00094002" w:rsidRPr="00CD2EEF" w:rsidRDefault="00094002" w:rsidP="00E27592">
            <w:pPr>
              <w:pStyle w:val="LP-preglednicatelosredina"/>
              <w:rPr>
                <w:lang w:val="en-GB"/>
              </w:rPr>
            </w:pPr>
            <w:r w:rsidRPr="00CD2EEF">
              <w:rPr>
                <w:lang w:val="en-GB"/>
              </w:rPr>
              <w:t>1,110</w:t>
            </w:r>
          </w:p>
        </w:tc>
      </w:tr>
      <w:tr w:rsidR="00094002" w:rsidRPr="00CD2EEF" w14:paraId="4DD865DC"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4533279B" w14:textId="77777777" w:rsidR="00094002" w:rsidRPr="00CD2EEF" w:rsidRDefault="00094002" w:rsidP="00E27592">
            <w:pPr>
              <w:pStyle w:val="LP-preglednicatelosredina"/>
              <w:rPr>
                <w:lang w:val="en-GB"/>
              </w:rPr>
            </w:pPr>
            <w:r w:rsidRPr="00CD2EEF">
              <w:rPr>
                <w:lang w:val="en-GB"/>
              </w:rPr>
              <w:t>Belgium</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68335A1" w14:textId="77777777" w:rsidR="00094002" w:rsidRPr="00CD2EEF" w:rsidRDefault="00094002" w:rsidP="00E27592">
            <w:pPr>
              <w:pStyle w:val="LP-preglednicatelosredina"/>
              <w:rPr>
                <w:lang w:val="en-GB"/>
              </w:rPr>
            </w:pPr>
            <w:r w:rsidRPr="00CD2EEF">
              <w:rPr>
                <w:lang w:val="en-GB"/>
              </w:rPr>
              <w:t>7</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02AD56E8" w14:textId="77777777" w:rsidR="00094002" w:rsidRPr="00CD2EEF" w:rsidRDefault="00094002" w:rsidP="00E27592">
            <w:pPr>
              <w:pStyle w:val="LP-preglednicatelosredina"/>
              <w:rPr>
                <w:lang w:val="en-GB"/>
              </w:rPr>
            </w:pPr>
            <w:r w:rsidRPr="00CD2EEF">
              <w:rPr>
                <w:lang w:val="en-GB"/>
              </w:rPr>
              <w:t>5,942</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4EEBA798"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41895D98" w14:textId="77777777" w:rsidR="00094002" w:rsidRPr="00CD2EEF" w:rsidRDefault="00094002" w:rsidP="00E27592">
            <w:pPr>
              <w:pStyle w:val="LP-preglednicatelosredina"/>
              <w:rPr>
                <w:lang w:val="en-GB"/>
              </w:rPr>
            </w:pPr>
            <w:r w:rsidRPr="00CD2EEF">
              <w:rPr>
                <w:lang w:val="en-GB"/>
              </w:rPr>
              <w:t> </w:t>
            </w:r>
          </w:p>
        </w:tc>
      </w:tr>
      <w:tr w:rsidR="00094002" w:rsidRPr="00CD2EEF" w14:paraId="6E09A661"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01C89A5E" w14:textId="77777777" w:rsidR="00094002" w:rsidRPr="00CD2EEF" w:rsidRDefault="00094002" w:rsidP="00E27592">
            <w:pPr>
              <w:pStyle w:val="LP-preglednicatelosredina"/>
              <w:rPr>
                <w:lang w:val="en-GB"/>
              </w:rPr>
            </w:pPr>
            <w:r w:rsidRPr="00CD2EEF">
              <w:rPr>
                <w:lang w:val="en-GB"/>
              </w:rPr>
              <w:t>Bulgaria</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07D6BBC7"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3EE7A8A" w14:textId="77777777" w:rsidR="00094002" w:rsidRPr="00CD2EEF" w:rsidRDefault="00094002" w:rsidP="00E27592">
            <w:pPr>
              <w:pStyle w:val="LP-preglednicatelosredina"/>
              <w:rPr>
                <w:lang w:val="en-GB"/>
              </w:rPr>
            </w:pPr>
            <w:r w:rsidRPr="00CD2EEF">
              <w:rPr>
                <w:lang w:val="en-GB"/>
              </w:rPr>
              <w:t>2,006</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7EDFE845"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6EDEA26A" w14:textId="77777777" w:rsidR="00094002" w:rsidRPr="00CD2EEF" w:rsidRDefault="00094002" w:rsidP="00E27592">
            <w:pPr>
              <w:pStyle w:val="LP-preglednicatelosredina"/>
              <w:rPr>
                <w:lang w:val="en-GB"/>
              </w:rPr>
            </w:pPr>
            <w:r w:rsidRPr="00CD2EEF">
              <w:rPr>
                <w:lang w:val="en-GB"/>
              </w:rPr>
              <w:t> </w:t>
            </w:r>
          </w:p>
        </w:tc>
      </w:tr>
      <w:tr w:rsidR="00094002" w:rsidRPr="00CD2EEF" w14:paraId="2DF8BEB4"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0340CA68" w14:textId="77777777" w:rsidR="00094002" w:rsidRPr="00CD2EEF" w:rsidRDefault="00094002" w:rsidP="00E27592">
            <w:pPr>
              <w:pStyle w:val="LP-preglednicatelosredina"/>
              <w:rPr>
                <w:lang w:val="en-GB"/>
              </w:rPr>
            </w:pPr>
            <w:r w:rsidRPr="00CD2EEF">
              <w:rPr>
                <w:lang w:val="en-GB"/>
              </w:rPr>
              <w:t>The Czech Republic</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7A1B24C" w14:textId="77777777" w:rsidR="00094002" w:rsidRPr="00CD2EEF" w:rsidRDefault="00094002" w:rsidP="00E27592">
            <w:pPr>
              <w:pStyle w:val="LP-preglednicatelosredina"/>
              <w:rPr>
                <w:lang w:val="en-GB"/>
              </w:rPr>
            </w:pPr>
            <w:r w:rsidRPr="00CD2EEF">
              <w:rPr>
                <w:lang w:val="en-GB"/>
              </w:rPr>
              <w:t>6</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4142087F" w14:textId="77777777" w:rsidR="00094002" w:rsidRPr="00CD2EEF" w:rsidRDefault="00094002" w:rsidP="00E27592">
            <w:pPr>
              <w:pStyle w:val="LP-preglednicatelosredina"/>
              <w:rPr>
                <w:lang w:val="en-GB"/>
              </w:rPr>
            </w:pPr>
            <w:r w:rsidRPr="00CD2EEF">
              <w:rPr>
                <w:lang w:val="en-GB"/>
              </w:rPr>
              <w:t>3,934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1D4CB66C"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22FF0F40" w14:textId="77777777" w:rsidR="00094002" w:rsidRPr="00CD2EEF" w:rsidRDefault="00094002" w:rsidP="00E27592">
            <w:pPr>
              <w:pStyle w:val="LP-preglednicatelosredina"/>
              <w:rPr>
                <w:lang w:val="en-GB"/>
              </w:rPr>
            </w:pPr>
            <w:r w:rsidRPr="00CD2EEF">
              <w:rPr>
                <w:lang w:val="en-GB"/>
              </w:rPr>
              <w:t> </w:t>
            </w:r>
          </w:p>
        </w:tc>
      </w:tr>
      <w:tr w:rsidR="00094002" w:rsidRPr="00CD2EEF" w14:paraId="4CF4716B"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3AB8B890" w14:textId="77777777" w:rsidR="00094002" w:rsidRPr="00CD2EEF" w:rsidRDefault="00094002" w:rsidP="00E27592">
            <w:pPr>
              <w:pStyle w:val="LP-preglednicatelosredina"/>
              <w:rPr>
                <w:lang w:val="en-GB"/>
              </w:rPr>
            </w:pPr>
            <w:r w:rsidRPr="00CD2EEF">
              <w:rPr>
                <w:lang w:val="en-GB"/>
              </w:rPr>
              <w:t>Finland</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B8D367D" w14:textId="77777777" w:rsidR="00094002" w:rsidRPr="00CD2EEF" w:rsidRDefault="00094002" w:rsidP="00E27592">
            <w:pPr>
              <w:pStyle w:val="LP-preglednicatelosredina"/>
              <w:rPr>
                <w:lang w:val="en-GB"/>
              </w:rPr>
            </w:pPr>
            <w:r w:rsidRPr="00CD2EEF">
              <w:rPr>
                <w:lang w:val="en-GB"/>
              </w:rPr>
              <w:t>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37052DE" w14:textId="77777777" w:rsidR="00094002" w:rsidRPr="00CD2EEF" w:rsidRDefault="00094002" w:rsidP="00E27592">
            <w:pPr>
              <w:pStyle w:val="LP-preglednicatelosredina"/>
              <w:rPr>
                <w:lang w:val="en-GB"/>
              </w:rPr>
            </w:pPr>
            <w:r w:rsidRPr="00CD2EEF">
              <w:rPr>
                <w:lang w:val="en-GB"/>
              </w:rPr>
              <w:t>2,794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1727F959" w14:textId="77777777" w:rsidR="00094002" w:rsidRPr="00CD2EEF" w:rsidRDefault="00094002" w:rsidP="00E27592">
            <w:pPr>
              <w:pStyle w:val="LP-preglednicatelosredina"/>
              <w:rPr>
                <w:lang w:val="en-GB"/>
              </w:rPr>
            </w:pP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739597FB" w14:textId="77777777" w:rsidR="00094002" w:rsidRPr="00CD2EEF" w:rsidRDefault="00094002" w:rsidP="00E27592">
            <w:pPr>
              <w:pStyle w:val="LP-preglednicatelosredina"/>
              <w:rPr>
                <w:lang w:val="en-GB"/>
              </w:rPr>
            </w:pPr>
          </w:p>
        </w:tc>
      </w:tr>
      <w:tr w:rsidR="00094002" w:rsidRPr="00CD2EEF" w14:paraId="097B5B42"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58AFEBD0" w14:textId="77777777" w:rsidR="00094002" w:rsidRPr="00CD2EEF" w:rsidRDefault="00094002" w:rsidP="00E27592">
            <w:pPr>
              <w:pStyle w:val="LP-preglednicatelosredina"/>
              <w:rPr>
                <w:lang w:val="en-GB"/>
              </w:rPr>
            </w:pPr>
            <w:r w:rsidRPr="00CD2EEF">
              <w:rPr>
                <w:lang w:val="en-GB"/>
              </w:rPr>
              <w:t>France</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FF67183" w14:textId="77777777" w:rsidR="00094002" w:rsidRPr="00CD2EEF" w:rsidRDefault="00094002" w:rsidP="00E27592">
            <w:pPr>
              <w:pStyle w:val="LP-preglednicatelosredina"/>
              <w:rPr>
                <w:lang w:val="en-GB"/>
              </w:rPr>
            </w:pPr>
            <w:r w:rsidRPr="00CD2EEF">
              <w:rPr>
                <w:lang w:val="en-GB"/>
              </w:rPr>
              <w:t>56</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C6D9E75" w14:textId="77777777" w:rsidR="00094002" w:rsidRPr="00CD2EEF" w:rsidRDefault="00094002" w:rsidP="00E27592">
            <w:pPr>
              <w:pStyle w:val="LP-preglednicatelosredina"/>
              <w:rPr>
                <w:lang w:val="en-GB"/>
              </w:rPr>
            </w:pPr>
            <w:r w:rsidRPr="00CD2EEF">
              <w:rPr>
                <w:lang w:val="en-GB"/>
              </w:rPr>
              <w:t>61,370</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7464CFAF"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5A805CF7" w14:textId="77777777" w:rsidR="00094002" w:rsidRPr="00CD2EEF" w:rsidRDefault="00094002" w:rsidP="00E27592">
            <w:pPr>
              <w:pStyle w:val="LP-preglednicatelosredina"/>
              <w:rPr>
                <w:lang w:val="en-GB"/>
              </w:rPr>
            </w:pPr>
            <w:r w:rsidRPr="00CD2EEF">
              <w:rPr>
                <w:lang w:val="en-GB"/>
              </w:rPr>
              <w:t>1,630</w:t>
            </w:r>
          </w:p>
        </w:tc>
      </w:tr>
      <w:tr w:rsidR="00094002" w:rsidRPr="00CD2EEF" w14:paraId="4C9EFBF4"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5C689930" w14:textId="77777777" w:rsidR="00094002" w:rsidRPr="00CD2EEF" w:rsidRDefault="00094002" w:rsidP="00E27592">
            <w:pPr>
              <w:pStyle w:val="LP-preglednicatelosredina"/>
              <w:rPr>
                <w:lang w:val="en-GB"/>
              </w:rPr>
            </w:pPr>
            <w:r w:rsidRPr="00CD2EEF">
              <w:rPr>
                <w:lang w:val="en-GB"/>
              </w:rPr>
              <w:t>Hungary</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3C9B8B4" w14:textId="77777777" w:rsidR="00094002" w:rsidRPr="00CD2EEF" w:rsidRDefault="00094002" w:rsidP="00E27592">
            <w:pPr>
              <w:pStyle w:val="LP-preglednicatelosredina"/>
              <w:rPr>
                <w:lang w:val="en-GB"/>
              </w:rPr>
            </w:pPr>
            <w:r w:rsidRPr="00CD2EEF">
              <w:rPr>
                <w:lang w:val="en-GB"/>
              </w:rPr>
              <w:t>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CBFAB4E" w14:textId="77777777" w:rsidR="00094002" w:rsidRPr="00CD2EEF" w:rsidRDefault="00094002" w:rsidP="00E27592">
            <w:pPr>
              <w:pStyle w:val="LP-preglednicatelosredina"/>
              <w:rPr>
                <w:lang w:val="en-GB"/>
              </w:rPr>
            </w:pPr>
            <w:r w:rsidRPr="00CD2EEF">
              <w:rPr>
                <w:lang w:val="en-GB"/>
              </w:rPr>
              <w:t>1,916</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401BA7FA"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0007F718" w14:textId="77777777" w:rsidR="00094002" w:rsidRPr="00CD2EEF" w:rsidRDefault="00094002" w:rsidP="00E27592">
            <w:pPr>
              <w:pStyle w:val="LP-preglednicatelosredina"/>
              <w:rPr>
                <w:lang w:val="en-GB"/>
              </w:rPr>
            </w:pPr>
            <w:r w:rsidRPr="00CD2EEF">
              <w:rPr>
                <w:lang w:val="en-GB"/>
              </w:rPr>
              <w:t> </w:t>
            </w:r>
          </w:p>
        </w:tc>
      </w:tr>
      <w:tr w:rsidR="00094002" w:rsidRPr="00CD2EEF" w14:paraId="0A60C1FE"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0A34AE3D" w14:textId="77777777" w:rsidR="00094002" w:rsidRPr="00CD2EEF" w:rsidRDefault="00094002" w:rsidP="00E27592">
            <w:pPr>
              <w:pStyle w:val="LP-preglednicatelosredina"/>
              <w:rPr>
                <w:lang w:val="en-GB"/>
              </w:rPr>
            </w:pPr>
            <w:r w:rsidRPr="00CD2EEF">
              <w:rPr>
                <w:lang w:val="en-GB"/>
              </w:rPr>
              <w:t>Germany</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220D1F2C" w14:textId="77777777" w:rsidR="00094002" w:rsidRPr="00CD2EEF" w:rsidRDefault="00094002" w:rsidP="00E27592">
            <w:pPr>
              <w:pStyle w:val="LP-preglednicatelosredina"/>
              <w:rPr>
                <w:lang w:val="en-GB"/>
              </w:rPr>
            </w:pPr>
            <w:r w:rsidRPr="00CD2EEF">
              <w:rPr>
                <w:lang w:val="en-GB"/>
              </w:rPr>
              <w:t>3</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C71999F" w14:textId="77777777" w:rsidR="00094002" w:rsidRPr="00CD2EEF" w:rsidRDefault="00094002" w:rsidP="00E27592">
            <w:pPr>
              <w:pStyle w:val="LP-preglednicatelosredina"/>
              <w:rPr>
                <w:lang w:val="en-GB"/>
              </w:rPr>
            </w:pPr>
            <w:r w:rsidRPr="00CD2EEF">
              <w:rPr>
                <w:lang w:val="en-GB"/>
              </w:rPr>
              <w:t>4,055</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D1F6345"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1830274F" w14:textId="77777777" w:rsidR="00094002" w:rsidRPr="00CD2EEF" w:rsidRDefault="00094002" w:rsidP="00E27592">
            <w:pPr>
              <w:pStyle w:val="LP-preglednicatelosredina"/>
              <w:rPr>
                <w:lang w:val="en-GB"/>
              </w:rPr>
            </w:pPr>
            <w:r w:rsidRPr="00CD2EEF">
              <w:rPr>
                <w:lang w:val="en-GB"/>
              </w:rPr>
              <w:t> </w:t>
            </w:r>
          </w:p>
        </w:tc>
      </w:tr>
      <w:tr w:rsidR="00094002" w:rsidRPr="00CD2EEF" w14:paraId="75B6A40D"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3CFEDAE8" w14:textId="77777777" w:rsidR="00094002" w:rsidRPr="00CD2EEF" w:rsidRDefault="00094002" w:rsidP="00E27592">
            <w:pPr>
              <w:pStyle w:val="LP-preglednicatelosredina"/>
              <w:rPr>
                <w:lang w:val="en-GB"/>
              </w:rPr>
            </w:pPr>
            <w:r w:rsidRPr="00CD2EEF">
              <w:rPr>
                <w:lang w:val="en-GB"/>
              </w:rPr>
              <w:t>The Netherlands</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1820C183"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BAC8027" w14:textId="77777777" w:rsidR="00094002" w:rsidRPr="00CD2EEF" w:rsidRDefault="00094002" w:rsidP="00E27592">
            <w:pPr>
              <w:pStyle w:val="LP-preglednicatelosredina"/>
              <w:rPr>
                <w:lang w:val="en-GB"/>
              </w:rPr>
            </w:pPr>
            <w:r w:rsidRPr="00CD2EEF">
              <w:rPr>
                <w:lang w:val="en-GB"/>
              </w:rPr>
              <w:t>482</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3BD2F88"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6BD56CAA" w14:textId="77777777" w:rsidR="00094002" w:rsidRPr="00CD2EEF" w:rsidRDefault="00094002" w:rsidP="00E27592">
            <w:pPr>
              <w:pStyle w:val="LP-preglednicatelosredina"/>
              <w:rPr>
                <w:lang w:val="en-GB"/>
              </w:rPr>
            </w:pPr>
            <w:r w:rsidRPr="00CD2EEF">
              <w:rPr>
                <w:lang w:val="en-GB"/>
              </w:rPr>
              <w:t> </w:t>
            </w:r>
          </w:p>
        </w:tc>
      </w:tr>
      <w:tr w:rsidR="00094002" w:rsidRPr="00CD2EEF" w14:paraId="50DE6FED"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7AC06EF2" w14:textId="77777777" w:rsidR="00094002" w:rsidRPr="00CD2EEF" w:rsidRDefault="00094002" w:rsidP="00E27592">
            <w:pPr>
              <w:pStyle w:val="LP-preglednicatelosredina"/>
              <w:rPr>
                <w:lang w:val="en-GB"/>
              </w:rPr>
            </w:pPr>
            <w:r w:rsidRPr="00CD2EEF">
              <w:rPr>
                <w:lang w:val="en-GB"/>
              </w:rPr>
              <w:t>Romania</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436D2D3B"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4E6CF8E4" w14:textId="77777777" w:rsidR="00094002" w:rsidRPr="00CD2EEF" w:rsidRDefault="00094002" w:rsidP="00E27592">
            <w:pPr>
              <w:pStyle w:val="LP-preglednicatelosredina"/>
              <w:rPr>
                <w:lang w:val="en-GB"/>
              </w:rPr>
            </w:pPr>
            <w:r w:rsidRPr="00CD2EEF">
              <w:rPr>
                <w:lang w:val="en-GB"/>
              </w:rPr>
              <w:t>1,300</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45950F1B"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02715534" w14:textId="77777777" w:rsidR="00094002" w:rsidRPr="00CD2EEF" w:rsidRDefault="00094002" w:rsidP="00E27592">
            <w:pPr>
              <w:pStyle w:val="LP-preglednicatelosredina"/>
              <w:rPr>
                <w:lang w:val="en-GB"/>
              </w:rPr>
            </w:pPr>
            <w:r w:rsidRPr="00CD2EEF">
              <w:rPr>
                <w:lang w:val="en-GB"/>
              </w:rPr>
              <w:t> </w:t>
            </w:r>
          </w:p>
        </w:tc>
      </w:tr>
      <w:tr w:rsidR="00094002" w:rsidRPr="00CD2EEF" w14:paraId="05E15F10"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0078AE3F" w14:textId="77777777" w:rsidR="00094002" w:rsidRPr="00CD2EEF" w:rsidRDefault="00094002" w:rsidP="00E27592">
            <w:pPr>
              <w:pStyle w:val="LP-preglednicatelosredina"/>
              <w:rPr>
                <w:lang w:val="en-GB"/>
              </w:rPr>
            </w:pPr>
            <w:r w:rsidRPr="00CD2EEF">
              <w:rPr>
                <w:lang w:val="en-GB"/>
              </w:rPr>
              <w:t>Russia</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0C15485" w14:textId="77777777" w:rsidR="00094002" w:rsidRPr="00CD2EEF" w:rsidRDefault="00094002" w:rsidP="00E27592">
            <w:pPr>
              <w:pStyle w:val="LP-preglednicatelosredina"/>
              <w:rPr>
                <w:lang w:val="en-GB"/>
              </w:rPr>
            </w:pPr>
            <w:r w:rsidRPr="00CD2EEF">
              <w:rPr>
                <w:lang w:val="en-GB"/>
              </w:rPr>
              <w:t>37</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03D43D8D" w14:textId="77777777" w:rsidR="00094002" w:rsidRPr="00CD2EEF" w:rsidRDefault="00094002" w:rsidP="00E27592">
            <w:pPr>
              <w:pStyle w:val="LP-preglednicatelosredina"/>
              <w:rPr>
                <w:lang w:val="en-GB"/>
              </w:rPr>
            </w:pPr>
            <w:r w:rsidRPr="00CD2EEF">
              <w:rPr>
                <w:lang w:val="en-GB"/>
              </w:rPr>
              <w:t>27,727</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0049F0ED" w14:textId="77777777" w:rsidR="00094002" w:rsidRPr="00CD2EEF" w:rsidRDefault="00094002" w:rsidP="00E27592">
            <w:pPr>
              <w:pStyle w:val="LP-preglednicatelosredina"/>
              <w:rPr>
                <w:lang w:val="en-GB"/>
              </w:rPr>
            </w:pPr>
            <w:r w:rsidRPr="00CD2EEF">
              <w:rPr>
                <w:lang w:val="en-GB"/>
              </w:rPr>
              <w:t>4</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2FAC73C0" w14:textId="77777777" w:rsidR="00094002" w:rsidRPr="00CD2EEF" w:rsidRDefault="00094002" w:rsidP="00E27592">
            <w:pPr>
              <w:pStyle w:val="LP-preglednicatelosredina"/>
              <w:rPr>
                <w:lang w:val="en-GB"/>
              </w:rPr>
            </w:pPr>
            <w:r w:rsidRPr="00CD2EEF">
              <w:rPr>
                <w:lang w:val="en-GB"/>
              </w:rPr>
              <w:t>3,759</w:t>
            </w:r>
          </w:p>
        </w:tc>
      </w:tr>
      <w:tr w:rsidR="00094002" w:rsidRPr="00CD2EEF" w14:paraId="7DB1EB70"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3208ABE9" w14:textId="77777777" w:rsidR="00094002" w:rsidRPr="00CD2EEF" w:rsidRDefault="00094002" w:rsidP="00E27592">
            <w:pPr>
              <w:pStyle w:val="LP-preglednicatelosredina"/>
              <w:rPr>
                <w:lang w:val="en-GB"/>
              </w:rPr>
            </w:pPr>
            <w:r w:rsidRPr="00CD2EEF">
              <w:rPr>
                <w:lang w:val="en-GB"/>
              </w:rPr>
              <w:t>Slovakia</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11B7E998" w14:textId="77777777" w:rsidR="00094002" w:rsidRPr="00CD2EEF" w:rsidRDefault="00094002" w:rsidP="00E27592">
            <w:pPr>
              <w:pStyle w:val="LP-preglednicatelosredina"/>
              <w:rPr>
                <w:lang w:val="en-GB"/>
              </w:rPr>
            </w:pPr>
            <w:r w:rsidRPr="00CD2EEF">
              <w:rPr>
                <w:lang w:val="en-GB"/>
              </w:rPr>
              <w:t>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789232D" w14:textId="77777777" w:rsidR="00094002" w:rsidRPr="00CD2EEF" w:rsidRDefault="00094002" w:rsidP="00E27592">
            <w:pPr>
              <w:pStyle w:val="LP-preglednicatelosredina"/>
              <w:rPr>
                <w:lang w:val="en-GB"/>
              </w:rPr>
            </w:pPr>
            <w:r w:rsidRPr="00CD2EEF">
              <w:rPr>
                <w:lang w:val="en-GB"/>
              </w:rPr>
              <w:t>1,868</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43176B53"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747D1595" w14:textId="77777777" w:rsidR="00094002" w:rsidRPr="00CD2EEF" w:rsidRDefault="00094002" w:rsidP="00E27592">
            <w:pPr>
              <w:pStyle w:val="LP-preglednicatelosredina"/>
              <w:rPr>
                <w:lang w:val="en-GB"/>
              </w:rPr>
            </w:pPr>
            <w:r w:rsidRPr="00CD2EEF">
              <w:rPr>
                <w:lang w:val="en-GB"/>
              </w:rPr>
              <w:t>880</w:t>
            </w:r>
          </w:p>
        </w:tc>
      </w:tr>
      <w:tr w:rsidR="00094002" w:rsidRPr="00CD2EEF" w14:paraId="13061370"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2DA220B3" w14:textId="77777777" w:rsidR="00094002" w:rsidRPr="00CD2EEF" w:rsidRDefault="00094002" w:rsidP="00E27592">
            <w:pPr>
              <w:pStyle w:val="LP-preglednicatelosredina"/>
              <w:rPr>
                <w:lang w:val="en-GB"/>
              </w:rPr>
            </w:pPr>
            <w:r w:rsidRPr="00CD2EEF">
              <w:rPr>
                <w:lang w:val="en-GB"/>
              </w:rPr>
              <w:t>Slovenia</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FCD33FE"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E505D42" w14:textId="77777777" w:rsidR="00094002" w:rsidRPr="00CD2EEF" w:rsidRDefault="00094002" w:rsidP="00E27592">
            <w:pPr>
              <w:pStyle w:val="LP-preglednicatelosredina"/>
              <w:rPr>
                <w:lang w:val="en-GB"/>
              </w:rPr>
            </w:pPr>
            <w:r w:rsidRPr="00CD2EEF">
              <w:rPr>
                <w:lang w:val="en-GB"/>
              </w:rPr>
              <w:t>688</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2C16797B"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753F289D" w14:textId="77777777" w:rsidR="00094002" w:rsidRPr="00CD2EEF" w:rsidRDefault="00094002" w:rsidP="00E27592">
            <w:pPr>
              <w:pStyle w:val="LP-preglednicatelosredina"/>
              <w:rPr>
                <w:lang w:val="en-GB"/>
              </w:rPr>
            </w:pPr>
            <w:r w:rsidRPr="00CD2EEF">
              <w:rPr>
                <w:lang w:val="en-GB"/>
              </w:rPr>
              <w:t> </w:t>
            </w:r>
          </w:p>
        </w:tc>
      </w:tr>
      <w:tr w:rsidR="00094002" w:rsidRPr="00CD2EEF" w14:paraId="244C6B0F"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6B2461AA" w14:textId="77777777" w:rsidR="00094002" w:rsidRPr="00CD2EEF" w:rsidRDefault="00094002" w:rsidP="00E27592">
            <w:pPr>
              <w:pStyle w:val="LP-preglednicatelosredina"/>
              <w:rPr>
                <w:lang w:val="en-GB"/>
              </w:rPr>
            </w:pPr>
            <w:r w:rsidRPr="00CD2EEF">
              <w:rPr>
                <w:lang w:val="en-GB"/>
              </w:rPr>
              <w:t>Spain</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DC39684" w14:textId="77777777" w:rsidR="00094002" w:rsidRPr="00CD2EEF" w:rsidRDefault="00094002" w:rsidP="00E27592">
            <w:pPr>
              <w:pStyle w:val="LP-preglednicatelosredina"/>
              <w:rPr>
                <w:lang w:val="en-GB"/>
              </w:rPr>
            </w:pPr>
            <w:r w:rsidRPr="00CD2EEF">
              <w:rPr>
                <w:lang w:val="en-GB"/>
              </w:rPr>
              <w:t>7</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03722531" w14:textId="77777777" w:rsidR="00094002" w:rsidRPr="00CD2EEF" w:rsidRDefault="00094002" w:rsidP="00E27592">
            <w:pPr>
              <w:pStyle w:val="LP-preglednicatelosredina"/>
              <w:rPr>
                <w:lang w:val="en-GB"/>
              </w:rPr>
            </w:pPr>
            <w:r w:rsidRPr="00CD2EEF">
              <w:rPr>
                <w:lang w:val="en-GB"/>
              </w:rPr>
              <w:t>7,121</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4D09772E"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7F2E0A41" w14:textId="77777777" w:rsidR="00094002" w:rsidRPr="00CD2EEF" w:rsidRDefault="00094002" w:rsidP="00E27592">
            <w:pPr>
              <w:pStyle w:val="LP-preglednicatelosredina"/>
              <w:rPr>
                <w:lang w:val="en-GB"/>
              </w:rPr>
            </w:pPr>
            <w:r w:rsidRPr="00CD2EEF">
              <w:rPr>
                <w:lang w:val="en-GB"/>
              </w:rPr>
              <w:t> </w:t>
            </w:r>
          </w:p>
        </w:tc>
      </w:tr>
      <w:tr w:rsidR="00094002" w:rsidRPr="00CD2EEF" w14:paraId="7F460DBA"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22B3D347" w14:textId="77777777" w:rsidR="00094002" w:rsidRPr="00CD2EEF" w:rsidRDefault="00094002" w:rsidP="00E27592">
            <w:pPr>
              <w:pStyle w:val="LP-preglednicatelosredina"/>
              <w:rPr>
                <w:lang w:val="en-GB"/>
              </w:rPr>
            </w:pPr>
            <w:r w:rsidRPr="00CD2EEF">
              <w:rPr>
                <w:lang w:val="en-GB"/>
              </w:rPr>
              <w:t>Sweden</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7BD0071" w14:textId="77777777" w:rsidR="00094002" w:rsidRPr="00CD2EEF" w:rsidRDefault="00094002" w:rsidP="00E27592">
            <w:pPr>
              <w:pStyle w:val="LP-preglednicatelosredina"/>
              <w:rPr>
                <w:lang w:val="en-GB"/>
              </w:rPr>
            </w:pPr>
            <w:r w:rsidRPr="00CD2EEF">
              <w:rPr>
                <w:lang w:val="en-GB"/>
              </w:rPr>
              <w:t>6</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8C6CAFD" w14:textId="77777777" w:rsidR="00094002" w:rsidRPr="00CD2EEF" w:rsidRDefault="00094002" w:rsidP="00E27592">
            <w:pPr>
              <w:pStyle w:val="LP-preglednicatelosredina"/>
              <w:rPr>
                <w:lang w:val="en-GB"/>
              </w:rPr>
            </w:pPr>
            <w:r w:rsidRPr="00CD2EEF">
              <w:rPr>
                <w:lang w:val="en-GB"/>
              </w:rPr>
              <w:t>6,882</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D6620E1"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320830D4" w14:textId="77777777" w:rsidR="00094002" w:rsidRPr="00CD2EEF" w:rsidRDefault="00094002" w:rsidP="00E27592">
            <w:pPr>
              <w:pStyle w:val="LP-preglednicatelosredina"/>
              <w:rPr>
                <w:lang w:val="en-GB"/>
              </w:rPr>
            </w:pPr>
            <w:r w:rsidRPr="00CD2EEF">
              <w:rPr>
                <w:lang w:val="en-GB"/>
              </w:rPr>
              <w:t> </w:t>
            </w:r>
          </w:p>
        </w:tc>
      </w:tr>
      <w:tr w:rsidR="00094002" w:rsidRPr="00CD2EEF" w14:paraId="11ED00B0"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3D899B2C" w14:textId="77777777" w:rsidR="00094002" w:rsidRPr="00CD2EEF" w:rsidRDefault="00094002" w:rsidP="00E27592">
            <w:pPr>
              <w:pStyle w:val="LP-preglednicatelosredina"/>
              <w:rPr>
                <w:lang w:val="en-GB"/>
              </w:rPr>
            </w:pPr>
            <w:r w:rsidRPr="00CD2EEF">
              <w:rPr>
                <w:lang w:val="en-GB"/>
              </w:rPr>
              <w:t>Switzerland</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312B189" w14:textId="77777777" w:rsidR="00094002" w:rsidRPr="00CD2EEF" w:rsidRDefault="00094002" w:rsidP="00E27592">
            <w:pPr>
              <w:pStyle w:val="LP-preglednicatelosredina"/>
              <w:rPr>
                <w:lang w:val="en-GB"/>
              </w:rPr>
            </w:pPr>
            <w:r w:rsidRPr="00CD2EEF">
              <w:rPr>
                <w:lang w:val="en-GB"/>
              </w:rPr>
              <w:t>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F31CAB5" w14:textId="77777777" w:rsidR="00094002" w:rsidRPr="00CD2EEF" w:rsidRDefault="00094002" w:rsidP="00E27592">
            <w:pPr>
              <w:pStyle w:val="LP-preglednicatelosredina"/>
              <w:rPr>
                <w:lang w:val="en-GB"/>
              </w:rPr>
            </w:pPr>
            <w:r w:rsidRPr="00CD2EEF">
              <w:rPr>
                <w:lang w:val="en-GB"/>
              </w:rPr>
              <w:t>2,960</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143A57D9"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1D48EE5C" w14:textId="77777777" w:rsidR="00094002" w:rsidRPr="00CD2EEF" w:rsidRDefault="00094002" w:rsidP="00E27592">
            <w:pPr>
              <w:pStyle w:val="LP-preglednicatelosredina"/>
              <w:rPr>
                <w:lang w:val="en-GB"/>
              </w:rPr>
            </w:pPr>
            <w:r w:rsidRPr="00CD2EEF">
              <w:rPr>
                <w:lang w:val="en-GB"/>
              </w:rPr>
              <w:t> </w:t>
            </w:r>
          </w:p>
        </w:tc>
      </w:tr>
      <w:tr w:rsidR="00094002" w:rsidRPr="00CD2EEF" w14:paraId="61B9BD20"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4C401B6E" w14:textId="77777777" w:rsidR="00094002" w:rsidRPr="00CD2EEF" w:rsidRDefault="00094002" w:rsidP="00E27592">
            <w:pPr>
              <w:pStyle w:val="LP-preglednicatelosredina"/>
              <w:rPr>
                <w:lang w:val="en-GB"/>
              </w:rPr>
            </w:pPr>
            <w:r w:rsidRPr="00CD2EEF">
              <w:rPr>
                <w:lang w:val="en-GB"/>
              </w:rPr>
              <w:t>Turkey</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2692D57"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27FD4F67"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BDBF25E" w14:textId="77777777" w:rsidR="00094002" w:rsidRPr="00CD2EEF" w:rsidRDefault="00094002" w:rsidP="00E27592">
            <w:pPr>
              <w:pStyle w:val="LP-preglednicatelosredina"/>
              <w:rPr>
                <w:lang w:val="en-GB"/>
              </w:rPr>
            </w:pPr>
            <w:r w:rsidRPr="00CD2EEF">
              <w:rPr>
                <w:lang w:val="en-GB"/>
              </w:rPr>
              <w:t>3</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7FEDD2B7" w14:textId="77777777" w:rsidR="00094002" w:rsidRPr="00CD2EEF" w:rsidRDefault="00094002" w:rsidP="00E27592">
            <w:pPr>
              <w:pStyle w:val="LP-preglednicatelosredina"/>
              <w:rPr>
                <w:lang w:val="en-GB"/>
              </w:rPr>
            </w:pPr>
            <w:r w:rsidRPr="00CD2EEF">
              <w:rPr>
                <w:lang w:val="en-GB"/>
              </w:rPr>
              <w:t>3,342</w:t>
            </w:r>
          </w:p>
        </w:tc>
      </w:tr>
      <w:tr w:rsidR="00094002" w:rsidRPr="00CD2EEF" w14:paraId="07F44992"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2D995E33" w14:textId="77777777" w:rsidR="00094002" w:rsidRPr="00CD2EEF" w:rsidRDefault="00094002" w:rsidP="00E27592">
            <w:pPr>
              <w:pStyle w:val="LP-preglednicatelosredina"/>
              <w:rPr>
                <w:lang w:val="en-GB"/>
              </w:rPr>
            </w:pPr>
            <w:r w:rsidRPr="00CD2EEF">
              <w:rPr>
                <w:lang w:val="en-GB"/>
              </w:rPr>
              <w:t>Ukraine</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FBFA1BE" w14:textId="77777777" w:rsidR="00094002" w:rsidRPr="00CD2EEF" w:rsidRDefault="00094002" w:rsidP="00E27592">
            <w:pPr>
              <w:pStyle w:val="LP-preglednicatelosredina"/>
              <w:rPr>
                <w:lang w:val="en-GB"/>
              </w:rPr>
            </w:pPr>
            <w:r w:rsidRPr="00CD2EEF">
              <w:rPr>
                <w:lang w:val="en-GB"/>
              </w:rPr>
              <w:t>15</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25ACE059" w14:textId="77777777" w:rsidR="00094002" w:rsidRPr="00CD2EEF" w:rsidRDefault="00094002" w:rsidP="00E27592">
            <w:pPr>
              <w:pStyle w:val="LP-preglednicatelosredina"/>
              <w:rPr>
                <w:lang w:val="en-GB"/>
              </w:rPr>
            </w:pPr>
            <w:r w:rsidRPr="00CD2EEF">
              <w:rPr>
                <w:lang w:val="en-GB"/>
              </w:rPr>
              <w:t>13,107</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74278694"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2B62CA36" w14:textId="77777777" w:rsidR="00094002" w:rsidRPr="00CD2EEF" w:rsidRDefault="00094002" w:rsidP="00E27592">
            <w:pPr>
              <w:pStyle w:val="LP-preglednicatelosredina"/>
              <w:rPr>
                <w:lang w:val="en-GB"/>
              </w:rPr>
            </w:pPr>
            <w:r w:rsidRPr="00CD2EEF">
              <w:rPr>
                <w:lang w:val="en-GB"/>
              </w:rPr>
              <w:t>2,070</w:t>
            </w:r>
          </w:p>
        </w:tc>
      </w:tr>
      <w:tr w:rsidR="00094002" w:rsidRPr="00CD2EEF" w14:paraId="17970A28"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41B7123F" w14:textId="77777777" w:rsidR="00094002" w:rsidRPr="00CD2EEF" w:rsidRDefault="00094002" w:rsidP="00E27592">
            <w:pPr>
              <w:pStyle w:val="LP-preglednicatelosredina"/>
              <w:rPr>
                <w:lang w:val="en-GB"/>
              </w:rPr>
            </w:pPr>
            <w:r w:rsidRPr="00CD2EEF">
              <w:rPr>
                <w:lang w:val="en-GB"/>
              </w:rPr>
              <w:t>The United Kingdom</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2743DB2C"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713BEA1E" w14:textId="77777777" w:rsidR="00094002" w:rsidRPr="00CD2EEF" w:rsidRDefault="00094002" w:rsidP="00E27592">
            <w:pPr>
              <w:pStyle w:val="LP-preglednicatelosredina"/>
              <w:rPr>
                <w:lang w:val="en-GB"/>
              </w:rPr>
            </w:pPr>
            <w:r w:rsidRPr="00CD2EEF">
              <w:rPr>
                <w:lang w:val="en-GB"/>
              </w:rPr>
              <w:t>6,848</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22917783"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41A2A4BF" w14:textId="77777777" w:rsidR="00094002" w:rsidRPr="00CD2EEF" w:rsidRDefault="00094002" w:rsidP="00E27592">
            <w:pPr>
              <w:pStyle w:val="LP-preglednicatelosredina"/>
              <w:rPr>
                <w:lang w:val="en-GB"/>
              </w:rPr>
            </w:pPr>
            <w:r w:rsidRPr="00CD2EEF">
              <w:rPr>
                <w:lang w:val="en-GB"/>
              </w:rPr>
              <w:t>3,260</w:t>
            </w:r>
          </w:p>
        </w:tc>
      </w:tr>
      <w:tr w:rsidR="00094002" w:rsidRPr="00CD2EEF" w14:paraId="1521AC94" w14:textId="77777777" w:rsidTr="00E27592">
        <w:trPr>
          <w:trHeight w:val="211"/>
        </w:trPr>
        <w:tc>
          <w:tcPr>
            <w:tcW w:w="2360" w:type="dxa"/>
            <w:tcBorders>
              <w:top w:val="single" w:sz="6" w:space="0" w:color="9CC2E5"/>
              <w:left w:val="single" w:sz="2" w:space="0" w:color="9CC2E5"/>
              <w:bottom w:val="single" w:sz="6" w:space="0" w:color="9CC2E5"/>
              <w:right w:val="single" w:sz="6" w:space="0" w:color="9CC2E5"/>
            </w:tcBorders>
            <w:shd w:val="clear" w:color="auto" w:fill="5B9BD5"/>
            <w:hideMark/>
          </w:tcPr>
          <w:p w14:paraId="186D610C" w14:textId="77777777" w:rsidR="00094002" w:rsidRPr="00CD2EEF" w:rsidRDefault="00094002" w:rsidP="00E27592">
            <w:pPr>
              <w:pStyle w:val="LPpreglednicaglavasredina"/>
              <w:rPr>
                <w:lang w:val="en-GB"/>
              </w:rPr>
            </w:pPr>
            <w:r w:rsidRPr="00CD2EEF">
              <w:rPr>
                <w:lang w:val="en-GB"/>
              </w:rPr>
              <w:t>Europe total</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3730CBE6" w14:textId="77777777" w:rsidR="00094002" w:rsidRPr="00CD2EEF" w:rsidRDefault="00094002" w:rsidP="00E27592">
            <w:pPr>
              <w:pStyle w:val="LPpreglednicaglavasredina"/>
              <w:rPr>
                <w:lang w:val="en-GB"/>
              </w:rPr>
            </w:pPr>
            <w:r w:rsidRPr="00CD2EEF">
              <w:rPr>
                <w:lang w:val="en-GB"/>
              </w:rPr>
              <w:t>161</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660AF56B" w14:textId="77777777" w:rsidR="00094002" w:rsidRPr="00CD2EEF" w:rsidRDefault="00094002" w:rsidP="00E27592">
            <w:pPr>
              <w:pStyle w:val="LPpreglednicaglavasredina"/>
              <w:rPr>
                <w:lang w:val="en-GB"/>
              </w:rPr>
            </w:pPr>
            <w:r w:rsidRPr="00CD2EEF">
              <w:rPr>
                <w:lang w:val="en-GB"/>
              </w:rPr>
              <w:t>144,152</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4D75F2EC" w14:textId="77777777" w:rsidR="00094002" w:rsidRPr="00CD2EEF" w:rsidRDefault="00094002" w:rsidP="00E27592">
            <w:pPr>
              <w:pStyle w:val="LPpreglednicaglavasredina"/>
              <w:rPr>
                <w:lang w:val="en-GB"/>
              </w:rPr>
            </w:pPr>
            <w:r w:rsidRPr="00CD2EEF">
              <w:rPr>
                <w:lang w:val="en-GB"/>
              </w:rPr>
              <w:t>15</w:t>
            </w:r>
          </w:p>
        </w:tc>
        <w:tc>
          <w:tcPr>
            <w:tcW w:w="960" w:type="dxa"/>
            <w:tcBorders>
              <w:top w:val="single" w:sz="6" w:space="0" w:color="9CC2E5"/>
              <w:left w:val="single" w:sz="6" w:space="0" w:color="9CC2E5"/>
              <w:bottom w:val="single" w:sz="6" w:space="0" w:color="9CC2E5"/>
              <w:right w:val="single" w:sz="2" w:space="0" w:color="9CC2E5"/>
            </w:tcBorders>
            <w:shd w:val="clear" w:color="auto" w:fill="5B9BD5"/>
            <w:hideMark/>
          </w:tcPr>
          <w:p w14:paraId="40F51489" w14:textId="77777777" w:rsidR="00094002" w:rsidRPr="00CD2EEF" w:rsidRDefault="00094002" w:rsidP="00E27592">
            <w:pPr>
              <w:pStyle w:val="LPpreglednicaglavasredina"/>
              <w:rPr>
                <w:lang w:val="en-GB"/>
              </w:rPr>
            </w:pPr>
            <w:r w:rsidRPr="00CD2EEF">
              <w:rPr>
                <w:lang w:val="en-GB"/>
              </w:rPr>
              <w:t>16,051</w:t>
            </w:r>
          </w:p>
        </w:tc>
      </w:tr>
      <w:tr w:rsidR="00094002" w:rsidRPr="00CD2EEF" w14:paraId="11872CBD"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47E67751" w14:textId="77777777" w:rsidR="00094002" w:rsidRPr="00CD2EEF" w:rsidRDefault="00094002" w:rsidP="00E27592">
            <w:pPr>
              <w:pStyle w:val="LP-preglednicatelosredina"/>
              <w:rPr>
                <w:lang w:val="en-GB"/>
              </w:rPr>
            </w:pPr>
            <w:r w:rsidRPr="00CD2EEF">
              <w:rPr>
                <w:lang w:val="en-GB"/>
              </w:rPr>
              <w:t>Argentina</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F7C3830" w14:textId="77777777" w:rsidR="00094002" w:rsidRPr="00CD2EEF" w:rsidRDefault="00094002" w:rsidP="00E27592">
            <w:pPr>
              <w:pStyle w:val="LP-preglednicatelosredina"/>
              <w:rPr>
                <w:lang w:val="en-GB"/>
              </w:rPr>
            </w:pPr>
            <w:r w:rsidRPr="00CD2EEF">
              <w:rPr>
                <w:lang w:val="en-GB"/>
              </w:rPr>
              <w:t>3</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0B847A82" w14:textId="77777777" w:rsidR="00094002" w:rsidRPr="00CD2EEF" w:rsidRDefault="00094002" w:rsidP="00E27592">
            <w:pPr>
              <w:pStyle w:val="LP-preglednicatelosredina"/>
              <w:rPr>
                <w:lang w:val="en-GB"/>
              </w:rPr>
            </w:pPr>
            <w:r w:rsidRPr="00CD2EEF">
              <w:rPr>
                <w:lang w:val="en-GB"/>
              </w:rPr>
              <w:t>1,641</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745C8472"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1C520499" w14:textId="77777777" w:rsidR="00094002" w:rsidRPr="00CD2EEF" w:rsidRDefault="00094002" w:rsidP="00E27592">
            <w:pPr>
              <w:pStyle w:val="LP-preglednicatelosredina"/>
              <w:rPr>
                <w:lang w:val="en-GB"/>
              </w:rPr>
            </w:pPr>
            <w:r w:rsidRPr="00CD2EEF">
              <w:rPr>
                <w:lang w:val="en-GB"/>
              </w:rPr>
              <w:t>25</w:t>
            </w:r>
          </w:p>
        </w:tc>
      </w:tr>
      <w:tr w:rsidR="00094002" w:rsidRPr="00CD2EEF" w14:paraId="75887784"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09CC0942" w14:textId="77777777" w:rsidR="00094002" w:rsidRPr="00CD2EEF" w:rsidRDefault="00094002" w:rsidP="00E27592">
            <w:pPr>
              <w:pStyle w:val="LP-preglednicatelosredina"/>
              <w:rPr>
                <w:lang w:val="en-GB"/>
              </w:rPr>
            </w:pPr>
            <w:r w:rsidRPr="00CD2EEF">
              <w:rPr>
                <w:lang w:val="en-GB"/>
              </w:rPr>
              <w:t>Brazil</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738BDE19"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57D45CF7" w14:textId="77777777" w:rsidR="00094002" w:rsidRPr="00CD2EEF" w:rsidRDefault="00094002" w:rsidP="00E27592">
            <w:pPr>
              <w:pStyle w:val="LP-preglednicatelosredina"/>
              <w:rPr>
                <w:lang w:val="en-GB"/>
              </w:rPr>
            </w:pPr>
            <w:r w:rsidRPr="00CD2EEF">
              <w:rPr>
                <w:lang w:val="en-GB"/>
              </w:rPr>
              <w:t>1,884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08FF618D"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484E0E54" w14:textId="77777777" w:rsidR="00094002" w:rsidRPr="00CD2EEF" w:rsidRDefault="00094002" w:rsidP="00E27592">
            <w:pPr>
              <w:pStyle w:val="LP-preglednicatelosredina"/>
              <w:rPr>
                <w:lang w:val="en-GB"/>
              </w:rPr>
            </w:pPr>
            <w:r w:rsidRPr="00CD2EEF">
              <w:rPr>
                <w:lang w:val="en-GB"/>
              </w:rPr>
              <w:t>1,340</w:t>
            </w:r>
          </w:p>
        </w:tc>
      </w:tr>
      <w:tr w:rsidR="00094002" w:rsidRPr="00CD2EEF" w14:paraId="328C788D"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0F5DFC57" w14:textId="77777777" w:rsidR="00094002" w:rsidRPr="00CD2EEF" w:rsidRDefault="00094002" w:rsidP="00E27592">
            <w:pPr>
              <w:pStyle w:val="LP-preglednicatelosredina"/>
              <w:rPr>
                <w:lang w:val="en-GB"/>
              </w:rPr>
            </w:pPr>
            <w:r w:rsidRPr="00CD2EEF">
              <w:rPr>
                <w:lang w:val="en-GB"/>
              </w:rPr>
              <w:t>Canada</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23A652F9" w14:textId="77777777" w:rsidR="00094002" w:rsidRPr="00CD2EEF" w:rsidRDefault="00094002" w:rsidP="00E27592">
            <w:pPr>
              <w:pStyle w:val="LP-preglednicatelosredina"/>
              <w:rPr>
                <w:lang w:val="en-GB"/>
              </w:rPr>
            </w:pPr>
            <w:r w:rsidRPr="00CD2EEF">
              <w:rPr>
                <w:lang w:val="en-GB"/>
              </w:rPr>
              <w:t>19</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EC9EB3B" w14:textId="77777777" w:rsidR="00094002" w:rsidRPr="00CD2EEF" w:rsidRDefault="00094002" w:rsidP="00E27592">
            <w:pPr>
              <w:pStyle w:val="LP-preglednicatelosredina"/>
              <w:rPr>
                <w:lang w:val="en-GB"/>
              </w:rPr>
            </w:pPr>
            <w:r w:rsidRPr="00CD2EEF">
              <w:rPr>
                <w:lang w:val="en-GB"/>
              </w:rPr>
              <w:t>13,624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35208EE"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5D2D6BC6" w14:textId="77777777" w:rsidR="00094002" w:rsidRPr="00CD2EEF" w:rsidRDefault="00094002" w:rsidP="00E27592">
            <w:pPr>
              <w:pStyle w:val="LP-preglednicatelosredina"/>
              <w:rPr>
                <w:lang w:val="en-GB"/>
              </w:rPr>
            </w:pPr>
            <w:r w:rsidRPr="00CD2EEF">
              <w:rPr>
                <w:lang w:val="en-GB"/>
              </w:rPr>
              <w:t> </w:t>
            </w:r>
          </w:p>
        </w:tc>
      </w:tr>
      <w:tr w:rsidR="00094002" w:rsidRPr="00CD2EEF" w14:paraId="71281842"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51F98918" w14:textId="77777777" w:rsidR="00094002" w:rsidRPr="00CD2EEF" w:rsidRDefault="00094002" w:rsidP="00E27592">
            <w:pPr>
              <w:pStyle w:val="LP-preglednicatelosredina"/>
              <w:rPr>
                <w:lang w:val="en-GB"/>
              </w:rPr>
            </w:pPr>
            <w:r w:rsidRPr="00CD2EEF">
              <w:rPr>
                <w:lang w:val="en-GB"/>
              </w:rPr>
              <w:t>Mexico</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D0D4FAF"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2B6D0FB" w14:textId="77777777" w:rsidR="00094002" w:rsidRPr="00CD2EEF" w:rsidRDefault="00094002" w:rsidP="00E27592">
            <w:pPr>
              <w:pStyle w:val="LP-preglednicatelosredina"/>
              <w:rPr>
                <w:lang w:val="en-GB"/>
              </w:rPr>
            </w:pPr>
            <w:r w:rsidRPr="00CD2EEF">
              <w:rPr>
                <w:lang w:val="en-GB"/>
              </w:rPr>
              <w:t>1,552</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2A7BEFF2"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6FB0EAAE" w14:textId="77777777" w:rsidR="00094002" w:rsidRPr="00CD2EEF" w:rsidRDefault="00094002" w:rsidP="00E27592">
            <w:pPr>
              <w:pStyle w:val="LP-preglednicatelosredina"/>
              <w:rPr>
                <w:lang w:val="en-GB"/>
              </w:rPr>
            </w:pPr>
            <w:r w:rsidRPr="00CD2EEF">
              <w:rPr>
                <w:lang w:val="en-GB"/>
              </w:rPr>
              <w:t> </w:t>
            </w:r>
          </w:p>
        </w:tc>
      </w:tr>
      <w:tr w:rsidR="00094002" w:rsidRPr="00CD2EEF" w14:paraId="7650DFBD"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FFFFFF"/>
            <w:hideMark/>
          </w:tcPr>
          <w:p w14:paraId="2A379058" w14:textId="77777777" w:rsidR="00094002" w:rsidRPr="00CD2EEF" w:rsidRDefault="00094002" w:rsidP="00E27592">
            <w:pPr>
              <w:pStyle w:val="LP-preglednicatelosredina"/>
              <w:rPr>
                <w:lang w:val="en-GB"/>
              </w:rPr>
            </w:pPr>
            <w:r w:rsidRPr="00CD2EEF">
              <w:rPr>
                <w:lang w:val="en-GB"/>
              </w:rPr>
              <w:t>USA</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30A936E4" w14:textId="77777777" w:rsidR="00094002" w:rsidRPr="00CD2EEF" w:rsidRDefault="00094002" w:rsidP="00E27592">
            <w:pPr>
              <w:pStyle w:val="LP-preglednicatelosredina"/>
              <w:rPr>
                <w:lang w:val="en-GB"/>
              </w:rPr>
            </w:pPr>
            <w:r w:rsidRPr="00CD2EEF">
              <w:rPr>
                <w:lang w:val="en-GB"/>
              </w:rPr>
              <w:t>94</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6ABA823" w14:textId="77777777" w:rsidR="00094002" w:rsidRPr="00CD2EEF" w:rsidRDefault="00094002" w:rsidP="00E27592">
            <w:pPr>
              <w:pStyle w:val="LP-preglednicatelosredina"/>
              <w:rPr>
                <w:lang w:val="en-GB"/>
              </w:rPr>
            </w:pPr>
            <w:r w:rsidRPr="00CD2EEF">
              <w:rPr>
                <w:lang w:val="en-GB"/>
              </w:rPr>
              <w:t>95,523</w:t>
            </w:r>
          </w:p>
        </w:tc>
        <w:tc>
          <w:tcPr>
            <w:tcW w:w="960" w:type="dxa"/>
            <w:tcBorders>
              <w:top w:val="single" w:sz="6" w:space="0" w:color="9CC2E5"/>
              <w:left w:val="single" w:sz="6" w:space="0" w:color="9CC2E5"/>
              <w:bottom w:val="single" w:sz="6" w:space="0" w:color="9CC2E5"/>
              <w:right w:val="single" w:sz="6" w:space="0" w:color="9CC2E5"/>
            </w:tcBorders>
            <w:shd w:val="clear" w:color="auto" w:fill="FFFFFF"/>
            <w:hideMark/>
          </w:tcPr>
          <w:p w14:paraId="625E225A"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2" w:space="0" w:color="9CC2E5"/>
            </w:tcBorders>
            <w:shd w:val="clear" w:color="auto" w:fill="FFFFFF"/>
            <w:hideMark/>
          </w:tcPr>
          <w:p w14:paraId="5058B627" w14:textId="77777777" w:rsidR="00094002" w:rsidRPr="00CD2EEF" w:rsidRDefault="00094002" w:rsidP="00E27592">
            <w:pPr>
              <w:pStyle w:val="LP-preglednicatelosredina"/>
              <w:rPr>
                <w:lang w:val="en-GB"/>
              </w:rPr>
            </w:pPr>
            <w:r w:rsidRPr="00CD2EEF">
              <w:rPr>
                <w:lang w:val="en-GB"/>
              </w:rPr>
              <w:t>2,234</w:t>
            </w:r>
          </w:p>
        </w:tc>
      </w:tr>
      <w:tr w:rsidR="00094002" w:rsidRPr="00CD2EEF" w14:paraId="02C898E2"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5B9BD5"/>
            <w:hideMark/>
          </w:tcPr>
          <w:p w14:paraId="17A4533E" w14:textId="77777777" w:rsidR="00094002" w:rsidRPr="00CD2EEF" w:rsidRDefault="00094002" w:rsidP="00E27592">
            <w:pPr>
              <w:pStyle w:val="LPpreglednicaglavasredina"/>
              <w:rPr>
                <w:lang w:val="en-GB"/>
              </w:rPr>
            </w:pPr>
            <w:r w:rsidRPr="00CD2EEF">
              <w:rPr>
                <w:lang w:val="en-GB"/>
              </w:rPr>
              <w:t>Americas total</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161A357C" w14:textId="77777777" w:rsidR="00094002" w:rsidRPr="00CD2EEF" w:rsidRDefault="00094002" w:rsidP="00E27592">
            <w:pPr>
              <w:pStyle w:val="LPpreglednicaglavasredina"/>
              <w:rPr>
                <w:lang w:val="en-GB"/>
              </w:rPr>
            </w:pPr>
            <w:r w:rsidRPr="00CD2EEF">
              <w:rPr>
                <w:lang w:val="en-GB"/>
              </w:rPr>
              <w:t>119</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0682A639" w14:textId="77777777" w:rsidR="00094002" w:rsidRPr="00CD2EEF" w:rsidRDefault="00094002" w:rsidP="00E27592">
            <w:pPr>
              <w:pStyle w:val="LPpreglednicaglavasredina"/>
              <w:rPr>
                <w:lang w:val="en-GB"/>
              </w:rPr>
            </w:pPr>
            <w:r w:rsidRPr="00CD2EEF">
              <w:rPr>
                <w:lang w:val="en-GB"/>
              </w:rPr>
              <w:t>114,224</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5D2F99D1" w14:textId="77777777" w:rsidR="00094002" w:rsidRPr="00CD2EEF" w:rsidRDefault="00094002" w:rsidP="00E27592">
            <w:pPr>
              <w:pStyle w:val="LPpreglednicaglavasredina"/>
              <w:rPr>
                <w:lang w:val="en-GB"/>
              </w:rPr>
            </w:pPr>
            <w:r w:rsidRPr="00CD2EEF">
              <w:rPr>
                <w:lang w:val="en-GB"/>
              </w:rPr>
              <w:t>4</w:t>
            </w:r>
          </w:p>
        </w:tc>
        <w:tc>
          <w:tcPr>
            <w:tcW w:w="960" w:type="dxa"/>
            <w:tcBorders>
              <w:top w:val="single" w:sz="6" w:space="0" w:color="9CC2E5"/>
              <w:left w:val="single" w:sz="6" w:space="0" w:color="9CC2E5"/>
              <w:bottom w:val="single" w:sz="6" w:space="0" w:color="9CC2E5"/>
              <w:right w:val="single" w:sz="2" w:space="0" w:color="9CC2E5"/>
            </w:tcBorders>
            <w:shd w:val="clear" w:color="auto" w:fill="5B9BD5"/>
            <w:hideMark/>
          </w:tcPr>
          <w:p w14:paraId="062CE136" w14:textId="77777777" w:rsidR="00094002" w:rsidRPr="00CD2EEF" w:rsidRDefault="00094002" w:rsidP="00E27592">
            <w:pPr>
              <w:pStyle w:val="LPpreglednicaglavasredina"/>
              <w:rPr>
                <w:lang w:val="en-GB"/>
              </w:rPr>
            </w:pPr>
            <w:r w:rsidRPr="00CD2EEF">
              <w:rPr>
                <w:lang w:val="en-GB"/>
              </w:rPr>
              <w:t>3,599</w:t>
            </w:r>
          </w:p>
        </w:tc>
      </w:tr>
      <w:bookmarkEnd w:id="485"/>
      <w:tr w:rsidR="00094002" w:rsidRPr="00CD2EEF" w14:paraId="5B202370"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649DB56B" w14:textId="77777777" w:rsidR="00094002" w:rsidRPr="00CD2EEF" w:rsidRDefault="00094002" w:rsidP="00E27592">
            <w:pPr>
              <w:pStyle w:val="LP-preglednicatelosredina"/>
              <w:rPr>
                <w:lang w:val="en-GB"/>
              </w:rPr>
            </w:pPr>
            <w:r w:rsidRPr="00CD2EEF">
              <w:rPr>
                <w:lang w:val="en-GB"/>
              </w:rPr>
              <w:lastRenderedPageBreak/>
              <w:t>Armenia</w:t>
            </w:r>
          </w:p>
        </w:tc>
        <w:tc>
          <w:tcPr>
            <w:tcW w:w="960" w:type="dxa"/>
            <w:tcBorders>
              <w:top w:val="single" w:sz="6" w:space="0" w:color="9CC2E5"/>
              <w:left w:val="single" w:sz="6" w:space="0" w:color="9CC2E5"/>
              <w:bottom w:val="single" w:sz="6" w:space="0" w:color="9CC2E5"/>
              <w:right w:val="single" w:sz="6" w:space="0" w:color="9CC2E5"/>
            </w:tcBorders>
            <w:hideMark/>
          </w:tcPr>
          <w:p w14:paraId="1145C73B"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6" w:space="0" w:color="9CC2E5"/>
              <w:left w:val="single" w:sz="6" w:space="0" w:color="9CC2E5"/>
              <w:bottom w:val="single" w:sz="6" w:space="0" w:color="9CC2E5"/>
              <w:right w:val="single" w:sz="6" w:space="0" w:color="9CC2E5"/>
            </w:tcBorders>
            <w:hideMark/>
          </w:tcPr>
          <w:p w14:paraId="3CF8E87E" w14:textId="77777777" w:rsidR="00094002" w:rsidRPr="00CD2EEF" w:rsidRDefault="00094002" w:rsidP="00E27592">
            <w:pPr>
              <w:pStyle w:val="LP-preglednicatelosredina"/>
              <w:rPr>
                <w:lang w:val="en-GB"/>
              </w:rPr>
            </w:pPr>
            <w:r w:rsidRPr="00CD2EEF">
              <w:rPr>
                <w:lang w:val="en-GB"/>
              </w:rPr>
              <w:t>448</w:t>
            </w:r>
          </w:p>
        </w:tc>
        <w:tc>
          <w:tcPr>
            <w:tcW w:w="960" w:type="dxa"/>
            <w:tcBorders>
              <w:top w:val="single" w:sz="6" w:space="0" w:color="9CC2E5"/>
              <w:left w:val="single" w:sz="6" w:space="0" w:color="9CC2E5"/>
              <w:bottom w:val="single" w:sz="6" w:space="0" w:color="9CC2E5"/>
              <w:right w:val="single" w:sz="6" w:space="0" w:color="9CC2E5"/>
            </w:tcBorders>
            <w:hideMark/>
          </w:tcPr>
          <w:p w14:paraId="33FBFD3F"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hideMark/>
          </w:tcPr>
          <w:p w14:paraId="652F1AB3" w14:textId="77777777" w:rsidR="00094002" w:rsidRPr="00CD2EEF" w:rsidRDefault="00094002" w:rsidP="00E27592">
            <w:pPr>
              <w:pStyle w:val="LP-preglednicatelosredina"/>
              <w:rPr>
                <w:lang w:val="en-GB"/>
              </w:rPr>
            </w:pPr>
            <w:r w:rsidRPr="00CD2EEF">
              <w:rPr>
                <w:lang w:val="en-GB"/>
              </w:rPr>
              <w:t> </w:t>
            </w:r>
          </w:p>
        </w:tc>
      </w:tr>
      <w:tr w:rsidR="00094002" w:rsidRPr="00CD2EEF" w14:paraId="76EAD5C0"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7AFC546E" w14:textId="77777777" w:rsidR="00094002" w:rsidRPr="00CD2EEF" w:rsidRDefault="00094002" w:rsidP="00E27592">
            <w:pPr>
              <w:pStyle w:val="LP-preglednicatelosredina"/>
              <w:rPr>
                <w:lang w:val="en-GB"/>
              </w:rPr>
            </w:pPr>
            <w:r w:rsidRPr="00CD2EEF">
              <w:rPr>
                <w:lang w:val="en-GB"/>
              </w:rPr>
              <w:t>Bangladesh</w:t>
            </w:r>
          </w:p>
        </w:tc>
        <w:tc>
          <w:tcPr>
            <w:tcW w:w="960" w:type="dxa"/>
            <w:tcBorders>
              <w:top w:val="single" w:sz="6" w:space="0" w:color="9CC2E5"/>
              <w:left w:val="single" w:sz="6" w:space="0" w:color="9CC2E5"/>
              <w:bottom w:val="single" w:sz="6" w:space="0" w:color="9CC2E5"/>
              <w:right w:val="single" w:sz="6" w:space="0" w:color="9CC2E5"/>
            </w:tcBorders>
            <w:hideMark/>
          </w:tcPr>
          <w:p w14:paraId="3D3FEA82"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6" w:space="0" w:color="9CC2E5"/>
            </w:tcBorders>
            <w:hideMark/>
          </w:tcPr>
          <w:p w14:paraId="58146274"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6" w:space="0" w:color="9CC2E5"/>
            </w:tcBorders>
            <w:hideMark/>
          </w:tcPr>
          <w:p w14:paraId="2111E531"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2" w:space="0" w:color="9CC2E5"/>
            </w:tcBorders>
            <w:hideMark/>
          </w:tcPr>
          <w:p w14:paraId="4692559A" w14:textId="77777777" w:rsidR="00094002" w:rsidRPr="00CD2EEF" w:rsidRDefault="00094002" w:rsidP="00E27592">
            <w:pPr>
              <w:pStyle w:val="LP-preglednicatelosredina"/>
              <w:rPr>
                <w:lang w:val="en-GB"/>
              </w:rPr>
            </w:pPr>
            <w:r w:rsidRPr="00CD2EEF">
              <w:rPr>
                <w:lang w:val="en-GB"/>
              </w:rPr>
              <w:t>2,160</w:t>
            </w:r>
          </w:p>
        </w:tc>
      </w:tr>
      <w:tr w:rsidR="00094002" w:rsidRPr="00CD2EEF" w14:paraId="685C2F9B"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2A171AAA" w14:textId="77777777" w:rsidR="00094002" w:rsidRPr="00CD2EEF" w:rsidRDefault="00094002" w:rsidP="00E27592">
            <w:pPr>
              <w:pStyle w:val="LP-preglednicatelosredina"/>
              <w:rPr>
                <w:lang w:val="en-GB"/>
              </w:rPr>
            </w:pPr>
            <w:r w:rsidRPr="00CD2EEF">
              <w:rPr>
                <w:lang w:val="en-GB"/>
              </w:rPr>
              <w:t>India</w:t>
            </w:r>
          </w:p>
        </w:tc>
        <w:tc>
          <w:tcPr>
            <w:tcW w:w="960" w:type="dxa"/>
            <w:tcBorders>
              <w:top w:val="single" w:sz="6" w:space="0" w:color="9CC2E5"/>
              <w:left w:val="single" w:sz="6" w:space="0" w:color="9CC2E5"/>
              <w:bottom w:val="single" w:sz="6" w:space="0" w:color="9CC2E5"/>
              <w:right w:val="single" w:sz="6" w:space="0" w:color="9CC2E5"/>
            </w:tcBorders>
            <w:hideMark/>
          </w:tcPr>
          <w:p w14:paraId="5366C599" w14:textId="77777777" w:rsidR="00094002" w:rsidRPr="00CD2EEF" w:rsidRDefault="00094002" w:rsidP="00E27592">
            <w:pPr>
              <w:pStyle w:val="LP-preglednicatelosredina"/>
              <w:rPr>
                <w:lang w:val="en-GB"/>
              </w:rPr>
            </w:pPr>
            <w:r w:rsidRPr="00CD2EEF">
              <w:rPr>
                <w:lang w:val="en-GB"/>
              </w:rPr>
              <w:t>23</w:t>
            </w:r>
          </w:p>
        </w:tc>
        <w:tc>
          <w:tcPr>
            <w:tcW w:w="960" w:type="dxa"/>
            <w:tcBorders>
              <w:top w:val="single" w:sz="6" w:space="0" w:color="9CC2E5"/>
              <w:left w:val="single" w:sz="6" w:space="0" w:color="9CC2E5"/>
              <w:bottom w:val="single" w:sz="6" w:space="0" w:color="9CC2E5"/>
              <w:right w:val="single" w:sz="6" w:space="0" w:color="9CC2E5"/>
            </w:tcBorders>
            <w:hideMark/>
          </w:tcPr>
          <w:p w14:paraId="28B75041" w14:textId="77777777" w:rsidR="00094002" w:rsidRPr="00CD2EEF" w:rsidRDefault="00094002" w:rsidP="00E27592">
            <w:pPr>
              <w:pStyle w:val="LP-preglednicatelosredina"/>
              <w:rPr>
                <w:lang w:val="en-GB"/>
              </w:rPr>
            </w:pPr>
            <w:r w:rsidRPr="00CD2EEF">
              <w:rPr>
                <w:lang w:val="en-GB"/>
              </w:rPr>
              <w:t>6,885</w:t>
            </w:r>
          </w:p>
        </w:tc>
        <w:tc>
          <w:tcPr>
            <w:tcW w:w="960" w:type="dxa"/>
            <w:tcBorders>
              <w:top w:val="single" w:sz="6" w:space="0" w:color="9CC2E5"/>
              <w:left w:val="single" w:sz="6" w:space="0" w:color="9CC2E5"/>
              <w:bottom w:val="single" w:sz="6" w:space="0" w:color="9CC2E5"/>
              <w:right w:val="single" w:sz="6" w:space="0" w:color="9CC2E5"/>
            </w:tcBorders>
            <w:hideMark/>
          </w:tcPr>
          <w:p w14:paraId="1B8EA701" w14:textId="77777777" w:rsidR="00094002" w:rsidRPr="00CD2EEF" w:rsidRDefault="00094002" w:rsidP="00E27592">
            <w:pPr>
              <w:pStyle w:val="LP-preglednicatelosredina"/>
              <w:rPr>
                <w:lang w:val="en-GB"/>
              </w:rPr>
            </w:pPr>
            <w:r w:rsidRPr="00CD2EEF">
              <w:rPr>
                <w:lang w:val="en-GB"/>
              </w:rPr>
              <w:t>8</w:t>
            </w:r>
          </w:p>
        </w:tc>
        <w:tc>
          <w:tcPr>
            <w:tcW w:w="960" w:type="dxa"/>
            <w:tcBorders>
              <w:top w:val="single" w:sz="6" w:space="0" w:color="9CC2E5"/>
              <w:left w:val="single" w:sz="6" w:space="0" w:color="9CC2E5"/>
              <w:bottom w:val="single" w:sz="6" w:space="0" w:color="9CC2E5"/>
              <w:right w:val="single" w:sz="2" w:space="0" w:color="9CC2E5"/>
            </w:tcBorders>
            <w:hideMark/>
          </w:tcPr>
          <w:p w14:paraId="4AA99F97" w14:textId="77777777" w:rsidR="00094002" w:rsidRPr="00CD2EEF" w:rsidRDefault="00094002" w:rsidP="00E27592">
            <w:pPr>
              <w:pStyle w:val="LP-preglednicatelosredina"/>
              <w:rPr>
                <w:lang w:val="en-GB"/>
              </w:rPr>
            </w:pPr>
            <w:r w:rsidRPr="00CD2EEF">
              <w:rPr>
                <w:lang w:val="en-GB"/>
              </w:rPr>
              <w:t>6,028</w:t>
            </w:r>
          </w:p>
        </w:tc>
      </w:tr>
      <w:tr w:rsidR="00094002" w:rsidRPr="00CD2EEF" w14:paraId="51329197"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339B3FA6" w14:textId="77777777" w:rsidR="00094002" w:rsidRPr="00CD2EEF" w:rsidRDefault="00094002" w:rsidP="00E27592">
            <w:pPr>
              <w:pStyle w:val="LP-preglednicatelosredina"/>
              <w:rPr>
                <w:lang w:val="en-GB"/>
              </w:rPr>
            </w:pPr>
            <w:r w:rsidRPr="00CD2EEF">
              <w:rPr>
                <w:lang w:val="en-GB"/>
              </w:rPr>
              <w:t>Iran</w:t>
            </w:r>
          </w:p>
        </w:tc>
        <w:tc>
          <w:tcPr>
            <w:tcW w:w="960" w:type="dxa"/>
            <w:tcBorders>
              <w:top w:val="single" w:sz="6" w:space="0" w:color="9CC2E5"/>
              <w:left w:val="single" w:sz="6" w:space="0" w:color="9CC2E5"/>
              <w:bottom w:val="single" w:sz="6" w:space="0" w:color="9CC2E5"/>
              <w:right w:val="single" w:sz="6" w:space="0" w:color="9CC2E5"/>
            </w:tcBorders>
            <w:hideMark/>
          </w:tcPr>
          <w:p w14:paraId="65E5A42F" w14:textId="77777777" w:rsidR="00094002" w:rsidRPr="00CD2EEF" w:rsidRDefault="00094002" w:rsidP="00E27592">
            <w:pPr>
              <w:pStyle w:val="LP-preglednicatelosredina"/>
              <w:rPr>
                <w:lang w:val="en-GB"/>
              </w:rPr>
            </w:pPr>
            <w:r w:rsidRPr="00CD2EEF">
              <w:rPr>
                <w:lang w:val="en-GB"/>
              </w:rPr>
              <w:t>1</w:t>
            </w:r>
          </w:p>
        </w:tc>
        <w:tc>
          <w:tcPr>
            <w:tcW w:w="960" w:type="dxa"/>
            <w:tcBorders>
              <w:top w:val="single" w:sz="6" w:space="0" w:color="9CC2E5"/>
              <w:left w:val="single" w:sz="6" w:space="0" w:color="9CC2E5"/>
              <w:bottom w:val="single" w:sz="6" w:space="0" w:color="9CC2E5"/>
              <w:right w:val="single" w:sz="6" w:space="0" w:color="9CC2E5"/>
            </w:tcBorders>
            <w:hideMark/>
          </w:tcPr>
          <w:p w14:paraId="35D899F5" w14:textId="77777777" w:rsidR="00094002" w:rsidRPr="00CD2EEF" w:rsidRDefault="00094002" w:rsidP="00E27592">
            <w:pPr>
              <w:pStyle w:val="LP-preglednicatelosredina"/>
              <w:rPr>
                <w:lang w:val="en-GB"/>
              </w:rPr>
            </w:pPr>
            <w:r w:rsidRPr="00CD2EEF">
              <w:rPr>
                <w:lang w:val="en-GB"/>
              </w:rPr>
              <w:t>915</w:t>
            </w:r>
          </w:p>
        </w:tc>
        <w:tc>
          <w:tcPr>
            <w:tcW w:w="960" w:type="dxa"/>
            <w:tcBorders>
              <w:top w:val="single" w:sz="6" w:space="0" w:color="9CC2E5"/>
              <w:left w:val="single" w:sz="6" w:space="0" w:color="9CC2E5"/>
              <w:bottom w:val="single" w:sz="6" w:space="0" w:color="9CC2E5"/>
              <w:right w:val="single" w:sz="6" w:space="0" w:color="9CC2E5"/>
            </w:tcBorders>
            <w:hideMark/>
          </w:tcPr>
          <w:p w14:paraId="519721A5" w14:textId="77777777" w:rsidR="00094002" w:rsidRPr="00CD2EEF" w:rsidRDefault="00094002" w:rsidP="00E27592">
            <w:pPr>
              <w:pStyle w:val="LP-preglednicatelosredina"/>
              <w:rPr>
                <w:lang w:val="en-GB"/>
              </w:rPr>
            </w:pPr>
            <w:r w:rsidRPr="00CD2EEF">
              <w:rPr>
                <w:lang w:val="en-GB"/>
              </w:rPr>
              <w:t>1 </w:t>
            </w:r>
          </w:p>
        </w:tc>
        <w:tc>
          <w:tcPr>
            <w:tcW w:w="960" w:type="dxa"/>
            <w:tcBorders>
              <w:top w:val="single" w:sz="6" w:space="0" w:color="9CC2E5"/>
              <w:left w:val="single" w:sz="6" w:space="0" w:color="9CC2E5"/>
              <w:bottom w:val="single" w:sz="6" w:space="0" w:color="9CC2E5"/>
              <w:right w:val="single" w:sz="2" w:space="0" w:color="9CC2E5"/>
            </w:tcBorders>
            <w:hideMark/>
          </w:tcPr>
          <w:p w14:paraId="2DF2A862" w14:textId="77777777" w:rsidR="00094002" w:rsidRPr="00CD2EEF" w:rsidRDefault="00094002" w:rsidP="00E27592">
            <w:pPr>
              <w:pStyle w:val="LP-preglednicatelosredina"/>
              <w:rPr>
                <w:lang w:val="en-GB"/>
              </w:rPr>
            </w:pPr>
            <w:r w:rsidRPr="00CD2EEF">
              <w:rPr>
                <w:lang w:val="en-GB"/>
              </w:rPr>
              <w:t>974 </w:t>
            </w:r>
          </w:p>
        </w:tc>
      </w:tr>
      <w:tr w:rsidR="00094002" w:rsidRPr="00CD2EEF" w14:paraId="4386C8B3"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1C082D77" w14:textId="77777777" w:rsidR="00094002" w:rsidRPr="00CD2EEF" w:rsidRDefault="00094002" w:rsidP="00E27592">
            <w:pPr>
              <w:pStyle w:val="LP-preglednicatelosredina"/>
              <w:rPr>
                <w:lang w:val="en-GB"/>
              </w:rPr>
            </w:pPr>
            <w:r w:rsidRPr="00CD2EEF">
              <w:rPr>
                <w:lang w:val="en-GB"/>
              </w:rPr>
              <w:t>Japan</w:t>
            </w:r>
          </w:p>
        </w:tc>
        <w:tc>
          <w:tcPr>
            <w:tcW w:w="960" w:type="dxa"/>
            <w:tcBorders>
              <w:top w:val="single" w:sz="6" w:space="0" w:color="9CC2E5"/>
              <w:left w:val="single" w:sz="6" w:space="0" w:color="9CC2E5"/>
              <w:bottom w:val="single" w:sz="6" w:space="0" w:color="9CC2E5"/>
              <w:right w:val="single" w:sz="6" w:space="0" w:color="9CC2E5"/>
            </w:tcBorders>
            <w:hideMark/>
          </w:tcPr>
          <w:p w14:paraId="00C4FF62" w14:textId="77777777" w:rsidR="00094002" w:rsidRPr="00CD2EEF" w:rsidRDefault="00094002" w:rsidP="00E27592">
            <w:pPr>
              <w:pStyle w:val="LP-preglednicatelosredina"/>
              <w:rPr>
                <w:lang w:val="en-GB"/>
              </w:rPr>
            </w:pPr>
            <w:r w:rsidRPr="00CD2EEF">
              <w:rPr>
                <w:lang w:val="en-GB"/>
              </w:rPr>
              <w:t>33</w:t>
            </w:r>
          </w:p>
        </w:tc>
        <w:tc>
          <w:tcPr>
            <w:tcW w:w="960" w:type="dxa"/>
            <w:tcBorders>
              <w:top w:val="single" w:sz="6" w:space="0" w:color="9CC2E5"/>
              <w:left w:val="single" w:sz="6" w:space="0" w:color="9CC2E5"/>
              <w:bottom w:val="single" w:sz="6" w:space="0" w:color="9CC2E5"/>
              <w:right w:val="single" w:sz="6" w:space="0" w:color="9CC2E5"/>
            </w:tcBorders>
            <w:hideMark/>
          </w:tcPr>
          <w:p w14:paraId="2085FB37" w14:textId="77777777" w:rsidR="00094002" w:rsidRPr="00CD2EEF" w:rsidRDefault="00094002" w:rsidP="00E27592">
            <w:pPr>
              <w:pStyle w:val="LP-preglednicatelosredina"/>
              <w:rPr>
                <w:lang w:val="en-GB"/>
              </w:rPr>
            </w:pPr>
            <w:r w:rsidRPr="00CD2EEF">
              <w:rPr>
                <w:lang w:val="en-GB"/>
              </w:rPr>
              <w:t>31,679</w:t>
            </w:r>
          </w:p>
        </w:tc>
        <w:tc>
          <w:tcPr>
            <w:tcW w:w="960" w:type="dxa"/>
            <w:tcBorders>
              <w:top w:val="single" w:sz="6" w:space="0" w:color="9CC2E5"/>
              <w:left w:val="single" w:sz="6" w:space="0" w:color="9CC2E5"/>
              <w:bottom w:val="single" w:sz="6" w:space="0" w:color="9CC2E5"/>
              <w:right w:val="single" w:sz="6" w:space="0" w:color="9CC2E5"/>
            </w:tcBorders>
            <w:hideMark/>
          </w:tcPr>
          <w:p w14:paraId="4F0331B1"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2" w:space="0" w:color="9CC2E5"/>
            </w:tcBorders>
            <w:hideMark/>
          </w:tcPr>
          <w:p w14:paraId="489627EF" w14:textId="77777777" w:rsidR="00094002" w:rsidRPr="00CD2EEF" w:rsidRDefault="00094002" w:rsidP="00E27592">
            <w:pPr>
              <w:pStyle w:val="LP-preglednicatelosredina"/>
              <w:rPr>
                <w:lang w:val="en-GB"/>
              </w:rPr>
            </w:pPr>
            <w:r w:rsidRPr="00CD2EEF">
              <w:rPr>
                <w:lang w:val="en-GB"/>
              </w:rPr>
              <w:t>2,653</w:t>
            </w:r>
          </w:p>
        </w:tc>
      </w:tr>
      <w:tr w:rsidR="00094002" w:rsidRPr="00CD2EEF" w14:paraId="1DE42B21"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24CE62CE" w14:textId="77777777" w:rsidR="00094002" w:rsidRPr="00CD2EEF" w:rsidRDefault="00094002" w:rsidP="00E27592">
            <w:pPr>
              <w:pStyle w:val="LP-preglednicatelosredina"/>
              <w:rPr>
                <w:lang w:val="en-GB"/>
              </w:rPr>
            </w:pPr>
            <w:r w:rsidRPr="00CD2EEF">
              <w:rPr>
                <w:lang w:val="en-GB"/>
              </w:rPr>
              <w:t>China</w:t>
            </w:r>
          </w:p>
        </w:tc>
        <w:tc>
          <w:tcPr>
            <w:tcW w:w="960" w:type="dxa"/>
            <w:tcBorders>
              <w:top w:val="single" w:sz="6" w:space="0" w:color="9CC2E5"/>
              <w:left w:val="single" w:sz="6" w:space="0" w:color="9CC2E5"/>
              <w:bottom w:val="single" w:sz="6" w:space="0" w:color="9CC2E5"/>
              <w:right w:val="single" w:sz="6" w:space="0" w:color="9CC2E5"/>
            </w:tcBorders>
            <w:hideMark/>
          </w:tcPr>
          <w:p w14:paraId="1CB14245" w14:textId="77777777" w:rsidR="00094002" w:rsidRPr="00CD2EEF" w:rsidRDefault="00094002" w:rsidP="00E27592">
            <w:pPr>
              <w:pStyle w:val="LP-preglednicatelosredina"/>
              <w:rPr>
                <w:lang w:val="en-GB"/>
              </w:rPr>
            </w:pPr>
            <w:r w:rsidRPr="00CD2EEF">
              <w:rPr>
                <w:lang w:val="en-GB"/>
              </w:rPr>
              <w:t>50</w:t>
            </w:r>
          </w:p>
        </w:tc>
        <w:tc>
          <w:tcPr>
            <w:tcW w:w="960" w:type="dxa"/>
            <w:tcBorders>
              <w:top w:val="single" w:sz="6" w:space="0" w:color="9CC2E5"/>
              <w:left w:val="single" w:sz="6" w:space="0" w:color="9CC2E5"/>
              <w:bottom w:val="single" w:sz="6" w:space="0" w:color="9CC2E5"/>
              <w:right w:val="single" w:sz="6" w:space="0" w:color="9CC2E5"/>
            </w:tcBorders>
            <w:hideMark/>
          </w:tcPr>
          <w:p w14:paraId="574804D7" w14:textId="77777777" w:rsidR="00094002" w:rsidRPr="00CD2EEF" w:rsidRDefault="00094002" w:rsidP="00E27592">
            <w:pPr>
              <w:pStyle w:val="LP-preglednicatelosredina"/>
              <w:rPr>
                <w:lang w:val="en-GB"/>
              </w:rPr>
            </w:pPr>
            <w:r w:rsidRPr="00CD2EEF">
              <w:rPr>
                <w:lang w:val="en-GB"/>
              </w:rPr>
              <w:t>52,170</w:t>
            </w:r>
          </w:p>
        </w:tc>
        <w:tc>
          <w:tcPr>
            <w:tcW w:w="960" w:type="dxa"/>
            <w:tcBorders>
              <w:top w:val="single" w:sz="6" w:space="0" w:color="9CC2E5"/>
              <w:left w:val="single" w:sz="6" w:space="0" w:color="9CC2E5"/>
              <w:bottom w:val="single" w:sz="6" w:space="0" w:color="9CC2E5"/>
              <w:right w:val="single" w:sz="6" w:space="0" w:color="9CC2E5"/>
            </w:tcBorders>
            <w:hideMark/>
          </w:tcPr>
          <w:p w14:paraId="00EE99A8" w14:textId="77777777" w:rsidR="00094002" w:rsidRPr="00CD2EEF" w:rsidRDefault="00094002" w:rsidP="00E27592">
            <w:pPr>
              <w:pStyle w:val="LP-preglednicatelosredina"/>
              <w:rPr>
                <w:lang w:val="en-GB"/>
              </w:rPr>
            </w:pPr>
            <w:r w:rsidRPr="00CD2EEF">
              <w:rPr>
                <w:lang w:val="en-GB"/>
              </w:rPr>
              <w:t>15</w:t>
            </w:r>
          </w:p>
        </w:tc>
        <w:tc>
          <w:tcPr>
            <w:tcW w:w="960" w:type="dxa"/>
            <w:tcBorders>
              <w:top w:val="single" w:sz="6" w:space="0" w:color="9CC2E5"/>
              <w:left w:val="single" w:sz="6" w:space="0" w:color="9CC2E5"/>
              <w:bottom w:val="single" w:sz="6" w:space="0" w:color="9CC2E5"/>
              <w:right w:val="single" w:sz="2" w:space="0" w:color="9CC2E5"/>
            </w:tcBorders>
            <w:hideMark/>
          </w:tcPr>
          <w:p w14:paraId="5C896492" w14:textId="77777777" w:rsidR="00094002" w:rsidRPr="00CD2EEF" w:rsidRDefault="00094002" w:rsidP="00E27592">
            <w:pPr>
              <w:pStyle w:val="LP-preglednicatelosredina"/>
              <w:rPr>
                <w:lang w:val="en-GB"/>
              </w:rPr>
            </w:pPr>
            <w:r w:rsidRPr="00CD2EEF">
              <w:rPr>
                <w:lang w:val="en-GB"/>
              </w:rPr>
              <w:t>15,002</w:t>
            </w:r>
          </w:p>
        </w:tc>
      </w:tr>
      <w:tr w:rsidR="00094002" w:rsidRPr="00CD2EEF" w14:paraId="70C14322"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55575A1E" w14:textId="1D460A88" w:rsidR="00094002" w:rsidRPr="00CD2EEF" w:rsidRDefault="00094002" w:rsidP="00E27592">
            <w:pPr>
              <w:pStyle w:val="LP-preglednicatelosredina"/>
              <w:rPr>
                <w:lang w:val="en-GB"/>
              </w:rPr>
            </w:pPr>
            <w:r w:rsidRPr="00CD2EEF">
              <w:rPr>
                <w:lang w:val="en-GB"/>
              </w:rPr>
              <w:t>The Republic of</w:t>
            </w:r>
            <w:r w:rsidR="006F0FE2" w:rsidRPr="00CD2EEF">
              <w:rPr>
                <w:lang w:val="en-GB"/>
              </w:rPr>
              <w:t xml:space="preserve"> Korea</w:t>
            </w:r>
          </w:p>
        </w:tc>
        <w:tc>
          <w:tcPr>
            <w:tcW w:w="960" w:type="dxa"/>
            <w:tcBorders>
              <w:top w:val="single" w:sz="6" w:space="0" w:color="9CC2E5"/>
              <w:left w:val="single" w:sz="6" w:space="0" w:color="9CC2E5"/>
              <w:bottom w:val="single" w:sz="6" w:space="0" w:color="9CC2E5"/>
              <w:right w:val="single" w:sz="6" w:space="0" w:color="9CC2E5"/>
            </w:tcBorders>
            <w:hideMark/>
          </w:tcPr>
          <w:p w14:paraId="13291588" w14:textId="77777777" w:rsidR="00094002" w:rsidRPr="00CD2EEF" w:rsidRDefault="00094002" w:rsidP="00E27592">
            <w:pPr>
              <w:pStyle w:val="LP-preglednicatelosredina"/>
              <w:rPr>
                <w:lang w:val="en-GB"/>
              </w:rPr>
            </w:pPr>
            <w:r w:rsidRPr="00CD2EEF">
              <w:rPr>
                <w:lang w:val="en-GB"/>
              </w:rPr>
              <w:t>24</w:t>
            </w:r>
          </w:p>
        </w:tc>
        <w:tc>
          <w:tcPr>
            <w:tcW w:w="960" w:type="dxa"/>
            <w:tcBorders>
              <w:top w:val="single" w:sz="6" w:space="0" w:color="9CC2E5"/>
              <w:left w:val="single" w:sz="6" w:space="0" w:color="9CC2E5"/>
              <w:bottom w:val="single" w:sz="6" w:space="0" w:color="9CC2E5"/>
              <w:right w:val="single" w:sz="6" w:space="0" w:color="9CC2E5"/>
            </w:tcBorders>
            <w:hideMark/>
          </w:tcPr>
          <w:p w14:paraId="2A2BB3B6" w14:textId="77777777" w:rsidR="00094002" w:rsidRPr="00CD2EEF" w:rsidRDefault="00094002" w:rsidP="00E27592">
            <w:pPr>
              <w:pStyle w:val="LP-preglednicatelosredina"/>
              <w:rPr>
                <w:lang w:val="en-GB"/>
              </w:rPr>
            </w:pPr>
            <w:r w:rsidRPr="00CD2EEF">
              <w:rPr>
                <w:lang w:val="en-GB"/>
              </w:rPr>
              <w:t>23,091</w:t>
            </w:r>
          </w:p>
        </w:tc>
        <w:tc>
          <w:tcPr>
            <w:tcW w:w="960" w:type="dxa"/>
            <w:tcBorders>
              <w:top w:val="single" w:sz="6" w:space="0" w:color="9CC2E5"/>
              <w:left w:val="single" w:sz="6" w:space="0" w:color="9CC2E5"/>
              <w:bottom w:val="single" w:sz="6" w:space="0" w:color="9CC2E5"/>
              <w:right w:val="single" w:sz="6" w:space="0" w:color="9CC2E5"/>
            </w:tcBorders>
            <w:hideMark/>
          </w:tcPr>
          <w:p w14:paraId="699A1486" w14:textId="77777777" w:rsidR="00094002" w:rsidRPr="00CD2EEF" w:rsidRDefault="00094002" w:rsidP="00E27592">
            <w:pPr>
              <w:pStyle w:val="LP-preglednicatelosredina"/>
              <w:rPr>
                <w:lang w:val="en-GB"/>
              </w:rPr>
            </w:pPr>
            <w:r w:rsidRPr="00CD2EEF">
              <w:rPr>
                <w:lang w:val="en-GB"/>
              </w:rPr>
              <w:t>4</w:t>
            </w:r>
          </w:p>
        </w:tc>
        <w:tc>
          <w:tcPr>
            <w:tcW w:w="960" w:type="dxa"/>
            <w:tcBorders>
              <w:top w:val="single" w:sz="6" w:space="0" w:color="9CC2E5"/>
              <w:left w:val="single" w:sz="6" w:space="0" w:color="9CC2E5"/>
              <w:bottom w:val="single" w:sz="6" w:space="0" w:color="9CC2E5"/>
              <w:right w:val="single" w:sz="2" w:space="0" w:color="9CC2E5"/>
            </w:tcBorders>
            <w:hideMark/>
          </w:tcPr>
          <w:p w14:paraId="5712367D" w14:textId="77777777" w:rsidR="00094002" w:rsidRPr="00CD2EEF" w:rsidRDefault="00094002" w:rsidP="00E27592">
            <w:pPr>
              <w:pStyle w:val="LP-preglednicatelosredina"/>
              <w:rPr>
                <w:lang w:val="en-GB"/>
              </w:rPr>
            </w:pPr>
            <w:r w:rsidRPr="00CD2EEF">
              <w:rPr>
                <w:lang w:val="en-GB"/>
              </w:rPr>
              <w:t>5,360</w:t>
            </w:r>
          </w:p>
        </w:tc>
      </w:tr>
      <w:tr w:rsidR="00094002" w:rsidRPr="00CD2EEF" w14:paraId="4308B8D9"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41395481" w14:textId="77777777" w:rsidR="00094002" w:rsidRPr="00CD2EEF" w:rsidRDefault="00094002" w:rsidP="00E27592">
            <w:pPr>
              <w:pStyle w:val="LP-preglednicatelosredina"/>
              <w:rPr>
                <w:lang w:val="en-GB"/>
              </w:rPr>
            </w:pPr>
            <w:r w:rsidRPr="00CD2EEF">
              <w:rPr>
                <w:lang w:val="en-GB"/>
              </w:rPr>
              <w:t>Pakistan</w:t>
            </w:r>
          </w:p>
        </w:tc>
        <w:tc>
          <w:tcPr>
            <w:tcW w:w="960" w:type="dxa"/>
            <w:tcBorders>
              <w:top w:val="single" w:sz="6" w:space="0" w:color="9CC2E5"/>
              <w:left w:val="single" w:sz="6" w:space="0" w:color="9CC2E5"/>
              <w:bottom w:val="single" w:sz="6" w:space="0" w:color="9CC2E5"/>
              <w:right w:val="single" w:sz="6" w:space="0" w:color="9CC2E5"/>
            </w:tcBorders>
            <w:hideMark/>
          </w:tcPr>
          <w:p w14:paraId="4F6BBB18" w14:textId="77777777" w:rsidR="00094002" w:rsidRPr="00CD2EEF" w:rsidRDefault="00094002" w:rsidP="00E27592">
            <w:pPr>
              <w:pStyle w:val="LP-preglednicatelosredina"/>
              <w:rPr>
                <w:lang w:val="en-GB"/>
              </w:rPr>
            </w:pPr>
            <w:r w:rsidRPr="00CD2EEF">
              <w:rPr>
                <w:lang w:val="en-GB"/>
              </w:rPr>
              <w:t>6</w:t>
            </w:r>
          </w:p>
        </w:tc>
        <w:tc>
          <w:tcPr>
            <w:tcW w:w="960" w:type="dxa"/>
            <w:tcBorders>
              <w:top w:val="single" w:sz="6" w:space="0" w:color="9CC2E5"/>
              <w:left w:val="single" w:sz="6" w:space="0" w:color="9CC2E5"/>
              <w:bottom w:val="single" w:sz="6" w:space="0" w:color="9CC2E5"/>
              <w:right w:val="single" w:sz="6" w:space="0" w:color="9CC2E5"/>
            </w:tcBorders>
            <w:hideMark/>
          </w:tcPr>
          <w:p w14:paraId="72F56693" w14:textId="77777777" w:rsidR="00094002" w:rsidRPr="00CD2EEF" w:rsidRDefault="00094002" w:rsidP="00E27592">
            <w:pPr>
              <w:pStyle w:val="LP-preglednicatelosredina"/>
              <w:rPr>
                <w:lang w:val="en-GB"/>
              </w:rPr>
            </w:pPr>
            <w:r w:rsidRPr="00CD2EEF">
              <w:rPr>
                <w:lang w:val="en-GB"/>
              </w:rPr>
              <w:t>3,256</w:t>
            </w:r>
          </w:p>
        </w:tc>
        <w:tc>
          <w:tcPr>
            <w:tcW w:w="960" w:type="dxa"/>
            <w:tcBorders>
              <w:top w:val="single" w:sz="6" w:space="0" w:color="9CC2E5"/>
              <w:left w:val="single" w:sz="6" w:space="0" w:color="9CC2E5"/>
              <w:bottom w:val="single" w:sz="6" w:space="0" w:color="9CC2E5"/>
              <w:right w:val="single" w:sz="6" w:space="0" w:color="9CC2E5"/>
            </w:tcBorders>
            <w:hideMark/>
          </w:tcPr>
          <w:p w14:paraId="4B6D13F5" w14:textId="77777777" w:rsidR="00094002" w:rsidRPr="00CD2EEF" w:rsidRDefault="00094002" w:rsidP="00E27592">
            <w:pPr>
              <w:pStyle w:val="LP-preglednicatelosredina"/>
              <w:rPr>
                <w:lang w:val="en-GB"/>
              </w:rPr>
            </w:pPr>
          </w:p>
        </w:tc>
        <w:tc>
          <w:tcPr>
            <w:tcW w:w="960" w:type="dxa"/>
            <w:tcBorders>
              <w:top w:val="single" w:sz="6" w:space="0" w:color="9CC2E5"/>
              <w:left w:val="single" w:sz="6" w:space="0" w:color="9CC2E5"/>
              <w:bottom w:val="single" w:sz="6" w:space="0" w:color="9CC2E5"/>
              <w:right w:val="single" w:sz="2" w:space="0" w:color="9CC2E5"/>
            </w:tcBorders>
            <w:hideMark/>
          </w:tcPr>
          <w:p w14:paraId="32A36FE7" w14:textId="77777777" w:rsidR="00094002" w:rsidRPr="00CD2EEF" w:rsidRDefault="00094002" w:rsidP="00E27592">
            <w:pPr>
              <w:pStyle w:val="LP-preglednicatelosredina"/>
              <w:rPr>
                <w:lang w:val="en-GB"/>
              </w:rPr>
            </w:pPr>
          </w:p>
        </w:tc>
      </w:tr>
      <w:tr w:rsidR="00094002" w:rsidRPr="00CD2EEF" w14:paraId="62D71046"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40A8450F" w14:textId="77777777" w:rsidR="00094002" w:rsidRPr="00CD2EEF" w:rsidRDefault="00094002" w:rsidP="00E27592">
            <w:pPr>
              <w:pStyle w:val="LP-preglednicatelosredina"/>
              <w:rPr>
                <w:lang w:val="en-GB"/>
              </w:rPr>
            </w:pPr>
            <w:r w:rsidRPr="00CD2EEF">
              <w:rPr>
                <w:lang w:val="en-GB"/>
              </w:rPr>
              <w:t>Taiwan</w:t>
            </w:r>
          </w:p>
        </w:tc>
        <w:tc>
          <w:tcPr>
            <w:tcW w:w="960" w:type="dxa"/>
            <w:tcBorders>
              <w:top w:val="single" w:sz="6" w:space="0" w:color="9CC2E5"/>
              <w:left w:val="single" w:sz="6" w:space="0" w:color="9CC2E5"/>
              <w:bottom w:val="single" w:sz="6" w:space="0" w:color="9CC2E5"/>
              <w:right w:val="single" w:sz="6" w:space="0" w:color="9CC2E5"/>
            </w:tcBorders>
            <w:hideMark/>
          </w:tcPr>
          <w:p w14:paraId="126E1D54" w14:textId="77777777" w:rsidR="00094002" w:rsidRPr="00CD2EEF" w:rsidRDefault="00094002" w:rsidP="00E27592">
            <w:pPr>
              <w:pStyle w:val="LP-preglednicatelosredina"/>
              <w:rPr>
                <w:lang w:val="en-GB"/>
              </w:rPr>
            </w:pPr>
            <w:r w:rsidRPr="00CD2EEF">
              <w:rPr>
                <w:lang w:val="en-GB"/>
              </w:rPr>
              <w:t>3</w:t>
            </w:r>
          </w:p>
        </w:tc>
        <w:tc>
          <w:tcPr>
            <w:tcW w:w="960" w:type="dxa"/>
            <w:tcBorders>
              <w:top w:val="single" w:sz="6" w:space="0" w:color="9CC2E5"/>
              <w:left w:val="single" w:sz="6" w:space="0" w:color="9CC2E5"/>
              <w:bottom w:val="single" w:sz="6" w:space="0" w:color="9CC2E5"/>
              <w:right w:val="single" w:sz="6" w:space="0" w:color="9CC2E5"/>
            </w:tcBorders>
            <w:hideMark/>
          </w:tcPr>
          <w:p w14:paraId="2567E0EE" w14:textId="77777777" w:rsidR="00094002" w:rsidRPr="00CD2EEF" w:rsidRDefault="00094002" w:rsidP="00E27592">
            <w:pPr>
              <w:pStyle w:val="LP-preglednicatelosredina"/>
              <w:rPr>
                <w:lang w:val="en-GB"/>
              </w:rPr>
            </w:pPr>
            <w:r w:rsidRPr="00CD2EEF">
              <w:rPr>
                <w:lang w:val="en-GB"/>
              </w:rPr>
              <w:t>2,859</w:t>
            </w:r>
          </w:p>
        </w:tc>
        <w:tc>
          <w:tcPr>
            <w:tcW w:w="960" w:type="dxa"/>
            <w:tcBorders>
              <w:top w:val="single" w:sz="6" w:space="0" w:color="9CC2E5"/>
              <w:left w:val="single" w:sz="6" w:space="0" w:color="9CC2E5"/>
              <w:bottom w:val="single" w:sz="6" w:space="0" w:color="9CC2E5"/>
              <w:right w:val="single" w:sz="6" w:space="0" w:color="9CC2E5"/>
            </w:tcBorders>
            <w:hideMark/>
          </w:tcPr>
          <w:p w14:paraId="1D2CD3E5" w14:textId="77777777" w:rsidR="00094002" w:rsidRPr="00CD2EEF" w:rsidRDefault="00094002" w:rsidP="00E27592">
            <w:pPr>
              <w:pStyle w:val="LP-preglednicatelosredina"/>
              <w:rPr>
                <w:lang w:val="en-GB"/>
              </w:rPr>
            </w:pPr>
          </w:p>
        </w:tc>
        <w:tc>
          <w:tcPr>
            <w:tcW w:w="960" w:type="dxa"/>
            <w:tcBorders>
              <w:top w:val="single" w:sz="6" w:space="0" w:color="9CC2E5"/>
              <w:left w:val="single" w:sz="6" w:space="0" w:color="9CC2E5"/>
              <w:bottom w:val="single" w:sz="6" w:space="0" w:color="9CC2E5"/>
              <w:right w:val="single" w:sz="2" w:space="0" w:color="9CC2E5"/>
            </w:tcBorders>
            <w:hideMark/>
          </w:tcPr>
          <w:p w14:paraId="5BC9ABF7" w14:textId="77777777" w:rsidR="00094002" w:rsidRPr="00CD2EEF" w:rsidRDefault="00094002" w:rsidP="00E27592">
            <w:pPr>
              <w:pStyle w:val="LP-preglednicatelosredina"/>
              <w:rPr>
                <w:lang w:val="en-GB"/>
              </w:rPr>
            </w:pPr>
          </w:p>
        </w:tc>
      </w:tr>
      <w:tr w:rsidR="00094002" w:rsidRPr="00CD2EEF" w14:paraId="0233BB21"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6F983CB2" w14:textId="77777777" w:rsidR="00094002" w:rsidRPr="00CD2EEF" w:rsidRDefault="00094002" w:rsidP="00E27592">
            <w:pPr>
              <w:pStyle w:val="LP-preglednicatelosredina"/>
              <w:rPr>
                <w:lang w:val="en-GB"/>
              </w:rPr>
            </w:pPr>
            <w:r w:rsidRPr="00CD2EEF">
              <w:rPr>
                <w:lang w:val="en-GB"/>
              </w:rPr>
              <w:t>The United Arab Emirates</w:t>
            </w:r>
          </w:p>
        </w:tc>
        <w:tc>
          <w:tcPr>
            <w:tcW w:w="960" w:type="dxa"/>
            <w:tcBorders>
              <w:top w:val="single" w:sz="6" w:space="0" w:color="9CC2E5"/>
              <w:left w:val="single" w:sz="6" w:space="0" w:color="9CC2E5"/>
              <w:bottom w:val="single" w:sz="6" w:space="0" w:color="9CC2E5"/>
              <w:right w:val="single" w:sz="6" w:space="0" w:color="9CC2E5"/>
            </w:tcBorders>
            <w:hideMark/>
          </w:tcPr>
          <w:p w14:paraId="3E5D6EC0" w14:textId="77777777" w:rsidR="00094002" w:rsidRPr="00CD2EEF" w:rsidRDefault="00094002" w:rsidP="00E27592">
            <w:pPr>
              <w:pStyle w:val="LP-preglednicatelosredina"/>
              <w:rPr>
                <w:lang w:val="en-GB"/>
              </w:rPr>
            </w:pPr>
            <w:r w:rsidRPr="00CD2EEF">
              <w:rPr>
                <w:lang w:val="en-GB"/>
              </w:rPr>
              <w:t> 2</w:t>
            </w:r>
          </w:p>
        </w:tc>
        <w:tc>
          <w:tcPr>
            <w:tcW w:w="960" w:type="dxa"/>
            <w:tcBorders>
              <w:top w:val="single" w:sz="6" w:space="0" w:color="9CC2E5"/>
              <w:left w:val="single" w:sz="6" w:space="0" w:color="9CC2E5"/>
              <w:bottom w:val="single" w:sz="6" w:space="0" w:color="9CC2E5"/>
              <w:right w:val="single" w:sz="6" w:space="0" w:color="9CC2E5"/>
            </w:tcBorders>
            <w:hideMark/>
          </w:tcPr>
          <w:p w14:paraId="216E9FC8" w14:textId="77777777" w:rsidR="00094002" w:rsidRPr="00CD2EEF" w:rsidRDefault="00094002" w:rsidP="00E27592">
            <w:pPr>
              <w:pStyle w:val="LP-preglednicatelosredina"/>
              <w:rPr>
                <w:lang w:val="en-GB"/>
              </w:rPr>
            </w:pPr>
            <w:r w:rsidRPr="00CD2EEF">
              <w:rPr>
                <w:lang w:val="en-GB"/>
              </w:rPr>
              <w:t>2,762</w:t>
            </w:r>
          </w:p>
        </w:tc>
        <w:tc>
          <w:tcPr>
            <w:tcW w:w="960" w:type="dxa"/>
            <w:tcBorders>
              <w:top w:val="single" w:sz="6" w:space="0" w:color="9CC2E5"/>
              <w:left w:val="single" w:sz="6" w:space="0" w:color="9CC2E5"/>
              <w:bottom w:val="single" w:sz="6" w:space="0" w:color="9CC2E5"/>
              <w:right w:val="single" w:sz="6" w:space="0" w:color="9CC2E5"/>
            </w:tcBorders>
            <w:hideMark/>
          </w:tcPr>
          <w:p w14:paraId="2BF481F1" w14:textId="77777777" w:rsidR="00094002" w:rsidRPr="00CD2EEF" w:rsidRDefault="00094002" w:rsidP="00E27592">
            <w:pPr>
              <w:pStyle w:val="LP-preglednicatelosredina"/>
              <w:rPr>
                <w:lang w:val="en-GB"/>
              </w:rPr>
            </w:pPr>
          </w:p>
        </w:tc>
        <w:tc>
          <w:tcPr>
            <w:tcW w:w="960" w:type="dxa"/>
            <w:tcBorders>
              <w:top w:val="single" w:sz="6" w:space="0" w:color="9CC2E5"/>
              <w:left w:val="single" w:sz="6" w:space="0" w:color="9CC2E5"/>
              <w:bottom w:val="single" w:sz="6" w:space="0" w:color="9CC2E5"/>
              <w:right w:val="single" w:sz="2" w:space="0" w:color="9CC2E5"/>
            </w:tcBorders>
            <w:hideMark/>
          </w:tcPr>
          <w:p w14:paraId="5E29BC90" w14:textId="77777777" w:rsidR="00094002" w:rsidRPr="00CD2EEF" w:rsidRDefault="00094002" w:rsidP="00E27592">
            <w:pPr>
              <w:pStyle w:val="LP-preglednicatelosredina"/>
              <w:rPr>
                <w:lang w:val="en-GB"/>
              </w:rPr>
            </w:pPr>
          </w:p>
        </w:tc>
      </w:tr>
      <w:tr w:rsidR="00094002" w:rsidRPr="00CD2EEF" w14:paraId="6AACA286"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shd w:val="clear" w:color="auto" w:fill="5B9BD5"/>
            <w:hideMark/>
          </w:tcPr>
          <w:p w14:paraId="159E9A29" w14:textId="7B69311E" w:rsidR="00094002" w:rsidRPr="00CD2EEF" w:rsidRDefault="00094002" w:rsidP="00E27592">
            <w:pPr>
              <w:pStyle w:val="LPpreglednicaglavasredina"/>
              <w:rPr>
                <w:lang w:val="en-GB"/>
              </w:rPr>
            </w:pPr>
            <w:r w:rsidRPr="00CD2EEF">
              <w:rPr>
                <w:lang w:val="en-GB"/>
              </w:rPr>
              <w:t xml:space="preserve">Asia and </w:t>
            </w:r>
            <w:r w:rsidR="006F0FE2">
              <w:rPr>
                <w:lang w:val="en-GB"/>
              </w:rPr>
              <w:t xml:space="preserve">the </w:t>
            </w:r>
            <w:r w:rsidRPr="00CD2EEF">
              <w:rPr>
                <w:lang w:val="en-GB"/>
              </w:rPr>
              <w:t>Middle East total:</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008CE115" w14:textId="77777777" w:rsidR="00094002" w:rsidRPr="00CD2EEF" w:rsidRDefault="00094002" w:rsidP="00E27592">
            <w:pPr>
              <w:pStyle w:val="LPpreglednicaglavasredina"/>
              <w:rPr>
                <w:lang w:val="en-GB"/>
              </w:rPr>
            </w:pPr>
            <w:r w:rsidRPr="00CD2EEF">
              <w:rPr>
                <w:lang w:val="en-GB"/>
              </w:rPr>
              <w:t>146</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37A38000" w14:textId="77777777" w:rsidR="00094002" w:rsidRPr="00CD2EEF" w:rsidRDefault="00094002" w:rsidP="00E27592">
            <w:pPr>
              <w:pStyle w:val="LPpreglednicaglavasredina"/>
              <w:rPr>
                <w:lang w:val="en-GB"/>
              </w:rPr>
            </w:pPr>
            <w:r w:rsidRPr="00CD2EEF">
              <w:rPr>
                <w:lang w:val="en-GB"/>
              </w:rPr>
              <w:t>121,303</w:t>
            </w:r>
          </w:p>
        </w:tc>
        <w:tc>
          <w:tcPr>
            <w:tcW w:w="960" w:type="dxa"/>
            <w:tcBorders>
              <w:top w:val="single" w:sz="6" w:space="0" w:color="9CC2E5"/>
              <w:left w:val="single" w:sz="6" w:space="0" w:color="9CC2E5"/>
              <w:bottom w:val="single" w:sz="6" w:space="0" w:color="9CC2E5"/>
              <w:right w:val="single" w:sz="6" w:space="0" w:color="9CC2E5"/>
            </w:tcBorders>
            <w:shd w:val="clear" w:color="auto" w:fill="5B9BD5"/>
            <w:hideMark/>
          </w:tcPr>
          <w:p w14:paraId="167261A3" w14:textId="77777777" w:rsidR="00094002" w:rsidRPr="00CD2EEF" w:rsidRDefault="00094002" w:rsidP="00E27592">
            <w:pPr>
              <w:pStyle w:val="LPpreglednicaglavasredina"/>
              <w:rPr>
                <w:lang w:val="en-GB"/>
              </w:rPr>
            </w:pPr>
            <w:r w:rsidRPr="00CD2EEF">
              <w:rPr>
                <w:lang w:val="en-GB"/>
              </w:rPr>
              <w:t>31</w:t>
            </w:r>
          </w:p>
        </w:tc>
        <w:tc>
          <w:tcPr>
            <w:tcW w:w="960" w:type="dxa"/>
            <w:tcBorders>
              <w:top w:val="single" w:sz="6" w:space="0" w:color="9CC2E5"/>
              <w:left w:val="single" w:sz="6" w:space="0" w:color="9CC2E5"/>
              <w:bottom w:val="single" w:sz="6" w:space="0" w:color="9CC2E5"/>
              <w:right w:val="single" w:sz="2" w:space="0" w:color="9CC2E5"/>
            </w:tcBorders>
            <w:shd w:val="clear" w:color="auto" w:fill="5B9BD5"/>
            <w:hideMark/>
          </w:tcPr>
          <w:p w14:paraId="3D185CCB" w14:textId="77777777" w:rsidR="00094002" w:rsidRPr="00CD2EEF" w:rsidRDefault="00094002" w:rsidP="00E27592">
            <w:pPr>
              <w:pStyle w:val="LPpreglednicaglavasredina"/>
              <w:rPr>
                <w:lang w:val="en-GB"/>
              </w:rPr>
            </w:pPr>
            <w:r w:rsidRPr="00CD2EEF">
              <w:rPr>
                <w:lang w:val="en-GB"/>
              </w:rPr>
              <w:t>31,203</w:t>
            </w:r>
          </w:p>
        </w:tc>
      </w:tr>
      <w:tr w:rsidR="00094002" w:rsidRPr="00CD2EEF" w14:paraId="7CE3CABC" w14:textId="77777777" w:rsidTr="00E27592">
        <w:trPr>
          <w:trHeight w:val="300"/>
        </w:trPr>
        <w:tc>
          <w:tcPr>
            <w:tcW w:w="2360" w:type="dxa"/>
            <w:tcBorders>
              <w:top w:val="single" w:sz="6" w:space="0" w:color="9CC2E5"/>
              <w:left w:val="single" w:sz="2" w:space="0" w:color="9CC2E5"/>
              <w:bottom w:val="single" w:sz="6" w:space="0" w:color="9CC2E5"/>
              <w:right w:val="single" w:sz="6" w:space="0" w:color="9CC2E5"/>
            </w:tcBorders>
            <w:hideMark/>
          </w:tcPr>
          <w:p w14:paraId="7BE3D328" w14:textId="77777777" w:rsidR="00094002" w:rsidRPr="00CD2EEF" w:rsidRDefault="00094002" w:rsidP="00E27592">
            <w:pPr>
              <w:pStyle w:val="LP-preglednicatelosredina"/>
              <w:rPr>
                <w:lang w:val="en-GB"/>
              </w:rPr>
            </w:pPr>
            <w:r w:rsidRPr="00CD2EEF">
              <w:rPr>
                <w:lang w:val="en-GB"/>
              </w:rPr>
              <w:t>South Africa</w:t>
            </w:r>
          </w:p>
        </w:tc>
        <w:tc>
          <w:tcPr>
            <w:tcW w:w="960" w:type="dxa"/>
            <w:tcBorders>
              <w:top w:val="single" w:sz="6" w:space="0" w:color="9CC2E5"/>
              <w:left w:val="single" w:sz="6" w:space="0" w:color="9CC2E5"/>
              <w:bottom w:val="single" w:sz="6" w:space="0" w:color="9CC2E5"/>
              <w:right w:val="single" w:sz="6" w:space="0" w:color="9CC2E5"/>
            </w:tcBorders>
            <w:hideMark/>
          </w:tcPr>
          <w:p w14:paraId="6E28959F" w14:textId="77777777" w:rsidR="00094002" w:rsidRPr="00CD2EEF" w:rsidRDefault="00094002" w:rsidP="00E27592">
            <w:pPr>
              <w:pStyle w:val="LP-preglednicatelosredina"/>
              <w:rPr>
                <w:lang w:val="en-GB"/>
              </w:rPr>
            </w:pPr>
            <w:r w:rsidRPr="00CD2EEF">
              <w:rPr>
                <w:lang w:val="en-GB"/>
              </w:rPr>
              <w:t>2</w:t>
            </w:r>
          </w:p>
        </w:tc>
        <w:tc>
          <w:tcPr>
            <w:tcW w:w="960" w:type="dxa"/>
            <w:tcBorders>
              <w:top w:val="single" w:sz="6" w:space="0" w:color="9CC2E5"/>
              <w:left w:val="single" w:sz="6" w:space="0" w:color="9CC2E5"/>
              <w:bottom w:val="single" w:sz="6" w:space="0" w:color="9CC2E5"/>
              <w:right w:val="single" w:sz="6" w:space="0" w:color="9CC2E5"/>
            </w:tcBorders>
            <w:hideMark/>
          </w:tcPr>
          <w:p w14:paraId="2600EAC7" w14:textId="77777777" w:rsidR="00094002" w:rsidRPr="00CD2EEF" w:rsidRDefault="00094002" w:rsidP="00E27592">
            <w:pPr>
              <w:pStyle w:val="LP-preglednicatelosredina"/>
              <w:rPr>
                <w:lang w:val="en-GB"/>
              </w:rPr>
            </w:pPr>
            <w:r w:rsidRPr="00CD2EEF">
              <w:rPr>
                <w:lang w:val="en-GB"/>
              </w:rPr>
              <w:t>1,854</w:t>
            </w:r>
          </w:p>
        </w:tc>
        <w:tc>
          <w:tcPr>
            <w:tcW w:w="960" w:type="dxa"/>
            <w:tcBorders>
              <w:top w:val="single" w:sz="6" w:space="0" w:color="9CC2E5"/>
              <w:left w:val="single" w:sz="6" w:space="0" w:color="9CC2E5"/>
              <w:bottom w:val="single" w:sz="6" w:space="0" w:color="9CC2E5"/>
              <w:right w:val="single" w:sz="6" w:space="0" w:color="9CC2E5"/>
            </w:tcBorders>
            <w:hideMark/>
          </w:tcPr>
          <w:p w14:paraId="0C3B8B12" w14:textId="77777777" w:rsidR="00094002" w:rsidRPr="00CD2EEF" w:rsidRDefault="00094002" w:rsidP="00E27592">
            <w:pPr>
              <w:pStyle w:val="LP-preglednicatelosredina"/>
              <w:rPr>
                <w:lang w:val="en-GB"/>
              </w:rPr>
            </w:pPr>
            <w:r w:rsidRPr="00CD2EEF">
              <w:rPr>
                <w:lang w:val="en-GB"/>
              </w:rPr>
              <w:t> </w:t>
            </w:r>
          </w:p>
        </w:tc>
        <w:tc>
          <w:tcPr>
            <w:tcW w:w="960" w:type="dxa"/>
            <w:tcBorders>
              <w:top w:val="single" w:sz="6" w:space="0" w:color="9CC2E5"/>
              <w:left w:val="single" w:sz="6" w:space="0" w:color="9CC2E5"/>
              <w:bottom w:val="single" w:sz="6" w:space="0" w:color="9CC2E5"/>
              <w:right w:val="single" w:sz="2" w:space="0" w:color="9CC2E5"/>
            </w:tcBorders>
            <w:hideMark/>
          </w:tcPr>
          <w:p w14:paraId="6352DC8C" w14:textId="77777777" w:rsidR="00094002" w:rsidRPr="00CD2EEF" w:rsidRDefault="00094002" w:rsidP="00E27592">
            <w:pPr>
              <w:pStyle w:val="LP-preglednicatelosredina"/>
              <w:rPr>
                <w:lang w:val="en-GB"/>
              </w:rPr>
            </w:pPr>
            <w:r w:rsidRPr="00CD2EEF">
              <w:rPr>
                <w:lang w:val="en-GB"/>
              </w:rPr>
              <w:t> </w:t>
            </w:r>
          </w:p>
        </w:tc>
      </w:tr>
      <w:tr w:rsidR="00094002" w:rsidRPr="00CD2EEF" w14:paraId="187DDE6D" w14:textId="77777777" w:rsidTr="00E27592">
        <w:trPr>
          <w:trHeight w:val="300"/>
        </w:trPr>
        <w:tc>
          <w:tcPr>
            <w:tcW w:w="2360" w:type="dxa"/>
            <w:tcBorders>
              <w:top w:val="single" w:sz="6" w:space="0" w:color="9CC2E5"/>
              <w:left w:val="single" w:sz="2" w:space="0" w:color="9CC2E5"/>
              <w:bottom w:val="single" w:sz="2" w:space="0" w:color="9CC2E5"/>
              <w:right w:val="single" w:sz="6" w:space="0" w:color="9CC2E5"/>
            </w:tcBorders>
            <w:shd w:val="clear" w:color="auto" w:fill="5B9BD5"/>
            <w:hideMark/>
          </w:tcPr>
          <w:p w14:paraId="49E5935F" w14:textId="77777777" w:rsidR="00094002" w:rsidRPr="00CD2EEF" w:rsidRDefault="00094002" w:rsidP="00E27592">
            <w:pPr>
              <w:pStyle w:val="LPpreglednicaglavasredina"/>
              <w:rPr>
                <w:lang w:val="en-GB"/>
              </w:rPr>
            </w:pPr>
            <w:r w:rsidRPr="00CD2EEF">
              <w:rPr>
                <w:lang w:val="en-GB"/>
              </w:rPr>
              <w:t>World total</w:t>
            </w:r>
          </w:p>
        </w:tc>
        <w:tc>
          <w:tcPr>
            <w:tcW w:w="960" w:type="dxa"/>
            <w:tcBorders>
              <w:top w:val="single" w:sz="6" w:space="0" w:color="9CC2E5"/>
              <w:left w:val="single" w:sz="6" w:space="0" w:color="9CC2E5"/>
              <w:bottom w:val="single" w:sz="2" w:space="0" w:color="9CC2E5"/>
              <w:right w:val="single" w:sz="6" w:space="0" w:color="9CC2E5"/>
            </w:tcBorders>
            <w:shd w:val="clear" w:color="auto" w:fill="5B9BD5"/>
            <w:hideMark/>
          </w:tcPr>
          <w:p w14:paraId="07536DC5" w14:textId="77777777" w:rsidR="00094002" w:rsidRPr="00CD2EEF" w:rsidRDefault="00094002" w:rsidP="00E27592">
            <w:pPr>
              <w:pStyle w:val="LPpreglednicaglavasredina"/>
              <w:rPr>
                <w:lang w:val="en-GB"/>
              </w:rPr>
            </w:pPr>
            <w:r w:rsidRPr="00CD2EEF">
              <w:rPr>
                <w:lang w:val="en-GB"/>
              </w:rPr>
              <w:t>428</w:t>
            </w:r>
          </w:p>
        </w:tc>
        <w:tc>
          <w:tcPr>
            <w:tcW w:w="960" w:type="dxa"/>
            <w:tcBorders>
              <w:top w:val="single" w:sz="6" w:space="0" w:color="9CC2E5"/>
              <w:left w:val="single" w:sz="6" w:space="0" w:color="9CC2E5"/>
              <w:bottom w:val="single" w:sz="2" w:space="0" w:color="9CC2E5"/>
              <w:right w:val="single" w:sz="6" w:space="0" w:color="9CC2E5"/>
            </w:tcBorders>
            <w:shd w:val="clear" w:color="auto" w:fill="5B9BD5"/>
            <w:hideMark/>
          </w:tcPr>
          <w:p w14:paraId="26A6D245" w14:textId="77777777" w:rsidR="00094002" w:rsidRPr="00CD2EEF" w:rsidRDefault="00094002" w:rsidP="00E27592">
            <w:pPr>
              <w:pStyle w:val="LPpreglednicaglavasredina"/>
              <w:rPr>
                <w:lang w:val="en-GB"/>
              </w:rPr>
            </w:pPr>
            <w:r w:rsidRPr="00CD2EEF">
              <w:rPr>
                <w:lang w:val="en-GB"/>
              </w:rPr>
              <w:t>381,533</w:t>
            </w:r>
          </w:p>
        </w:tc>
        <w:tc>
          <w:tcPr>
            <w:tcW w:w="960" w:type="dxa"/>
            <w:tcBorders>
              <w:top w:val="single" w:sz="6" w:space="0" w:color="9CC2E5"/>
              <w:left w:val="single" w:sz="6" w:space="0" w:color="9CC2E5"/>
              <w:bottom w:val="single" w:sz="2" w:space="0" w:color="9CC2E5"/>
              <w:right w:val="single" w:sz="6" w:space="0" w:color="9CC2E5"/>
            </w:tcBorders>
            <w:shd w:val="clear" w:color="auto" w:fill="5B9BD5"/>
            <w:hideMark/>
          </w:tcPr>
          <w:p w14:paraId="68DD6147" w14:textId="77777777" w:rsidR="00094002" w:rsidRPr="00CD2EEF" w:rsidRDefault="00094002" w:rsidP="00E27592">
            <w:pPr>
              <w:pStyle w:val="LPpreglednicaglavasredina"/>
              <w:rPr>
                <w:lang w:val="en-GB"/>
              </w:rPr>
            </w:pPr>
            <w:r w:rsidRPr="00CD2EEF">
              <w:rPr>
                <w:lang w:val="en-GB"/>
              </w:rPr>
              <w:t>50</w:t>
            </w:r>
          </w:p>
        </w:tc>
        <w:tc>
          <w:tcPr>
            <w:tcW w:w="960" w:type="dxa"/>
            <w:tcBorders>
              <w:top w:val="single" w:sz="6" w:space="0" w:color="9CC2E5"/>
              <w:left w:val="single" w:sz="6" w:space="0" w:color="9CC2E5"/>
              <w:bottom w:val="single" w:sz="2" w:space="0" w:color="9CC2E5"/>
              <w:right w:val="single" w:sz="2" w:space="0" w:color="9CC2E5"/>
            </w:tcBorders>
            <w:shd w:val="clear" w:color="auto" w:fill="5B9BD5"/>
            <w:hideMark/>
          </w:tcPr>
          <w:p w14:paraId="0FE9D430" w14:textId="77777777" w:rsidR="00094002" w:rsidRPr="00CD2EEF" w:rsidRDefault="00094002" w:rsidP="00E27592">
            <w:pPr>
              <w:pStyle w:val="LPpreglednicaglavasredina"/>
              <w:rPr>
                <w:lang w:val="en-GB"/>
              </w:rPr>
            </w:pPr>
            <w:r w:rsidRPr="00CD2EEF">
              <w:rPr>
                <w:lang w:val="en-GB"/>
              </w:rPr>
              <w:t>50,853</w:t>
            </w:r>
          </w:p>
        </w:tc>
      </w:tr>
    </w:tbl>
    <w:p w14:paraId="2FCABCC9" w14:textId="77777777" w:rsidR="00094002" w:rsidRPr="00CD2EEF" w:rsidRDefault="00094002" w:rsidP="00DC322C">
      <w:pPr>
        <w:rPr>
          <w:lang w:val="en-GB"/>
        </w:rPr>
      </w:pPr>
    </w:p>
    <w:p w14:paraId="0FB945E9" w14:textId="230EB263" w:rsidR="00094002" w:rsidRPr="00CD2EEF" w:rsidRDefault="00094002" w:rsidP="00F90719">
      <w:pPr>
        <w:pStyle w:val="LPVirienojni"/>
        <w:rPr>
          <w:lang w:val="en-GB"/>
        </w:rPr>
      </w:pPr>
      <w:r w:rsidRPr="00CD2EEF">
        <w:rPr>
          <w:lang w:val="en-GB"/>
        </w:rPr>
        <w:t>Reference: [</w:t>
      </w:r>
      <w:hyperlink w:anchor="r35" w:history="1">
        <w:r w:rsidRPr="00CD2EEF">
          <w:rPr>
            <w:rStyle w:val="Hiperpovezava"/>
            <w:lang w:val="en-GB"/>
          </w:rPr>
          <w:t>35</w:t>
        </w:r>
      </w:hyperlink>
      <w:r w:rsidRPr="00CD2EEF">
        <w:rPr>
          <w:lang w:val="en-GB"/>
        </w:rPr>
        <w:t>]</w:t>
      </w:r>
      <w:r w:rsidR="008A1E6B">
        <w:rPr>
          <w:lang w:val="en-GB"/>
        </w:rPr>
        <w:t xml:space="preserve"> </w:t>
      </w:r>
    </w:p>
    <w:p w14:paraId="4A74859C" w14:textId="77777777" w:rsidR="00094002" w:rsidRPr="00CD2EEF" w:rsidRDefault="00094002" w:rsidP="00914D66">
      <w:pPr>
        <w:pStyle w:val="LPNaslov1"/>
        <w:rPr>
          <w:lang w:val="en-GB"/>
        </w:rPr>
      </w:pPr>
      <w:bookmarkStart w:id="486" w:name="_Toc46257264"/>
      <w:bookmarkStart w:id="487" w:name="_Toc47694707"/>
      <w:bookmarkStart w:id="488" w:name="_Toc84321689"/>
      <w:bookmarkStart w:id="489" w:name="_Toc126312067"/>
      <w:r w:rsidRPr="00CD2EEF">
        <w:rPr>
          <w:lang w:val="en-GB"/>
        </w:rPr>
        <w:lastRenderedPageBreak/>
        <w:t>RADIATION PROTECTION AND NUCLEAR SAFETY WORLDWIDE</w:t>
      </w:r>
      <w:bookmarkEnd w:id="486"/>
      <w:bookmarkEnd w:id="487"/>
      <w:bookmarkEnd w:id="488"/>
      <w:bookmarkEnd w:id="489"/>
    </w:p>
    <w:p w14:paraId="7336831E" w14:textId="05DE5589" w:rsidR="00094002" w:rsidRPr="00CD2EEF" w:rsidRDefault="00094002" w:rsidP="005E253E">
      <w:pPr>
        <w:pStyle w:val="LPnavaden"/>
        <w:rPr>
          <w:lang w:val="en-GB"/>
        </w:rPr>
      </w:pPr>
      <w:r w:rsidRPr="00CD2EEF">
        <w:rPr>
          <w:lang w:val="en-GB"/>
        </w:rPr>
        <w:t xml:space="preserve">The International Nuclear and Radiological Event Scale (INES) is used worldwide as a tool for ensuring consistent reporting to the public on the safety significance of nuclear and radiological events. International reporting on events is performed for more significant events rated at level 2 or higher and for events that have attracted the interest of the international public. The INES reports are published on the web-based communication system </w:t>
      </w:r>
      <w:hyperlink r:id="rId67" w:history="1">
        <w:r w:rsidRPr="00CD2EEF">
          <w:rPr>
            <w:lang w:val="en-GB"/>
          </w:rPr>
          <w:t>NEWS</w:t>
        </w:r>
      </w:hyperlink>
      <w:r w:rsidRPr="00CD2EEF">
        <w:rPr>
          <w:lang w:val="en-GB"/>
        </w:rPr>
        <w:t xml:space="preserve"> and the INES reports of events in </w:t>
      </w:r>
      <w:r w:rsidRPr="00B04A5D">
        <w:rPr>
          <w:lang w:val="en-GB"/>
        </w:rPr>
        <w:t xml:space="preserve">Slovenia are published on the </w:t>
      </w:r>
      <w:hyperlink r:id="rId68" w:history="1">
        <w:r w:rsidRPr="00B04A5D">
          <w:rPr>
            <w:lang w:val="en-GB"/>
          </w:rPr>
          <w:t>SNSA website</w:t>
        </w:r>
      </w:hyperlink>
      <w:r w:rsidRPr="00B04A5D">
        <w:rPr>
          <w:lang w:val="en-GB"/>
        </w:rPr>
        <w:t>.</w:t>
      </w:r>
      <w:r w:rsidRPr="00CD2EEF">
        <w:rPr>
          <w:lang w:val="en-GB"/>
        </w:rPr>
        <w:t xml:space="preserve"> There were no events in Slovenia in 2021 that would require reporting according to the INES criteria. The events in </w:t>
      </w:r>
      <w:r w:rsidR="00C5169D">
        <w:rPr>
          <w:lang w:val="en-GB"/>
        </w:rPr>
        <w:t>the Krško NPP</w:t>
      </w:r>
      <w:r w:rsidRPr="00CD2EEF">
        <w:rPr>
          <w:lang w:val="en-GB"/>
        </w:rPr>
        <w:t xml:space="preserve"> in 2021 were rated at level 0 on the INES scale or were not rated in cases where </w:t>
      </w:r>
      <w:r w:rsidR="00C16875">
        <w:rPr>
          <w:lang w:val="en-GB"/>
        </w:rPr>
        <w:t xml:space="preserve">the </w:t>
      </w:r>
      <w:r w:rsidRPr="00CD2EEF">
        <w:rPr>
          <w:lang w:val="en-GB"/>
        </w:rPr>
        <w:t>INES criteria were not applicable.</w:t>
      </w:r>
    </w:p>
    <w:p w14:paraId="0D5100C0" w14:textId="77777777" w:rsidR="00094002" w:rsidRPr="00CD2EEF" w:rsidRDefault="00094002" w:rsidP="00914D66">
      <w:pPr>
        <w:pStyle w:val="LPpodpoglavje"/>
        <w:rPr>
          <w:lang w:val="en-GB"/>
        </w:rPr>
      </w:pPr>
      <w:r w:rsidRPr="00CD2EEF">
        <w:rPr>
          <w:lang w:val="en-GB"/>
        </w:rPr>
        <w:t>INES events in the year 2021</w:t>
      </w:r>
    </w:p>
    <w:p w14:paraId="77967A1F" w14:textId="7FF31BD7" w:rsidR="00094002" w:rsidRPr="00CD2EEF" w:rsidRDefault="00094002" w:rsidP="00687D4D">
      <w:pPr>
        <w:pStyle w:val="LPnavaden"/>
        <w:rPr>
          <w:lang w:val="en-GB"/>
        </w:rPr>
      </w:pPr>
      <w:r w:rsidRPr="00CD2EEF">
        <w:rPr>
          <w:lang w:val="en-GB"/>
        </w:rPr>
        <w:t>In 2021, 13 event reports were published via the NEWS system. There was one event rated at level 3, eight events rated at level 2, three events rated at level 1, and one event rated at level 0. The reports were divided into the following groups: three events at NPPs, one event in a research reactor, one event in a spent fuel storage, one event involving the exposure of personnel in medicine, six events involving the exposure of workers during the performance of radiography, and one event involving a radioactive source that was stolen and later found.</w:t>
      </w:r>
    </w:p>
    <w:p w14:paraId="62D7F630" w14:textId="4FE8648F" w:rsidR="00094002" w:rsidRPr="00CD2EEF" w:rsidRDefault="00094002" w:rsidP="005E253E">
      <w:pPr>
        <w:pStyle w:val="LPnavaden"/>
        <w:rPr>
          <w:lang w:val="en-GB"/>
        </w:rPr>
      </w:pPr>
      <w:r w:rsidRPr="00CD2EEF">
        <w:rPr>
          <w:lang w:val="en-GB"/>
        </w:rPr>
        <w:t xml:space="preserve">The worst event in 2021 occurred </w:t>
      </w:r>
      <w:r w:rsidR="00263A77">
        <w:rPr>
          <w:lang w:val="en-GB"/>
        </w:rPr>
        <w:t>at a</w:t>
      </w:r>
      <w:r w:rsidR="00263A77" w:rsidRPr="00CD2EEF">
        <w:rPr>
          <w:lang w:val="en-GB"/>
        </w:rPr>
        <w:t xml:space="preserve"> </w:t>
      </w:r>
      <w:r w:rsidRPr="00CD2EEF">
        <w:rPr>
          <w:lang w:val="en-GB"/>
        </w:rPr>
        <w:t xml:space="preserve">Japanese </w:t>
      </w:r>
      <w:r w:rsidR="00263A77" w:rsidRPr="00CD2EEF">
        <w:rPr>
          <w:lang w:val="en-GB"/>
        </w:rPr>
        <w:t xml:space="preserve">steelworks </w:t>
      </w:r>
      <w:r w:rsidRPr="00CD2EEF">
        <w:rPr>
          <w:lang w:val="en-GB"/>
        </w:rPr>
        <w:t xml:space="preserve">during </w:t>
      </w:r>
      <w:r w:rsidR="00A953D8">
        <w:rPr>
          <w:lang w:val="en-GB"/>
        </w:rPr>
        <w:t xml:space="preserve">the </w:t>
      </w:r>
      <w:r w:rsidRPr="00CD2EEF">
        <w:rPr>
          <w:lang w:val="en-GB"/>
        </w:rPr>
        <w:t>inspection and calibration of an X</w:t>
      </w:r>
      <w:r w:rsidR="008342C3">
        <w:rPr>
          <w:lang w:val="en-GB"/>
        </w:rPr>
        <w:t>-</w:t>
      </w:r>
      <w:r w:rsidRPr="00CD2EEF">
        <w:rPr>
          <w:lang w:val="en-GB"/>
        </w:rPr>
        <w:t xml:space="preserve">ray meter. Two workers repaired the X-ray </w:t>
      </w:r>
      <w:r w:rsidRPr="00643144">
        <w:rPr>
          <w:lang w:val="en-GB"/>
        </w:rPr>
        <w:t xml:space="preserve">device </w:t>
      </w:r>
      <w:r w:rsidR="00A953D8" w:rsidRPr="00643144">
        <w:rPr>
          <w:lang w:val="en-GB"/>
        </w:rPr>
        <w:t xml:space="preserve">while it was still </w:t>
      </w:r>
      <w:r w:rsidRPr="00643144">
        <w:rPr>
          <w:lang w:val="en-GB"/>
        </w:rPr>
        <w:t>power</w:t>
      </w:r>
      <w:r w:rsidR="00A953D8" w:rsidRPr="00643144">
        <w:rPr>
          <w:lang w:val="en-GB"/>
        </w:rPr>
        <w:t>ed</w:t>
      </w:r>
      <w:r w:rsidRPr="00CD2EEF">
        <w:rPr>
          <w:lang w:val="en-GB"/>
        </w:rPr>
        <w:t xml:space="preserve"> because they believed that they </w:t>
      </w:r>
      <w:r w:rsidR="00A953D8">
        <w:rPr>
          <w:lang w:val="en-GB"/>
        </w:rPr>
        <w:t xml:space="preserve">had </w:t>
      </w:r>
      <w:r w:rsidRPr="00CD2EEF">
        <w:rPr>
          <w:lang w:val="en-GB"/>
        </w:rPr>
        <w:t xml:space="preserve">closed the irradiation window shutter before entering the irradiation room. But the shutter was open and the workers were exposed to the X-rays. </w:t>
      </w:r>
      <w:r w:rsidR="00A953D8">
        <w:rPr>
          <w:lang w:val="en-GB"/>
        </w:rPr>
        <w:t>The n</w:t>
      </w:r>
      <w:r w:rsidRPr="00CD2EEF">
        <w:rPr>
          <w:lang w:val="en-GB"/>
        </w:rPr>
        <w:t>ext day the workers observed irradiation symptoms and they were admitted to a hospital</w:t>
      </w:r>
      <w:r w:rsidR="00A953D8">
        <w:rPr>
          <w:lang w:val="en-GB"/>
        </w:rPr>
        <w:t>,</w:t>
      </w:r>
      <w:r w:rsidRPr="00CD2EEF">
        <w:rPr>
          <w:lang w:val="en-GB"/>
        </w:rPr>
        <w:t xml:space="preserve"> where they remained for treatment for the next six months. The event was rated at level 3 on the INES scale based on </w:t>
      </w:r>
      <w:r w:rsidR="00A953D8">
        <w:rPr>
          <w:lang w:val="en-GB"/>
        </w:rPr>
        <w:t xml:space="preserve">the </w:t>
      </w:r>
      <w:r w:rsidRPr="00CD2EEF">
        <w:rPr>
          <w:lang w:val="en-GB"/>
        </w:rPr>
        <w:t xml:space="preserve">observed deterministic effects of </w:t>
      </w:r>
      <w:r w:rsidR="00A953D8">
        <w:rPr>
          <w:lang w:val="en-GB"/>
        </w:rPr>
        <w:t xml:space="preserve">the </w:t>
      </w:r>
      <w:r w:rsidRPr="00CD2EEF">
        <w:rPr>
          <w:lang w:val="en-GB"/>
        </w:rPr>
        <w:t xml:space="preserve">irradiation of </w:t>
      </w:r>
      <w:r w:rsidR="00A953D8">
        <w:rPr>
          <w:lang w:val="en-GB"/>
        </w:rPr>
        <w:t xml:space="preserve">the </w:t>
      </w:r>
      <w:r w:rsidRPr="00CD2EEF">
        <w:rPr>
          <w:lang w:val="en-GB"/>
        </w:rPr>
        <w:t xml:space="preserve">two workers. The exposure assessment of </w:t>
      </w:r>
      <w:r w:rsidR="00A953D8">
        <w:rPr>
          <w:lang w:val="en-GB"/>
        </w:rPr>
        <w:t xml:space="preserve">the </w:t>
      </w:r>
      <w:r w:rsidRPr="00CD2EEF">
        <w:rPr>
          <w:lang w:val="en-GB"/>
        </w:rPr>
        <w:t xml:space="preserve">workers during the event is still </w:t>
      </w:r>
      <w:r w:rsidR="00A953D8">
        <w:rPr>
          <w:lang w:val="en-GB"/>
        </w:rPr>
        <w:t xml:space="preserve">being </w:t>
      </w:r>
      <w:r w:rsidRPr="00CD2EEF">
        <w:rPr>
          <w:lang w:val="en-GB"/>
        </w:rPr>
        <w:t>examined and will be reported when the investigation is completed.</w:t>
      </w:r>
    </w:p>
    <w:p w14:paraId="120C8441" w14:textId="4BA2BB5A" w:rsidR="00094002" w:rsidRPr="00CD2EEF" w:rsidRDefault="00094002" w:rsidP="005E253E">
      <w:pPr>
        <w:pStyle w:val="LPnavaden"/>
        <w:rPr>
          <w:lang w:val="en-GB"/>
        </w:rPr>
      </w:pPr>
      <w:r w:rsidRPr="00CD2EEF">
        <w:rPr>
          <w:lang w:val="en-GB"/>
        </w:rPr>
        <w:t xml:space="preserve">Two events </w:t>
      </w:r>
      <w:r w:rsidR="00263A77">
        <w:rPr>
          <w:lang w:val="en-GB"/>
        </w:rPr>
        <w:t>at</w:t>
      </w:r>
      <w:r w:rsidR="00263A77" w:rsidRPr="00CD2EEF">
        <w:rPr>
          <w:lang w:val="en-GB"/>
        </w:rPr>
        <w:t xml:space="preserve"> </w:t>
      </w:r>
      <w:r w:rsidRPr="00CD2EEF">
        <w:rPr>
          <w:lang w:val="en-GB"/>
        </w:rPr>
        <w:t xml:space="preserve">NPPs were </w:t>
      </w:r>
      <w:r w:rsidR="00A953D8">
        <w:rPr>
          <w:lang w:val="en-GB"/>
        </w:rPr>
        <w:t xml:space="preserve">a </w:t>
      </w:r>
      <w:r w:rsidRPr="00CD2EEF">
        <w:rPr>
          <w:lang w:val="en-GB"/>
        </w:rPr>
        <w:t xml:space="preserve">consequence of automatic shutdowns due to </w:t>
      </w:r>
      <w:r w:rsidR="00A953D8">
        <w:rPr>
          <w:lang w:val="en-GB"/>
        </w:rPr>
        <w:t xml:space="preserve">a </w:t>
      </w:r>
      <w:r w:rsidRPr="00CD2EEF">
        <w:rPr>
          <w:lang w:val="en-GB"/>
        </w:rPr>
        <w:t xml:space="preserve">loss of external electric power. </w:t>
      </w:r>
      <w:r w:rsidR="00263A77">
        <w:rPr>
          <w:lang w:val="en-GB"/>
        </w:rPr>
        <w:t>At</w:t>
      </w:r>
      <w:r w:rsidR="00263A77" w:rsidRPr="00CD2EEF">
        <w:rPr>
          <w:lang w:val="en-GB"/>
        </w:rPr>
        <w:t xml:space="preserve"> </w:t>
      </w:r>
      <w:r w:rsidRPr="00CD2EEF">
        <w:rPr>
          <w:lang w:val="en-GB"/>
        </w:rPr>
        <w:t>the first NPP</w:t>
      </w:r>
      <w:r w:rsidR="00A953D8">
        <w:rPr>
          <w:lang w:val="en-GB"/>
        </w:rPr>
        <w:t>,</w:t>
      </w:r>
      <w:r w:rsidRPr="00CD2EEF">
        <w:rPr>
          <w:lang w:val="en-GB"/>
        </w:rPr>
        <w:t xml:space="preserve"> </w:t>
      </w:r>
      <w:r w:rsidR="00A953D8">
        <w:rPr>
          <w:lang w:val="en-GB"/>
        </w:rPr>
        <w:t>which has</w:t>
      </w:r>
      <w:r w:rsidR="00A953D8" w:rsidRPr="00CD2EEF">
        <w:rPr>
          <w:lang w:val="en-GB"/>
        </w:rPr>
        <w:t xml:space="preserve"> </w:t>
      </w:r>
      <w:r w:rsidRPr="00CD2EEF">
        <w:rPr>
          <w:lang w:val="en-GB"/>
        </w:rPr>
        <w:t>two units</w:t>
      </w:r>
      <w:r w:rsidR="00A953D8">
        <w:rPr>
          <w:lang w:val="en-GB"/>
        </w:rPr>
        <w:t>,</w:t>
      </w:r>
      <w:r w:rsidRPr="00CD2EEF">
        <w:rPr>
          <w:lang w:val="en-GB"/>
        </w:rPr>
        <w:t xml:space="preserve"> after </w:t>
      </w:r>
      <w:r w:rsidR="002615B1">
        <w:rPr>
          <w:lang w:val="en-GB"/>
        </w:rPr>
        <w:t xml:space="preserve">the </w:t>
      </w:r>
      <w:r w:rsidRPr="00CD2EEF">
        <w:rPr>
          <w:lang w:val="en-GB"/>
        </w:rPr>
        <w:t xml:space="preserve">loss of </w:t>
      </w:r>
      <w:r w:rsidR="00A953D8">
        <w:rPr>
          <w:lang w:val="en-GB"/>
        </w:rPr>
        <w:t xml:space="preserve">the </w:t>
      </w:r>
      <w:r w:rsidRPr="00CD2EEF">
        <w:rPr>
          <w:lang w:val="en-GB"/>
        </w:rPr>
        <w:t>electric power supply</w:t>
      </w:r>
      <w:r w:rsidR="00A953D8">
        <w:rPr>
          <w:lang w:val="en-GB"/>
        </w:rPr>
        <w:t>,</w:t>
      </w:r>
      <w:r w:rsidRPr="00CD2EEF">
        <w:rPr>
          <w:lang w:val="en-GB"/>
        </w:rPr>
        <w:t xml:space="preserve"> two gas turbines automatically started and provided </w:t>
      </w:r>
      <w:r w:rsidR="00A953D8">
        <w:rPr>
          <w:lang w:val="en-GB"/>
        </w:rPr>
        <w:t xml:space="preserve">an </w:t>
      </w:r>
      <w:r w:rsidRPr="00CD2EEF">
        <w:rPr>
          <w:lang w:val="en-GB"/>
        </w:rPr>
        <w:t xml:space="preserve">emergency power supply. </w:t>
      </w:r>
      <w:r w:rsidR="00A953D8">
        <w:rPr>
          <w:lang w:val="en-GB"/>
        </w:rPr>
        <w:t>The c</w:t>
      </w:r>
      <w:r w:rsidRPr="00CD2EEF">
        <w:rPr>
          <w:lang w:val="en-GB"/>
        </w:rPr>
        <w:t xml:space="preserve">ooling of both reactors was provided by an emergency feed pump, while other pumps did not start, because one was in maintenance, and two others did not start </w:t>
      </w:r>
      <w:r w:rsidR="002615B1">
        <w:rPr>
          <w:lang w:val="en-GB"/>
        </w:rPr>
        <w:t xml:space="preserve">due to </w:t>
      </w:r>
      <w:r w:rsidR="001407AF">
        <w:rPr>
          <w:lang w:val="en-GB"/>
        </w:rPr>
        <w:t>an</w:t>
      </w:r>
      <w:r w:rsidR="002615B1">
        <w:rPr>
          <w:lang w:val="en-GB"/>
        </w:rPr>
        <w:t xml:space="preserve"> </w:t>
      </w:r>
      <w:r w:rsidRPr="00CD2EEF">
        <w:rPr>
          <w:lang w:val="en-GB"/>
        </w:rPr>
        <w:t xml:space="preserve">automatic control system issue. The cooling was adequate. The event was rated at level 2 on the INES scale based on </w:t>
      </w:r>
      <w:r w:rsidR="002615B1">
        <w:rPr>
          <w:lang w:val="en-GB"/>
        </w:rPr>
        <w:t xml:space="preserve">the </w:t>
      </w:r>
      <w:r w:rsidRPr="00CD2EEF">
        <w:rPr>
          <w:lang w:val="en-GB"/>
        </w:rPr>
        <w:t xml:space="preserve">degradation of defence in depth, because three feed pumps did not work. Another event occurred </w:t>
      </w:r>
      <w:r w:rsidR="00263A77">
        <w:rPr>
          <w:lang w:val="en-GB"/>
        </w:rPr>
        <w:t>at</w:t>
      </w:r>
      <w:r w:rsidR="00263A77" w:rsidRPr="00CD2EEF">
        <w:rPr>
          <w:lang w:val="en-GB"/>
        </w:rPr>
        <w:t xml:space="preserve"> </w:t>
      </w:r>
      <w:r w:rsidRPr="00CD2EEF">
        <w:rPr>
          <w:lang w:val="en-GB"/>
        </w:rPr>
        <w:t>a NPP with four units</w:t>
      </w:r>
      <w:r w:rsidR="002615B1">
        <w:rPr>
          <w:lang w:val="en-GB"/>
        </w:rPr>
        <w:t>,</w:t>
      </w:r>
      <w:r w:rsidRPr="00CD2EEF">
        <w:rPr>
          <w:lang w:val="en-GB"/>
        </w:rPr>
        <w:t xml:space="preserve"> where strong electric grid fluctuations resulted in changes </w:t>
      </w:r>
      <w:r w:rsidR="002615B1">
        <w:rPr>
          <w:lang w:val="en-GB"/>
        </w:rPr>
        <w:t>in the</w:t>
      </w:r>
      <w:r w:rsidR="002615B1" w:rsidRPr="00CD2EEF">
        <w:rPr>
          <w:lang w:val="en-GB"/>
        </w:rPr>
        <w:t xml:space="preserve"> </w:t>
      </w:r>
      <w:r w:rsidRPr="00CD2EEF">
        <w:rPr>
          <w:lang w:val="en-GB"/>
        </w:rPr>
        <w:t xml:space="preserve">frequency and voltage of </w:t>
      </w:r>
      <w:r w:rsidR="001407AF">
        <w:rPr>
          <w:lang w:val="en-GB"/>
        </w:rPr>
        <w:t xml:space="preserve">the </w:t>
      </w:r>
      <w:r w:rsidRPr="00CD2EEF">
        <w:rPr>
          <w:lang w:val="en-GB"/>
        </w:rPr>
        <w:t>plant equipment</w:t>
      </w:r>
      <w:r w:rsidR="002615B1">
        <w:rPr>
          <w:lang w:val="en-GB"/>
        </w:rPr>
        <w:t>,</w:t>
      </w:r>
      <w:r w:rsidRPr="00CD2EEF">
        <w:rPr>
          <w:lang w:val="en-GB"/>
        </w:rPr>
        <w:t xml:space="preserve"> </w:t>
      </w:r>
      <w:r w:rsidR="002615B1">
        <w:rPr>
          <w:lang w:val="en-GB"/>
        </w:rPr>
        <w:t>which</w:t>
      </w:r>
      <w:r w:rsidR="002615B1" w:rsidRPr="00CD2EEF">
        <w:rPr>
          <w:lang w:val="en-GB"/>
        </w:rPr>
        <w:t xml:space="preserve"> </w:t>
      </w:r>
      <w:r w:rsidRPr="00CD2EEF">
        <w:rPr>
          <w:lang w:val="en-GB"/>
        </w:rPr>
        <w:t xml:space="preserve">led to the automatic shutdown of four reactors. </w:t>
      </w:r>
      <w:r w:rsidR="001407AF">
        <w:rPr>
          <w:lang w:val="en-GB"/>
        </w:rPr>
        <w:t>The e</w:t>
      </w:r>
      <w:r w:rsidRPr="00CD2EEF">
        <w:rPr>
          <w:lang w:val="en-GB"/>
        </w:rPr>
        <w:t>lectric</w:t>
      </w:r>
      <w:r w:rsidR="00030A89">
        <w:rPr>
          <w:lang w:val="en-GB"/>
        </w:rPr>
        <w:t>ity</w:t>
      </w:r>
      <w:r w:rsidRPr="00CD2EEF">
        <w:rPr>
          <w:lang w:val="en-GB"/>
        </w:rPr>
        <w:t xml:space="preserve"> supply was provided by emergency diesel generators with </w:t>
      </w:r>
      <w:r w:rsidR="00030A89">
        <w:rPr>
          <w:lang w:val="en-GB"/>
        </w:rPr>
        <w:t xml:space="preserve">an </w:t>
      </w:r>
      <w:r w:rsidRPr="00CD2EEF">
        <w:rPr>
          <w:lang w:val="en-GB"/>
        </w:rPr>
        <w:t>automatic start. Only one diesel generator of unit 3 did not automatically start</w:t>
      </w:r>
      <w:r w:rsidR="001407AF">
        <w:rPr>
          <w:lang w:val="en-GB"/>
        </w:rPr>
        <w:t>, which</w:t>
      </w:r>
      <w:r w:rsidRPr="00CD2EEF">
        <w:rPr>
          <w:lang w:val="en-GB"/>
        </w:rPr>
        <w:t xml:space="preserve"> was later started manually. The event was rated as </w:t>
      </w:r>
      <w:r w:rsidR="00223363">
        <w:rPr>
          <w:lang w:val="en-GB"/>
        </w:rPr>
        <w:t xml:space="preserve">a </w:t>
      </w:r>
      <w:r w:rsidRPr="00CD2EEF">
        <w:rPr>
          <w:lang w:val="en-GB"/>
        </w:rPr>
        <w:t>level 0 event because all safety function</w:t>
      </w:r>
      <w:r w:rsidR="00223363">
        <w:rPr>
          <w:lang w:val="en-GB"/>
        </w:rPr>
        <w:t>s</w:t>
      </w:r>
      <w:r w:rsidRPr="00CD2EEF">
        <w:rPr>
          <w:lang w:val="en-GB"/>
        </w:rPr>
        <w:t xml:space="preserve"> were ensured during the event.</w:t>
      </w:r>
    </w:p>
    <w:p w14:paraId="053A6BE9" w14:textId="198B5B5F" w:rsidR="00094002" w:rsidRPr="00CD2EEF" w:rsidRDefault="00094002" w:rsidP="005E253E">
      <w:pPr>
        <w:pStyle w:val="LPnavaden"/>
        <w:rPr>
          <w:lang w:val="en-GB"/>
        </w:rPr>
      </w:pPr>
      <w:r w:rsidRPr="00CD2EEF">
        <w:rPr>
          <w:lang w:val="en-GB"/>
        </w:rPr>
        <w:t xml:space="preserve">The third event </w:t>
      </w:r>
      <w:r w:rsidR="00653E67">
        <w:rPr>
          <w:lang w:val="en-GB"/>
        </w:rPr>
        <w:t>at</w:t>
      </w:r>
      <w:r w:rsidR="00653E67" w:rsidRPr="00CD2EEF">
        <w:rPr>
          <w:lang w:val="en-GB"/>
        </w:rPr>
        <w:t xml:space="preserve"> </w:t>
      </w:r>
      <w:r w:rsidRPr="00CD2EEF">
        <w:rPr>
          <w:lang w:val="en-GB"/>
        </w:rPr>
        <w:t xml:space="preserve">a NPP was </w:t>
      </w:r>
      <w:r w:rsidR="00E14370">
        <w:rPr>
          <w:lang w:val="en-GB"/>
        </w:rPr>
        <w:t xml:space="preserve">the </w:t>
      </w:r>
      <w:r w:rsidRPr="00CD2EEF">
        <w:rPr>
          <w:lang w:val="en-GB"/>
        </w:rPr>
        <w:t xml:space="preserve">external contamination of a worker with a hot particle during </w:t>
      </w:r>
      <w:r w:rsidR="00E14370">
        <w:rPr>
          <w:lang w:val="en-GB"/>
        </w:rPr>
        <w:t xml:space="preserve">the </w:t>
      </w:r>
      <w:r w:rsidRPr="00CD2EEF">
        <w:rPr>
          <w:lang w:val="en-GB"/>
        </w:rPr>
        <w:t xml:space="preserve">performance of </w:t>
      </w:r>
      <w:r w:rsidR="00E14370">
        <w:rPr>
          <w:lang w:val="en-GB"/>
        </w:rPr>
        <w:t xml:space="preserve">a </w:t>
      </w:r>
      <w:r w:rsidRPr="00CD2EEF">
        <w:rPr>
          <w:lang w:val="en-GB"/>
        </w:rPr>
        <w:t xml:space="preserve">valve sealing check. Based on </w:t>
      </w:r>
      <w:r w:rsidR="00E14370">
        <w:rPr>
          <w:lang w:val="en-GB"/>
        </w:rPr>
        <w:t xml:space="preserve">an </w:t>
      </w:r>
      <w:r w:rsidRPr="00CD2EEF">
        <w:rPr>
          <w:lang w:val="en-GB"/>
        </w:rPr>
        <w:t xml:space="preserve">estimate of </w:t>
      </w:r>
      <w:r w:rsidR="00E14370">
        <w:rPr>
          <w:lang w:val="en-GB"/>
        </w:rPr>
        <w:t xml:space="preserve">the </w:t>
      </w:r>
      <w:r w:rsidRPr="00CD2EEF">
        <w:rPr>
          <w:lang w:val="en-GB"/>
        </w:rPr>
        <w:t>equivalent dose to the worker</w:t>
      </w:r>
      <w:r w:rsidR="00F21D56">
        <w:rPr>
          <w:lang w:val="en-GB"/>
        </w:rPr>
        <w:t>’</w:t>
      </w:r>
      <w:r w:rsidRPr="00CD2EEF">
        <w:rPr>
          <w:lang w:val="en-GB"/>
        </w:rPr>
        <w:t>s skin</w:t>
      </w:r>
      <w:r w:rsidR="00E14370">
        <w:rPr>
          <w:lang w:val="en-GB"/>
        </w:rPr>
        <w:t>,</w:t>
      </w:r>
      <w:r w:rsidRPr="00CD2EEF">
        <w:rPr>
          <w:lang w:val="en-GB"/>
        </w:rPr>
        <w:t xml:space="preserve"> </w:t>
      </w:r>
      <w:r w:rsidR="00E14370">
        <w:rPr>
          <w:lang w:val="en-GB"/>
        </w:rPr>
        <w:t>which</w:t>
      </w:r>
      <w:r w:rsidR="00E14370" w:rsidRPr="00CD2EEF">
        <w:rPr>
          <w:lang w:val="en-GB"/>
        </w:rPr>
        <w:t xml:space="preserve"> </w:t>
      </w:r>
      <w:r w:rsidRPr="00CD2EEF">
        <w:rPr>
          <w:lang w:val="en-GB"/>
        </w:rPr>
        <w:t>exceeded the annual limit</w:t>
      </w:r>
      <w:r w:rsidR="00E14370">
        <w:rPr>
          <w:lang w:val="en-GB"/>
        </w:rPr>
        <w:t>,</w:t>
      </w:r>
      <w:r w:rsidRPr="00CD2EEF">
        <w:rPr>
          <w:lang w:val="en-GB"/>
        </w:rPr>
        <w:t xml:space="preserve"> the event was rated </w:t>
      </w:r>
      <w:r w:rsidR="00453B48">
        <w:rPr>
          <w:lang w:val="en-GB"/>
        </w:rPr>
        <w:t>as</w:t>
      </w:r>
      <w:r w:rsidR="00453B48" w:rsidRPr="00CD2EEF">
        <w:rPr>
          <w:lang w:val="en-GB"/>
        </w:rPr>
        <w:t xml:space="preserve"> </w:t>
      </w:r>
      <w:r w:rsidRPr="00CD2EEF">
        <w:rPr>
          <w:lang w:val="en-GB"/>
        </w:rPr>
        <w:t>level 2 on the INES scale.</w:t>
      </w:r>
    </w:p>
    <w:p w14:paraId="2D4A8943" w14:textId="123D17A4" w:rsidR="00094002" w:rsidRPr="00CD2EEF" w:rsidRDefault="00094002" w:rsidP="005E253E">
      <w:pPr>
        <w:pStyle w:val="LPnavaden"/>
        <w:rPr>
          <w:lang w:val="en-GB"/>
        </w:rPr>
      </w:pPr>
      <w:r w:rsidRPr="00CD2EEF">
        <w:rPr>
          <w:lang w:val="en-GB"/>
        </w:rPr>
        <w:t xml:space="preserve">An event in a research reactor occurred during </w:t>
      </w:r>
      <w:r w:rsidR="007829E4">
        <w:rPr>
          <w:lang w:val="en-GB"/>
        </w:rPr>
        <w:t xml:space="preserve">the </w:t>
      </w:r>
      <w:r w:rsidRPr="00CD2EEF">
        <w:rPr>
          <w:lang w:val="en-GB"/>
        </w:rPr>
        <w:t>production of medical isotopes where the reactor operated outside the author</w:t>
      </w:r>
      <w:r w:rsidR="00837F00">
        <w:rPr>
          <w:lang w:val="en-GB"/>
        </w:rPr>
        <w:t>ised</w:t>
      </w:r>
      <w:r w:rsidRPr="00CD2EEF">
        <w:rPr>
          <w:lang w:val="en-GB"/>
        </w:rPr>
        <w:t xml:space="preserve"> limits. </w:t>
      </w:r>
      <w:r w:rsidRPr="002C202F">
        <w:rPr>
          <w:lang w:val="en-GB"/>
        </w:rPr>
        <w:t>The defence in depth for</w:t>
      </w:r>
      <w:r w:rsidRPr="00CD2EEF">
        <w:rPr>
          <w:lang w:val="en-GB"/>
        </w:rPr>
        <w:t xml:space="preserve"> </w:t>
      </w:r>
      <w:r w:rsidR="007829E4">
        <w:rPr>
          <w:lang w:val="en-GB"/>
        </w:rPr>
        <w:t xml:space="preserve">a </w:t>
      </w:r>
      <w:r w:rsidRPr="00CD2EEF">
        <w:rPr>
          <w:lang w:val="en-GB"/>
        </w:rPr>
        <w:t xml:space="preserve">possible reactor criticality event was degraded and the </w:t>
      </w:r>
      <w:r w:rsidR="007108DF">
        <w:rPr>
          <w:lang w:val="en-GB"/>
        </w:rPr>
        <w:t xml:space="preserve">assigned </w:t>
      </w:r>
      <w:r w:rsidRPr="00CD2EEF">
        <w:rPr>
          <w:lang w:val="en-GB"/>
        </w:rPr>
        <w:t xml:space="preserve">rating of level 2 reflects the safety culture issues of </w:t>
      </w:r>
      <w:r w:rsidR="007829E4">
        <w:rPr>
          <w:lang w:val="en-GB"/>
        </w:rPr>
        <w:t xml:space="preserve">the </w:t>
      </w:r>
      <w:r w:rsidRPr="00CD2EEF">
        <w:rPr>
          <w:lang w:val="en-GB"/>
        </w:rPr>
        <w:t>operational staff.</w:t>
      </w:r>
    </w:p>
    <w:p w14:paraId="1F808AFC" w14:textId="183AA08D" w:rsidR="00094002" w:rsidRPr="00CD2EEF" w:rsidRDefault="00094002" w:rsidP="005E253E">
      <w:pPr>
        <w:pStyle w:val="LPnavaden"/>
        <w:rPr>
          <w:lang w:val="en-GB"/>
        </w:rPr>
      </w:pPr>
      <w:r w:rsidRPr="00CD2EEF">
        <w:rPr>
          <w:lang w:val="en-GB"/>
        </w:rPr>
        <w:lastRenderedPageBreak/>
        <w:t>In an interim spent fuel storage facility</w:t>
      </w:r>
      <w:r w:rsidR="00DC0CB5">
        <w:rPr>
          <w:lang w:val="en-GB"/>
        </w:rPr>
        <w:t>,</w:t>
      </w:r>
      <w:r w:rsidRPr="00CD2EEF">
        <w:rPr>
          <w:lang w:val="en-GB"/>
        </w:rPr>
        <w:t xml:space="preserve"> the required nitrogen pressure ha</w:t>
      </w:r>
      <w:r w:rsidR="007108DF">
        <w:rPr>
          <w:lang w:val="en-GB"/>
        </w:rPr>
        <w:t>s</w:t>
      </w:r>
      <w:r w:rsidRPr="00CD2EEF">
        <w:rPr>
          <w:lang w:val="en-GB"/>
        </w:rPr>
        <w:t xml:space="preserve"> to be maintained. The pressure drop in one of</w:t>
      </w:r>
      <w:r w:rsidR="00DC0CB5">
        <w:rPr>
          <w:lang w:val="en-GB"/>
        </w:rPr>
        <w:t xml:space="preserve"> the</w:t>
      </w:r>
      <w:r w:rsidRPr="00CD2EEF">
        <w:rPr>
          <w:lang w:val="en-GB"/>
        </w:rPr>
        <w:t xml:space="preserve"> monitoring spaces required </w:t>
      </w:r>
      <w:r w:rsidR="00DC0CB5">
        <w:rPr>
          <w:lang w:val="en-GB"/>
        </w:rPr>
        <w:t xml:space="preserve">the </w:t>
      </w:r>
      <w:r w:rsidRPr="00CD2EEF">
        <w:rPr>
          <w:lang w:val="en-GB"/>
        </w:rPr>
        <w:t>refill of nitrogen</w:t>
      </w:r>
      <w:r w:rsidR="00DC0CB5">
        <w:rPr>
          <w:lang w:val="en-GB"/>
        </w:rPr>
        <w:t>,</w:t>
      </w:r>
      <w:r w:rsidRPr="00CD2EEF">
        <w:rPr>
          <w:lang w:val="en-GB"/>
        </w:rPr>
        <w:t xml:space="preserve"> but the operator did not perform all the required measures from the facility</w:t>
      </w:r>
      <w:r w:rsidR="00F21D56">
        <w:rPr>
          <w:lang w:val="en-GB"/>
        </w:rPr>
        <w:t>’</w:t>
      </w:r>
      <w:r w:rsidRPr="00CD2EEF">
        <w:rPr>
          <w:lang w:val="en-GB"/>
        </w:rPr>
        <w:t xml:space="preserve">s operational limits and conditions. Based on </w:t>
      </w:r>
      <w:r w:rsidR="00DC0CB5">
        <w:rPr>
          <w:lang w:val="en-GB"/>
        </w:rPr>
        <w:t xml:space="preserve">the </w:t>
      </w:r>
      <w:r w:rsidRPr="00CD2EEF">
        <w:rPr>
          <w:lang w:val="en-GB"/>
        </w:rPr>
        <w:t>safety culture inadequacies</w:t>
      </w:r>
      <w:r w:rsidR="00DC0CB5">
        <w:rPr>
          <w:lang w:val="en-GB"/>
        </w:rPr>
        <w:t>,</w:t>
      </w:r>
      <w:r w:rsidRPr="00CD2EEF">
        <w:rPr>
          <w:lang w:val="en-GB"/>
        </w:rPr>
        <w:t xml:space="preserve"> the event was rated at level 1 on the INES scale.</w:t>
      </w:r>
    </w:p>
    <w:p w14:paraId="2160AF81" w14:textId="461171C5" w:rsidR="00094002" w:rsidRPr="00CD2EEF" w:rsidRDefault="00094002" w:rsidP="005E253E">
      <w:pPr>
        <w:pStyle w:val="LPnavaden"/>
        <w:rPr>
          <w:lang w:val="en-GB"/>
        </w:rPr>
      </w:pPr>
      <w:r w:rsidRPr="00CD2EEF">
        <w:rPr>
          <w:lang w:val="en-GB"/>
        </w:rPr>
        <w:t xml:space="preserve">An event in </w:t>
      </w:r>
      <w:r w:rsidR="00DC0CB5">
        <w:rPr>
          <w:lang w:val="en-GB"/>
        </w:rPr>
        <w:t xml:space="preserve">a </w:t>
      </w:r>
      <w:r w:rsidRPr="00CD2EEF">
        <w:rPr>
          <w:lang w:val="en-GB"/>
        </w:rPr>
        <w:t>hospital occurred during</w:t>
      </w:r>
      <w:r w:rsidR="00DC0CB5">
        <w:rPr>
          <w:lang w:val="en-GB"/>
        </w:rPr>
        <w:t xml:space="preserve"> the</w:t>
      </w:r>
      <w:r w:rsidRPr="00CD2EEF">
        <w:rPr>
          <w:lang w:val="en-GB"/>
        </w:rPr>
        <w:t xml:space="preserve"> injection of </w:t>
      </w:r>
      <w:r w:rsidR="00DC0CB5">
        <w:rPr>
          <w:lang w:val="en-GB"/>
        </w:rPr>
        <w:t xml:space="preserve">a </w:t>
      </w:r>
      <w:r w:rsidRPr="00CD2EEF">
        <w:rPr>
          <w:lang w:val="en-GB"/>
        </w:rPr>
        <w:t xml:space="preserve">diagnostic radiopharmaceutical </w:t>
      </w:r>
      <w:r w:rsidR="00DC0CB5">
        <w:rPr>
          <w:lang w:val="en-GB"/>
        </w:rPr>
        <w:t>in</w:t>
      </w:r>
      <w:r w:rsidRPr="00CD2EEF">
        <w:rPr>
          <w:lang w:val="en-GB"/>
        </w:rPr>
        <w:t xml:space="preserve">to a patient when some liquid was spilled on the hand of </w:t>
      </w:r>
      <w:r w:rsidR="00DC0CB5">
        <w:rPr>
          <w:lang w:val="en-GB"/>
        </w:rPr>
        <w:t xml:space="preserve">the </w:t>
      </w:r>
      <w:r w:rsidRPr="00CD2EEF">
        <w:rPr>
          <w:lang w:val="en-GB"/>
        </w:rPr>
        <w:t xml:space="preserve">medical worker. In spite of hand protection </w:t>
      </w:r>
      <w:r w:rsidR="0080261E">
        <w:rPr>
          <w:lang w:val="en-GB"/>
        </w:rPr>
        <w:t>with a</w:t>
      </w:r>
      <w:r w:rsidR="0080261E" w:rsidRPr="00CD2EEF">
        <w:rPr>
          <w:lang w:val="en-GB"/>
        </w:rPr>
        <w:t xml:space="preserve"> </w:t>
      </w:r>
      <w:r w:rsidRPr="00CD2EEF">
        <w:rPr>
          <w:lang w:val="en-GB"/>
        </w:rPr>
        <w:t>rubber glove</w:t>
      </w:r>
      <w:r w:rsidR="0080261E">
        <w:rPr>
          <w:lang w:val="en-GB"/>
        </w:rPr>
        <w:t>,</w:t>
      </w:r>
      <w:r w:rsidRPr="00CD2EEF">
        <w:rPr>
          <w:lang w:val="en-GB"/>
        </w:rPr>
        <w:t xml:space="preserve"> the equivalent dose to the skin was </w:t>
      </w:r>
      <w:r w:rsidR="0080261E">
        <w:rPr>
          <w:lang w:val="en-GB"/>
        </w:rPr>
        <w:t>assessed</w:t>
      </w:r>
      <w:r w:rsidR="0080261E" w:rsidRPr="00CD2EEF">
        <w:rPr>
          <w:lang w:val="en-GB"/>
        </w:rPr>
        <w:t xml:space="preserve"> </w:t>
      </w:r>
      <w:r w:rsidR="0080261E">
        <w:rPr>
          <w:lang w:val="en-GB"/>
        </w:rPr>
        <w:t>as</w:t>
      </w:r>
      <w:r w:rsidR="0080261E" w:rsidRPr="00CD2EEF">
        <w:rPr>
          <w:lang w:val="en-GB"/>
        </w:rPr>
        <w:t xml:space="preserve"> </w:t>
      </w:r>
      <w:r w:rsidRPr="00CD2EEF">
        <w:rPr>
          <w:lang w:val="en-GB"/>
        </w:rPr>
        <w:t>517 mSv</w:t>
      </w:r>
      <w:r w:rsidR="0080261E">
        <w:rPr>
          <w:lang w:val="en-GB"/>
        </w:rPr>
        <w:t>,</w:t>
      </w:r>
      <w:r w:rsidRPr="00CD2EEF">
        <w:rPr>
          <w:lang w:val="en-GB"/>
        </w:rPr>
        <w:t xml:space="preserve"> </w:t>
      </w:r>
      <w:r w:rsidR="0080261E">
        <w:rPr>
          <w:lang w:val="en-GB"/>
        </w:rPr>
        <w:t>which</w:t>
      </w:r>
      <w:r w:rsidR="0080261E" w:rsidRPr="00CD2EEF">
        <w:rPr>
          <w:lang w:val="en-GB"/>
        </w:rPr>
        <w:t xml:space="preserve"> </w:t>
      </w:r>
      <w:r w:rsidRPr="00CD2EEF">
        <w:rPr>
          <w:lang w:val="en-GB"/>
        </w:rPr>
        <w:t>is above the annual limit. The event was rated at level 2 on the INES scale.</w:t>
      </w:r>
    </w:p>
    <w:p w14:paraId="1539A60F" w14:textId="75E4ED05" w:rsidR="00094002" w:rsidRPr="00CD2EEF" w:rsidRDefault="00094002" w:rsidP="005E253E">
      <w:pPr>
        <w:pStyle w:val="LPnavaden"/>
        <w:rPr>
          <w:lang w:val="en-GB"/>
        </w:rPr>
      </w:pPr>
      <w:r w:rsidRPr="00CD2EEF">
        <w:rPr>
          <w:lang w:val="en-GB"/>
        </w:rPr>
        <w:t xml:space="preserve">Other than the above-mentioned level 3 event in Japan, there were reports of five other events with doses during </w:t>
      </w:r>
      <w:r w:rsidR="0080261E">
        <w:rPr>
          <w:lang w:val="en-GB"/>
        </w:rPr>
        <w:t xml:space="preserve">the </w:t>
      </w:r>
      <w:r w:rsidRPr="00CD2EEF">
        <w:rPr>
          <w:lang w:val="en-GB"/>
        </w:rPr>
        <w:t xml:space="preserve">performance of radiography. Four events were rated at level 2 based on exceeded dose limits and one event was rated at level 1 based on </w:t>
      </w:r>
      <w:r w:rsidR="0080261E">
        <w:rPr>
          <w:lang w:val="en-GB"/>
        </w:rPr>
        <w:t xml:space="preserve">the </w:t>
      </w:r>
      <w:r w:rsidRPr="00CD2EEF">
        <w:rPr>
          <w:lang w:val="en-GB"/>
        </w:rPr>
        <w:t xml:space="preserve">degradation of defence in depth. The events were caused by different malfunctions of radiography devices, </w:t>
      </w:r>
      <w:r w:rsidR="00D667B9">
        <w:rPr>
          <w:lang w:val="en-GB"/>
        </w:rPr>
        <w:t xml:space="preserve">with the </w:t>
      </w:r>
      <w:r w:rsidRPr="00CD2EEF">
        <w:rPr>
          <w:lang w:val="en-GB"/>
        </w:rPr>
        <w:t>contributing causes includ</w:t>
      </w:r>
      <w:r w:rsidR="00D667B9">
        <w:rPr>
          <w:lang w:val="en-GB"/>
        </w:rPr>
        <w:t>ing the</w:t>
      </w:r>
      <w:r w:rsidRPr="00CD2EEF">
        <w:rPr>
          <w:lang w:val="en-GB"/>
        </w:rPr>
        <w:t xml:space="preserve"> poor safety culture of </w:t>
      </w:r>
      <w:r w:rsidR="00D667B9">
        <w:rPr>
          <w:lang w:val="en-GB"/>
        </w:rPr>
        <w:t xml:space="preserve">the </w:t>
      </w:r>
      <w:r w:rsidRPr="00CD2EEF">
        <w:rPr>
          <w:lang w:val="en-GB"/>
        </w:rPr>
        <w:t>workers</w:t>
      </w:r>
      <w:r w:rsidR="00D667B9">
        <w:rPr>
          <w:lang w:val="en-GB"/>
        </w:rPr>
        <w:t>,</w:t>
      </w:r>
      <w:r w:rsidRPr="00CD2EEF">
        <w:rPr>
          <w:lang w:val="en-GB"/>
        </w:rPr>
        <w:t xml:space="preserve"> such as </w:t>
      </w:r>
      <w:r w:rsidR="00D667B9">
        <w:rPr>
          <w:lang w:val="en-GB"/>
        </w:rPr>
        <w:t xml:space="preserve">the </w:t>
      </w:r>
      <w:r w:rsidRPr="00CD2EEF">
        <w:rPr>
          <w:lang w:val="en-GB"/>
        </w:rPr>
        <w:t>practice of not wearing personal dosimeters while performing radiography or missing procedures for coping with an event.</w:t>
      </w:r>
    </w:p>
    <w:p w14:paraId="5FA437C8" w14:textId="3D7E67DB" w:rsidR="00094002" w:rsidRPr="00CD2EEF" w:rsidRDefault="00094002" w:rsidP="005E253E">
      <w:pPr>
        <w:pStyle w:val="LPnavaden"/>
        <w:rPr>
          <w:lang w:val="en-GB"/>
        </w:rPr>
      </w:pPr>
      <w:r w:rsidRPr="00CD2EEF">
        <w:rPr>
          <w:lang w:val="en-GB"/>
        </w:rPr>
        <w:t xml:space="preserve">An event was reported where a radiographic camera was stolen with an </w:t>
      </w:r>
      <w:r w:rsidRPr="00CD2EEF">
        <w:rPr>
          <w:rStyle w:val="LPnadpisano"/>
          <w:lang w:val="en-GB"/>
        </w:rPr>
        <w:t>192</w:t>
      </w:r>
      <w:r w:rsidRPr="00CD2EEF">
        <w:rPr>
          <w:lang w:val="en-GB"/>
        </w:rPr>
        <w:t>Ir source of 2.023 TBq activity, which is a category 2 source. Robbers stopped the vehicle transporting the source and stole the vehicle along with the source. Two days later</w:t>
      </w:r>
      <w:r w:rsidR="00D667B9">
        <w:rPr>
          <w:lang w:val="en-GB"/>
        </w:rPr>
        <w:t>,</w:t>
      </w:r>
      <w:r w:rsidRPr="00CD2EEF">
        <w:rPr>
          <w:lang w:val="en-GB"/>
        </w:rPr>
        <w:t xml:space="preserve"> the source was found in the intact shielding. The event was rated according to the degradation of defence in depth as a level 1 event on the INES scale.</w:t>
      </w:r>
    </w:p>
    <w:p w14:paraId="39FCE58C" w14:textId="77777777" w:rsidR="00094002" w:rsidRPr="00CD2EEF" w:rsidRDefault="00094002" w:rsidP="005E253E">
      <w:pPr>
        <w:pStyle w:val="LPnaslovkrepko"/>
        <w:rPr>
          <w:lang w:val="en-GB"/>
        </w:rPr>
      </w:pPr>
      <w:r w:rsidRPr="00CD2EEF">
        <w:rPr>
          <w:lang w:val="en-GB"/>
        </w:rPr>
        <w:t>Other Internationally Interesting Events in 2021</w:t>
      </w:r>
    </w:p>
    <w:p w14:paraId="35FF094C" w14:textId="6A65D69E" w:rsidR="00094002" w:rsidRPr="00CD2EEF" w:rsidRDefault="00094002" w:rsidP="005E253E">
      <w:pPr>
        <w:pStyle w:val="LPnavaden"/>
        <w:rPr>
          <w:lang w:val="en-GB"/>
        </w:rPr>
      </w:pPr>
      <w:r w:rsidRPr="00CD2EEF">
        <w:rPr>
          <w:lang w:val="en-GB"/>
        </w:rPr>
        <w:t>The IAEA website for reporting emergencies posted reports on other events in 2021 that were not included in reporting through the NEWS system for INES event reporting. Most of these events were not rated according to the INES criteria.</w:t>
      </w:r>
    </w:p>
    <w:p w14:paraId="14146F7F" w14:textId="718087B2" w:rsidR="00094002" w:rsidRPr="00CD2EEF" w:rsidRDefault="00094002" w:rsidP="005E253E">
      <w:pPr>
        <w:pStyle w:val="LPnavaden"/>
        <w:rPr>
          <w:lang w:val="en-GB"/>
        </w:rPr>
      </w:pPr>
      <w:r w:rsidRPr="00CD2EEF">
        <w:rPr>
          <w:lang w:val="en-GB"/>
        </w:rPr>
        <w:t xml:space="preserve">International attention was attracted by an event </w:t>
      </w:r>
      <w:r w:rsidR="002C202F">
        <w:rPr>
          <w:lang w:val="en-GB"/>
        </w:rPr>
        <w:t>at</w:t>
      </w:r>
      <w:r w:rsidR="002C202F" w:rsidRPr="00CD2EEF">
        <w:rPr>
          <w:lang w:val="en-GB"/>
        </w:rPr>
        <w:t xml:space="preserve"> </w:t>
      </w:r>
      <w:r w:rsidRPr="00CD2EEF">
        <w:rPr>
          <w:lang w:val="en-GB"/>
        </w:rPr>
        <w:t xml:space="preserve">a NPP </w:t>
      </w:r>
      <w:r w:rsidRPr="008C07B3">
        <w:rPr>
          <w:lang w:val="en-GB"/>
        </w:rPr>
        <w:t xml:space="preserve">where </w:t>
      </w:r>
      <w:r w:rsidR="002C202F" w:rsidRPr="008C07B3">
        <w:rPr>
          <w:lang w:val="en-GB"/>
        </w:rPr>
        <w:t xml:space="preserve">the </w:t>
      </w:r>
      <w:r w:rsidR="00C95657" w:rsidRPr="008C07B3">
        <w:rPr>
          <w:lang w:val="en-GB"/>
        </w:rPr>
        <w:t xml:space="preserve">increased activity of </w:t>
      </w:r>
      <w:r w:rsidR="002C202F" w:rsidRPr="008C07B3">
        <w:rPr>
          <w:lang w:val="en-GB"/>
        </w:rPr>
        <w:t xml:space="preserve">the </w:t>
      </w:r>
      <w:r w:rsidRPr="008C07B3">
        <w:rPr>
          <w:lang w:val="en-GB"/>
        </w:rPr>
        <w:t xml:space="preserve">primary coolant was caused by fuel rod cladding leakage. The operational limits were not breached and there were no radioactivity releases </w:t>
      </w:r>
      <w:r w:rsidR="00C95657" w:rsidRPr="008C07B3">
        <w:rPr>
          <w:lang w:val="en-GB"/>
        </w:rPr>
        <w:t>in</w:t>
      </w:r>
      <w:r w:rsidRPr="008C07B3">
        <w:rPr>
          <w:lang w:val="en-GB"/>
        </w:rPr>
        <w:t>to the environment</w:t>
      </w:r>
      <w:r w:rsidR="00C95657" w:rsidRPr="008C07B3">
        <w:rPr>
          <w:lang w:val="en-GB"/>
        </w:rPr>
        <w:t>,</w:t>
      </w:r>
      <w:r w:rsidR="00C95657">
        <w:rPr>
          <w:lang w:val="en-GB"/>
        </w:rPr>
        <w:t xml:space="preserve"> which</w:t>
      </w:r>
      <w:r w:rsidRPr="00CD2EEF">
        <w:rPr>
          <w:lang w:val="en-GB"/>
        </w:rPr>
        <w:t xml:space="preserve"> was </w:t>
      </w:r>
      <w:r w:rsidR="00C95657" w:rsidRPr="00CD2EEF">
        <w:rPr>
          <w:lang w:val="en-GB"/>
        </w:rPr>
        <w:t xml:space="preserve">also </w:t>
      </w:r>
      <w:r w:rsidRPr="00CD2EEF">
        <w:rPr>
          <w:lang w:val="en-GB"/>
        </w:rPr>
        <w:t>confirmed by environmental radiation monitoring.</w:t>
      </w:r>
    </w:p>
    <w:p w14:paraId="6F06082B" w14:textId="724C2905" w:rsidR="00094002" w:rsidRPr="00CD2EEF" w:rsidRDefault="002C202F" w:rsidP="005E253E">
      <w:pPr>
        <w:pStyle w:val="LPnavaden"/>
        <w:rPr>
          <w:lang w:val="en-GB"/>
        </w:rPr>
      </w:pPr>
      <w:r>
        <w:rPr>
          <w:lang w:val="en-GB"/>
        </w:rPr>
        <w:t>A</w:t>
      </w:r>
      <w:r w:rsidRPr="00CD2EEF">
        <w:rPr>
          <w:lang w:val="en-GB"/>
        </w:rPr>
        <w:t xml:space="preserve">n emergency </w:t>
      </w:r>
      <w:r>
        <w:rPr>
          <w:lang w:val="en-GB"/>
        </w:rPr>
        <w:t>at</w:t>
      </w:r>
      <w:r w:rsidRPr="00CD2EEF">
        <w:rPr>
          <w:lang w:val="en-GB"/>
        </w:rPr>
        <w:t xml:space="preserve"> a NPP</w:t>
      </w:r>
      <w:r>
        <w:rPr>
          <w:lang w:val="en-GB"/>
        </w:rPr>
        <w:t xml:space="preserve"> </w:t>
      </w:r>
      <w:r w:rsidR="00C95657">
        <w:rPr>
          <w:lang w:val="en-GB"/>
        </w:rPr>
        <w:t>attracted</w:t>
      </w:r>
      <w:r w:rsidR="00C95657" w:rsidRPr="00CD2EEF">
        <w:rPr>
          <w:lang w:val="en-GB"/>
        </w:rPr>
        <w:t xml:space="preserve"> </w:t>
      </w:r>
      <w:r>
        <w:rPr>
          <w:lang w:val="en-GB"/>
        </w:rPr>
        <w:t>w</w:t>
      </w:r>
      <w:r w:rsidRPr="00CD2EEF">
        <w:rPr>
          <w:lang w:val="en-GB"/>
        </w:rPr>
        <w:t>ide attention</w:t>
      </w:r>
      <w:r w:rsidR="00094002" w:rsidRPr="00CD2EEF">
        <w:rPr>
          <w:lang w:val="en-GB"/>
        </w:rPr>
        <w:t xml:space="preserve"> </w:t>
      </w:r>
      <w:r>
        <w:rPr>
          <w:lang w:val="en-GB"/>
        </w:rPr>
        <w:t>when</w:t>
      </w:r>
      <w:r w:rsidRPr="00CD2EEF">
        <w:rPr>
          <w:lang w:val="en-GB"/>
        </w:rPr>
        <w:t xml:space="preserve"> </w:t>
      </w:r>
      <w:r w:rsidR="00C95657">
        <w:rPr>
          <w:lang w:val="en-GB"/>
        </w:rPr>
        <w:t xml:space="preserve">a </w:t>
      </w:r>
      <w:r w:rsidR="00094002" w:rsidRPr="00CD2EEF">
        <w:rPr>
          <w:lang w:val="en-GB"/>
        </w:rPr>
        <w:t xml:space="preserve">fire in </w:t>
      </w:r>
      <w:r w:rsidR="00C95657">
        <w:rPr>
          <w:lang w:val="en-GB"/>
        </w:rPr>
        <w:t xml:space="preserve">the </w:t>
      </w:r>
      <w:r w:rsidR="00094002" w:rsidRPr="00CD2EEF">
        <w:rPr>
          <w:lang w:val="en-GB"/>
        </w:rPr>
        <w:t xml:space="preserve">main electrical transformer occurred. It was extinguished </w:t>
      </w:r>
      <w:r>
        <w:rPr>
          <w:lang w:val="en-GB"/>
        </w:rPr>
        <w:t>with</w:t>
      </w:r>
      <w:r w:rsidR="00094002" w:rsidRPr="00CD2EEF">
        <w:rPr>
          <w:lang w:val="en-GB"/>
        </w:rPr>
        <w:t>in 15 minutes and the NPP was shut down. The fire did not affect the safety systems, plant staff</w:t>
      </w:r>
      <w:r w:rsidR="00C95657">
        <w:rPr>
          <w:lang w:val="en-GB"/>
        </w:rPr>
        <w:t>,</w:t>
      </w:r>
      <w:r w:rsidR="00094002" w:rsidRPr="00CD2EEF">
        <w:rPr>
          <w:lang w:val="en-GB"/>
        </w:rPr>
        <w:t xml:space="preserve"> or the environment. The report notified that the INES rating was level 0.</w:t>
      </w:r>
    </w:p>
    <w:p w14:paraId="557439D4" w14:textId="0405D789" w:rsidR="00094002" w:rsidRPr="00CD2EEF" w:rsidRDefault="00C95657" w:rsidP="005E253E">
      <w:pPr>
        <w:pStyle w:val="LPnavaden"/>
        <w:rPr>
          <w:lang w:val="en-GB"/>
        </w:rPr>
      </w:pPr>
      <w:r>
        <w:rPr>
          <w:lang w:val="en-GB"/>
        </w:rPr>
        <w:t>A t</w:t>
      </w:r>
      <w:r w:rsidR="00094002" w:rsidRPr="00CD2EEF">
        <w:rPr>
          <w:lang w:val="en-GB"/>
        </w:rPr>
        <w:t xml:space="preserve">hird event </w:t>
      </w:r>
      <w:r w:rsidR="002C202F">
        <w:rPr>
          <w:lang w:val="en-GB"/>
        </w:rPr>
        <w:t>at</w:t>
      </w:r>
      <w:r w:rsidR="002C202F" w:rsidRPr="00CD2EEF">
        <w:rPr>
          <w:lang w:val="en-GB"/>
        </w:rPr>
        <w:t xml:space="preserve"> </w:t>
      </w:r>
      <w:r w:rsidR="00094002" w:rsidRPr="00CD2EEF">
        <w:rPr>
          <w:lang w:val="en-GB"/>
        </w:rPr>
        <w:t xml:space="preserve">a NPP was </w:t>
      </w:r>
      <w:r>
        <w:rPr>
          <w:lang w:val="en-GB"/>
        </w:rPr>
        <w:t xml:space="preserve">a </w:t>
      </w:r>
      <w:r w:rsidR="00094002" w:rsidRPr="00CD2EEF">
        <w:rPr>
          <w:lang w:val="en-GB"/>
        </w:rPr>
        <w:t>minor leakage of secondary non-radioactive coolant. The repairs required plant shutdown</w:t>
      </w:r>
      <w:r>
        <w:rPr>
          <w:lang w:val="en-GB"/>
        </w:rPr>
        <w:t>,</w:t>
      </w:r>
      <w:r w:rsidR="00094002" w:rsidRPr="00CD2EEF">
        <w:rPr>
          <w:lang w:val="en-GB"/>
        </w:rPr>
        <w:t xml:space="preserve"> while</w:t>
      </w:r>
      <w:r>
        <w:rPr>
          <w:lang w:val="en-GB"/>
        </w:rPr>
        <w:t xml:space="preserve"> the</w:t>
      </w:r>
      <w:r w:rsidR="00094002" w:rsidRPr="00CD2EEF">
        <w:rPr>
          <w:lang w:val="en-GB"/>
        </w:rPr>
        <w:t xml:space="preserve"> nuclear safety of the plant was not affected.</w:t>
      </w:r>
    </w:p>
    <w:p w14:paraId="66DB5C8B" w14:textId="47E4ED6B" w:rsidR="00094002" w:rsidRPr="00CD2EEF" w:rsidRDefault="00094002" w:rsidP="005E253E">
      <w:pPr>
        <w:pStyle w:val="LPnavaden"/>
        <w:rPr>
          <w:lang w:val="en-GB"/>
        </w:rPr>
      </w:pPr>
      <w:r w:rsidRPr="00CD2EEF">
        <w:rPr>
          <w:lang w:val="en-GB"/>
        </w:rPr>
        <w:t xml:space="preserve">In 2021, several seismic events </w:t>
      </w:r>
      <w:r w:rsidR="002C202F" w:rsidRPr="00CD2EEF">
        <w:rPr>
          <w:lang w:val="en-GB"/>
        </w:rPr>
        <w:t xml:space="preserve">were </w:t>
      </w:r>
      <w:r w:rsidRPr="00CD2EEF">
        <w:rPr>
          <w:lang w:val="en-GB"/>
        </w:rPr>
        <w:t xml:space="preserve">reported. Three earthquakes affected NPPs in the northeast of Japan. These earthquakes did not damage any equipment and the NPPs </w:t>
      </w:r>
      <w:r w:rsidR="002C202F">
        <w:rPr>
          <w:lang w:val="en-GB"/>
        </w:rPr>
        <w:t>had</w:t>
      </w:r>
      <w:r w:rsidR="002C202F" w:rsidRPr="00CD2EEF">
        <w:rPr>
          <w:lang w:val="en-GB"/>
        </w:rPr>
        <w:t xml:space="preserve"> </w:t>
      </w:r>
      <w:r w:rsidRPr="00CD2EEF">
        <w:rPr>
          <w:lang w:val="en-GB"/>
        </w:rPr>
        <w:t xml:space="preserve">already </w:t>
      </w:r>
      <w:r w:rsidR="002C202F">
        <w:rPr>
          <w:lang w:val="en-GB"/>
        </w:rPr>
        <w:t xml:space="preserve">been </w:t>
      </w:r>
      <w:r w:rsidRPr="00CD2EEF">
        <w:rPr>
          <w:lang w:val="en-GB"/>
        </w:rPr>
        <w:t>shut down since the Fukushima accident in 2011. There were no tsunamis caused by earthquakes.</w:t>
      </w:r>
    </w:p>
    <w:p w14:paraId="087A3B3B" w14:textId="07734096" w:rsidR="00094002" w:rsidRPr="00CD2EEF" w:rsidRDefault="00094002" w:rsidP="005E253E">
      <w:pPr>
        <w:pStyle w:val="LPnavaden"/>
        <w:rPr>
          <w:lang w:val="en-GB"/>
        </w:rPr>
      </w:pPr>
      <w:r w:rsidRPr="00CD2EEF">
        <w:rPr>
          <w:lang w:val="en-GB"/>
        </w:rPr>
        <w:t xml:space="preserve">Two events were caused by exposure during </w:t>
      </w:r>
      <w:r w:rsidR="00C95657">
        <w:rPr>
          <w:lang w:val="en-GB"/>
        </w:rPr>
        <w:t xml:space="preserve">the </w:t>
      </w:r>
      <w:r w:rsidRPr="00CD2EEF">
        <w:rPr>
          <w:lang w:val="en-GB"/>
        </w:rPr>
        <w:t xml:space="preserve">performance of radiography and </w:t>
      </w:r>
      <w:r w:rsidR="00C95657">
        <w:rPr>
          <w:lang w:val="en-GB"/>
        </w:rPr>
        <w:t>while</w:t>
      </w:r>
      <w:r w:rsidR="00C95657" w:rsidRPr="00CD2EEF">
        <w:rPr>
          <w:lang w:val="en-GB"/>
        </w:rPr>
        <w:t xml:space="preserve"> </w:t>
      </w:r>
      <w:r w:rsidRPr="00CD2EEF">
        <w:rPr>
          <w:lang w:val="en-GB"/>
        </w:rPr>
        <w:t xml:space="preserve">entering a </w:t>
      </w:r>
      <w:r w:rsidRPr="0067018B">
        <w:rPr>
          <w:lang w:val="en-GB"/>
        </w:rPr>
        <w:t xml:space="preserve">room </w:t>
      </w:r>
      <w:r w:rsidR="00C95657" w:rsidRPr="0067018B">
        <w:rPr>
          <w:lang w:val="en-GB"/>
        </w:rPr>
        <w:t xml:space="preserve">in which </w:t>
      </w:r>
      <w:r w:rsidRPr="0067018B">
        <w:rPr>
          <w:lang w:val="en-GB"/>
        </w:rPr>
        <w:t>X-ray measurements of layer thickness</w:t>
      </w:r>
      <w:r w:rsidR="00C95657" w:rsidRPr="0067018B">
        <w:rPr>
          <w:lang w:val="en-GB"/>
        </w:rPr>
        <w:t xml:space="preserve"> were being carried out</w:t>
      </w:r>
      <w:r w:rsidRPr="0067018B">
        <w:rPr>
          <w:lang w:val="en-GB"/>
        </w:rPr>
        <w:t>.</w:t>
      </w:r>
      <w:r w:rsidRPr="00CD2EEF">
        <w:rPr>
          <w:lang w:val="en-GB"/>
        </w:rPr>
        <w:t xml:space="preserve"> The equivalent doses to the workers were much higher than the annual limit and they received medical treatment. Exact data on </w:t>
      </w:r>
      <w:r w:rsidR="00C95657">
        <w:rPr>
          <w:lang w:val="en-GB"/>
        </w:rPr>
        <w:t xml:space="preserve">the </w:t>
      </w:r>
      <w:r w:rsidRPr="00CD2EEF">
        <w:rPr>
          <w:lang w:val="en-GB"/>
        </w:rPr>
        <w:t xml:space="preserve">health consequences were not published. However, based on </w:t>
      </w:r>
      <w:r w:rsidR="00C95657">
        <w:rPr>
          <w:lang w:val="en-GB"/>
        </w:rPr>
        <w:t xml:space="preserve">the </w:t>
      </w:r>
      <w:r w:rsidRPr="00CD2EEF">
        <w:rPr>
          <w:lang w:val="en-GB"/>
        </w:rPr>
        <w:t>report</w:t>
      </w:r>
      <w:r w:rsidR="00C95657">
        <w:rPr>
          <w:lang w:val="en-GB"/>
        </w:rPr>
        <w:t>ed</w:t>
      </w:r>
      <w:r w:rsidRPr="00CD2EEF">
        <w:rPr>
          <w:lang w:val="en-GB"/>
        </w:rPr>
        <w:t xml:space="preserve"> description</w:t>
      </w:r>
      <w:r w:rsidR="00C95657">
        <w:rPr>
          <w:lang w:val="en-GB"/>
        </w:rPr>
        <w:t>,</w:t>
      </w:r>
      <w:r w:rsidRPr="00CD2EEF">
        <w:rPr>
          <w:lang w:val="en-GB"/>
        </w:rPr>
        <w:t xml:space="preserve"> both events could be rated at least at level 2 on the INES scale.</w:t>
      </w:r>
    </w:p>
    <w:p w14:paraId="543F0E24" w14:textId="31278338" w:rsidR="00094002" w:rsidRPr="00CD2EEF" w:rsidRDefault="00094002" w:rsidP="005E253E">
      <w:pPr>
        <w:pStyle w:val="LPnavaden"/>
        <w:rPr>
          <w:lang w:val="en-GB"/>
        </w:rPr>
      </w:pPr>
      <w:r w:rsidRPr="00CD2EEF">
        <w:rPr>
          <w:lang w:val="en-GB"/>
        </w:rPr>
        <w:t xml:space="preserve">Four events related to found or lost radioactive sources. In </w:t>
      </w:r>
      <w:r w:rsidR="00C95657">
        <w:rPr>
          <w:lang w:val="en-GB"/>
        </w:rPr>
        <w:t xml:space="preserve">a </w:t>
      </w:r>
      <w:r w:rsidRPr="00CD2EEF">
        <w:rPr>
          <w:lang w:val="en-GB"/>
        </w:rPr>
        <w:t>scrap metal transport</w:t>
      </w:r>
      <w:r w:rsidR="00C95657">
        <w:rPr>
          <w:lang w:val="en-GB"/>
        </w:rPr>
        <w:t>,</w:t>
      </w:r>
      <w:r w:rsidRPr="00CD2EEF">
        <w:rPr>
          <w:lang w:val="en-GB"/>
        </w:rPr>
        <w:t xml:space="preserve"> a source was found with </w:t>
      </w:r>
      <w:r w:rsidR="00C95657">
        <w:rPr>
          <w:lang w:val="en-GB"/>
        </w:rPr>
        <w:t xml:space="preserve">a </w:t>
      </w:r>
      <w:r w:rsidRPr="00CD2EEF">
        <w:rPr>
          <w:lang w:val="en-GB"/>
        </w:rPr>
        <w:t xml:space="preserve">serial number that </w:t>
      </w:r>
      <w:r w:rsidR="00C95657">
        <w:rPr>
          <w:lang w:val="en-GB"/>
        </w:rPr>
        <w:t>made it possible</w:t>
      </w:r>
      <w:r w:rsidR="00C95657" w:rsidRPr="00CD2EEF">
        <w:rPr>
          <w:lang w:val="en-GB"/>
        </w:rPr>
        <w:t xml:space="preserve"> </w:t>
      </w:r>
      <w:r w:rsidRPr="00CD2EEF">
        <w:rPr>
          <w:lang w:val="en-GB"/>
        </w:rPr>
        <w:t>to track its provenience and research how control over the source was lost. Another event was report</w:t>
      </w:r>
      <w:r w:rsidR="00C95657">
        <w:rPr>
          <w:lang w:val="en-GB"/>
        </w:rPr>
        <w:t>ed</w:t>
      </w:r>
      <w:r w:rsidRPr="00CD2EEF">
        <w:rPr>
          <w:lang w:val="en-GB"/>
        </w:rPr>
        <w:t xml:space="preserve"> </w:t>
      </w:r>
      <w:r w:rsidR="00C95657">
        <w:rPr>
          <w:lang w:val="en-GB"/>
        </w:rPr>
        <w:t>regarding</w:t>
      </w:r>
      <w:r w:rsidR="00C95657" w:rsidRPr="00CD2EEF">
        <w:rPr>
          <w:lang w:val="en-GB"/>
        </w:rPr>
        <w:t xml:space="preserve"> </w:t>
      </w:r>
      <w:r w:rsidRPr="00CD2EEF">
        <w:rPr>
          <w:lang w:val="en-GB"/>
        </w:rPr>
        <w:t xml:space="preserve">abandoned sources of </w:t>
      </w:r>
      <w:r w:rsidR="00C95657">
        <w:rPr>
          <w:lang w:val="en-GB"/>
        </w:rPr>
        <w:t xml:space="preserve">a </w:t>
      </w:r>
      <w:r w:rsidRPr="00CD2EEF">
        <w:rPr>
          <w:lang w:val="en-GB"/>
        </w:rPr>
        <w:t xml:space="preserve">known producer that </w:t>
      </w:r>
      <w:r w:rsidR="002C202F">
        <w:rPr>
          <w:lang w:val="en-GB"/>
        </w:rPr>
        <w:t>is no longer operating</w:t>
      </w:r>
      <w:r w:rsidRPr="00CD2EEF">
        <w:rPr>
          <w:lang w:val="en-GB"/>
        </w:rPr>
        <w:t xml:space="preserve">. Possibilities were explored for </w:t>
      </w:r>
      <w:r w:rsidR="00C95657">
        <w:rPr>
          <w:lang w:val="en-GB"/>
        </w:rPr>
        <w:t xml:space="preserve">the </w:t>
      </w:r>
      <w:r w:rsidRPr="00CD2EEF">
        <w:rPr>
          <w:lang w:val="en-GB"/>
        </w:rPr>
        <w:t xml:space="preserve">treatment of these devices </w:t>
      </w:r>
      <w:r w:rsidRPr="00CD2EEF">
        <w:rPr>
          <w:lang w:val="en-GB"/>
        </w:rPr>
        <w:lastRenderedPageBreak/>
        <w:t xml:space="preserve">for </w:t>
      </w:r>
      <w:r w:rsidR="00C95657">
        <w:rPr>
          <w:lang w:val="en-GB"/>
        </w:rPr>
        <w:t xml:space="preserve">the </w:t>
      </w:r>
      <w:r w:rsidRPr="00CD2EEF">
        <w:rPr>
          <w:lang w:val="en-GB"/>
        </w:rPr>
        <w:t xml:space="preserve">separate storage of radioactive material. </w:t>
      </w:r>
      <w:r w:rsidR="00C95657" w:rsidRPr="00CD2EEF">
        <w:rPr>
          <w:lang w:val="en-GB"/>
        </w:rPr>
        <w:t xml:space="preserve">The </w:t>
      </w:r>
      <w:r w:rsidR="00C95657">
        <w:rPr>
          <w:lang w:val="en-GB"/>
        </w:rPr>
        <w:t>t</w:t>
      </w:r>
      <w:r w:rsidRPr="00CD2EEF">
        <w:rPr>
          <w:lang w:val="en-GB"/>
        </w:rPr>
        <w:t xml:space="preserve">hird event was </w:t>
      </w:r>
      <w:r w:rsidR="00C95657">
        <w:rPr>
          <w:lang w:val="en-GB"/>
        </w:rPr>
        <w:t xml:space="preserve">the </w:t>
      </w:r>
      <w:r w:rsidRPr="00CD2EEF">
        <w:rPr>
          <w:lang w:val="en-GB"/>
        </w:rPr>
        <w:t xml:space="preserve">notification </w:t>
      </w:r>
      <w:r w:rsidR="00C95657">
        <w:rPr>
          <w:lang w:val="en-GB"/>
        </w:rPr>
        <w:t>of</w:t>
      </w:r>
      <w:r w:rsidR="00C95657" w:rsidRPr="00CD2EEF">
        <w:rPr>
          <w:lang w:val="en-GB"/>
        </w:rPr>
        <w:t xml:space="preserve"> </w:t>
      </w:r>
      <w:r w:rsidR="00C95657">
        <w:rPr>
          <w:lang w:val="en-GB"/>
        </w:rPr>
        <w:t xml:space="preserve">a </w:t>
      </w:r>
      <w:r w:rsidRPr="00CD2EEF">
        <w:rPr>
          <w:lang w:val="en-GB"/>
        </w:rPr>
        <w:t xml:space="preserve">missing category 4 source that was used for </w:t>
      </w:r>
      <w:r w:rsidR="00C95657">
        <w:rPr>
          <w:lang w:val="en-GB"/>
        </w:rPr>
        <w:t xml:space="preserve">the </w:t>
      </w:r>
      <w:r w:rsidRPr="00CD2EEF">
        <w:rPr>
          <w:lang w:val="en-GB"/>
        </w:rPr>
        <w:t xml:space="preserve">level measurement of liquids. The search action at scrap metal collectors was not successful. The fourth event was </w:t>
      </w:r>
      <w:r w:rsidR="00C95657">
        <w:rPr>
          <w:lang w:val="en-GB"/>
        </w:rPr>
        <w:t>the</w:t>
      </w:r>
      <w:r w:rsidR="00C95657" w:rsidRPr="00CD2EEF">
        <w:rPr>
          <w:lang w:val="en-GB"/>
        </w:rPr>
        <w:t xml:space="preserve"> </w:t>
      </w:r>
      <w:r w:rsidRPr="00CD2EEF">
        <w:rPr>
          <w:lang w:val="en-GB"/>
        </w:rPr>
        <w:t>notification of 15 missing sources for soil moisture measurements that disappeared from</w:t>
      </w:r>
      <w:r w:rsidR="00C95657">
        <w:rPr>
          <w:lang w:val="en-GB"/>
        </w:rPr>
        <w:t xml:space="preserve"> an</w:t>
      </w:r>
      <w:r w:rsidRPr="00CD2EEF">
        <w:rPr>
          <w:lang w:val="en-GB"/>
        </w:rPr>
        <w:t xml:space="preserve"> area affected by armed conflict in Syria. </w:t>
      </w:r>
      <w:r w:rsidR="00C95657">
        <w:rPr>
          <w:lang w:val="en-GB"/>
        </w:rPr>
        <w:t>The s</w:t>
      </w:r>
      <w:r w:rsidRPr="00CD2EEF">
        <w:rPr>
          <w:lang w:val="en-GB"/>
        </w:rPr>
        <w:t xml:space="preserve">erial numbers and activities of </w:t>
      </w:r>
      <w:r w:rsidR="00C95657">
        <w:rPr>
          <w:lang w:val="en-GB"/>
        </w:rPr>
        <w:t xml:space="preserve">the </w:t>
      </w:r>
      <w:r w:rsidRPr="00CD2EEF">
        <w:rPr>
          <w:lang w:val="en-GB"/>
        </w:rPr>
        <w:t xml:space="preserve">sources were notified. According to </w:t>
      </w:r>
      <w:r w:rsidR="00C95657">
        <w:rPr>
          <w:lang w:val="en-GB"/>
        </w:rPr>
        <w:t xml:space="preserve">the </w:t>
      </w:r>
      <w:r w:rsidRPr="00CD2EEF">
        <w:rPr>
          <w:lang w:val="en-GB"/>
        </w:rPr>
        <w:t>INES criteria</w:t>
      </w:r>
      <w:r w:rsidR="00C95657">
        <w:rPr>
          <w:lang w:val="en-GB"/>
        </w:rPr>
        <w:t>,</w:t>
      </w:r>
      <w:r w:rsidRPr="00CD2EEF">
        <w:rPr>
          <w:lang w:val="en-GB"/>
        </w:rPr>
        <w:t xml:space="preserve"> these four events would be rated at level 1 in cases where there was no exposure of </w:t>
      </w:r>
      <w:r w:rsidR="00C95657">
        <w:rPr>
          <w:lang w:val="en-GB"/>
        </w:rPr>
        <w:t xml:space="preserve">the </w:t>
      </w:r>
      <w:r w:rsidRPr="00CD2EEF">
        <w:rPr>
          <w:lang w:val="en-GB"/>
        </w:rPr>
        <w:t>population by the sources</w:t>
      </w:r>
      <w:r w:rsidR="00C95657">
        <w:rPr>
          <w:lang w:val="en-GB"/>
        </w:rPr>
        <w:t>;</w:t>
      </w:r>
      <w:r w:rsidRPr="00CD2EEF">
        <w:rPr>
          <w:lang w:val="en-GB"/>
        </w:rPr>
        <w:t xml:space="preserve"> however, this cannot be concluded for some of these events.</w:t>
      </w:r>
    </w:p>
    <w:p w14:paraId="120E4E67" w14:textId="061AED71" w:rsidR="00094002" w:rsidRPr="00CD2EEF" w:rsidRDefault="00094002" w:rsidP="00881C04">
      <w:pPr>
        <w:pStyle w:val="LPVirienojni"/>
        <w:rPr>
          <w:lang w:val="en-GB"/>
        </w:rPr>
      </w:pPr>
      <w:r w:rsidRPr="00CD2EEF">
        <w:rPr>
          <w:lang w:val="en-GB"/>
        </w:rPr>
        <w:t>Reference: [</w:t>
      </w:r>
      <w:hyperlink w:anchor="r36" w:history="1">
        <w:r w:rsidRPr="00CD2EEF">
          <w:rPr>
            <w:rStyle w:val="Hiperpovezava"/>
            <w:lang w:val="en-GB"/>
          </w:rPr>
          <w:t>36</w:t>
        </w:r>
      </w:hyperlink>
      <w:r w:rsidRPr="00CD2EEF">
        <w:rPr>
          <w:lang w:val="en-GB"/>
        </w:rPr>
        <w:t>]</w:t>
      </w:r>
    </w:p>
    <w:p w14:paraId="50EC79AC" w14:textId="4CCC76ED" w:rsidR="00094002" w:rsidRPr="00CD2EEF" w:rsidRDefault="00094002" w:rsidP="00077D8E">
      <w:pPr>
        <w:pStyle w:val="LPNaslov1"/>
        <w:rPr>
          <w:lang w:val="en-GB"/>
        </w:rPr>
      </w:pPr>
      <w:bookmarkStart w:id="490" w:name="_Hlk107995564"/>
      <w:bookmarkStart w:id="491" w:name="_Hlk106092896"/>
      <w:bookmarkStart w:id="492" w:name="_Toc126312068"/>
      <w:r w:rsidRPr="00CD2EEF">
        <w:rPr>
          <w:lang w:val="en-GB"/>
        </w:rPr>
        <w:lastRenderedPageBreak/>
        <w:t>REFERENCES</w:t>
      </w:r>
      <w:bookmarkEnd w:id="492"/>
      <w:r w:rsidR="00417374">
        <w:rPr>
          <w:lang w:val="en-GB"/>
        </w:rPr>
        <w:t xml:space="preserve"> </w:t>
      </w:r>
    </w:p>
    <w:p w14:paraId="1B048DAF" w14:textId="12031DA5" w:rsidR="00094002" w:rsidRPr="00CD2EEF" w:rsidRDefault="00094002" w:rsidP="009A3388">
      <w:pPr>
        <w:pStyle w:val="LPviri"/>
        <w:rPr>
          <w:lang w:val="en-GB"/>
        </w:rPr>
      </w:pPr>
      <w:bookmarkStart w:id="493" w:name="r01"/>
      <w:r w:rsidRPr="00CD2EEF">
        <w:rPr>
          <w:lang w:val="en-GB"/>
        </w:rPr>
        <w:t xml:space="preserve">[1] </w:t>
      </w:r>
      <w:bookmarkEnd w:id="490"/>
      <w:r w:rsidRPr="00CD2EEF">
        <w:rPr>
          <w:lang w:val="en-GB"/>
        </w:rPr>
        <w:t xml:space="preserve">Nuklearna elektrarna Krško, Letno poročilo o obratovanju NEK za leto 2021, </w:t>
      </w:r>
      <w:r w:rsidR="001701A0" w:rsidRPr="00CD2EEF">
        <w:rPr>
          <w:lang w:val="en-GB"/>
        </w:rPr>
        <w:t>F</w:t>
      </w:r>
      <w:r w:rsidRPr="00CD2EEF">
        <w:rPr>
          <w:lang w:val="en-GB"/>
        </w:rPr>
        <w:t>ebruar</w:t>
      </w:r>
      <w:r w:rsidR="001701A0" w:rsidRPr="00CD2EEF">
        <w:rPr>
          <w:lang w:val="en-GB"/>
        </w:rPr>
        <w:t>y</w:t>
      </w:r>
      <w:r w:rsidRPr="00CD2EEF">
        <w:rPr>
          <w:lang w:val="en-GB"/>
        </w:rPr>
        <w:t xml:space="preserve">, </w:t>
      </w:r>
      <w:r w:rsidR="001701A0" w:rsidRPr="00CD2EEF">
        <w:rPr>
          <w:lang w:val="en-GB"/>
        </w:rPr>
        <w:t>J</w:t>
      </w:r>
      <w:r w:rsidRPr="00CD2EEF">
        <w:rPr>
          <w:lang w:val="en-GB"/>
        </w:rPr>
        <w:t>un</w:t>
      </w:r>
      <w:r w:rsidR="001701A0" w:rsidRPr="00CD2EEF">
        <w:rPr>
          <w:lang w:val="en-GB"/>
        </w:rPr>
        <w:t>e</w:t>
      </w:r>
      <w:r w:rsidRPr="00CD2EEF">
        <w:rPr>
          <w:lang w:val="en-GB"/>
        </w:rPr>
        <w:t xml:space="preserve"> 2022.</w:t>
      </w:r>
    </w:p>
    <w:p w14:paraId="18BC3005" w14:textId="77777777" w:rsidR="00094002" w:rsidRPr="00B73FE6" w:rsidRDefault="00094002" w:rsidP="009A3388">
      <w:pPr>
        <w:pStyle w:val="LPviri"/>
        <w:rPr>
          <w:lang w:val="it-IT"/>
        </w:rPr>
      </w:pPr>
      <w:bookmarkStart w:id="494" w:name="r02"/>
      <w:bookmarkEnd w:id="491"/>
      <w:bookmarkEnd w:id="493"/>
      <w:r w:rsidRPr="00B73FE6">
        <w:rPr>
          <w:lang w:val="it-IT"/>
        </w:rPr>
        <w:t>[2] Mesečna poročila o obratovanju NEK v letu 2021.</w:t>
      </w:r>
    </w:p>
    <w:p w14:paraId="068AE133" w14:textId="43C83459" w:rsidR="00094002" w:rsidRPr="00B73FE6" w:rsidRDefault="00094002" w:rsidP="009A3388">
      <w:pPr>
        <w:pStyle w:val="LPVirienojni"/>
        <w:rPr>
          <w:lang w:val="it-IT"/>
        </w:rPr>
      </w:pPr>
      <w:bookmarkStart w:id="495" w:name="r03"/>
      <w:bookmarkEnd w:id="494"/>
      <w:r w:rsidRPr="00B73FE6">
        <w:rPr>
          <w:lang w:val="it-IT"/>
        </w:rPr>
        <w:t xml:space="preserve">[3] Poročanje o dogodku </w:t>
      </w:r>
      <w:r w:rsidR="00263D93" w:rsidRPr="00B73FE6">
        <w:rPr>
          <w:lang w:val="it-IT"/>
        </w:rPr>
        <w:t>“</w:t>
      </w:r>
      <w:r w:rsidRPr="00B73FE6">
        <w:rPr>
          <w:lang w:val="it-IT"/>
        </w:rPr>
        <w:t>Puščanje zraka startnega motorja pri zagonu dizel generatorja 2</w:t>
      </w:r>
      <w:r w:rsidR="00263D93" w:rsidRPr="00B73FE6">
        <w:rPr>
          <w:lang w:val="it-IT"/>
        </w:rPr>
        <w:t>”</w:t>
      </w:r>
      <w:r w:rsidRPr="00B73FE6">
        <w:rPr>
          <w:lang w:val="it-IT"/>
        </w:rPr>
        <w:t>, Krško: Nuklearna elektrarna Krško, 2021.</w:t>
      </w:r>
    </w:p>
    <w:p w14:paraId="18EE098B" w14:textId="77777777" w:rsidR="00094002" w:rsidRPr="00B73FE6" w:rsidRDefault="00094002" w:rsidP="009A3388">
      <w:pPr>
        <w:pStyle w:val="LPVirienojni"/>
        <w:rPr>
          <w:lang w:val="it-IT"/>
        </w:rPr>
      </w:pPr>
      <w:bookmarkStart w:id="496" w:name="_Hlk107995116"/>
      <w:bookmarkStart w:id="497" w:name="r04"/>
      <w:bookmarkEnd w:id="495"/>
      <w:r w:rsidRPr="00B73FE6">
        <w:rPr>
          <w:lang w:val="it-IT"/>
        </w:rPr>
        <w:t xml:space="preserve">[4] </w:t>
      </w:r>
      <w:bookmarkEnd w:id="496"/>
      <w:r w:rsidRPr="00B73FE6">
        <w:rPr>
          <w:lang w:val="it-IT"/>
        </w:rPr>
        <w:t>Zaključno poročilo Puščanje zraka startnega motorja pri zagonu dizel generatorja št. 2 , Ljubljana: Uprava RS za jedrsko varnost, 2021.</w:t>
      </w:r>
    </w:p>
    <w:p w14:paraId="7EF0CCD2" w14:textId="2B7C3470" w:rsidR="00094002" w:rsidRPr="00B73FE6" w:rsidRDefault="00094002" w:rsidP="009A3388">
      <w:pPr>
        <w:pStyle w:val="LPVirienojni"/>
        <w:rPr>
          <w:lang w:val="it-IT"/>
        </w:rPr>
      </w:pPr>
      <w:bookmarkStart w:id="498" w:name="r05"/>
      <w:bookmarkEnd w:id="497"/>
      <w:r w:rsidRPr="00B73FE6">
        <w:rPr>
          <w:lang w:val="it-IT"/>
        </w:rPr>
        <w:t xml:space="preserve">[5] Poročanje o dogodku </w:t>
      </w:r>
      <w:r w:rsidR="00263D93" w:rsidRPr="00B73FE6">
        <w:rPr>
          <w:lang w:val="it-IT"/>
        </w:rPr>
        <w:t>“</w:t>
      </w:r>
      <w:r w:rsidRPr="00B73FE6">
        <w:rPr>
          <w:lang w:val="it-IT"/>
        </w:rPr>
        <w:t>Okvara brezprekinitvenega napajalnika sistemov tehničnega varovanja</w:t>
      </w:r>
      <w:r w:rsidR="00263D93" w:rsidRPr="00B73FE6">
        <w:rPr>
          <w:lang w:val="it-IT"/>
        </w:rPr>
        <w:t>”</w:t>
      </w:r>
      <w:r w:rsidRPr="00B73FE6">
        <w:rPr>
          <w:lang w:val="it-IT"/>
        </w:rPr>
        <w:t>, Krško: Nuklearna elektrarna Krško, 2021.</w:t>
      </w:r>
    </w:p>
    <w:p w14:paraId="76EE7E62" w14:textId="1B5B2310" w:rsidR="00094002" w:rsidRPr="00CD2EEF" w:rsidRDefault="00094002" w:rsidP="009A3388">
      <w:pPr>
        <w:pStyle w:val="LPVirienojni"/>
        <w:rPr>
          <w:lang w:val="en-GB"/>
        </w:rPr>
      </w:pPr>
      <w:bookmarkStart w:id="499" w:name="r06"/>
      <w:bookmarkEnd w:id="498"/>
      <w:r w:rsidRPr="00CD2EEF">
        <w:rPr>
          <w:lang w:val="en-GB"/>
        </w:rPr>
        <w:t xml:space="preserve">[6] Inšpekcijski zapisnik št. 44/2021, </w:t>
      </w:r>
      <w:r w:rsidR="001701A0" w:rsidRPr="00CD2EEF">
        <w:rPr>
          <w:lang w:val="en-GB"/>
        </w:rPr>
        <w:t>N</w:t>
      </w:r>
      <w:r w:rsidRPr="00CD2EEF">
        <w:rPr>
          <w:lang w:val="en-GB"/>
        </w:rPr>
        <w:t xml:space="preserve">ovember 2021, </w:t>
      </w:r>
      <w:r w:rsidR="00E63423">
        <w:rPr>
          <w:lang w:val="en-GB"/>
        </w:rPr>
        <w:t>the SNSA</w:t>
      </w:r>
      <w:r w:rsidRPr="00CD2EEF">
        <w:rPr>
          <w:lang w:val="en-GB"/>
        </w:rPr>
        <w:t>.</w:t>
      </w:r>
    </w:p>
    <w:p w14:paraId="36737D99" w14:textId="77777777" w:rsidR="00094002" w:rsidRPr="00CD2EEF" w:rsidRDefault="00094002" w:rsidP="00556285">
      <w:pPr>
        <w:pStyle w:val="LPVirienojni"/>
        <w:rPr>
          <w:lang w:val="en-GB"/>
        </w:rPr>
      </w:pPr>
      <w:bookmarkStart w:id="500" w:name="r07"/>
      <w:bookmarkEnd w:id="499"/>
      <w:r w:rsidRPr="00CD2EEF">
        <w:rPr>
          <w:lang w:val="en-GB"/>
        </w:rPr>
        <w:t>[7] Razširjeno poročilo o varstvu pred ionizirajočimi sevanji in jedrski varnosti v RS leta 2020, URSJV/DP-222/2021.</w:t>
      </w:r>
    </w:p>
    <w:p w14:paraId="07A62423" w14:textId="613DDBB7" w:rsidR="00094002" w:rsidRPr="00CD2EEF" w:rsidRDefault="00094002" w:rsidP="00556285">
      <w:pPr>
        <w:pStyle w:val="LPVirienojni"/>
        <w:rPr>
          <w:lang w:val="en-GB"/>
        </w:rPr>
      </w:pPr>
      <w:bookmarkStart w:id="501" w:name="r08"/>
      <w:bookmarkEnd w:id="500"/>
      <w:r w:rsidRPr="00CD2EEF">
        <w:rPr>
          <w:lang w:val="en-GB"/>
        </w:rPr>
        <w:t xml:space="preserve">[8] Odločba URSJV o izvedbi modernizacije varnostnih rešitev za preprečevanje težkih nesreč in blažitev njihovih posledic, </w:t>
      </w:r>
      <w:r w:rsidR="001701A0" w:rsidRPr="00CD2EEF">
        <w:rPr>
          <w:lang w:val="en-GB"/>
        </w:rPr>
        <w:t>S</w:t>
      </w:r>
      <w:r w:rsidRPr="00CD2EEF">
        <w:rPr>
          <w:lang w:val="en-GB"/>
        </w:rPr>
        <w:t>eptember 2011.</w:t>
      </w:r>
    </w:p>
    <w:p w14:paraId="0BC5061F" w14:textId="437A0E6E" w:rsidR="00094002" w:rsidRPr="00CD2EEF" w:rsidRDefault="00094002" w:rsidP="00556285">
      <w:pPr>
        <w:pStyle w:val="LPVirienojni"/>
        <w:rPr>
          <w:lang w:val="en-GB"/>
        </w:rPr>
      </w:pPr>
      <w:bookmarkStart w:id="502" w:name="r09"/>
      <w:bookmarkEnd w:id="501"/>
      <w:r w:rsidRPr="00CD2EEF">
        <w:rPr>
          <w:lang w:val="en-GB"/>
        </w:rPr>
        <w:t xml:space="preserve">[9] NPP Krško Analyses of Potential Safety Improvements, NEK ESD-TR-09/11, </w:t>
      </w:r>
      <w:r w:rsidR="001701A0" w:rsidRPr="00CD2EEF">
        <w:rPr>
          <w:lang w:val="en-GB"/>
        </w:rPr>
        <w:t>J</w:t>
      </w:r>
      <w:r w:rsidRPr="00CD2EEF">
        <w:rPr>
          <w:lang w:val="en-GB"/>
        </w:rPr>
        <w:t>anuar</w:t>
      </w:r>
      <w:r w:rsidR="001701A0" w:rsidRPr="00CD2EEF">
        <w:rPr>
          <w:lang w:val="en-GB"/>
        </w:rPr>
        <w:t>y</w:t>
      </w:r>
      <w:r w:rsidRPr="00CD2EEF">
        <w:rPr>
          <w:lang w:val="en-GB"/>
        </w:rPr>
        <w:t xml:space="preserve"> 2012.</w:t>
      </w:r>
    </w:p>
    <w:p w14:paraId="2088779B" w14:textId="20FACFA5" w:rsidR="00094002" w:rsidRPr="00B73FE6" w:rsidRDefault="00094002" w:rsidP="00556285">
      <w:pPr>
        <w:pStyle w:val="LPVirienojni"/>
        <w:rPr>
          <w:lang w:val="it-IT"/>
        </w:rPr>
      </w:pPr>
      <w:bookmarkStart w:id="503" w:name="r10"/>
      <w:bookmarkEnd w:id="502"/>
      <w:r w:rsidRPr="00B73FE6">
        <w:rPr>
          <w:lang w:val="it-IT"/>
        </w:rPr>
        <w:t xml:space="preserve">[10] URSJV odobritev Programa nadgradnje varnosti NEK, </w:t>
      </w:r>
      <w:r w:rsidR="001701A0" w:rsidRPr="00B73FE6">
        <w:rPr>
          <w:lang w:val="it-IT"/>
        </w:rPr>
        <w:t>F</w:t>
      </w:r>
      <w:r w:rsidRPr="00B73FE6">
        <w:rPr>
          <w:lang w:val="it-IT"/>
        </w:rPr>
        <w:t>ebruar</w:t>
      </w:r>
      <w:r w:rsidR="001701A0" w:rsidRPr="00B73FE6">
        <w:rPr>
          <w:lang w:val="it-IT"/>
        </w:rPr>
        <w:t>y</w:t>
      </w:r>
      <w:r w:rsidRPr="00B73FE6">
        <w:rPr>
          <w:lang w:val="it-IT"/>
        </w:rPr>
        <w:t xml:space="preserve"> 2012.</w:t>
      </w:r>
    </w:p>
    <w:p w14:paraId="2E612C75" w14:textId="0BC49F72" w:rsidR="00094002" w:rsidRPr="00CD2EEF" w:rsidRDefault="00094002" w:rsidP="00556285">
      <w:pPr>
        <w:pStyle w:val="LPVirienojni"/>
        <w:rPr>
          <w:lang w:val="en-GB"/>
        </w:rPr>
      </w:pPr>
      <w:bookmarkStart w:id="504" w:name="r11"/>
      <w:bookmarkEnd w:id="503"/>
      <w:r w:rsidRPr="00CD2EEF">
        <w:rPr>
          <w:lang w:val="en-GB"/>
        </w:rPr>
        <w:t xml:space="preserve">[11] Slovenian Post-Fukushima National Action Plan, URSJV, </w:t>
      </w:r>
      <w:r w:rsidR="001701A0" w:rsidRPr="00CD2EEF">
        <w:rPr>
          <w:lang w:val="en-GB"/>
        </w:rPr>
        <w:t>D</w:t>
      </w:r>
      <w:r w:rsidRPr="00CD2EEF">
        <w:rPr>
          <w:lang w:val="en-GB"/>
        </w:rPr>
        <w:t>ecember 2012.</w:t>
      </w:r>
    </w:p>
    <w:p w14:paraId="60F3525A" w14:textId="67DC225A" w:rsidR="00094002" w:rsidRPr="00CD2EEF" w:rsidRDefault="00094002" w:rsidP="00556285">
      <w:pPr>
        <w:pStyle w:val="LPVirienojni"/>
        <w:rPr>
          <w:lang w:val="en-GB"/>
        </w:rPr>
      </w:pPr>
      <w:bookmarkStart w:id="505" w:name="r12"/>
      <w:bookmarkEnd w:id="504"/>
      <w:r w:rsidRPr="00CD2EEF">
        <w:rPr>
          <w:lang w:val="en-GB"/>
        </w:rPr>
        <w:t xml:space="preserve">[12] Končni posodobljeni post-fukušimski akcijski načrt (Final Update of the Slovenian Post-Fukushima Action Plan), URSJV, </w:t>
      </w:r>
      <w:r w:rsidR="001701A0" w:rsidRPr="00CD2EEF">
        <w:rPr>
          <w:lang w:val="en-GB"/>
        </w:rPr>
        <w:t>D</w:t>
      </w:r>
      <w:r w:rsidRPr="00CD2EEF">
        <w:rPr>
          <w:lang w:val="en-GB"/>
        </w:rPr>
        <w:t xml:space="preserve">ecember 2021. </w:t>
      </w:r>
    </w:p>
    <w:p w14:paraId="71AB3C54" w14:textId="2A77A949" w:rsidR="00094002" w:rsidRPr="00CD2EEF" w:rsidRDefault="00094002" w:rsidP="00556285">
      <w:pPr>
        <w:pStyle w:val="LPVirienojni"/>
        <w:rPr>
          <w:lang w:val="en-GB"/>
        </w:rPr>
      </w:pPr>
      <w:bookmarkStart w:id="506" w:name="r13"/>
      <w:bookmarkEnd w:id="505"/>
      <w:r w:rsidRPr="00CD2EEF">
        <w:rPr>
          <w:lang w:val="en-GB"/>
        </w:rPr>
        <w:t xml:space="preserve">[13] Program nadgradnje varnosti NEK, Rev. 3, </w:t>
      </w:r>
      <w:r w:rsidR="001701A0" w:rsidRPr="00CD2EEF">
        <w:rPr>
          <w:lang w:val="en-GB"/>
        </w:rPr>
        <w:t>J</w:t>
      </w:r>
      <w:r w:rsidRPr="00CD2EEF">
        <w:rPr>
          <w:lang w:val="en-GB"/>
        </w:rPr>
        <w:t>anuar</w:t>
      </w:r>
      <w:r w:rsidR="001701A0" w:rsidRPr="00CD2EEF">
        <w:rPr>
          <w:lang w:val="en-GB"/>
        </w:rPr>
        <w:t>y</w:t>
      </w:r>
      <w:r w:rsidRPr="00CD2EEF">
        <w:rPr>
          <w:lang w:val="en-GB"/>
        </w:rPr>
        <w:t xml:space="preserve"> 2017.</w:t>
      </w:r>
    </w:p>
    <w:p w14:paraId="51366976" w14:textId="3FC1A19F" w:rsidR="00094002" w:rsidRPr="00CD2EEF" w:rsidRDefault="00094002" w:rsidP="00556285">
      <w:pPr>
        <w:pStyle w:val="LPVirienojni"/>
        <w:rPr>
          <w:lang w:val="en-GB"/>
        </w:rPr>
      </w:pPr>
      <w:bookmarkStart w:id="507" w:name="r14"/>
      <w:bookmarkEnd w:id="506"/>
      <w:r w:rsidRPr="00CD2EEF">
        <w:rPr>
          <w:lang w:val="en-GB"/>
        </w:rPr>
        <w:t xml:space="preserve">[14] Odločba URSJV o odobritvi Programa nadgradnje varnosti NEK rev. 3 in podaljšanju roka za izvedbo, </w:t>
      </w:r>
      <w:r w:rsidR="001701A0" w:rsidRPr="00CD2EEF">
        <w:rPr>
          <w:lang w:val="en-GB"/>
        </w:rPr>
        <w:t>S</w:t>
      </w:r>
      <w:r w:rsidRPr="00CD2EEF">
        <w:rPr>
          <w:lang w:val="en-GB"/>
        </w:rPr>
        <w:t>eptember 2021.</w:t>
      </w:r>
    </w:p>
    <w:p w14:paraId="2F78B2F4" w14:textId="517DB0FC" w:rsidR="00094002" w:rsidRPr="00B73FE6" w:rsidRDefault="00094002" w:rsidP="00C12929">
      <w:pPr>
        <w:pStyle w:val="LPVirienojni"/>
        <w:rPr>
          <w:lang w:val="it-IT"/>
        </w:rPr>
      </w:pPr>
      <w:bookmarkStart w:id="508" w:name="_Hlk106092974"/>
      <w:bookmarkStart w:id="509" w:name="r15"/>
      <w:bookmarkEnd w:id="507"/>
      <w:r w:rsidRPr="00B73FE6">
        <w:rPr>
          <w:lang w:val="it-IT"/>
        </w:rPr>
        <w:t>[15]</w:t>
      </w:r>
      <w:bookmarkStart w:id="510" w:name="_Hlk106091230"/>
      <w:r w:rsidRPr="00B73FE6">
        <w:rPr>
          <w:lang w:val="it-IT"/>
        </w:rPr>
        <w:t xml:space="preserve"> Poročilo URSVS o varstvu pred ionizirajočimi sevanji in jedrski varnosti v RS za leto 2021, </w:t>
      </w:r>
      <w:r w:rsidR="00085E91" w:rsidRPr="00B73FE6">
        <w:rPr>
          <w:lang w:val="it-IT"/>
        </w:rPr>
        <w:t>M</w:t>
      </w:r>
      <w:r w:rsidRPr="00B73FE6">
        <w:rPr>
          <w:lang w:val="it-IT"/>
        </w:rPr>
        <w:t>a</w:t>
      </w:r>
      <w:r w:rsidR="00085E91" w:rsidRPr="00B73FE6">
        <w:rPr>
          <w:lang w:val="it-IT"/>
        </w:rPr>
        <w:t>y</w:t>
      </w:r>
      <w:r w:rsidRPr="00B73FE6">
        <w:rPr>
          <w:lang w:val="it-IT"/>
        </w:rPr>
        <w:t xml:space="preserve"> 2022.</w:t>
      </w:r>
      <w:bookmarkEnd w:id="508"/>
      <w:bookmarkEnd w:id="510"/>
    </w:p>
    <w:p w14:paraId="4476015F" w14:textId="0DCD52BF" w:rsidR="00094002" w:rsidRPr="00B73FE6" w:rsidRDefault="00094002" w:rsidP="00C707AD">
      <w:pPr>
        <w:pStyle w:val="LPVirienojni"/>
        <w:rPr>
          <w:lang w:val="it-IT"/>
        </w:rPr>
      </w:pPr>
      <w:bookmarkStart w:id="511" w:name="r16"/>
      <w:bookmarkEnd w:id="509"/>
      <w:r w:rsidRPr="00B73FE6">
        <w:rPr>
          <w:lang w:val="it-IT"/>
        </w:rPr>
        <w:t xml:space="preserve">[16] Letno poročilo o obratovanju raziskovalnega reaktorja TRIGA za leto 2021, IJS-DP-13707, Izdaja 1, IJS, </w:t>
      </w:r>
      <w:r w:rsidR="00085E91" w:rsidRPr="00B73FE6">
        <w:rPr>
          <w:lang w:val="it-IT"/>
        </w:rPr>
        <w:t>J</w:t>
      </w:r>
      <w:r w:rsidRPr="00B73FE6">
        <w:rPr>
          <w:lang w:val="it-IT"/>
        </w:rPr>
        <w:t>anuar</w:t>
      </w:r>
      <w:r w:rsidR="00085E91" w:rsidRPr="00B73FE6">
        <w:rPr>
          <w:lang w:val="it-IT"/>
        </w:rPr>
        <w:t>y</w:t>
      </w:r>
      <w:r w:rsidRPr="00B73FE6">
        <w:rPr>
          <w:lang w:val="it-IT"/>
        </w:rPr>
        <w:t xml:space="preserve"> 2022.</w:t>
      </w:r>
    </w:p>
    <w:p w14:paraId="7E1F8554" w14:textId="17E8969D" w:rsidR="00094002" w:rsidRPr="00B73FE6" w:rsidRDefault="00094002" w:rsidP="00C707AD">
      <w:pPr>
        <w:pStyle w:val="LPVirienojni"/>
        <w:rPr>
          <w:rStyle w:val="LPpobarvan1"/>
          <w:shd w:val="clear" w:color="auto" w:fill="auto"/>
          <w:lang w:val="it-IT"/>
        </w:rPr>
      </w:pPr>
      <w:bookmarkStart w:id="512" w:name="r17"/>
      <w:bookmarkEnd w:id="511"/>
      <w:r w:rsidRPr="00B73FE6">
        <w:rPr>
          <w:lang w:val="it-IT"/>
        </w:rPr>
        <w:t xml:space="preserve">[17] </w:t>
      </w:r>
      <w:r w:rsidRPr="0067018B">
        <w:t>Program</w:t>
      </w:r>
      <w:r w:rsidRPr="00B73FE6">
        <w:rPr>
          <w:rStyle w:val="LPpobarvan1"/>
          <w:shd w:val="clear" w:color="auto" w:fill="auto"/>
          <w:lang w:val="it-IT"/>
        </w:rPr>
        <w:t xml:space="preserve"> drugega občasnega varnostnega pregleda reaktorja TRIGA Mark II na Institutu </w:t>
      </w:r>
      <w:r w:rsidR="00263D93" w:rsidRPr="00B73FE6">
        <w:rPr>
          <w:rStyle w:val="LPpobarvan1"/>
          <w:shd w:val="clear" w:color="auto" w:fill="auto"/>
          <w:lang w:val="it-IT"/>
        </w:rPr>
        <w:t>“</w:t>
      </w:r>
      <w:r w:rsidRPr="00B73FE6">
        <w:rPr>
          <w:rStyle w:val="LPpobarvan1"/>
          <w:shd w:val="clear" w:color="auto" w:fill="auto"/>
          <w:lang w:val="it-IT"/>
        </w:rPr>
        <w:t>Jožef Stefan</w:t>
      </w:r>
      <w:r w:rsidR="00263D93" w:rsidRPr="00B73FE6">
        <w:rPr>
          <w:rStyle w:val="LPpobarvan1"/>
          <w:shd w:val="clear" w:color="auto" w:fill="auto"/>
          <w:lang w:val="it-IT"/>
        </w:rPr>
        <w:t>”</w:t>
      </w:r>
      <w:r w:rsidRPr="00B73FE6">
        <w:rPr>
          <w:rStyle w:val="LPpobarvan1"/>
          <w:shd w:val="clear" w:color="auto" w:fill="auto"/>
          <w:lang w:val="it-IT"/>
        </w:rPr>
        <w:t xml:space="preserve">, IJS-DP-13448, Izdaja 1, </w:t>
      </w:r>
      <w:r w:rsidR="00721F39" w:rsidRPr="00B73FE6">
        <w:rPr>
          <w:rStyle w:val="LPpobarvan1"/>
          <w:shd w:val="clear" w:color="auto" w:fill="auto"/>
          <w:lang w:val="it-IT"/>
        </w:rPr>
        <w:t xml:space="preserve">June </w:t>
      </w:r>
      <w:r w:rsidRPr="00B73FE6">
        <w:rPr>
          <w:rStyle w:val="LPpobarvan1"/>
          <w:shd w:val="clear" w:color="auto" w:fill="auto"/>
          <w:lang w:val="it-IT"/>
        </w:rPr>
        <w:t>2021.</w:t>
      </w:r>
    </w:p>
    <w:p w14:paraId="1A4AF655" w14:textId="1A6246F9" w:rsidR="00094002" w:rsidRPr="00B73FE6" w:rsidRDefault="00094002" w:rsidP="00B9636C">
      <w:pPr>
        <w:pStyle w:val="LPVirienojni"/>
        <w:rPr>
          <w:rStyle w:val="LPpobarvan1"/>
          <w:shd w:val="clear" w:color="auto" w:fill="auto"/>
          <w:lang w:val="it-IT"/>
        </w:rPr>
      </w:pPr>
      <w:bookmarkStart w:id="513" w:name="r18"/>
      <w:bookmarkStart w:id="514" w:name="_Hlk106280924"/>
      <w:bookmarkEnd w:id="512"/>
      <w:r w:rsidRPr="00B73FE6">
        <w:rPr>
          <w:lang w:val="it-IT"/>
        </w:rPr>
        <w:t>[18]</w:t>
      </w:r>
      <w:r w:rsidRPr="0067018B">
        <w:t xml:space="preserve"> Prispevek</w:t>
      </w:r>
      <w:r w:rsidRPr="00B73FE6">
        <w:rPr>
          <w:rStyle w:val="LPpobarvan1"/>
          <w:shd w:val="clear" w:color="auto" w:fill="auto"/>
          <w:lang w:val="it-IT"/>
        </w:rPr>
        <w:t xml:space="preserve"> za poročilo o varstvu pred ionizirajočimi sevanji in jedrski varnosti v RS za leto 2021, ARAO-08-03-001, ARAO, </w:t>
      </w:r>
      <w:r w:rsidR="00085E91" w:rsidRPr="00B73FE6">
        <w:rPr>
          <w:rStyle w:val="LPpobarvan1"/>
          <w:shd w:val="clear" w:color="auto" w:fill="auto"/>
          <w:lang w:val="it-IT"/>
        </w:rPr>
        <w:t>F</w:t>
      </w:r>
      <w:r w:rsidRPr="00B73FE6">
        <w:rPr>
          <w:rStyle w:val="LPpobarvan1"/>
          <w:shd w:val="clear" w:color="auto" w:fill="auto"/>
          <w:lang w:val="it-IT"/>
        </w:rPr>
        <w:t>ebruar</w:t>
      </w:r>
      <w:r w:rsidR="00085E91" w:rsidRPr="00B73FE6">
        <w:rPr>
          <w:rStyle w:val="LPpobarvan1"/>
          <w:shd w:val="clear" w:color="auto" w:fill="auto"/>
          <w:lang w:val="it-IT"/>
        </w:rPr>
        <w:t>y</w:t>
      </w:r>
      <w:r w:rsidRPr="00B73FE6">
        <w:rPr>
          <w:rStyle w:val="LPpobarvan1"/>
          <w:shd w:val="clear" w:color="auto" w:fill="auto"/>
          <w:lang w:val="it-IT"/>
        </w:rPr>
        <w:t xml:space="preserve"> 2022</w:t>
      </w:r>
    </w:p>
    <w:p w14:paraId="48D8D672" w14:textId="44369BB9" w:rsidR="00094002" w:rsidRPr="00B73FE6" w:rsidRDefault="00094002" w:rsidP="0073525E">
      <w:pPr>
        <w:pStyle w:val="LPVirienojni"/>
        <w:rPr>
          <w:lang w:val="it-IT"/>
        </w:rPr>
      </w:pPr>
      <w:bookmarkStart w:id="515" w:name="r19"/>
      <w:bookmarkEnd w:id="513"/>
      <w:r w:rsidRPr="00B73FE6">
        <w:rPr>
          <w:lang w:val="it-IT"/>
        </w:rPr>
        <w:t xml:space="preserve">[19] </w:t>
      </w:r>
      <w:bookmarkStart w:id="516" w:name="_Hlk106092545"/>
      <w:r w:rsidRPr="00B73FE6">
        <w:rPr>
          <w:lang w:val="it-IT"/>
        </w:rPr>
        <w:t xml:space="preserve">Letno poročilo o izvajanju varstva pred ionizirajočimi sevanji in o vplivu Rudnika Žirovski vrh na okolje za leto 2021. RŽV d.o.o., </w:t>
      </w:r>
      <w:r w:rsidR="00085E91" w:rsidRPr="00B73FE6">
        <w:rPr>
          <w:lang w:val="it-IT"/>
        </w:rPr>
        <w:t>M</w:t>
      </w:r>
      <w:r w:rsidRPr="00B73FE6">
        <w:rPr>
          <w:lang w:val="it-IT"/>
        </w:rPr>
        <w:t>ar</w:t>
      </w:r>
      <w:r w:rsidR="00085E91" w:rsidRPr="00B73FE6">
        <w:rPr>
          <w:lang w:val="it-IT"/>
        </w:rPr>
        <w:t>ch</w:t>
      </w:r>
      <w:r w:rsidRPr="00B73FE6">
        <w:rPr>
          <w:lang w:val="it-IT"/>
        </w:rPr>
        <w:t xml:space="preserve"> 2022.</w:t>
      </w:r>
      <w:bookmarkEnd w:id="516"/>
    </w:p>
    <w:p w14:paraId="41A7BCC3" w14:textId="024BADAB" w:rsidR="00094002" w:rsidRPr="00B73FE6" w:rsidRDefault="00094002" w:rsidP="00740E89">
      <w:pPr>
        <w:pStyle w:val="LPVirienojni"/>
        <w:rPr>
          <w:rStyle w:val="LPnavadenZnak"/>
          <w:sz w:val="20"/>
          <w:szCs w:val="24"/>
          <w:lang w:val="it-IT"/>
        </w:rPr>
      </w:pPr>
      <w:bookmarkStart w:id="517" w:name="r20"/>
      <w:bookmarkStart w:id="518" w:name="_Hlk106091662"/>
      <w:bookmarkEnd w:id="514"/>
      <w:bookmarkEnd w:id="515"/>
      <w:r w:rsidRPr="00B73FE6">
        <w:rPr>
          <w:rStyle w:val="LPnavadenZnak"/>
          <w:sz w:val="20"/>
          <w:szCs w:val="24"/>
          <w:lang w:val="it-IT"/>
        </w:rPr>
        <w:t xml:space="preserve">[20] Meritve radioaktivnosti v okolici reaktorskega centra IJS. </w:t>
      </w:r>
      <w:r w:rsidRPr="0067018B">
        <w:rPr>
          <w:rStyle w:val="LPnavadenZnak"/>
          <w:sz w:val="20"/>
          <w:szCs w:val="24"/>
          <w:lang w:val="it-IT"/>
        </w:rPr>
        <w:t xml:space="preserve">Poročilo za leto 2021, Inštitut </w:t>
      </w:r>
      <w:r w:rsidR="007219D2" w:rsidRPr="0067018B">
        <w:rPr>
          <w:rStyle w:val="LPnavadenZnak"/>
          <w:sz w:val="20"/>
          <w:szCs w:val="24"/>
          <w:lang w:val="it-IT"/>
        </w:rPr>
        <w:t>“</w:t>
      </w:r>
      <w:r w:rsidRPr="0067018B">
        <w:rPr>
          <w:rStyle w:val="LPnavadenZnak"/>
          <w:sz w:val="20"/>
          <w:szCs w:val="24"/>
          <w:lang w:val="it-IT"/>
        </w:rPr>
        <w:t>Jožef Stefan</w:t>
      </w:r>
      <w:r w:rsidR="007219D2" w:rsidRPr="0067018B">
        <w:rPr>
          <w:rStyle w:val="LPnavadenZnak"/>
          <w:sz w:val="20"/>
          <w:szCs w:val="24"/>
          <w:lang w:val="it-IT"/>
        </w:rPr>
        <w:t>”</w:t>
      </w:r>
      <w:r w:rsidRPr="0067018B">
        <w:rPr>
          <w:rStyle w:val="LPnavadenZnak"/>
          <w:sz w:val="20"/>
          <w:szCs w:val="24"/>
          <w:lang w:val="it-IT"/>
        </w:rPr>
        <w:t xml:space="preserve">, št. del. por. </w:t>
      </w:r>
      <w:r w:rsidRPr="00B73FE6">
        <w:rPr>
          <w:rStyle w:val="LPnavadenZnak"/>
          <w:sz w:val="20"/>
          <w:szCs w:val="24"/>
          <w:lang w:val="it-IT"/>
        </w:rPr>
        <w:t xml:space="preserve">IJS: IJS-DP-13718, </w:t>
      </w:r>
      <w:r w:rsidR="00085E91" w:rsidRPr="00B73FE6">
        <w:rPr>
          <w:rStyle w:val="LPnavadenZnak"/>
          <w:sz w:val="20"/>
          <w:szCs w:val="24"/>
          <w:lang w:val="it-IT"/>
        </w:rPr>
        <w:t>F</w:t>
      </w:r>
      <w:r w:rsidRPr="00B73FE6">
        <w:rPr>
          <w:rStyle w:val="LPnavadenZnak"/>
          <w:sz w:val="20"/>
          <w:szCs w:val="24"/>
          <w:lang w:val="it-IT"/>
        </w:rPr>
        <w:t>ebruar</w:t>
      </w:r>
      <w:r w:rsidR="00085E91" w:rsidRPr="00B73FE6">
        <w:rPr>
          <w:rStyle w:val="LPnavadenZnak"/>
          <w:sz w:val="20"/>
          <w:szCs w:val="24"/>
          <w:lang w:val="it-IT"/>
        </w:rPr>
        <w:t>y</w:t>
      </w:r>
      <w:r w:rsidRPr="00B73FE6">
        <w:rPr>
          <w:rStyle w:val="LPnavadenZnak"/>
          <w:sz w:val="20"/>
          <w:szCs w:val="24"/>
          <w:lang w:val="it-IT"/>
        </w:rPr>
        <w:t xml:space="preserve"> 2022.</w:t>
      </w:r>
    </w:p>
    <w:p w14:paraId="5B016D83" w14:textId="33A28F03" w:rsidR="00094002" w:rsidRPr="0067018B" w:rsidRDefault="00094002" w:rsidP="00FF7B66">
      <w:pPr>
        <w:pStyle w:val="LPVirienojni"/>
        <w:rPr>
          <w:lang w:val="en-GB"/>
        </w:rPr>
      </w:pPr>
      <w:bookmarkStart w:id="519" w:name="_Hlk106092258"/>
      <w:bookmarkStart w:id="520" w:name="r21"/>
      <w:bookmarkStart w:id="521" w:name="_Hlk106091971"/>
      <w:bookmarkEnd w:id="517"/>
      <w:r w:rsidRPr="00B73FE6">
        <w:rPr>
          <w:lang w:val="it-IT"/>
        </w:rPr>
        <w:t>[21] Letno poročilo o opravljenih</w:t>
      </w:r>
      <w:r w:rsidR="008A1E6B" w:rsidRPr="00B73FE6">
        <w:rPr>
          <w:lang w:val="it-IT"/>
        </w:rPr>
        <w:t xml:space="preserve"> </w:t>
      </w:r>
      <w:r w:rsidRPr="00B73FE6">
        <w:rPr>
          <w:lang w:val="it-IT"/>
        </w:rPr>
        <w:t xml:space="preserve">meritvah aktivnostih sevalcev gama in beta št. 64/2021. </w:t>
      </w:r>
      <w:r w:rsidRPr="0067018B">
        <w:rPr>
          <w:rStyle w:val="LPnavadenZnak"/>
          <w:sz w:val="20"/>
          <w:szCs w:val="24"/>
          <w:lang w:val="en-GB"/>
        </w:rPr>
        <w:t xml:space="preserve">Inštitut </w:t>
      </w:r>
      <w:r w:rsidR="007219D2" w:rsidRPr="0067018B">
        <w:rPr>
          <w:rStyle w:val="LPnavadenZnak"/>
          <w:sz w:val="20"/>
          <w:szCs w:val="24"/>
          <w:lang w:val="en-GB"/>
        </w:rPr>
        <w:t>“</w:t>
      </w:r>
      <w:r w:rsidRPr="0067018B">
        <w:rPr>
          <w:rStyle w:val="LPnavadenZnak"/>
          <w:sz w:val="20"/>
          <w:szCs w:val="24"/>
          <w:lang w:val="en-GB"/>
        </w:rPr>
        <w:t>Jožef Stefan</w:t>
      </w:r>
      <w:r w:rsidR="007219D2" w:rsidRPr="0067018B">
        <w:rPr>
          <w:rStyle w:val="LPnavadenZnak"/>
          <w:sz w:val="20"/>
          <w:szCs w:val="24"/>
          <w:lang w:val="en-GB"/>
        </w:rPr>
        <w:t>”</w:t>
      </w:r>
      <w:r w:rsidRPr="0067018B">
        <w:rPr>
          <w:rStyle w:val="LPnavadenZnak"/>
          <w:sz w:val="20"/>
          <w:szCs w:val="24"/>
          <w:lang w:val="en-GB"/>
        </w:rPr>
        <w:t>,</w:t>
      </w:r>
      <w:r w:rsidRPr="0067018B">
        <w:rPr>
          <w:lang w:val="en-GB"/>
        </w:rPr>
        <w:t xml:space="preserve"> IJS-DP-13641, </w:t>
      </w:r>
      <w:r w:rsidR="00085E91" w:rsidRPr="0067018B">
        <w:rPr>
          <w:lang w:val="en-GB"/>
        </w:rPr>
        <w:t>Oc</w:t>
      </w:r>
      <w:r w:rsidRPr="0067018B">
        <w:rPr>
          <w:lang w:val="en-GB"/>
        </w:rPr>
        <w:t xml:space="preserve">tober 2021. </w:t>
      </w:r>
    </w:p>
    <w:p w14:paraId="60D33146" w14:textId="73168106" w:rsidR="00094002" w:rsidRPr="0067018B" w:rsidRDefault="00094002" w:rsidP="00EF04D5">
      <w:pPr>
        <w:pStyle w:val="LPVirienojni"/>
        <w:rPr>
          <w:lang w:val="en-GB"/>
        </w:rPr>
      </w:pPr>
      <w:bookmarkStart w:id="522" w:name="r22"/>
      <w:bookmarkEnd w:id="519"/>
      <w:bookmarkEnd w:id="520"/>
      <w:r w:rsidRPr="0067018B">
        <w:rPr>
          <w:lang w:val="en-GB"/>
        </w:rPr>
        <w:t xml:space="preserve">[22] Nadzor radioaktivnosti okolja rudnika Žirovski vrh, odlagališče Boršt, Poročilo za leto 2021, ZVD, LMSAR-25/2022-GO, </w:t>
      </w:r>
      <w:r w:rsidR="00085E91" w:rsidRPr="0067018B">
        <w:rPr>
          <w:lang w:val="en-GB"/>
        </w:rPr>
        <w:t>M</w:t>
      </w:r>
      <w:r w:rsidRPr="0067018B">
        <w:rPr>
          <w:lang w:val="en-GB"/>
        </w:rPr>
        <w:t>a</w:t>
      </w:r>
      <w:r w:rsidR="00085E91" w:rsidRPr="0067018B">
        <w:rPr>
          <w:lang w:val="en-GB"/>
        </w:rPr>
        <w:t>r</w:t>
      </w:r>
      <w:r w:rsidRPr="0067018B">
        <w:rPr>
          <w:lang w:val="en-GB"/>
        </w:rPr>
        <w:t>c</w:t>
      </w:r>
      <w:r w:rsidR="00085E91" w:rsidRPr="0067018B">
        <w:rPr>
          <w:lang w:val="en-GB"/>
        </w:rPr>
        <w:t>h</w:t>
      </w:r>
      <w:r w:rsidRPr="0067018B">
        <w:rPr>
          <w:lang w:val="en-GB"/>
        </w:rPr>
        <w:t xml:space="preserve"> 2022. </w:t>
      </w:r>
    </w:p>
    <w:p w14:paraId="21163FD8" w14:textId="33F2F4D4" w:rsidR="00094002" w:rsidRPr="0067018B" w:rsidRDefault="00094002" w:rsidP="00EF04D5">
      <w:pPr>
        <w:pStyle w:val="LPVirienojni"/>
        <w:rPr>
          <w:lang w:val="en-GB"/>
        </w:rPr>
      </w:pPr>
      <w:bookmarkStart w:id="523" w:name="r23"/>
      <w:bookmarkStart w:id="524" w:name="_Hlk106092437"/>
      <w:bookmarkEnd w:id="522"/>
      <w:r w:rsidRPr="0067018B">
        <w:rPr>
          <w:lang w:val="en-GB"/>
        </w:rPr>
        <w:t xml:space="preserve">[23] Ocena izpostavljenosti prebivalstva v okolici odlagališča Jazbec, Poročilo za leto 2021, ARAO 09-01-003/JG/22-SVS-04, </w:t>
      </w:r>
      <w:r w:rsidR="00085E91" w:rsidRPr="0067018B">
        <w:rPr>
          <w:lang w:val="en-GB"/>
        </w:rPr>
        <w:t>A</w:t>
      </w:r>
      <w:r w:rsidRPr="0067018B">
        <w:rPr>
          <w:lang w:val="en-GB"/>
        </w:rPr>
        <w:t>pril 2022.</w:t>
      </w:r>
    </w:p>
    <w:p w14:paraId="6D9C0D25" w14:textId="4BDC92D4" w:rsidR="00094002" w:rsidRPr="0067018B" w:rsidRDefault="00094002" w:rsidP="00244052">
      <w:pPr>
        <w:pStyle w:val="LPVirienojni"/>
        <w:rPr>
          <w:lang w:val="en-GB"/>
        </w:rPr>
      </w:pPr>
      <w:bookmarkStart w:id="525" w:name="_Hlk106280796"/>
      <w:bookmarkStart w:id="526" w:name="r24"/>
      <w:bookmarkEnd w:id="523"/>
      <w:r w:rsidRPr="0067018B">
        <w:rPr>
          <w:lang w:val="en-GB"/>
        </w:rPr>
        <w:t xml:space="preserve">[24] Poročilo Sklada za financiranje razgradnje NEK, </w:t>
      </w:r>
      <w:r w:rsidR="00085E91" w:rsidRPr="0067018B">
        <w:rPr>
          <w:lang w:val="en-GB"/>
        </w:rPr>
        <w:t>A</w:t>
      </w:r>
      <w:r w:rsidRPr="0067018B">
        <w:rPr>
          <w:lang w:val="en-GB"/>
        </w:rPr>
        <w:t>pril 2022.</w:t>
      </w:r>
    </w:p>
    <w:p w14:paraId="16B12FD1" w14:textId="1CBB81DF" w:rsidR="00094002" w:rsidRPr="0067018B" w:rsidRDefault="00094002" w:rsidP="007B68A6">
      <w:pPr>
        <w:pStyle w:val="LPVirienojni"/>
        <w:rPr>
          <w:lang w:val="en-GB"/>
        </w:rPr>
      </w:pPr>
      <w:bookmarkStart w:id="527" w:name="r25"/>
      <w:bookmarkStart w:id="528" w:name="_Hlk106092839"/>
      <w:bookmarkEnd w:id="525"/>
      <w:bookmarkEnd w:id="526"/>
      <w:r w:rsidRPr="0067018B">
        <w:rPr>
          <w:lang w:val="en-GB"/>
        </w:rPr>
        <w:t xml:space="preserve">[25] Prispevek URSZR za Poročilo o varstvu pred ionizirajočimi sevanji jedrski varnosti v RS za leto 2021. URSZR, št. 8420-10/2021-21 – DGZR, </w:t>
      </w:r>
      <w:r w:rsidR="00085E91" w:rsidRPr="0067018B">
        <w:rPr>
          <w:lang w:val="en-GB"/>
        </w:rPr>
        <w:t>F</w:t>
      </w:r>
      <w:r w:rsidRPr="0067018B">
        <w:rPr>
          <w:lang w:val="en-GB"/>
        </w:rPr>
        <w:t>ebruar</w:t>
      </w:r>
      <w:r w:rsidR="00085E91" w:rsidRPr="0067018B">
        <w:rPr>
          <w:lang w:val="en-GB"/>
        </w:rPr>
        <w:t>y</w:t>
      </w:r>
      <w:r w:rsidRPr="0067018B">
        <w:rPr>
          <w:lang w:val="en-GB"/>
        </w:rPr>
        <w:t xml:space="preserve"> 2022.</w:t>
      </w:r>
    </w:p>
    <w:p w14:paraId="268423A5" w14:textId="60907036" w:rsidR="00094002" w:rsidRPr="00CD2EEF" w:rsidRDefault="00094002" w:rsidP="007D4459">
      <w:pPr>
        <w:pStyle w:val="LPVirienojni"/>
        <w:rPr>
          <w:lang w:val="en-GB"/>
        </w:rPr>
      </w:pPr>
      <w:bookmarkStart w:id="529" w:name="r26"/>
      <w:bookmarkStart w:id="530" w:name="_Hlk106093149"/>
      <w:bookmarkEnd w:id="527"/>
      <w:r w:rsidRPr="0067018B">
        <w:rPr>
          <w:lang w:val="en-GB"/>
        </w:rPr>
        <w:t xml:space="preserve">[26] Zavarovanje jedrskih objektov/naprav in odgovornosti njihovih uporabnikov v letu 2021. </w:t>
      </w:r>
      <w:r w:rsidRPr="00CD2EEF">
        <w:rPr>
          <w:lang w:val="en-GB"/>
        </w:rPr>
        <w:t xml:space="preserve">Jedrski pool GIZ, </w:t>
      </w:r>
      <w:r w:rsidR="00085E91" w:rsidRPr="00CD2EEF">
        <w:rPr>
          <w:lang w:val="en-GB"/>
        </w:rPr>
        <w:t>F</w:t>
      </w:r>
      <w:r w:rsidRPr="00CD2EEF">
        <w:rPr>
          <w:lang w:val="en-GB"/>
        </w:rPr>
        <w:t>ebruar</w:t>
      </w:r>
      <w:r w:rsidR="00085E91" w:rsidRPr="00CD2EEF">
        <w:rPr>
          <w:lang w:val="en-GB"/>
        </w:rPr>
        <w:t>y</w:t>
      </w:r>
      <w:r w:rsidRPr="00CD2EEF">
        <w:rPr>
          <w:lang w:val="en-GB"/>
        </w:rPr>
        <w:t xml:space="preserve"> 2022.</w:t>
      </w:r>
    </w:p>
    <w:p w14:paraId="365825B1" w14:textId="77777777" w:rsidR="00094002" w:rsidRPr="00CD2EEF" w:rsidRDefault="00094002" w:rsidP="004D3C63">
      <w:pPr>
        <w:pStyle w:val="LPVirienojni"/>
        <w:rPr>
          <w:lang w:val="en-GB"/>
        </w:rPr>
      </w:pPr>
      <w:bookmarkStart w:id="531" w:name="r27"/>
      <w:bookmarkStart w:id="532" w:name="_Hlk106613238"/>
      <w:bookmarkEnd w:id="529"/>
      <w:r w:rsidRPr="00CD2EEF">
        <w:rPr>
          <w:lang w:val="en-GB"/>
        </w:rPr>
        <w:t xml:space="preserve">[27] </w:t>
      </w:r>
      <w:hyperlink r:id="rId69" w:history="1">
        <w:r w:rsidRPr="00CD2EEF">
          <w:rPr>
            <w:rStyle w:val="Hiperpovezava"/>
            <w:lang w:val="en-GB"/>
          </w:rPr>
          <w:t>http://reachingcriticalwill.org/images/documents/Disarmament-fora/npt/prepcom18/statements/23April_Slovenia.pdf</w:t>
        </w:r>
      </w:hyperlink>
      <w:bookmarkEnd w:id="531"/>
      <w:r w:rsidRPr="00CD2EEF">
        <w:rPr>
          <w:lang w:val="en-GB"/>
        </w:rPr>
        <w:t xml:space="preserve"> </w:t>
      </w:r>
    </w:p>
    <w:p w14:paraId="6EAACC58" w14:textId="77777777" w:rsidR="00094002" w:rsidRPr="00CD2EEF" w:rsidRDefault="00094002" w:rsidP="004D3C63">
      <w:pPr>
        <w:pStyle w:val="LPVirienojni"/>
        <w:rPr>
          <w:lang w:val="en-GB"/>
        </w:rPr>
      </w:pPr>
      <w:bookmarkStart w:id="533" w:name="r28"/>
      <w:r w:rsidRPr="00CD2EEF">
        <w:rPr>
          <w:lang w:val="en-GB"/>
        </w:rPr>
        <w:t xml:space="preserve">[28] </w:t>
      </w:r>
      <w:hyperlink r:id="rId70" w:history="1">
        <w:r w:rsidRPr="00CD2EEF">
          <w:rPr>
            <w:rStyle w:val="Hiperpovezava"/>
            <w:lang w:val="en-GB"/>
          </w:rPr>
          <w:t>http://statements.unmeetings.org/media2/21491900/slovenia.pdf</w:t>
        </w:r>
      </w:hyperlink>
    </w:p>
    <w:p w14:paraId="296E2C07" w14:textId="7E5534D6" w:rsidR="00094002" w:rsidRPr="00CD2EEF" w:rsidRDefault="00094002" w:rsidP="004D3C63">
      <w:pPr>
        <w:pStyle w:val="LPVirienojni"/>
        <w:rPr>
          <w:lang w:val="en-GB"/>
        </w:rPr>
      </w:pPr>
      <w:bookmarkStart w:id="534" w:name="r29"/>
      <w:bookmarkEnd w:id="533"/>
      <w:r w:rsidRPr="00CD2EEF">
        <w:rPr>
          <w:lang w:val="en-GB"/>
        </w:rPr>
        <w:t xml:space="preserve">[29] </w:t>
      </w:r>
      <w:hyperlink r:id="rId71" w:history="1">
        <w:r w:rsidRPr="00CD2EEF">
          <w:rPr>
            <w:rStyle w:val="Hiperpovezava"/>
            <w:lang w:val="en-GB"/>
          </w:rPr>
          <w:t>https://www.iaea.org/newscenter/multimedia/videos/2020-npt-review-conference-has-been-postponed</w:t>
        </w:r>
      </w:hyperlink>
      <w:r w:rsidR="008A1E6B">
        <w:rPr>
          <w:lang w:val="en-GB"/>
        </w:rPr>
        <w:t xml:space="preserve"> </w:t>
      </w:r>
    </w:p>
    <w:p w14:paraId="029BDD4A" w14:textId="77777777" w:rsidR="00094002" w:rsidRPr="00CD2EEF" w:rsidRDefault="00094002" w:rsidP="004D3C63">
      <w:pPr>
        <w:pStyle w:val="LPVirienojni"/>
        <w:rPr>
          <w:lang w:val="en-GB"/>
        </w:rPr>
      </w:pPr>
      <w:bookmarkStart w:id="535" w:name="r30"/>
      <w:bookmarkEnd w:id="534"/>
      <w:r w:rsidRPr="00CD2EEF">
        <w:rPr>
          <w:lang w:val="en-GB"/>
        </w:rPr>
        <w:t xml:space="preserve">[30] </w:t>
      </w:r>
      <w:hyperlink r:id="rId72" w:history="1">
        <w:r w:rsidRPr="00CD2EEF">
          <w:rPr>
            <w:rStyle w:val="Hiperpovezava"/>
            <w:lang w:val="en-GB"/>
          </w:rPr>
          <w:t>https://www.consilium.europa.eu/sl/council-eu/preparatory-bodies/working-party-non-proliferation/</w:t>
        </w:r>
      </w:hyperlink>
      <w:r w:rsidRPr="00CD2EEF">
        <w:rPr>
          <w:lang w:val="en-GB"/>
        </w:rPr>
        <w:t xml:space="preserve"> </w:t>
      </w:r>
    </w:p>
    <w:p w14:paraId="30852412" w14:textId="77777777" w:rsidR="00094002" w:rsidRPr="00CD2EEF" w:rsidRDefault="00094002" w:rsidP="004D3C63">
      <w:pPr>
        <w:pStyle w:val="LPVirienojni"/>
        <w:rPr>
          <w:lang w:val="en-GB"/>
        </w:rPr>
      </w:pPr>
      <w:bookmarkStart w:id="536" w:name="r31"/>
      <w:bookmarkEnd w:id="535"/>
      <w:r w:rsidRPr="00CD2EEF">
        <w:rPr>
          <w:lang w:val="en-GB"/>
        </w:rPr>
        <w:t xml:space="preserve">[31] </w:t>
      </w:r>
      <w:hyperlink r:id="rId73" w:history="1">
        <w:r w:rsidRPr="00CD2EEF">
          <w:rPr>
            <w:rStyle w:val="Hiperpovezava"/>
            <w:lang w:val="en-GB"/>
          </w:rPr>
          <w:t>https://www.nonproliferation.org/wp-content/uploads/2020/09/EU-As-RevCon-Redeemer.pdf</w:t>
        </w:r>
      </w:hyperlink>
      <w:r w:rsidRPr="00CD2EEF">
        <w:rPr>
          <w:lang w:val="en-GB"/>
        </w:rPr>
        <w:t xml:space="preserve"> </w:t>
      </w:r>
    </w:p>
    <w:p w14:paraId="7EC58541" w14:textId="77777777" w:rsidR="00094002" w:rsidRPr="00CD2EEF" w:rsidRDefault="00094002" w:rsidP="004D3C63">
      <w:pPr>
        <w:pStyle w:val="LPVirienojni"/>
        <w:rPr>
          <w:lang w:val="en-GB"/>
        </w:rPr>
      </w:pPr>
      <w:bookmarkStart w:id="537" w:name="r32"/>
      <w:bookmarkEnd w:id="536"/>
      <w:r w:rsidRPr="00CD2EEF">
        <w:rPr>
          <w:lang w:val="en-GB"/>
        </w:rPr>
        <w:t xml:space="preserve">[32] </w:t>
      </w:r>
      <w:hyperlink r:id="rId74" w:history="1">
        <w:r w:rsidRPr="00CD2EEF">
          <w:rPr>
            <w:rStyle w:val="Hiperpovezava"/>
            <w:lang w:val="en-GB"/>
          </w:rPr>
          <w:t>https://www.un.org/en/sc/1540/documents/Slovenia%20revised%20matrix.pdf</w:t>
        </w:r>
      </w:hyperlink>
      <w:r w:rsidRPr="00CD2EEF">
        <w:rPr>
          <w:lang w:val="en-GB"/>
        </w:rPr>
        <w:t xml:space="preserve"> </w:t>
      </w:r>
    </w:p>
    <w:p w14:paraId="7A9600BA" w14:textId="77777777" w:rsidR="00094002" w:rsidRPr="00CD2EEF" w:rsidRDefault="00094002" w:rsidP="004D3C63">
      <w:pPr>
        <w:pStyle w:val="LPVirienojni"/>
        <w:rPr>
          <w:lang w:val="en-GB"/>
        </w:rPr>
      </w:pPr>
      <w:bookmarkStart w:id="538" w:name="r33"/>
      <w:bookmarkEnd w:id="537"/>
      <w:r w:rsidRPr="00CD2EEF">
        <w:rPr>
          <w:lang w:val="en-GB"/>
        </w:rPr>
        <w:t>[33]</w:t>
      </w:r>
      <w:hyperlink r:id="rId75" w:history="1">
        <w:r w:rsidRPr="00CD2EEF">
          <w:rPr>
            <w:rStyle w:val="Hiperpovezava"/>
            <w:lang w:val="en-GB"/>
          </w:rPr>
          <w:t>https://deepcuts.org/news/detail/page?tx_news_pi1%5Bnews%5D=245&amp;cHash=05fec923af524c2c3ab0255e9f45d626</w:t>
        </w:r>
      </w:hyperlink>
      <w:r w:rsidRPr="00CD2EEF">
        <w:rPr>
          <w:lang w:val="en-GB"/>
        </w:rPr>
        <w:t xml:space="preserve"> </w:t>
      </w:r>
    </w:p>
    <w:p w14:paraId="67A6D1FC" w14:textId="77777777" w:rsidR="00094002" w:rsidRPr="00CD2EEF" w:rsidRDefault="00094002" w:rsidP="004D3C63">
      <w:pPr>
        <w:pStyle w:val="LPVirienojni"/>
        <w:rPr>
          <w:lang w:val="en-GB"/>
        </w:rPr>
      </w:pPr>
      <w:bookmarkStart w:id="539" w:name="r34"/>
      <w:bookmarkEnd w:id="538"/>
      <w:r w:rsidRPr="00CD2EEF">
        <w:rPr>
          <w:lang w:val="en-GB"/>
        </w:rPr>
        <w:t xml:space="preserve">[34] </w:t>
      </w:r>
      <w:hyperlink r:id="rId76" w:history="1">
        <w:r w:rsidRPr="00CD2EEF">
          <w:rPr>
            <w:rStyle w:val="Hiperpovezava"/>
            <w:lang w:val="en-GB"/>
          </w:rPr>
          <w:t>http://www.predsednik.si/up-rs/uprs-eng.nsf/pages/5177812D46C35771C12583A7004DBB2F?OpenDocument</w:t>
        </w:r>
      </w:hyperlink>
      <w:bookmarkEnd w:id="539"/>
      <w:r w:rsidRPr="00CD2EEF">
        <w:rPr>
          <w:lang w:val="en-GB"/>
        </w:rPr>
        <w:t xml:space="preserve"> </w:t>
      </w:r>
    </w:p>
    <w:p w14:paraId="05D2987A" w14:textId="77777777" w:rsidR="00094002" w:rsidRPr="00CD2EEF" w:rsidRDefault="00094002" w:rsidP="004D3C63">
      <w:pPr>
        <w:pStyle w:val="LPVirienojni"/>
        <w:rPr>
          <w:lang w:val="en-GB"/>
        </w:rPr>
      </w:pPr>
      <w:bookmarkStart w:id="540" w:name="r35"/>
      <w:r w:rsidRPr="00CD2EEF">
        <w:rPr>
          <w:lang w:val="en-GB"/>
        </w:rPr>
        <w:t xml:space="preserve">[35] </w:t>
      </w:r>
      <w:hyperlink r:id="rId77" w:history="1">
        <w:r w:rsidRPr="00CD2EEF">
          <w:rPr>
            <w:rStyle w:val="Hiperpovezava"/>
            <w:lang w:val="en-GB"/>
          </w:rPr>
          <w:t>https://pris.iaea.org/PRIS/home.aspx</w:t>
        </w:r>
      </w:hyperlink>
    </w:p>
    <w:p w14:paraId="7B303152" w14:textId="77777777" w:rsidR="00094002" w:rsidRPr="00CD2EEF" w:rsidRDefault="00094002" w:rsidP="004D3C63">
      <w:pPr>
        <w:pStyle w:val="LPVirienojni"/>
        <w:rPr>
          <w:rStyle w:val="Hiperpovezava"/>
          <w:lang w:val="en-GB"/>
        </w:rPr>
      </w:pPr>
      <w:bookmarkStart w:id="541" w:name="_Hlk107997874"/>
      <w:bookmarkStart w:id="542" w:name="r36"/>
      <w:bookmarkEnd w:id="540"/>
      <w:r w:rsidRPr="00CD2EEF">
        <w:rPr>
          <w:lang w:val="en-GB"/>
        </w:rPr>
        <w:t xml:space="preserve">[36] </w:t>
      </w:r>
      <w:bookmarkEnd w:id="541"/>
      <w:r w:rsidRPr="00CD2EEF">
        <w:fldChar w:fldCharType="begin"/>
      </w:r>
      <w:r w:rsidRPr="00CD2EEF">
        <w:rPr>
          <w:lang w:val="en-GB"/>
        </w:rPr>
        <w:instrText xml:space="preserve"> HYPERLINK "http://www-news.iaea.org" </w:instrText>
      </w:r>
      <w:r w:rsidRPr="00CD2EEF">
        <w:fldChar w:fldCharType="separate"/>
      </w:r>
      <w:r w:rsidRPr="00CD2EEF">
        <w:rPr>
          <w:rStyle w:val="Hiperpovezava"/>
          <w:lang w:val="en-GB"/>
        </w:rPr>
        <w:t>http://www-news.iaea.org</w:t>
      </w:r>
      <w:r w:rsidRPr="00CD2EEF">
        <w:rPr>
          <w:rStyle w:val="Hiperpovezava"/>
          <w:lang w:val="en-GB"/>
        </w:rPr>
        <w:fldChar w:fldCharType="end"/>
      </w:r>
    </w:p>
    <w:p w14:paraId="02E10F0E" w14:textId="77777777" w:rsidR="00094002" w:rsidRPr="00CD2EEF" w:rsidRDefault="00094002" w:rsidP="004D3C63">
      <w:pPr>
        <w:pStyle w:val="LPVirienojni"/>
        <w:rPr>
          <w:lang w:val="en-GB"/>
        </w:rPr>
      </w:pPr>
      <w:bookmarkStart w:id="543" w:name="r37"/>
      <w:bookmarkEnd w:id="532"/>
      <w:bookmarkEnd w:id="542"/>
      <w:r w:rsidRPr="00CD2EEF">
        <w:rPr>
          <w:lang w:val="en-GB"/>
        </w:rPr>
        <w:t xml:space="preserve">[37] </w:t>
      </w:r>
      <w:hyperlink r:id="rId78" w:history="1">
        <w:r w:rsidRPr="00CD2EEF">
          <w:rPr>
            <w:rStyle w:val="Hiperpovezava"/>
            <w:lang w:val="en-GB"/>
          </w:rPr>
          <w:t>https://www.ctbto.org/</w:t>
        </w:r>
      </w:hyperlink>
      <w:r w:rsidRPr="00CD2EEF">
        <w:rPr>
          <w:lang w:val="en-GB"/>
        </w:rPr>
        <w:t xml:space="preserve"> </w:t>
      </w:r>
    </w:p>
    <w:p w14:paraId="0F0B2DBB" w14:textId="77777777" w:rsidR="00094002" w:rsidRPr="00CD2EEF" w:rsidRDefault="00094002" w:rsidP="004D3C63">
      <w:pPr>
        <w:pStyle w:val="LPVirienojni"/>
        <w:rPr>
          <w:lang w:val="en-GB"/>
        </w:rPr>
      </w:pPr>
      <w:bookmarkStart w:id="544" w:name="r38"/>
      <w:bookmarkEnd w:id="543"/>
      <w:r w:rsidRPr="00CD2EEF">
        <w:rPr>
          <w:lang w:val="en-GB"/>
        </w:rPr>
        <w:t xml:space="preserve">[38] </w:t>
      </w:r>
      <w:hyperlink r:id="rId79" w:history="1">
        <w:r w:rsidRPr="00CD2EEF">
          <w:rPr>
            <w:rStyle w:val="Hiperpovezava"/>
            <w:lang w:val="en-GB"/>
          </w:rPr>
          <w:t>https://www.ctbto.org/press-centre/highlights/2017/executive-secretary-lassina-zerbo-participates-in-bled-strategic-forum/</w:t>
        </w:r>
      </w:hyperlink>
      <w:r w:rsidRPr="00CD2EEF">
        <w:rPr>
          <w:lang w:val="en-GB"/>
        </w:rPr>
        <w:t xml:space="preserve"> </w:t>
      </w:r>
    </w:p>
    <w:p w14:paraId="3AE627C4" w14:textId="77777777" w:rsidR="00094002" w:rsidRPr="00CD2EEF" w:rsidRDefault="00094002" w:rsidP="004D3C63">
      <w:pPr>
        <w:pStyle w:val="LPVirienojni"/>
        <w:rPr>
          <w:lang w:val="en-GB"/>
        </w:rPr>
      </w:pPr>
      <w:bookmarkStart w:id="545" w:name="r39"/>
      <w:bookmarkEnd w:id="544"/>
      <w:r w:rsidRPr="00CD2EEF">
        <w:rPr>
          <w:lang w:val="en-GB"/>
        </w:rPr>
        <w:lastRenderedPageBreak/>
        <w:t xml:space="preserve">[39] </w:t>
      </w:r>
      <w:hyperlink r:id="rId80" w:history="1">
        <w:r w:rsidRPr="00CD2EEF">
          <w:rPr>
            <w:rStyle w:val="Hiperpovezava"/>
            <w:lang w:val="en-GB"/>
          </w:rPr>
          <w:t>https://www.ctbto.org/press-centre/news-stories/2021/article-xiv-conference-mobilises-global-support-for-ctbt-on-25th-anniversary/</w:t>
        </w:r>
      </w:hyperlink>
      <w:r w:rsidRPr="00CD2EEF">
        <w:rPr>
          <w:lang w:val="en-GB"/>
        </w:rPr>
        <w:t xml:space="preserve"> </w:t>
      </w:r>
    </w:p>
    <w:p w14:paraId="2A9069F7" w14:textId="77777777" w:rsidR="00094002" w:rsidRPr="00CD2EEF" w:rsidRDefault="00094002" w:rsidP="004D3C63">
      <w:pPr>
        <w:pStyle w:val="LPVirienojni"/>
        <w:rPr>
          <w:lang w:val="en-GB"/>
        </w:rPr>
      </w:pPr>
      <w:bookmarkStart w:id="546" w:name="r40"/>
      <w:bookmarkEnd w:id="545"/>
      <w:r w:rsidRPr="00CD2EEF">
        <w:rPr>
          <w:lang w:val="en-GB"/>
        </w:rPr>
        <w:t xml:space="preserve">[40] </w:t>
      </w:r>
      <w:hyperlink r:id="rId81" w:history="1">
        <w:r w:rsidRPr="00CD2EEF">
          <w:rPr>
            <w:rStyle w:val="Hiperpovezava"/>
            <w:lang w:val="en-GB"/>
          </w:rPr>
          <w:t>https://www.ctbto.org/fileadmin/user_upload/Art_14_2021/CTBT-Art.XIV-2021-WP.1.pdf</w:t>
        </w:r>
      </w:hyperlink>
      <w:r w:rsidRPr="00CD2EEF">
        <w:rPr>
          <w:lang w:val="en-GB"/>
        </w:rPr>
        <w:t xml:space="preserve"> </w:t>
      </w:r>
    </w:p>
    <w:p w14:paraId="013DE175" w14:textId="77777777" w:rsidR="00094002" w:rsidRPr="00CD2EEF" w:rsidRDefault="00094002" w:rsidP="004D3C63">
      <w:pPr>
        <w:pStyle w:val="LPVirienojni"/>
        <w:rPr>
          <w:lang w:val="en-GB"/>
        </w:rPr>
      </w:pPr>
      <w:bookmarkStart w:id="547" w:name="r41"/>
      <w:bookmarkEnd w:id="546"/>
      <w:r w:rsidRPr="00CD2EEF">
        <w:rPr>
          <w:lang w:val="en-GB"/>
        </w:rPr>
        <w:t xml:space="preserve">[41] </w:t>
      </w:r>
      <w:hyperlink r:id="rId82" w:history="1">
        <w:r w:rsidRPr="00CD2EEF">
          <w:rPr>
            <w:rStyle w:val="Hiperpovezava"/>
            <w:lang w:val="en-GB"/>
          </w:rPr>
          <w:t>https://www.ctbto.org/fileadmin/user_upload/Art_14_2021/Statements/Slovenia.pdf</w:t>
        </w:r>
      </w:hyperlink>
      <w:r w:rsidRPr="00CD2EEF">
        <w:rPr>
          <w:lang w:val="en-GB"/>
        </w:rPr>
        <w:t xml:space="preserve"> </w:t>
      </w:r>
    </w:p>
    <w:p w14:paraId="3DFEE5E0" w14:textId="77777777" w:rsidR="00094002" w:rsidRPr="00CD2EEF" w:rsidRDefault="00094002" w:rsidP="004D3C63">
      <w:pPr>
        <w:pStyle w:val="LPVirienojni"/>
        <w:rPr>
          <w:rFonts w:eastAsia="MS Mincho"/>
          <w:lang w:val="en-GB"/>
        </w:rPr>
      </w:pPr>
      <w:bookmarkStart w:id="548" w:name="r42"/>
      <w:bookmarkEnd w:id="547"/>
      <w:r w:rsidRPr="00CD2EEF">
        <w:rPr>
          <w:lang w:val="en-GB"/>
        </w:rPr>
        <w:t xml:space="preserve">[42] </w:t>
      </w:r>
      <w:hyperlink r:id="rId83" w:history="1">
        <w:r w:rsidRPr="00CD2EEF">
          <w:rPr>
            <w:rStyle w:val="Hiperpovezava"/>
            <w:rFonts w:eastAsia="MS Mincho"/>
            <w:lang w:val="en-GB"/>
          </w:rPr>
          <w:t>http://ec.europa.eu/trade/import-and-export-rules/export-from-eu/dual-use-controls/</w:t>
        </w:r>
      </w:hyperlink>
      <w:r w:rsidRPr="00CD2EEF">
        <w:rPr>
          <w:rFonts w:eastAsia="MS Mincho"/>
          <w:lang w:val="en-GB"/>
        </w:rPr>
        <w:t xml:space="preserve"> </w:t>
      </w:r>
    </w:p>
    <w:p w14:paraId="76C587D5" w14:textId="77777777" w:rsidR="00094002" w:rsidRPr="00CD2EEF" w:rsidRDefault="00094002" w:rsidP="004D3C63">
      <w:pPr>
        <w:pStyle w:val="LPVirienojni"/>
        <w:rPr>
          <w:rFonts w:eastAsia="MS Mincho"/>
          <w:lang w:val="en-GB"/>
        </w:rPr>
      </w:pPr>
      <w:bookmarkStart w:id="549" w:name="r43"/>
      <w:bookmarkEnd w:id="548"/>
      <w:r w:rsidRPr="00CD2EEF">
        <w:rPr>
          <w:lang w:val="en-GB"/>
        </w:rPr>
        <w:t xml:space="preserve">[43] </w:t>
      </w:r>
      <w:hyperlink r:id="rId84" w:history="1">
        <w:r w:rsidRPr="00CD2EEF">
          <w:rPr>
            <w:rStyle w:val="Hiperpovezava"/>
            <w:rFonts w:eastAsia="MS Mincho"/>
            <w:lang w:val="en-GB"/>
          </w:rPr>
          <w:t>http://www.nuclearsuppliersgroup.org/en</w:t>
        </w:r>
      </w:hyperlink>
      <w:r w:rsidRPr="00CD2EEF">
        <w:rPr>
          <w:rFonts w:eastAsia="MS Mincho"/>
          <w:lang w:val="en-GB"/>
        </w:rPr>
        <w:t xml:space="preserve"> </w:t>
      </w:r>
    </w:p>
    <w:p w14:paraId="12F8EA4C" w14:textId="77777777" w:rsidR="00094002" w:rsidRPr="00CD2EEF" w:rsidRDefault="00094002" w:rsidP="004D3C63">
      <w:pPr>
        <w:pStyle w:val="LPVirienojni"/>
        <w:rPr>
          <w:rFonts w:eastAsia="MS Mincho"/>
          <w:lang w:val="en-GB"/>
        </w:rPr>
      </w:pPr>
      <w:bookmarkStart w:id="550" w:name="r44"/>
      <w:bookmarkEnd w:id="549"/>
      <w:r w:rsidRPr="00CD2EEF">
        <w:rPr>
          <w:lang w:val="en-GB"/>
        </w:rPr>
        <w:t xml:space="preserve">[44] </w:t>
      </w:r>
      <w:hyperlink r:id="rId85" w:history="1">
        <w:r w:rsidRPr="00CD2EEF">
          <w:rPr>
            <w:rStyle w:val="Hiperpovezava"/>
            <w:rFonts w:eastAsia="MS Mincho"/>
            <w:lang w:val="en-GB"/>
          </w:rPr>
          <w:t>http://www.mgrt.gov.si/</w:t>
        </w:r>
      </w:hyperlink>
      <w:r w:rsidRPr="00CD2EEF">
        <w:rPr>
          <w:rFonts w:eastAsia="MS Mincho"/>
          <w:lang w:val="en-GB"/>
        </w:rPr>
        <w:t xml:space="preserve"> </w:t>
      </w:r>
    </w:p>
    <w:p w14:paraId="72411915" w14:textId="315FC56D" w:rsidR="00094002" w:rsidRPr="00CD2EEF" w:rsidRDefault="00094002" w:rsidP="004D3C63">
      <w:pPr>
        <w:pStyle w:val="LPVirienojni"/>
        <w:rPr>
          <w:lang w:val="en-GB"/>
        </w:rPr>
      </w:pPr>
      <w:bookmarkStart w:id="551" w:name="_Hlk106366146"/>
      <w:bookmarkStart w:id="552" w:name="r45"/>
      <w:bookmarkEnd w:id="550"/>
      <w:r w:rsidRPr="00CD2EEF">
        <w:rPr>
          <w:lang w:val="en-GB"/>
        </w:rPr>
        <w:t xml:space="preserve">[45]Prispevek MNZ k letnemu poročilu o varstvu pred ionizirajočimi sevanji in jedrski varnosti v Republiki Sloveniji za leto 2021, št. 0101-91/2022/8 (145-02), </w:t>
      </w:r>
      <w:r w:rsidR="00085E91" w:rsidRPr="00CD2EEF">
        <w:rPr>
          <w:lang w:val="en-GB"/>
        </w:rPr>
        <w:t>M</w:t>
      </w:r>
      <w:r w:rsidRPr="00CD2EEF">
        <w:rPr>
          <w:lang w:val="en-GB"/>
        </w:rPr>
        <w:t>ar</w:t>
      </w:r>
      <w:r w:rsidR="00085E91" w:rsidRPr="00CD2EEF">
        <w:rPr>
          <w:lang w:val="en-GB"/>
        </w:rPr>
        <w:t>ch</w:t>
      </w:r>
      <w:r w:rsidRPr="00CD2EEF">
        <w:rPr>
          <w:lang w:val="en-GB"/>
        </w:rPr>
        <w:t xml:space="preserve"> 2022</w:t>
      </w:r>
      <w:r w:rsidR="003308E7">
        <w:rPr>
          <w:lang w:val="en-GB"/>
        </w:rPr>
        <w:t>.</w:t>
      </w:r>
    </w:p>
    <w:p w14:paraId="466C32AA" w14:textId="77777777" w:rsidR="00094002" w:rsidRPr="00CD2EEF" w:rsidRDefault="00094002" w:rsidP="004D3C63">
      <w:pPr>
        <w:pStyle w:val="LPVirienojni"/>
        <w:rPr>
          <w:lang w:val="en-GB"/>
        </w:rPr>
      </w:pPr>
      <w:bookmarkStart w:id="553" w:name="r46"/>
      <w:bookmarkEnd w:id="551"/>
      <w:bookmarkEnd w:id="552"/>
      <w:r w:rsidRPr="00CD2EEF">
        <w:rPr>
          <w:lang w:val="en-GB"/>
        </w:rPr>
        <w:t xml:space="preserve">[46] </w:t>
      </w:r>
      <w:hyperlink r:id="rId86" w:history="1">
        <w:r w:rsidRPr="00CD2EEF">
          <w:rPr>
            <w:rStyle w:val="Hiperpovezava"/>
            <w:lang w:val="en-GB"/>
          </w:rPr>
          <w:t>http://indico.ictp.it/event/a14255/other-view?view=ictptimetable</w:t>
        </w:r>
      </w:hyperlink>
      <w:r w:rsidRPr="00CD2EEF">
        <w:rPr>
          <w:lang w:val="en-GB"/>
        </w:rPr>
        <w:t xml:space="preserve"> </w:t>
      </w:r>
    </w:p>
    <w:p w14:paraId="3FE07D4C" w14:textId="77777777" w:rsidR="00094002" w:rsidRPr="00CD2EEF" w:rsidRDefault="00094002" w:rsidP="004D3C63">
      <w:pPr>
        <w:pStyle w:val="LPVirienojni"/>
        <w:rPr>
          <w:lang w:val="en-GB"/>
        </w:rPr>
      </w:pPr>
      <w:bookmarkStart w:id="554" w:name="r47"/>
      <w:bookmarkEnd w:id="553"/>
      <w:r w:rsidRPr="00CD2EEF">
        <w:rPr>
          <w:lang w:val="en-GB"/>
        </w:rPr>
        <w:t xml:space="preserve">[47] </w:t>
      </w:r>
      <w:hyperlink r:id="rId87" w:history="1">
        <w:r w:rsidRPr="00CD2EEF">
          <w:rPr>
            <w:rStyle w:val="Hiperpovezava"/>
            <w:lang w:val="en-GB"/>
          </w:rPr>
          <w:t>http://www-ns.iaea.org/downloads/rw/source-safety/scrap-metal-code/workshops/malta-workshop-meeting-report-final.pdf</w:t>
        </w:r>
      </w:hyperlink>
      <w:r w:rsidRPr="00CD2EEF">
        <w:rPr>
          <w:lang w:val="en-GB"/>
        </w:rPr>
        <w:t xml:space="preserve"> </w:t>
      </w:r>
    </w:p>
    <w:p w14:paraId="2233A8C6" w14:textId="77777777" w:rsidR="00094002" w:rsidRPr="00CD2EEF" w:rsidRDefault="00094002" w:rsidP="004D3C63">
      <w:pPr>
        <w:pStyle w:val="LPVirienojni"/>
        <w:rPr>
          <w:lang w:val="en-GB"/>
        </w:rPr>
      </w:pPr>
      <w:bookmarkStart w:id="555" w:name="r48"/>
      <w:bookmarkEnd w:id="554"/>
      <w:r w:rsidRPr="00CD2EEF">
        <w:rPr>
          <w:lang w:val="en-GB"/>
        </w:rPr>
        <w:t xml:space="preserve">[48] </w:t>
      </w:r>
      <w:hyperlink r:id="rId88" w:history="1">
        <w:r w:rsidRPr="00CD2EEF">
          <w:rPr>
            <w:rStyle w:val="Hiperpovezava"/>
            <w:lang w:val="en-GB"/>
          </w:rPr>
          <w:t>http://www-pub.iaea.org/MTCD/publications/PDF/Pub1316_web.pdf</w:t>
        </w:r>
      </w:hyperlink>
      <w:r w:rsidRPr="00CD2EEF">
        <w:rPr>
          <w:lang w:val="en-GB"/>
        </w:rPr>
        <w:t xml:space="preserve"> </w:t>
      </w:r>
    </w:p>
    <w:p w14:paraId="32DE7771" w14:textId="77777777" w:rsidR="00094002" w:rsidRPr="00CD2EEF" w:rsidRDefault="00094002" w:rsidP="004D3C63">
      <w:pPr>
        <w:pStyle w:val="LPVirienojni"/>
        <w:rPr>
          <w:lang w:val="en-GB"/>
        </w:rPr>
      </w:pPr>
      <w:bookmarkStart w:id="556" w:name="r49"/>
      <w:bookmarkEnd w:id="555"/>
      <w:r w:rsidRPr="00CD2EEF">
        <w:rPr>
          <w:lang w:val="en-GB"/>
        </w:rPr>
        <w:t>[49]</w:t>
      </w:r>
      <w:hyperlink r:id="rId89" w:history="1">
        <w:r w:rsidRPr="00CD2EEF">
          <w:rPr>
            <w:rStyle w:val="Hiperpovezava"/>
            <w:lang w:val="en-GB"/>
          </w:rPr>
          <w:t>https://www.ensra.org/wp-content/uploads/2021/08/2021-05-25-ENSRA-1.pdf</w:t>
        </w:r>
      </w:hyperlink>
      <w:r w:rsidRPr="00CD2EEF">
        <w:rPr>
          <w:lang w:val="en-GB"/>
        </w:rPr>
        <w:t xml:space="preserve"> </w:t>
      </w:r>
    </w:p>
    <w:p w14:paraId="1B98F6C8" w14:textId="7A78DE97" w:rsidR="00094002" w:rsidRPr="00CD2EEF" w:rsidRDefault="00094002" w:rsidP="004D3C63">
      <w:pPr>
        <w:pStyle w:val="LPVirienojni"/>
        <w:rPr>
          <w:lang w:val="en-GB"/>
        </w:rPr>
      </w:pPr>
      <w:bookmarkStart w:id="557" w:name="r50"/>
      <w:bookmarkEnd w:id="556"/>
      <w:r w:rsidRPr="00CD2EEF">
        <w:rPr>
          <w:lang w:val="en-GB"/>
        </w:rPr>
        <w:t xml:space="preserve">[50] </w:t>
      </w:r>
      <w:hyperlink r:id="rId90" w:history="1">
        <w:r w:rsidRPr="00CD2EEF">
          <w:rPr>
            <w:rStyle w:val="Hiperpovezava"/>
            <w:lang w:val="en-GB"/>
          </w:rPr>
          <w:t>http://csnsecurityconference.org/presentations/keynote-speaker/KS4_GDandrieux.pdf</w:t>
        </w:r>
      </w:hyperlink>
      <w:r w:rsidR="008A1E6B">
        <w:rPr>
          <w:lang w:val="en-GB"/>
        </w:rPr>
        <w:t xml:space="preserve"> </w:t>
      </w:r>
    </w:p>
    <w:p w14:paraId="56400A22" w14:textId="77777777" w:rsidR="00094002" w:rsidRPr="00CD2EEF" w:rsidRDefault="00094002" w:rsidP="004D3C63">
      <w:pPr>
        <w:pStyle w:val="LPVirienojni"/>
        <w:rPr>
          <w:lang w:val="en-GB"/>
        </w:rPr>
      </w:pPr>
      <w:bookmarkStart w:id="558" w:name="r51"/>
      <w:bookmarkEnd w:id="557"/>
      <w:r w:rsidRPr="00CD2EEF">
        <w:rPr>
          <w:lang w:val="en-GB"/>
        </w:rPr>
        <w:t>[51]</w:t>
      </w:r>
      <w:hyperlink r:id="rId91" w:history="1">
        <w:r w:rsidRPr="00CD2EEF">
          <w:rPr>
            <w:rStyle w:val="Hiperpovezava"/>
            <w:lang w:val="en-GB"/>
          </w:rPr>
          <w:t>https://www.ensra.org/wp-content/uploads/2021/08/ENSRA-REPORT-2021-compendium-good-practices-nuclear-security-inspections.pdf</w:t>
        </w:r>
      </w:hyperlink>
      <w:r w:rsidRPr="00CD2EEF">
        <w:rPr>
          <w:lang w:val="en-GB"/>
        </w:rPr>
        <w:t xml:space="preserve"> </w:t>
      </w:r>
    </w:p>
    <w:p w14:paraId="71D18C05" w14:textId="77777777" w:rsidR="00094002" w:rsidRPr="00CD2EEF" w:rsidRDefault="00094002" w:rsidP="00E23402">
      <w:pPr>
        <w:pStyle w:val="LPVirienojni"/>
        <w:rPr>
          <w:lang w:val="en-GB"/>
        </w:rPr>
      </w:pPr>
      <w:bookmarkStart w:id="559" w:name="r52"/>
      <w:bookmarkEnd w:id="558"/>
      <w:r w:rsidRPr="00CD2EEF">
        <w:rPr>
          <w:lang w:val="en-GB"/>
        </w:rPr>
        <w:t>[52]</w:t>
      </w:r>
      <w:hyperlink r:id="rId92" w:history="1">
        <w:r w:rsidRPr="00CD2EEF">
          <w:rPr>
            <w:rStyle w:val="Hiperpovezava"/>
            <w:lang w:val="en-GB"/>
          </w:rPr>
          <w:t>https://www.iaea.org/sites/default/files/publications/documents/infcircs/2017/infcirc908a4.pdf</w:t>
        </w:r>
      </w:hyperlink>
    </w:p>
    <w:p w14:paraId="0EF59B93" w14:textId="0A003E5F" w:rsidR="00094002" w:rsidRPr="00CD2EEF" w:rsidRDefault="00094002" w:rsidP="00E23402">
      <w:pPr>
        <w:pStyle w:val="LPVirienojni"/>
        <w:rPr>
          <w:lang w:val="en-GB"/>
        </w:rPr>
      </w:pPr>
      <w:bookmarkStart w:id="560" w:name="r53"/>
      <w:bookmarkEnd w:id="559"/>
      <w:r w:rsidRPr="00CD2EEF">
        <w:rPr>
          <w:lang w:val="en-GB"/>
        </w:rPr>
        <w:t>[53]</w:t>
      </w:r>
      <w:hyperlink r:id="rId93" w:history="1">
        <w:r w:rsidRPr="00CD2EEF">
          <w:rPr>
            <w:rStyle w:val="Hiperpovezava"/>
            <w:lang w:val="en-GB"/>
          </w:rPr>
          <w:t>https://www.iaea.org/sites/default/files/publications/documents/infcircs/2016/infcirc899.pdf</w:t>
        </w:r>
      </w:hyperlink>
      <w:r w:rsidR="008A1E6B">
        <w:rPr>
          <w:lang w:val="en-GB"/>
        </w:rPr>
        <w:t xml:space="preserve"> </w:t>
      </w:r>
    </w:p>
    <w:p w14:paraId="7F5DFE56" w14:textId="46656B33" w:rsidR="00094002" w:rsidRPr="00CD2EEF" w:rsidRDefault="00094002" w:rsidP="00E23402">
      <w:pPr>
        <w:pStyle w:val="LPVirienojni"/>
        <w:rPr>
          <w:lang w:val="en-GB"/>
        </w:rPr>
      </w:pPr>
      <w:bookmarkStart w:id="561" w:name="r54"/>
      <w:bookmarkEnd w:id="560"/>
      <w:r w:rsidRPr="00CD2EEF">
        <w:rPr>
          <w:lang w:val="en-GB"/>
        </w:rPr>
        <w:t>[54]</w:t>
      </w:r>
      <w:hyperlink r:id="rId94" w:history="1">
        <w:r w:rsidRPr="00CD2EEF">
          <w:rPr>
            <w:rStyle w:val="Hiperpovezava"/>
            <w:lang w:val="en-GB"/>
          </w:rPr>
          <w:t>https://www.iaea.org/sites/default/files/publications/documents/infcircs/2016/infcirc899a4.pdf</w:t>
        </w:r>
      </w:hyperlink>
      <w:r w:rsidR="008A1E6B">
        <w:rPr>
          <w:lang w:val="en-GB"/>
        </w:rPr>
        <w:t xml:space="preserve"> </w:t>
      </w:r>
    </w:p>
    <w:p w14:paraId="53F32253" w14:textId="77777777" w:rsidR="00094002" w:rsidRPr="00CD2EEF" w:rsidRDefault="00094002" w:rsidP="00E23402">
      <w:pPr>
        <w:pStyle w:val="LPVirienojni"/>
        <w:rPr>
          <w:lang w:val="en-GB"/>
        </w:rPr>
      </w:pPr>
      <w:bookmarkStart w:id="562" w:name="r55"/>
      <w:bookmarkEnd w:id="561"/>
      <w:r w:rsidRPr="00CD2EEF">
        <w:rPr>
          <w:lang w:val="en-GB"/>
        </w:rPr>
        <w:t>[55]</w:t>
      </w:r>
      <w:hyperlink r:id="rId95" w:history="1">
        <w:r w:rsidRPr="00CD2EEF">
          <w:rPr>
            <w:rStyle w:val="Hiperpovezava"/>
            <w:lang w:val="en-GB"/>
          </w:rPr>
          <w:t>http://www.nscontactgroup.org/</w:t>
        </w:r>
      </w:hyperlink>
      <w:r w:rsidRPr="00CD2EEF">
        <w:rPr>
          <w:lang w:val="en-GB"/>
        </w:rPr>
        <w:t xml:space="preserve"> </w:t>
      </w:r>
    </w:p>
    <w:p w14:paraId="3178B860" w14:textId="77777777" w:rsidR="00094002" w:rsidRPr="00CD2EEF" w:rsidRDefault="00094002" w:rsidP="00E23402">
      <w:pPr>
        <w:pStyle w:val="LPVirienojni"/>
        <w:rPr>
          <w:lang w:val="en-GB"/>
        </w:rPr>
      </w:pPr>
      <w:bookmarkStart w:id="563" w:name="r56"/>
      <w:bookmarkEnd w:id="562"/>
      <w:r w:rsidRPr="00CD2EEF">
        <w:rPr>
          <w:lang w:val="en-GB"/>
        </w:rPr>
        <w:t>[56]</w:t>
      </w:r>
      <w:hyperlink r:id="rId96" w:history="1">
        <w:r w:rsidRPr="00CD2EEF">
          <w:rPr>
            <w:rStyle w:val="Hiperpovezava"/>
            <w:lang w:val="en-GB"/>
          </w:rPr>
          <w:t>http://www.mzz.gov.si/si/medijsko_sredisce/novica/article/6/38221</w:t>
        </w:r>
      </w:hyperlink>
      <w:r w:rsidRPr="00CD2EEF">
        <w:rPr>
          <w:lang w:val="en-GB"/>
        </w:rPr>
        <w:t xml:space="preserve"> </w:t>
      </w:r>
    </w:p>
    <w:p w14:paraId="7F45F5C4" w14:textId="77777777" w:rsidR="00094002" w:rsidRPr="00CD2EEF" w:rsidRDefault="00094002" w:rsidP="00E23402">
      <w:pPr>
        <w:pStyle w:val="LPVirienojni"/>
        <w:rPr>
          <w:lang w:val="en-GB"/>
        </w:rPr>
      </w:pPr>
      <w:bookmarkStart w:id="564" w:name="r57"/>
      <w:bookmarkEnd w:id="563"/>
      <w:r w:rsidRPr="00CD2EEF">
        <w:rPr>
          <w:lang w:val="en-GB"/>
        </w:rPr>
        <w:t>[57]</w:t>
      </w:r>
      <w:hyperlink r:id="rId97" w:history="1">
        <w:r w:rsidRPr="00CD2EEF">
          <w:rPr>
            <w:rStyle w:val="Hiperpovezava"/>
            <w:lang w:val="en-GB"/>
          </w:rPr>
          <w:t>https://www.iaea.org/publications/documents/infcircs/communication-dated-22-march-2017-received-from-the-permanent-mission-of-the-hashemite-kingdom-of-jordan-concerning-a-joint-statement-on-countering-nuclear-smuggling</w:t>
        </w:r>
      </w:hyperlink>
      <w:bookmarkEnd w:id="564"/>
      <w:r w:rsidRPr="00CD2EEF">
        <w:rPr>
          <w:lang w:val="en-GB"/>
        </w:rPr>
        <w:t xml:space="preserve"> </w:t>
      </w:r>
    </w:p>
    <w:p w14:paraId="39F25791" w14:textId="77777777" w:rsidR="00094002" w:rsidRPr="00CD2EEF" w:rsidRDefault="00094002" w:rsidP="00E23402">
      <w:pPr>
        <w:pStyle w:val="LPVirienojni"/>
        <w:rPr>
          <w:rStyle w:val="Hiperpovezava"/>
          <w:lang w:val="en-GB"/>
        </w:rPr>
      </w:pPr>
      <w:bookmarkStart w:id="565" w:name="r58"/>
      <w:r w:rsidRPr="00CD2EEF">
        <w:rPr>
          <w:lang w:val="en-GB"/>
        </w:rPr>
        <w:t>[58]</w:t>
      </w:r>
      <w:hyperlink r:id="rId98" w:history="1">
        <w:r w:rsidRPr="00CD2EEF">
          <w:rPr>
            <w:rStyle w:val="Hiperpovezava"/>
            <w:lang w:val="en-GB"/>
          </w:rPr>
          <w:t>https://www.un.org/counterterrorism/sites/www.un.org.counterterrorism/files/20201116_interpol_uncct_global_study_final.pdf</w:t>
        </w:r>
      </w:hyperlink>
    </w:p>
    <w:p w14:paraId="211616CA" w14:textId="77777777" w:rsidR="00094002" w:rsidRPr="00CD2EEF" w:rsidRDefault="00094002" w:rsidP="00E23402">
      <w:pPr>
        <w:pStyle w:val="LPVirienojni"/>
        <w:rPr>
          <w:lang w:val="en-GB"/>
        </w:rPr>
      </w:pPr>
      <w:bookmarkStart w:id="566" w:name="_Hlk106613807"/>
      <w:bookmarkStart w:id="567" w:name="r59"/>
      <w:bookmarkEnd w:id="565"/>
      <w:r w:rsidRPr="00CD2EEF">
        <w:rPr>
          <w:lang w:val="en-GB"/>
        </w:rPr>
        <w:t xml:space="preserve">[59] </w:t>
      </w:r>
      <w:hyperlink r:id="rId99" w:history="1">
        <w:r w:rsidRPr="00CD2EEF">
          <w:rPr>
            <w:rStyle w:val="Hiperpovezava"/>
            <w:lang w:val="en-GB"/>
          </w:rPr>
          <w:t>http://euraca.eu/</w:t>
        </w:r>
      </w:hyperlink>
    </w:p>
    <w:p w14:paraId="6775174D" w14:textId="135C167F" w:rsidR="00094002" w:rsidRPr="00CD2EEF" w:rsidRDefault="00094002" w:rsidP="00E23402">
      <w:pPr>
        <w:pStyle w:val="LPVirienojni"/>
        <w:ind w:left="0" w:firstLine="0"/>
        <w:rPr>
          <w:lang w:val="en-GB"/>
        </w:rPr>
      </w:pPr>
      <w:bookmarkStart w:id="568" w:name="r60"/>
      <w:bookmarkStart w:id="569" w:name="_Hlk106093446"/>
      <w:bookmarkEnd w:id="566"/>
      <w:bookmarkEnd w:id="567"/>
      <w:r w:rsidRPr="00CD2EEF">
        <w:rPr>
          <w:lang w:val="en-GB"/>
        </w:rPr>
        <w:t xml:space="preserve">[60] Delo Meddržavne komisije NEK v letu 2021. MZI, </w:t>
      </w:r>
      <w:r w:rsidR="00085E91" w:rsidRPr="00CD2EEF">
        <w:rPr>
          <w:lang w:val="en-GB"/>
        </w:rPr>
        <w:t>M</w:t>
      </w:r>
      <w:r w:rsidRPr="00CD2EEF">
        <w:rPr>
          <w:lang w:val="en-GB"/>
        </w:rPr>
        <w:t>ar</w:t>
      </w:r>
      <w:r w:rsidR="00085E91" w:rsidRPr="00CD2EEF">
        <w:rPr>
          <w:lang w:val="en-GB"/>
        </w:rPr>
        <w:t>ch</w:t>
      </w:r>
      <w:r w:rsidRPr="00CD2EEF">
        <w:rPr>
          <w:lang w:val="en-GB"/>
        </w:rPr>
        <w:t xml:space="preserve"> 2022.</w:t>
      </w:r>
    </w:p>
    <w:p w14:paraId="120BCF99" w14:textId="77777777" w:rsidR="00094002" w:rsidRPr="00CD2EEF" w:rsidRDefault="00094002" w:rsidP="00BF5B07">
      <w:pPr>
        <w:pStyle w:val="LPviri"/>
        <w:rPr>
          <w:lang w:val="en-GB"/>
        </w:rPr>
      </w:pPr>
      <w:bookmarkStart w:id="570" w:name="_Hlk107997839"/>
      <w:bookmarkStart w:id="571" w:name="r61"/>
      <w:bookmarkEnd w:id="568"/>
      <w:r w:rsidRPr="00CD2EEF">
        <w:rPr>
          <w:lang w:val="en-GB"/>
        </w:rPr>
        <w:t xml:space="preserve">[61] </w:t>
      </w:r>
      <w:bookmarkEnd w:id="570"/>
      <w:r w:rsidRPr="00CD2EEF">
        <w:rPr>
          <w:lang w:val="en-GB"/>
        </w:rPr>
        <w:fldChar w:fldCharType="begin"/>
      </w:r>
      <w:r w:rsidRPr="00CD2EEF">
        <w:rPr>
          <w:lang w:val="en-GB"/>
        </w:rPr>
        <w:instrText xml:space="preserve"> HYPERLINK "https://pris.iaea.org/PRIS/home.aspx" </w:instrText>
      </w:r>
      <w:r w:rsidRPr="00CD2EEF">
        <w:rPr>
          <w:lang w:val="en-GB"/>
        </w:rPr>
        <w:fldChar w:fldCharType="separate"/>
      </w:r>
      <w:r w:rsidRPr="00CD2EEF">
        <w:rPr>
          <w:rStyle w:val="Hiperpovezava"/>
          <w:lang w:val="en-GB"/>
        </w:rPr>
        <w:t>https://pris.iaea.org/PRIS/home.aspx</w:t>
      </w:r>
      <w:r w:rsidRPr="00CD2EEF">
        <w:rPr>
          <w:lang w:val="en-GB"/>
        </w:rPr>
        <w:fldChar w:fldCharType="end"/>
      </w:r>
    </w:p>
    <w:bookmarkEnd w:id="571"/>
    <w:p w14:paraId="6A27E643" w14:textId="77777777" w:rsidR="00094002" w:rsidRPr="00CD2EEF" w:rsidRDefault="00094002" w:rsidP="00BF5B07">
      <w:pPr>
        <w:pStyle w:val="LPnavaden"/>
        <w:rPr>
          <w:lang w:val="en-GB" w:eastAsia="sl-SI"/>
        </w:rPr>
      </w:pPr>
    </w:p>
    <w:p w14:paraId="17B995B3" w14:textId="77777777" w:rsidR="00094002" w:rsidRPr="00CD2EEF" w:rsidRDefault="00094002" w:rsidP="00BF5B07">
      <w:pPr>
        <w:pStyle w:val="LPVirienojni"/>
        <w:rPr>
          <w:lang w:val="en-GB"/>
        </w:rPr>
      </w:pPr>
      <w:r w:rsidRPr="00CD2EEF">
        <w:rPr>
          <w:lang w:val="en-GB"/>
        </w:rPr>
        <w:t xml:space="preserve"> </w:t>
      </w:r>
    </w:p>
    <w:p w14:paraId="45B0A315" w14:textId="77777777" w:rsidR="00094002" w:rsidRPr="00CD2EEF" w:rsidRDefault="00094002" w:rsidP="00E23402">
      <w:pPr>
        <w:pStyle w:val="LPVirienojni"/>
        <w:rPr>
          <w:lang w:val="en-GB"/>
        </w:rPr>
      </w:pPr>
      <w:bookmarkStart w:id="572" w:name="_Hlk106613763"/>
      <w:bookmarkStart w:id="573" w:name="_Hlk106613645"/>
      <w:bookmarkStart w:id="574" w:name="_Hlk106613504"/>
      <w:bookmarkStart w:id="575" w:name="_Hlk106613331"/>
      <w:bookmarkStart w:id="576" w:name="_Hlk106613395"/>
      <w:bookmarkEnd w:id="524"/>
      <w:bookmarkEnd w:id="528"/>
      <w:bookmarkEnd w:id="530"/>
      <w:bookmarkEnd w:id="569"/>
      <w:r w:rsidRPr="00CD2EEF">
        <w:rPr>
          <w:lang w:val="en-GB"/>
        </w:rPr>
        <w:t xml:space="preserve"> </w:t>
      </w:r>
    </w:p>
    <w:p w14:paraId="246D392B" w14:textId="77777777" w:rsidR="00094002" w:rsidRPr="00CD2EEF" w:rsidRDefault="00094002" w:rsidP="00E23402">
      <w:pPr>
        <w:pStyle w:val="LPVirienojni"/>
        <w:rPr>
          <w:lang w:val="en-GB"/>
        </w:rPr>
      </w:pPr>
    </w:p>
    <w:bookmarkEnd w:id="572"/>
    <w:p w14:paraId="0D36E69D" w14:textId="77777777" w:rsidR="00094002" w:rsidRPr="00CD2EEF" w:rsidRDefault="00094002" w:rsidP="00E821FF">
      <w:pPr>
        <w:pStyle w:val="LPVirienojni"/>
        <w:rPr>
          <w:lang w:val="en-GB"/>
        </w:rPr>
      </w:pPr>
      <w:r w:rsidRPr="00CD2EEF">
        <w:rPr>
          <w:lang w:val="en-GB"/>
        </w:rPr>
        <w:t xml:space="preserve"> </w:t>
      </w:r>
    </w:p>
    <w:p w14:paraId="0E39CD29" w14:textId="77777777" w:rsidR="00094002" w:rsidRPr="00CD2EEF" w:rsidRDefault="00094002" w:rsidP="00A45C2A">
      <w:pPr>
        <w:pStyle w:val="LPnavaden"/>
        <w:rPr>
          <w:lang w:val="en-GB" w:eastAsia="sl-SI"/>
        </w:rPr>
      </w:pPr>
    </w:p>
    <w:p w14:paraId="5A80533E" w14:textId="77777777" w:rsidR="00094002" w:rsidRPr="00CD2EEF" w:rsidRDefault="00094002" w:rsidP="00A45C2A">
      <w:pPr>
        <w:pStyle w:val="LPnavaden"/>
        <w:rPr>
          <w:lang w:val="en-GB" w:eastAsia="sl-SI"/>
        </w:rPr>
      </w:pPr>
    </w:p>
    <w:bookmarkEnd w:id="573"/>
    <w:p w14:paraId="080657F4" w14:textId="77777777" w:rsidR="00094002" w:rsidRPr="00CD2EEF" w:rsidRDefault="00094002" w:rsidP="00A45C2A">
      <w:pPr>
        <w:pStyle w:val="LPVirienojni"/>
        <w:rPr>
          <w:rFonts w:eastAsia="MS Mincho"/>
          <w:lang w:val="en-GB"/>
        </w:rPr>
      </w:pPr>
    </w:p>
    <w:bookmarkEnd w:id="574"/>
    <w:p w14:paraId="7668EABA" w14:textId="77777777" w:rsidR="00094002" w:rsidRPr="00CD2EEF" w:rsidRDefault="00094002" w:rsidP="00A45C2A">
      <w:pPr>
        <w:pStyle w:val="LPnavaden"/>
        <w:rPr>
          <w:lang w:val="en-GB" w:eastAsia="sl-SI"/>
        </w:rPr>
      </w:pPr>
    </w:p>
    <w:bookmarkEnd w:id="575"/>
    <w:bookmarkEnd w:id="576"/>
    <w:p w14:paraId="3201DF87" w14:textId="77777777" w:rsidR="00094002" w:rsidRPr="00CD2EEF" w:rsidRDefault="00094002" w:rsidP="00585E63">
      <w:pPr>
        <w:pStyle w:val="LPnavaden"/>
        <w:rPr>
          <w:lang w:val="en-GB" w:eastAsia="sl-SI"/>
        </w:rPr>
      </w:pPr>
    </w:p>
    <w:bookmarkEnd w:id="518"/>
    <w:bookmarkEnd w:id="521"/>
    <w:p w14:paraId="0CE8FE8F" w14:textId="77777777" w:rsidR="00094002" w:rsidRPr="00CD2EEF" w:rsidRDefault="00094002" w:rsidP="00C707AD">
      <w:pPr>
        <w:pStyle w:val="LPnavaden"/>
        <w:rPr>
          <w:lang w:val="en-GB" w:eastAsia="sl-SI"/>
        </w:rPr>
      </w:pPr>
    </w:p>
    <w:p w14:paraId="617A767C" w14:textId="77777777" w:rsidR="00094002" w:rsidRPr="00CD2EEF" w:rsidRDefault="00094002" w:rsidP="00556285">
      <w:pPr>
        <w:pStyle w:val="LPnavaden"/>
        <w:rPr>
          <w:lang w:val="en-GB" w:eastAsia="sl-SI"/>
        </w:rPr>
      </w:pPr>
    </w:p>
    <w:p w14:paraId="32205847" w14:textId="77777777" w:rsidR="00094002" w:rsidRPr="00CD2EEF" w:rsidRDefault="00094002" w:rsidP="009A3388">
      <w:pPr>
        <w:pStyle w:val="LPnavaden"/>
        <w:rPr>
          <w:lang w:val="en-GB" w:eastAsia="sl-SI"/>
        </w:rPr>
      </w:pPr>
    </w:p>
    <w:p w14:paraId="1DE75E7B" w14:textId="77777777" w:rsidR="00094002" w:rsidRPr="00CD2EEF" w:rsidRDefault="00094002" w:rsidP="009A3388">
      <w:pPr>
        <w:pStyle w:val="LPnavaden"/>
        <w:rPr>
          <w:lang w:val="en-GB"/>
        </w:rPr>
      </w:pPr>
    </w:p>
    <w:p w14:paraId="5020617C" w14:textId="77777777" w:rsidR="00094002" w:rsidRPr="00CD2EEF" w:rsidRDefault="00094002">
      <w:pPr>
        <w:pStyle w:val="LPnavaden"/>
        <w:rPr>
          <w:lang w:val="en-GB" w:eastAsia="sl-SI"/>
        </w:rPr>
      </w:pPr>
    </w:p>
    <w:p w14:paraId="75E568D2" w14:textId="77777777" w:rsidR="005248D4" w:rsidRPr="00CD2EEF" w:rsidRDefault="005248D4" w:rsidP="00EB61BC">
      <w:pPr>
        <w:pStyle w:val="LPnavaden"/>
        <w:rPr>
          <w:lang w:val="en-GB" w:eastAsia="sl-SI"/>
        </w:rPr>
      </w:pPr>
    </w:p>
    <w:p w14:paraId="7CF332A0" w14:textId="77777777" w:rsidR="005248D4" w:rsidRPr="00CD2EEF" w:rsidRDefault="005248D4">
      <w:pPr>
        <w:rPr>
          <w:lang w:val="en-GB"/>
        </w:rPr>
      </w:pPr>
    </w:p>
    <w:p w14:paraId="18EA2B86" w14:textId="77777777" w:rsidR="005248D4" w:rsidRPr="00CD2EEF" w:rsidRDefault="005248D4" w:rsidP="00FF118F">
      <w:pPr>
        <w:rPr>
          <w:lang w:val="en-GB"/>
        </w:rPr>
      </w:pPr>
    </w:p>
    <w:p w14:paraId="1FB38E65" w14:textId="77777777" w:rsidR="00CB3A79" w:rsidRPr="00CD2EEF" w:rsidRDefault="00CB3A79" w:rsidP="00430771">
      <w:pPr>
        <w:pStyle w:val="LPnavaden"/>
        <w:rPr>
          <w:lang w:val="en-GB"/>
        </w:rPr>
      </w:pPr>
    </w:p>
    <w:p w14:paraId="466A6B0B" w14:textId="77777777" w:rsidR="00CB3A79" w:rsidRPr="00CD2EEF" w:rsidRDefault="00CB3A79" w:rsidP="008A5F03">
      <w:pPr>
        <w:pStyle w:val="LPnavaden"/>
        <w:rPr>
          <w:lang w:val="en-GB"/>
        </w:rPr>
      </w:pPr>
    </w:p>
    <w:bookmarkEnd w:id="78"/>
    <w:p w14:paraId="6C053F93" w14:textId="77777777" w:rsidR="00F32DE1" w:rsidRPr="00CD2EEF" w:rsidRDefault="00F32DE1" w:rsidP="008063E8">
      <w:pPr>
        <w:rPr>
          <w:lang w:val="en-GB"/>
        </w:rPr>
      </w:pPr>
    </w:p>
    <w:sectPr w:rsidR="00F32DE1" w:rsidRPr="00CD2E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4D6BA" w14:textId="77777777" w:rsidR="0007755C" w:rsidRDefault="0007755C" w:rsidP="00CB3A79">
      <w:r>
        <w:separator/>
      </w:r>
    </w:p>
  </w:endnote>
  <w:endnote w:type="continuationSeparator" w:id="0">
    <w:p w14:paraId="2F578EA7" w14:textId="77777777" w:rsidR="0007755C" w:rsidRDefault="0007755C" w:rsidP="00CB3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8E3F1" w14:textId="74F94252" w:rsidR="008C4ADE" w:rsidRPr="0000475C" w:rsidRDefault="001E281E" w:rsidP="002F2361">
    <w:pPr>
      <w:jc w:val="center"/>
    </w:pPr>
    <w:r w:rsidRPr="0000475C">
      <w:fldChar w:fldCharType="begin"/>
    </w:r>
    <w:r w:rsidRPr="0000475C">
      <w:instrText xml:space="preserve">PAGE  </w:instrText>
    </w:r>
    <w:r w:rsidRPr="0000475C">
      <w:fldChar w:fldCharType="separate"/>
    </w:r>
    <w:r>
      <w:rPr>
        <w:noProof/>
      </w:rPr>
      <w:t>2</w:t>
    </w:r>
    <w:r w:rsidRPr="0000475C">
      <w:fldChar w:fldCharType="end"/>
    </w:r>
  </w:p>
  <w:p w14:paraId="283D7356" w14:textId="77777777" w:rsidR="008C4ADE" w:rsidRDefault="004472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347054"/>
      <w:docPartObj>
        <w:docPartGallery w:val="Page Numbers (Bottom of Page)"/>
        <w:docPartUnique/>
      </w:docPartObj>
    </w:sdtPr>
    <w:sdtEndPr/>
    <w:sdtContent>
      <w:p w14:paraId="07535A2D" w14:textId="0B3465F2" w:rsidR="008C4ADE" w:rsidRPr="00C369CA" w:rsidRDefault="001E281E">
        <w:pPr>
          <w:pStyle w:val="Noga"/>
          <w:jc w:val="center"/>
        </w:pPr>
        <w:r w:rsidRPr="00C369CA">
          <w:fldChar w:fldCharType="begin"/>
        </w:r>
        <w:r w:rsidRPr="00C369CA">
          <w:instrText>PAGE   \* MERGEFORMAT</w:instrText>
        </w:r>
        <w:r w:rsidRPr="00C369CA">
          <w:fldChar w:fldCharType="separate"/>
        </w:r>
        <w:r w:rsidRPr="00C369CA">
          <w:t>2</w:t>
        </w:r>
        <w:r w:rsidRPr="00C369CA">
          <w:fldChar w:fldCharType="end"/>
        </w:r>
      </w:p>
    </w:sdtContent>
  </w:sdt>
  <w:p w14:paraId="23B730F0" w14:textId="77777777" w:rsidR="008C4ADE" w:rsidRPr="00C369CA" w:rsidRDefault="00447204">
    <w:pPr>
      <w:rPr>
        <w:rFonts w:ascii="Garamond" w:hAnsi="Garamon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6D101" w14:textId="77777777" w:rsidR="0007755C" w:rsidRDefault="0007755C" w:rsidP="00CB3A79">
      <w:r>
        <w:separator/>
      </w:r>
    </w:p>
  </w:footnote>
  <w:footnote w:type="continuationSeparator" w:id="0">
    <w:p w14:paraId="6F06A2D3" w14:textId="77777777" w:rsidR="0007755C" w:rsidRDefault="0007755C" w:rsidP="00CB3A79">
      <w:r>
        <w:continuationSeparator/>
      </w:r>
    </w:p>
  </w:footnote>
  <w:footnote w:id="1">
    <w:p w14:paraId="1EA80B7E" w14:textId="20800F6D" w:rsidR="00CB3A79" w:rsidRDefault="00CB3A79" w:rsidP="003451C6">
      <w:pPr>
        <w:pStyle w:val="LPnavadenpomanjan"/>
      </w:pPr>
      <w:r>
        <w:footnoteRef/>
      </w:r>
      <w:r>
        <w:t xml:space="preserve"> WENRA SRL </w:t>
      </w:r>
      <w:r w:rsidR="00186EAC">
        <w:t>–</w:t>
      </w:r>
      <w:r>
        <w:t xml:space="preserve"> WENRA Safety Reference Levels </w:t>
      </w:r>
      <w:r w:rsidRPr="003451C6">
        <w:t>are harm</w:t>
      </w:r>
      <w:r w:rsidR="00837F00">
        <w:t>onis</w:t>
      </w:r>
      <w:r w:rsidRPr="003451C6">
        <w:t>ed requirements for</w:t>
      </w:r>
      <w:r w:rsidR="008A1E6B">
        <w:t xml:space="preserve"> </w:t>
      </w:r>
      <w:r w:rsidRPr="003451C6">
        <w:t>nuclear power plant</w:t>
      </w:r>
      <w:r>
        <w:t xml:space="preserve"> safety,</w:t>
      </w:r>
      <w:r w:rsidRPr="003451C6">
        <w:t xml:space="preserve"> </w:t>
      </w:r>
      <w:r w:rsidR="00790624">
        <w:t>which</w:t>
      </w:r>
      <w:r w:rsidR="00790624" w:rsidRPr="003451C6">
        <w:t xml:space="preserve"> </w:t>
      </w:r>
      <w:r w:rsidRPr="003451C6">
        <w:t>apply to all European power plants</w:t>
      </w:r>
    </w:p>
  </w:footnote>
  <w:footnote w:id="2">
    <w:p w14:paraId="52E3EEDB" w14:textId="77777777" w:rsidR="005248D4" w:rsidRPr="00D06011" w:rsidRDefault="005248D4" w:rsidP="00593BA8">
      <w:pPr>
        <w:spacing w:after="120"/>
        <w:jc w:val="both"/>
        <w:rPr>
          <w:rFonts w:ascii="Garamond" w:hAnsi="Garamond"/>
          <w:sz w:val="16"/>
          <w:szCs w:val="20"/>
          <w:lang w:val="en-GB"/>
        </w:rPr>
      </w:pPr>
      <w:r w:rsidRPr="00D06011">
        <w:rPr>
          <w:rFonts w:ascii="Garamond" w:hAnsi="Garamond"/>
          <w:sz w:val="16"/>
          <w:szCs w:val="20"/>
          <w:vertAlign w:val="superscript"/>
          <w:lang w:val="en-GB"/>
        </w:rPr>
        <w:footnoteRef/>
      </w:r>
      <w:r w:rsidRPr="00D06011">
        <w:rPr>
          <w:rFonts w:ascii="Garamond" w:hAnsi="Garamond"/>
          <w:sz w:val="16"/>
          <w:szCs w:val="20"/>
          <w:lang w:val="en-GB"/>
        </w:rPr>
        <w:t xml:space="preserve"> All average doses in this section are converted into the number of workers who received doses above the detection level.</w:t>
      </w:r>
    </w:p>
    <w:p w14:paraId="0D4F3C9A" w14:textId="77777777" w:rsidR="005248D4" w:rsidRDefault="005248D4">
      <w:pPr>
        <w:pStyle w:val="Sprotnaopomba-besedilo"/>
      </w:pPr>
    </w:p>
  </w:footnote>
  <w:footnote w:id="3">
    <w:p w14:paraId="37C41983" w14:textId="77777777" w:rsidR="00FA3624" w:rsidRDefault="00FA3624" w:rsidP="0047170F">
      <w:pPr>
        <w:pStyle w:val="LPnavadenpomanjan8pt"/>
        <w:rPr>
          <w:rFonts w:eastAsiaTheme="majorEastAsia"/>
          <w:lang w:val="en-GB"/>
        </w:rPr>
      </w:pPr>
      <w:r>
        <w:rPr>
          <w:rStyle w:val="LPnadpisano"/>
          <w:rFonts w:eastAsiaTheme="majorEastAsia"/>
          <w:lang w:val="en-GB"/>
        </w:rPr>
        <w:footnoteRef/>
      </w:r>
      <w:r>
        <w:rPr>
          <w:rStyle w:val="LPnadpisano"/>
          <w:rFonts w:eastAsiaTheme="majorEastAsia"/>
          <w:lang w:val="en-GB"/>
        </w:rPr>
        <w:t xml:space="preserve"> </w:t>
      </w:r>
      <w:r>
        <w:rPr>
          <w:lang w:val="en-GB"/>
        </w:rPr>
        <w:t>The book value does not include unallocated funds in the bank account, accrued interest, interest purchased, and claims to dividends.</w:t>
      </w:r>
    </w:p>
  </w:footnote>
  <w:footnote w:id="4">
    <w:p w14:paraId="791378F9" w14:textId="6D67E197" w:rsidR="00FA3624" w:rsidRPr="008F4E02" w:rsidRDefault="00FA3624" w:rsidP="0047170F">
      <w:pPr>
        <w:pStyle w:val="LPnavadenpomanjan8pt"/>
        <w:rPr>
          <w:rFonts w:eastAsiaTheme="minorHAnsi"/>
          <w:lang w:val="en-GB"/>
        </w:rPr>
      </w:pPr>
      <w:r w:rsidRPr="008F4E02">
        <w:rPr>
          <w:rStyle w:val="LPnadpisano"/>
        </w:rPr>
        <w:footnoteRef/>
      </w:r>
      <w:r>
        <w:t xml:space="preserve"> </w:t>
      </w:r>
      <w:r w:rsidRPr="008F4E02">
        <w:rPr>
          <w:rFonts w:eastAsiaTheme="minorHAnsi"/>
          <w:lang w:val="en-GB"/>
        </w:rPr>
        <w:t xml:space="preserve">On </w:t>
      </w:r>
      <w:r w:rsidR="00713EB5">
        <w:rPr>
          <w:rFonts w:eastAsiaTheme="minorHAnsi"/>
          <w:lang w:val="en-GB"/>
        </w:rPr>
        <w:t xml:space="preserve">13 </w:t>
      </w:r>
      <w:r w:rsidRPr="008F4E02">
        <w:rPr>
          <w:rFonts w:eastAsiaTheme="minorHAnsi"/>
          <w:lang w:val="en-GB"/>
        </w:rPr>
        <w:t>January 2022</w:t>
      </w:r>
      <w:r w:rsidR="00713EB5">
        <w:rPr>
          <w:rFonts w:eastAsiaTheme="minorHAnsi"/>
          <w:lang w:val="en-GB"/>
        </w:rPr>
        <w:t>,</w:t>
      </w:r>
      <w:r w:rsidRPr="008F4E02">
        <w:rPr>
          <w:rFonts w:eastAsiaTheme="minorHAnsi"/>
          <w:lang w:val="en-GB"/>
        </w:rPr>
        <w:t xml:space="preserve"> the Government of the Republic of Slovenia adopted the decision that GEN Energija, d.o.o., has to contribute </w:t>
      </w:r>
      <w:r w:rsidRPr="007D5A7F">
        <w:rPr>
          <w:rFonts w:eastAsiaTheme="minorHAnsi"/>
        </w:rPr>
        <w:t>EUR 0.012</w:t>
      </w:r>
      <w:r>
        <w:rPr>
          <w:rFonts w:eastAsiaTheme="minorHAnsi"/>
        </w:rPr>
        <w:t xml:space="preserve"> </w:t>
      </w:r>
      <w:r w:rsidRPr="008F4E02">
        <w:rPr>
          <w:rFonts w:eastAsiaTheme="minorHAnsi"/>
          <w:lang w:val="en-GB"/>
        </w:rPr>
        <w:t xml:space="preserve">to the Fund for each kWh of electricity generated at </w:t>
      </w:r>
      <w:r w:rsidR="001B146F">
        <w:rPr>
          <w:rFonts w:eastAsiaTheme="minorHAnsi"/>
          <w:lang w:val="en-GB"/>
        </w:rPr>
        <w:t>the Krško NPP</w:t>
      </w:r>
      <w:r w:rsidRPr="008F4E02">
        <w:rPr>
          <w:rFonts w:eastAsiaTheme="minorHAnsi"/>
          <w:lang w:val="en-GB"/>
        </w:rPr>
        <w:t>, starting from 1 January 2022.</w:t>
      </w:r>
    </w:p>
  </w:footnote>
  <w:footnote w:id="5">
    <w:p w14:paraId="7B14E61C" w14:textId="3E14A6BF" w:rsidR="00FA3624" w:rsidRPr="008F4E02" w:rsidRDefault="00FA3624" w:rsidP="0047170F">
      <w:pPr>
        <w:pStyle w:val="LPnavadenpomanjan8pt"/>
        <w:rPr>
          <w:rFonts w:eastAsiaTheme="minorHAnsi"/>
          <w:lang w:val="en-GB"/>
        </w:rPr>
      </w:pPr>
      <w:r w:rsidRPr="008F4E02">
        <w:rPr>
          <w:rStyle w:val="LPnadpisano"/>
        </w:rPr>
        <w:footnoteRef/>
      </w:r>
      <w:r w:rsidRPr="008F4E02">
        <w:rPr>
          <w:rStyle w:val="LPnadpisano"/>
        </w:rPr>
        <w:t xml:space="preserve"> </w:t>
      </w:r>
      <w:r w:rsidRPr="008F4E02">
        <w:rPr>
          <w:rFonts w:eastAsiaTheme="minorHAnsi"/>
          <w:lang w:val="en-GB"/>
        </w:rPr>
        <w:t>Until March 2003</w:t>
      </w:r>
      <w:r w:rsidR="0059407E">
        <w:rPr>
          <w:rFonts w:eastAsiaTheme="minorHAnsi"/>
          <w:lang w:val="en-GB"/>
        </w:rPr>
        <w:t>,</w:t>
      </w:r>
      <w:r w:rsidRPr="008F4E02">
        <w:rPr>
          <w:rFonts w:eastAsiaTheme="minorHAnsi"/>
          <w:lang w:val="en-GB"/>
        </w:rPr>
        <w:t xml:space="preserve"> the contributions to </w:t>
      </w:r>
      <w:r w:rsidR="00CA7BDA">
        <w:rPr>
          <w:rFonts w:eastAsiaTheme="minorHAnsi"/>
          <w:lang w:val="en-GB"/>
        </w:rPr>
        <w:t xml:space="preserve">the </w:t>
      </w:r>
      <w:r w:rsidRPr="008F4E02">
        <w:rPr>
          <w:rFonts w:eastAsiaTheme="minorHAnsi"/>
          <w:lang w:val="en-GB"/>
        </w:rPr>
        <w:t>Fund w</w:t>
      </w:r>
      <w:r>
        <w:rPr>
          <w:rFonts w:eastAsiaTheme="minorHAnsi"/>
        </w:rPr>
        <w:t>ere</w:t>
      </w:r>
      <w:r w:rsidRPr="008F4E02">
        <w:rPr>
          <w:rFonts w:eastAsiaTheme="minorHAnsi"/>
          <w:lang w:val="en-GB"/>
        </w:rPr>
        <w:t xml:space="preserve"> paid by NEK d.o.o.</w:t>
      </w:r>
    </w:p>
  </w:footnote>
  <w:footnote w:id="6">
    <w:p w14:paraId="6BCCB189" w14:textId="25808360" w:rsidR="00FA3624" w:rsidRPr="00562D6B" w:rsidRDefault="00FA3624" w:rsidP="0047170F">
      <w:pPr>
        <w:pStyle w:val="LPnavadenpomanjan8pt"/>
        <w:rPr>
          <w:rFonts w:eastAsiaTheme="minorHAnsi"/>
          <w:lang w:val="en-GB"/>
        </w:rPr>
      </w:pPr>
      <w:r w:rsidRPr="00562D6B">
        <w:rPr>
          <w:rStyle w:val="LPnadpisano"/>
          <w:lang w:val="en-GB"/>
        </w:rPr>
        <w:footnoteRef/>
      </w:r>
      <w:r w:rsidRPr="00562D6B">
        <w:rPr>
          <w:rStyle w:val="LPnadpisano"/>
          <w:lang w:val="en-GB"/>
        </w:rPr>
        <w:t xml:space="preserve"> </w:t>
      </w:r>
      <w:r w:rsidR="00C20444">
        <w:rPr>
          <w:rFonts w:eastAsiaTheme="minorHAnsi"/>
          <w:lang w:val="en-GB"/>
        </w:rPr>
        <w:t>The i</w:t>
      </w:r>
      <w:r w:rsidRPr="00562D6B">
        <w:rPr>
          <w:rFonts w:eastAsiaTheme="minorHAnsi"/>
          <w:lang w:val="en-GB"/>
        </w:rPr>
        <w:t xml:space="preserve">nvestment policy of the Fund for 2021 was accepted </w:t>
      </w:r>
      <w:r w:rsidR="00C20444">
        <w:rPr>
          <w:rFonts w:eastAsiaTheme="minorHAnsi"/>
          <w:lang w:val="en-GB"/>
        </w:rPr>
        <w:t>at</w:t>
      </w:r>
      <w:r w:rsidR="00C20444" w:rsidRPr="00562D6B">
        <w:rPr>
          <w:rFonts w:eastAsiaTheme="minorHAnsi"/>
          <w:lang w:val="en-GB"/>
        </w:rPr>
        <w:t xml:space="preserve"> </w:t>
      </w:r>
      <w:r w:rsidRPr="00562D6B">
        <w:rPr>
          <w:rFonts w:eastAsiaTheme="minorHAnsi"/>
          <w:lang w:val="en-GB"/>
        </w:rPr>
        <w:t>the 35</w:t>
      </w:r>
      <w:r w:rsidRPr="00562D6B">
        <w:rPr>
          <w:rFonts w:eastAsiaTheme="minorHAnsi"/>
          <w:vertAlign w:val="superscript"/>
          <w:lang w:val="en-GB"/>
        </w:rPr>
        <w:t>th</w:t>
      </w:r>
      <w:r w:rsidRPr="00562D6B">
        <w:rPr>
          <w:rFonts w:eastAsiaTheme="minorHAnsi"/>
          <w:lang w:val="en-GB"/>
        </w:rPr>
        <w:t xml:space="preserve"> corresponden</w:t>
      </w:r>
      <w:r w:rsidR="00C20444">
        <w:rPr>
          <w:rFonts w:eastAsiaTheme="minorHAnsi"/>
          <w:lang w:val="en-GB"/>
        </w:rPr>
        <w:t>ce</w:t>
      </w:r>
      <w:r w:rsidRPr="00562D6B">
        <w:rPr>
          <w:rFonts w:eastAsiaTheme="minorHAnsi"/>
          <w:lang w:val="en-GB"/>
        </w:rPr>
        <w:t xml:space="preserve"> session of the Fund</w:t>
      </w:r>
      <w:r w:rsidR="00F21D56">
        <w:rPr>
          <w:rFonts w:eastAsiaTheme="minorHAnsi"/>
          <w:lang w:val="en-GB"/>
        </w:rPr>
        <w:t>’</w:t>
      </w:r>
      <w:r w:rsidRPr="00562D6B">
        <w:rPr>
          <w:rFonts w:eastAsiaTheme="minorHAnsi"/>
          <w:lang w:val="en-GB"/>
        </w:rPr>
        <w:t xml:space="preserve">s Management board and adopted by the Government of the Republic of Slovenia </w:t>
      </w:r>
      <w:r w:rsidR="00C20444">
        <w:rPr>
          <w:rFonts w:eastAsiaTheme="minorHAnsi"/>
          <w:lang w:val="en-GB"/>
        </w:rPr>
        <w:t>at</w:t>
      </w:r>
      <w:r w:rsidR="00C20444" w:rsidRPr="00562D6B">
        <w:rPr>
          <w:rFonts w:eastAsiaTheme="minorHAnsi"/>
          <w:lang w:val="en-GB"/>
        </w:rPr>
        <w:t xml:space="preserve"> </w:t>
      </w:r>
      <w:r w:rsidRPr="00562D6B">
        <w:rPr>
          <w:rFonts w:eastAsiaTheme="minorHAnsi"/>
          <w:lang w:val="en-GB"/>
        </w:rPr>
        <w:t>its 63</w:t>
      </w:r>
      <w:r w:rsidRPr="00562D6B">
        <w:rPr>
          <w:rFonts w:eastAsiaTheme="minorHAnsi"/>
          <w:vertAlign w:val="superscript"/>
          <w:lang w:val="en-GB"/>
        </w:rPr>
        <w:t>rd</w:t>
      </w:r>
      <w:r w:rsidRPr="00562D6B">
        <w:rPr>
          <w:rFonts w:eastAsiaTheme="minorHAnsi"/>
          <w:lang w:val="en-GB"/>
        </w:rPr>
        <w:t xml:space="preserve"> regular session on </w:t>
      </w:r>
      <w:r w:rsidR="00C20444">
        <w:rPr>
          <w:rFonts w:eastAsiaTheme="minorHAnsi"/>
          <w:lang w:val="en-GB"/>
        </w:rPr>
        <w:t xml:space="preserve">11 </w:t>
      </w:r>
      <w:r w:rsidRPr="00562D6B">
        <w:rPr>
          <w:rFonts w:eastAsiaTheme="minorHAnsi"/>
          <w:lang w:val="en-GB"/>
        </w:rPr>
        <w:t>March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37CCE" w14:textId="77777777" w:rsidR="008C4ADE" w:rsidRPr="0000475C" w:rsidRDefault="001E281E" w:rsidP="002F2361">
    <w:pPr>
      <w:pStyle w:val="LPnavaden"/>
      <w:jc w:val="center"/>
    </w:pPr>
    <w:r w:rsidRPr="0000475C">
      <w:rPr>
        <w:noProof/>
      </w:rPr>
      <mc:AlternateContent>
        <mc:Choice Requires="wps">
          <w:drawing>
            <wp:anchor distT="0" distB="0" distL="114300" distR="114300" simplePos="0" relativeHeight="251659264" behindDoc="0" locked="0" layoutInCell="1" allowOverlap="1" wp14:anchorId="51A1D768" wp14:editId="48D19A35">
              <wp:simplePos x="0" y="0"/>
              <wp:positionH relativeFrom="column">
                <wp:posOffset>-36195</wp:posOffset>
              </wp:positionH>
              <wp:positionV relativeFrom="paragraph">
                <wp:posOffset>221615</wp:posOffset>
              </wp:positionV>
              <wp:extent cx="5831840" cy="9525"/>
              <wp:effectExtent l="11430" t="12065" r="5080" b="6985"/>
              <wp:wrapNone/>
              <wp:docPr id="4" name="Raven povezovaln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0D801D" id="Raven povezovalnik 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" strokecolor="#81ccff" strokeweight=".25pt"/>
          </w:pict>
        </mc:Fallback>
      </mc:AlternateContent>
    </w:r>
    <w:r w:rsidRPr="0000475C">
      <w:t>Poročilo o varstvu pred ionizirajočimi sevanji in jedrski varnosti v Republiki Sloveniji leta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E96B" w14:textId="7427D0BB" w:rsidR="008C4ADE" w:rsidRPr="00E31849" w:rsidRDefault="001E281E" w:rsidP="00E31849">
    <w:pPr>
      <w:suppressAutoHyphens w:val="0"/>
      <w:spacing w:after="120"/>
      <w:jc w:val="center"/>
      <w:rPr>
        <w:rFonts w:ascii="Garamond" w:hAnsi="Garamond"/>
        <w:sz w:val="20"/>
        <w:szCs w:val="20"/>
        <w:lang w:val="en-US" w:eastAsia="en-US"/>
      </w:rPr>
    </w:pPr>
    <w:r w:rsidRPr="00E31849">
      <w:rPr>
        <w:rFonts w:ascii="Garamond" w:hAnsi="Garamond"/>
        <w:noProof/>
        <w:sz w:val="20"/>
        <w:szCs w:val="20"/>
        <w:lang w:val="en-US" w:eastAsia="sl-SI"/>
      </w:rPr>
      <mc:AlternateContent>
        <mc:Choice Requires="wps">
          <w:drawing>
            <wp:anchor distT="0" distB="0" distL="114300" distR="114300" simplePos="0" relativeHeight="251660288" behindDoc="0" locked="0" layoutInCell="1" allowOverlap="1" wp14:anchorId="2C15AC89" wp14:editId="5688CFF8">
              <wp:simplePos x="0" y="0"/>
              <wp:positionH relativeFrom="column">
                <wp:posOffset>-10160</wp:posOffset>
              </wp:positionH>
              <wp:positionV relativeFrom="paragraph">
                <wp:posOffset>163830</wp:posOffset>
              </wp:positionV>
              <wp:extent cx="5786120" cy="4445"/>
              <wp:effectExtent l="0" t="0" r="24130" b="33655"/>
              <wp:wrapNone/>
              <wp:docPr id="16"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08AC440" id="Line 11"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" strokecolor="#81ccfa" strokeweight=".25pt"/>
          </w:pict>
        </mc:Fallback>
      </mc:AlternateContent>
    </w:r>
    <w:r w:rsidRPr="00E31849">
      <w:rPr>
        <w:rFonts w:ascii="Garamond" w:hAnsi="Garamond"/>
        <w:sz w:val="20"/>
        <w:szCs w:val="20"/>
        <w:lang w:val="en-US" w:eastAsia="en-US"/>
      </w:rPr>
      <w:t>20</w:t>
    </w:r>
    <w:r>
      <w:rPr>
        <w:rFonts w:ascii="Garamond" w:hAnsi="Garamond"/>
        <w:sz w:val="20"/>
        <w:szCs w:val="20"/>
        <w:lang w:val="en-US" w:eastAsia="en-US"/>
      </w:rPr>
      <w:t>21</w:t>
    </w:r>
    <w:r w:rsidRPr="00E31849">
      <w:rPr>
        <w:rFonts w:ascii="Garamond" w:hAnsi="Garamond"/>
        <w:sz w:val="20"/>
        <w:szCs w:val="20"/>
        <w:lang w:val="en-US" w:eastAsia="en-US"/>
      </w:rPr>
      <w:t xml:space="preserve"> Annual Report on Radiation and Nuclear Safety in the Republic </w:t>
    </w:r>
    <w:r>
      <w:rPr>
        <w:rFonts w:ascii="Garamond" w:hAnsi="Garamond"/>
        <w:sz w:val="20"/>
        <w:szCs w:val="20"/>
        <w:lang w:val="en-US" w:eastAsia="en-US"/>
      </w:rPr>
      <w:t>an</w:t>
    </w:r>
    <w:r w:rsidRPr="00E31849">
      <w:rPr>
        <w:rFonts w:ascii="Garamond" w:hAnsi="Garamond"/>
        <w:sz w:val="20"/>
        <w:szCs w:val="20"/>
        <w:lang w:val="en-US" w:eastAsia="en-US"/>
      </w:rPr>
      <w:t>d Slovenia</w:t>
    </w:r>
  </w:p>
  <w:p w14:paraId="28E864A5" w14:textId="77777777" w:rsidR="008C4ADE" w:rsidRPr="00E31849" w:rsidRDefault="00447204" w:rsidP="00E3184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928"/>
    <w:multiLevelType w:val="hybridMultilevel"/>
    <w:tmpl w:val="99FE4C8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hint="default"/>
        <w:b w:val="0"/>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18CB4FC0"/>
    <w:multiLevelType w:val="multilevel"/>
    <w:tmpl w:val="94CE2C4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DB25E1D"/>
    <w:multiLevelType w:val="hybridMultilevel"/>
    <w:tmpl w:val="8028FEA2"/>
    <w:lvl w:ilvl="0" w:tplc="1A847AD4">
      <w:start w:val="1"/>
      <w:numFmt w:val="bullet"/>
      <w:pStyle w:val="LPpreglednicatelopodalineje"/>
      <w:lvlText w:val=""/>
      <w:lvlJc w:val="left"/>
      <w:pPr>
        <w:tabs>
          <w:tab w:val="num" w:pos="1021"/>
        </w:tabs>
        <w:ind w:left="1021" w:hanging="45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F34757"/>
    <w:multiLevelType w:val="hybridMultilevel"/>
    <w:tmpl w:val="76AC46C4"/>
    <w:lvl w:ilvl="0" w:tplc="493E4996">
      <w:start w:val="1"/>
      <w:numFmt w:val="bullet"/>
      <w:pStyle w:val="LPpreglednicateloalineje"/>
      <w:lvlText w:val="-"/>
      <w:lvlJc w:val="left"/>
      <w:pPr>
        <w:tabs>
          <w:tab w:val="num" w:pos="340"/>
        </w:tabs>
        <w:ind w:left="340" w:hanging="340"/>
      </w:pPr>
      <w:rPr>
        <w:rFonts w:ascii="Verdana" w:hAnsi="Verdana" w:hint="default"/>
        <w:b w:val="0"/>
        <w:i w:val="0"/>
        <w:color w:val="0099FF"/>
      </w:rPr>
    </w:lvl>
    <w:lvl w:ilvl="1" w:tplc="930E1C00" w:tentative="1">
      <w:start w:val="1"/>
      <w:numFmt w:val="lowerLetter"/>
      <w:lvlText w:val="%2."/>
      <w:lvlJc w:val="left"/>
      <w:pPr>
        <w:tabs>
          <w:tab w:val="num" w:pos="1440"/>
        </w:tabs>
        <w:ind w:left="1440" w:hanging="360"/>
      </w:pPr>
    </w:lvl>
    <w:lvl w:ilvl="2" w:tplc="6AF6F4C8" w:tentative="1">
      <w:start w:val="1"/>
      <w:numFmt w:val="lowerRoman"/>
      <w:lvlText w:val="%3."/>
      <w:lvlJc w:val="right"/>
      <w:pPr>
        <w:tabs>
          <w:tab w:val="num" w:pos="2160"/>
        </w:tabs>
        <w:ind w:left="2160" w:hanging="180"/>
      </w:pPr>
    </w:lvl>
    <w:lvl w:ilvl="3" w:tplc="5DFE62D4" w:tentative="1">
      <w:start w:val="1"/>
      <w:numFmt w:val="decimal"/>
      <w:lvlText w:val="%4."/>
      <w:lvlJc w:val="left"/>
      <w:pPr>
        <w:tabs>
          <w:tab w:val="num" w:pos="2880"/>
        </w:tabs>
        <w:ind w:left="2880" w:hanging="360"/>
      </w:pPr>
    </w:lvl>
    <w:lvl w:ilvl="4" w:tplc="B57CF014" w:tentative="1">
      <w:start w:val="1"/>
      <w:numFmt w:val="lowerLetter"/>
      <w:lvlText w:val="%5."/>
      <w:lvlJc w:val="left"/>
      <w:pPr>
        <w:tabs>
          <w:tab w:val="num" w:pos="3600"/>
        </w:tabs>
        <w:ind w:left="3600" w:hanging="360"/>
      </w:pPr>
    </w:lvl>
    <w:lvl w:ilvl="5" w:tplc="E71A8BE6" w:tentative="1">
      <w:start w:val="1"/>
      <w:numFmt w:val="lowerRoman"/>
      <w:lvlText w:val="%6."/>
      <w:lvlJc w:val="right"/>
      <w:pPr>
        <w:tabs>
          <w:tab w:val="num" w:pos="4320"/>
        </w:tabs>
        <w:ind w:left="4320" w:hanging="180"/>
      </w:pPr>
    </w:lvl>
    <w:lvl w:ilvl="6" w:tplc="5B7037BA" w:tentative="1">
      <w:start w:val="1"/>
      <w:numFmt w:val="decimal"/>
      <w:lvlText w:val="%7."/>
      <w:lvlJc w:val="left"/>
      <w:pPr>
        <w:tabs>
          <w:tab w:val="num" w:pos="5040"/>
        </w:tabs>
        <w:ind w:left="5040" w:hanging="360"/>
      </w:pPr>
    </w:lvl>
    <w:lvl w:ilvl="7" w:tplc="56708B76" w:tentative="1">
      <w:start w:val="1"/>
      <w:numFmt w:val="lowerLetter"/>
      <w:lvlText w:val="%8."/>
      <w:lvlJc w:val="left"/>
      <w:pPr>
        <w:tabs>
          <w:tab w:val="num" w:pos="5760"/>
        </w:tabs>
        <w:ind w:left="5760" w:hanging="360"/>
      </w:pPr>
    </w:lvl>
    <w:lvl w:ilvl="8" w:tplc="AD38C550" w:tentative="1">
      <w:start w:val="1"/>
      <w:numFmt w:val="lowerRoman"/>
      <w:lvlText w:val="%9."/>
      <w:lvlJc w:val="right"/>
      <w:pPr>
        <w:tabs>
          <w:tab w:val="num" w:pos="6480"/>
        </w:tabs>
        <w:ind w:left="6480" w:hanging="180"/>
      </w:pPr>
    </w:lvl>
  </w:abstractNum>
  <w:abstractNum w:abstractNumId="5" w15:restartNumberingAfterBreak="0">
    <w:nsid w:val="5CAB56D0"/>
    <w:multiLevelType w:val="hybridMultilevel"/>
    <w:tmpl w:val="3B848332"/>
    <w:lvl w:ilvl="0" w:tplc="56347872">
      <w:start w:val="1"/>
      <w:numFmt w:val="bullet"/>
      <w:pStyle w:val="LPalineje"/>
      <w:lvlText w:val="-"/>
      <w:lvlJc w:val="left"/>
      <w:pPr>
        <w:ind w:left="360" w:hanging="360"/>
      </w:pPr>
      <w:rPr>
        <w:rFonts w:ascii="Verdana" w:hAnsi="Verdana" w:hint="default"/>
        <w:color w:val="0070C0"/>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2554B2"/>
    <w:multiLevelType w:val="multilevel"/>
    <w:tmpl w:val="5C74478A"/>
    <w:lvl w:ilvl="0">
      <w:start w:val="1"/>
      <w:numFmt w:val="decimal"/>
      <w:pStyle w:val="LPNaslov1"/>
      <w:lvlText w:val="%1"/>
      <w:lvlJc w:val="left"/>
      <w:pPr>
        <w:ind w:left="709" w:hanging="709"/>
      </w:pPr>
      <w:rPr>
        <w:rFonts w:hint="default"/>
      </w:rPr>
    </w:lvl>
    <w:lvl w:ilvl="1">
      <w:start w:val="1"/>
      <w:numFmt w:val="decimal"/>
      <w:pStyle w:val="LPNaslov2"/>
      <w:lvlText w:val="%1.%2"/>
      <w:lvlJc w:val="left"/>
      <w:pPr>
        <w:ind w:left="709" w:hanging="709"/>
      </w:pPr>
      <w:rPr>
        <w:rFonts w:hint="default"/>
      </w:rPr>
    </w:lvl>
    <w:lvl w:ilvl="2">
      <w:start w:val="1"/>
      <w:numFmt w:val="decimal"/>
      <w:pStyle w:val="LPNaslov3"/>
      <w:lvlText w:val="%1.%2.%3"/>
      <w:lvlJc w:val="left"/>
      <w:pPr>
        <w:ind w:left="709" w:hanging="709"/>
      </w:pPr>
      <w:rPr>
        <w:rFonts w:hint="default"/>
      </w:rPr>
    </w:lvl>
    <w:lvl w:ilvl="3">
      <w:start w:val="1"/>
      <w:numFmt w:val="decimal"/>
      <w:pStyle w:val="LPNaslov4"/>
      <w:lvlText w:val="%1.%2.%3.%4"/>
      <w:lvlJc w:val="left"/>
      <w:pPr>
        <w:ind w:left="709" w:hanging="709"/>
      </w:pPr>
      <w:rPr>
        <w:rFonts w:hint="default"/>
      </w:rPr>
    </w:lvl>
    <w:lvl w:ilvl="4">
      <w:start w:val="1"/>
      <w:numFmt w:val="none"/>
      <w:pStyle w:val="LPpodpoglavje"/>
      <w:lvlText w:val=""/>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6"/>
  </w:num>
  <w:num w:numId="3">
    <w:abstractNumId w:val="6"/>
  </w:num>
  <w:num w:numId="4">
    <w:abstractNumId w:val="6"/>
  </w:num>
  <w:num w:numId="5">
    <w:abstractNumId w:val="6"/>
  </w:num>
  <w:num w:numId="6">
    <w:abstractNumId w:val="6"/>
  </w:num>
  <w:num w:numId="7">
    <w:abstractNumId w:val="1"/>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3"/>
  </w:num>
  <w:num w:numId="13">
    <w:abstractNumId w:val="6"/>
  </w:num>
  <w:num w:numId="14">
    <w:abstractNumId w:val="6"/>
  </w:num>
  <w:num w:numId="15">
    <w:abstractNumId w:val="6"/>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Moves/>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432"/>
    <w:rsid w:val="00000F35"/>
    <w:rsid w:val="0000125B"/>
    <w:rsid w:val="00002DBD"/>
    <w:rsid w:val="0000303C"/>
    <w:rsid w:val="000045EC"/>
    <w:rsid w:val="00005EEF"/>
    <w:rsid w:val="000067FC"/>
    <w:rsid w:val="00011DDC"/>
    <w:rsid w:val="00011DF1"/>
    <w:rsid w:val="000132C6"/>
    <w:rsid w:val="00013CEA"/>
    <w:rsid w:val="00015393"/>
    <w:rsid w:val="0002222A"/>
    <w:rsid w:val="00023839"/>
    <w:rsid w:val="0002482E"/>
    <w:rsid w:val="000258E6"/>
    <w:rsid w:val="00025EB3"/>
    <w:rsid w:val="000305D8"/>
    <w:rsid w:val="00030A89"/>
    <w:rsid w:val="00030B1F"/>
    <w:rsid w:val="00032E5A"/>
    <w:rsid w:val="00033065"/>
    <w:rsid w:val="00035D6C"/>
    <w:rsid w:val="00040436"/>
    <w:rsid w:val="00040F58"/>
    <w:rsid w:val="0004193A"/>
    <w:rsid w:val="000421F3"/>
    <w:rsid w:val="0004282D"/>
    <w:rsid w:val="00043E38"/>
    <w:rsid w:val="000442D6"/>
    <w:rsid w:val="00046CE0"/>
    <w:rsid w:val="0004779A"/>
    <w:rsid w:val="00047CF2"/>
    <w:rsid w:val="000501F0"/>
    <w:rsid w:val="0005434D"/>
    <w:rsid w:val="000670A2"/>
    <w:rsid w:val="00070F13"/>
    <w:rsid w:val="000748CE"/>
    <w:rsid w:val="00074AFC"/>
    <w:rsid w:val="00075CE7"/>
    <w:rsid w:val="0007755C"/>
    <w:rsid w:val="00077FF4"/>
    <w:rsid w:val="00081409"/>
    <w:rsid w:val="00082E01"/>
    <w:rsid w:val="00085E91"/>
    <w:rsid w:val="00090819"/>
    <w:rsid w:val="00091A42"/>
    <w:rsid w:val="000920DC"/>
    <w:rsid w:val="00092AF8"/>
    <w:rsid w:val="00092FE1"/>
    <w:rsid w:val="00094002"/>
    <w:rsid w:val="000941AF"/>
    <w:rsid w:val="00097575"/>
    <w:rsid w:val="000A0769"/>
    <w:rsid w:val="000A118E"/>
    <w:rsid w:val="000A13BD"/>
    <w:rsid w:val="000A2341"/>
    <w:rsid w:val="000A5CDD"/>
    <w:rsid w:val="000A626D"/>
    <w:rsid w:val="000B0204"/>
    <w:rsid w:val="000B3C08"/>
    <w:rsid w:val="000B411C"/>
    <w:rsid w:val="000B4E24"/>
    <w:rsid w:val="000B6E0B"/>
    <w:rsid w:val="000B7815"/>
    <w:rsid w:val="000B7B1F"/>
    <w:rsid w:val="000C09EB"/>
    <w:rsid w:val="000C123E"/>
    <w:rsid w:val="000C1734"/>
    <w:rsid w:val="000C2CB7"/>
    <w:rsid w:val="000C3258"/>
    <w:rsid w:val="000C43D3"/>
    <w:rsid w:val="000C4659"/>
    <w:rsid w:val="000C65D8"/>
    <w:rsid w:val="000D0AE8"/>
    <w:rsid w:val="000D450E"/>
    <w:rsid w:val="000D7257"/>
    <w:rsid w:val="000E4DB2"/>
    <w:rsid w:val="000E5141"/>
    <w:rsid w:val="000E66E9"/>
    <w:rsid w:val="000F3171"/>
    <w:rsid w:val="000F3581"/>
    <w:rsid w:val="000F5831"/>
    <w:rsid w:val="00102E03"/>
    <w:rsid w:val="0010337E"/>
    <w:rsid w:val="0010450E"/>
    <w:rsid w:val="001052B3"/>
    <w:rsid w:val="001058B4"/>
    <w:rsid w:val="0010634A"/>
    <w:rsid w:val="0010679E"/>
    <w:rsid w:val="0010728F"/>
    <w:rsid w:val="001079AD"/>
    <w:rsid w:val="00107C38"/>
    <w:rsid w:val="00111183"/>
    <w:rsid w:val="00113F98"/>
    <w:rsid w:val="001140E3"/>
    <w:rsid w:val="0011546B"/>
    <w:rsid w:val="00117F38"/>
    <w:rsid w:val="001209D7"/>
    <w:rsid w:val="00121EF4"/>
    <w:rsid w:val="00123C10"/>
    <w:rsid w:val="00124888"/>
    <w:rsid w:val="00124D23"/>
    <w:rsid w:val="00126635"/>
    <w:rsid w:val="0012704A"/>
    <w:rsid w:val="00132B1E"/>
    <w:rsid w:val="0013489F"/>
    <w:rsid w:val="00134A7D"/>
    <w:rsid w:val="001371D4"/>
    <w:rsid w:val="001378D8"/>
    <w:rsid w:val="001401CE"/>
    <w:rsid w:val="001407AF"/>
    <w:rsid w:val="00141868"/>
    <w:rsid w:val="00141A83"/>
    <w:rsid w:val="00142DC1"/>
    <w:rsid w:val="0014347A"/>
    <w:rsid w:val="00146390"/>
    <w:rsid w:val="001504C6"/>
    <w:rsid w:val="0015222D"/>
    <w:rsid w:val="00152DAC"/>
    <w:rsid w:val="0015340D"/>
    <w:rsid w:val="00153F07"/>
    <w:rsid w:val="00154002"/>
    <w:rsid w:val="00155B8E"/>
    <w:rsid w:val="00160292"/>
    <w:rsid w:val="0016162F"/>
    <w:rsid w:val="00161EA8"/>
    <w:rsid w:val="00164A66"/>
    <w:rsid w:val="00164DDF"/>
    <w:rsid w:val="00164EE4"/>
    <w:rsid w:val="00165D80"/>
    <w:rsid w:val="001701A0"/>
    <w:rsid w:val="00172DD6"/>
    <w:rsid w:val="00173126"/>
    <w:rsid w:val="0017414F"/>
    <w:rsid w:val="00174857"/>
    <w:rsid w:val="00175A3C"/>
    <w:rsid w:val="00176477"/>
    <w:rsid w:val="001816DE"/>
    <w:rsid w:val="00181C04"/>
    <w:rsid w:val="001829DD"/>
    <w:rsid w:val="001851F0"/>
    <w:rsid w:val="00186EAC"/>
    <w:rsid w:val="00187B27"/>
    <w:rsid w:val="00187DE2"/>
    <w:rsid w:val="001902AB"/>
    <w:rsid w:val="00196943"/>
    <w:rsid w:val="00197792"/>
    <w:rsid w:val="001A16C4"/>
    <w:rsid w:val="001A281F"/>
    <w:rsid w:val="001A2DB0"/>
    <w:rsid w:val="001A3A0E"/>
    <w:rsid w:val="001A3A4E"/>
    <w:rsid w:val="001A4805"/>
    <w:rsid w:val="001A4BF1"/>
    <w:rsid w:val="001A4DF1"/>
    <w:rsid w:val="001A6BFD"/>
    <w:rsid w:val="001A7546"/>
    <w:rsid w:val="001A7AD5"/>
    <w:rsid w:val="001B146F"/>
    <w:rsid w:val="001B3842"/>
    <w:rsid w:val="001B3DA3"/>
    <w:rsid w:val="001B6C7E"/>
    <w:rsid w:val="001B6CEA"/>
    <w:rsid w:val="001C0223"/>
    <w:rsid w:val="001C093F"/>
    <w:rsid w:val="001C1072"/>
    <w:rsid w:val="001C1A3E"/>
    <w:rsid w:val="001C290A"/>
    <w:rsid w:val="001C329B"/>
    <w:rsid w:val="001C3410"/>
    <w:rsid w:val="001C436F"/>
    <w:rsid w:val="001C6A65"/>
    <w:rsid w:val="001C6FAB"/>
    <w:rsid w:val="001C7E19"/>
    <w:rsid w:val="001D01C3"/>
    <w:rsid w:val="001D3553"/>
    <w:rsid w:val="001D6C7D"/>
    <w:rsid w:val="001E063F"/>
    <w:rsid w:val="001E14AC"/>
    <w:rsid w:val="001E161F"/>
    <w:rsid w:val="001E281E"/>
    <w:rsid w:val="001E3C16"/>
    <w:rsid w:val="001E3D12"/>
    <w:rsid w:val="001E5AD5"/>
    <w:rsid w:val="001E6213"/>
    <w:rsid w:val="001E7354"/>
    <w:rsid w:val="001F1C31"/>
    <w:rsid w:val="001F213F"/>
    <w:rsid w:val="001F4B18"/>
    <w:rsid w:val="001F5B6A"/>
    <w:rsid w:val="00200868"/>
    <w:rsid w:val="002013E3"/>
    <w:rsid w:val="002019E3"/>
    <w:rsid w:val="00203429"/>
    <w:rsid w:val="00205A97"/>
    <w:rsid w:val="0020714A"/>
    <w:rsid w:val="002116A1"/>
    <w:rsid w:val="00211AA7"/>
    <w:rsid w:val="0021206D"/>
    <w:rsid w:val="00213B69"/>
    <w:rsid w:val="00214DF7"/>
    <w:rsid w:val="0021564F"/>
    <w:rsid w:val="00221601"/>
    <w:rsid w:val="00222DEE"/>
    <w:rsid w:val="00223363"/>
    <w:rsid w:val="0022504B"/>
    <w:rsid w:val="00225E05"/>
    <w:rsid w:val="00226E21"/>
    <w:rsid w:val="002273B1"/>
    <w:rsid w:val="00230950"/>
    <w:rsid w:val="00231C24"/>
    <w:rsid w:val="002321DC"/>
    <w:rsid w:val="002326FF"/>
    <w:rsid w:val="00232FC0"/>
    <w:rsid w:val="00234D8C"/>
    <w:rsid w:val="00234EC9"/>
    <w:rsid w:val="002377F1"/>
    <w:rsid w:val="00237C61"/>
    <w:rsid w:val="00240B97"/>
    <w:rsid w:val="00240BD0"/>
    <w:rsid w:val="00243438"/>
    <w:rsid w:val="002439EB"/>
    <w:rsid w:val="00246157"/>
    <w:rsid w:val="00246A3C"/>
    <w:rsid w:val="0025308E"/>
    <w:rsid w:val="0025366D"/>
    <w:rsid w:val="00253CB8"/>
    <w:rsid w:val="0025427B"/>
    <w:rsid w:val="00256344"/>
    <w:rsid w:val="0025776D"/>
    <w:rsid w:val="00260F2B"/>
    <w:rsid w:val="002615B1"/>
    <w:rsid w:val="002616CD"/>
    <w:rsid w:val="00261752"/>
    <w:rsid w:val="00263A77"/>
    <w:rsid w:val="00263D93"/>
    <w:rsid w:val="0026410E"/>
    <w:rsid w:val="002656F2"/>
    <w:rsid w:val="002658CC"/>
    <w:rsid w:val="00265A86"/>
    <w:rsid w:val="00266A27"/>
    <w:rsid w:val="00272FB1"/>
    <w:rsid w:val="00273367"/>
    <w:rsid w:val="00275331"/>
    <w:rsid w:val="00275C7E"/>
    <w:rsid w:val="0027652F"/>
    <w:rsid w:val="00276952"/>
    <w:rsid w:val="00282272"/>
    <w:rsid w:val="00283DDA"/>
    <w:rsid w:val="0028408D"/>
    <w:rsid w:val="002868FC"/>
    <w:rsid w:val="00287E72"/>
    <w:rsid w:val="002910FB"/>
    <w:rsid w:val="00291335"/>
    <w:rsid w:val="002929FA"/>
    <w:rsid w:val="00292E59"/>
    <w:rsid w:val="00293B9D"/>
    <w:rsid w:val="002963B6"/>
    <w:rsid w:val="002A0D43"/>
    <w:rsid w:val="002A2DB8"/>
    <w:rsid w:val="002A67E5"/>
    <w:rsid w:val="002B02DF"/>
    <w:rsid w:val="002B2C98"/>
    <w:rsid w:val="002B6381"/>
    <w:rsid w:val="002C0511"/>
    <w:rsid w:val="002C184E"/>
    <w:rsid w:val="002C202F"/>
    <w:rsid w:val="002C2BB6"/>
    <w:rsid w:val="002C3735"/>
    <w:rsid w:val="002C4B7C"/>
    <w:rsid w:val="002C4EA2"/>
    <w:rsid w:val="002C5313"/>
    <w:rsid w:val="002C60EE"/>
    <w:rsid w:val="002C6D6F"/>
    <w:rsid w:val="002C76E9"/>
    <w:rsid w:val="002D1265"/>
    <w:rsid w:val="002D2D13"/>
    <w:rsid w:val="002D3E0F"/>
    <w:rsid w:val="002D5FFC"/>
    <w:rsid w:val="002D6D87"/>
    <w:rsid w:val="002E0355"/>
    <w:rsid w:val="002E343A"/>
    <w:rsid w:val="002E37DE"/>
    <w:rsid w:val="002E3C7A"/>
    <w:rsid w:val="002E4DFC"/>
    <w:rsid w:val="002E6116"/>
    <w:rsid w:val="002E668E"/>
    <w:rsid w:val="002E670A"/>
    <w:rsid w:val="002E7001"/>
    <w:rsid w:val="002F3867"/>
    <w:rsid w:val="002F66FF"/>
    <w:rsid w:val="002F74FC"/>
    <w:rsid w:val="00300181"/>
    <w:rsid w:val="00301E29"/>
    <w:rsid w:val="00302D99"/>
    <w:rsid w:val="00304876"/>
    <w:rsid w:val="00307A43"/>
    <w:rsid w:val="00310014"/>
    <w:rsid w:val="003128B1"/>
    <w:rsid w:val="00313579"/>
    <w:rsid w:val="00314572"/>
    <w:rsid w:val="00316742"/>
    <w:rsid w:val="00316CE7"/>
    <w:rsid w:val="00320235"/>
    <w:rsid w:val="00321639"/>
    <w:rsid w:val="00322119"/>
    <w:rsid w:val="003232F7"/>
    <w:rsid w:val="003235DB"/>
    <w:rsid w:val="00324051"/>
    <w:rsid w:val="0032409E"/>
    <w:rsid w:val="003240B1"/>
    <w:rsid w:val="003308E7"/>
    <w:rsid w:val="00331B81"/>
    <w:rsid w:val="00334573"/>
    <w:rsid w:val="00335FC9"/>
    <w:rsid w:val="00337638"/>
    <w:rsid w:val="00340322"/>
    <w:rsid w:val="00340E7A"/>
    <w:rsid w:val="00340EB2"/>
    <w:rsid w:val="00343710"/>
    <w:rsid w:val="00345D0A"/>
    <w:rsid w:val="00350484"/>
    <w:rsid w:val="00351590"/>
    <w:rsid w:val="0035215F"/>
    <w:rsid w:val="00356587"/>
    <w:rsid w:val="003603DF"/>
    <w:rsid w:val="00361445"/>
    <w:rsid w:val="0036160D"/>
    <w:rsid w:val="00361652"/>
    <w:rsid w:val="003646FD"/>
    <w:rsid w:val="00366372"/>
    <w:rsid w:val="00366B6D"/>
    <w:rsid w:val="003673DB"/>
    <w:rsid w:val="003706A8"/>
    <w:rsid w:val="00370734"/>
    <w:rsid w:val="00370B29"/>
    <w:rsid w:val="003710F1"/>
    <w:rsid w:val="003712E4"/>
    <w:rsid w:val="003716BF"/>
    <w:rsid w:val="00374074"/>
    <w:rsid w:val="003741CE"/>
    <w:rsid w:val="003743B2"/>
    <w:rsid w:val="00377F35"/>
    <w:rsid w:val="00380E88"/>
    <w:rsid w:val="00382CE6"/>
    <w:rsid w:val="00382E01"/>
    <w:rsid w:val="003840AD"/>
    <w:rsid w:val="00385CF3"/>
    <w:rsid w:val="00385ECC"/>
    <w:rsid w:val="003878D6"/>
    <w:rsid w:val="0039134A"/>
    <w:rsid w:val="0039244B"/>
    <w:rsid w:val="0039357D"/>
    <w:rsid w:val="00393657"/>
    <w:rsid w:val="00394F6B"/>
    <w:rsid w:val="003A4664"/>
    <w:rsid w:val="003A6829"/>
    <w:rsid w:val="003B1BA8"/>
    <w:rsid w:val="003B277C"/>
    <w:rsid w:val="003B2BEF"/>
    <w:rsid w:val="003B5D62"/>
    <w:rsid w:val="003B781D"/>
    <w:rsid w:val="003C06DE"/>
    <w:rsid w:val="003C2F7B"/>
    <w:rsid w:val="003D095F"/>
    <w:rsid w:val="003D2CAD"/>
    <w:rsid w:val="003D51BF"/>
    <w:rsid w:val="003D5E36"/>
    <w:rsid w:val="003E4F1D"/>
    <w:rsid w:val="003E6FD3"/>
    <w:rsid w:val="003F1BCC"/>
    <w:rsid w:val="003F3115"/>
    <w:rsid w:val="003F716E"/>
    <w:rsid w:val="003F7670"/>
    <w:rsid w:val="0040159A"/>
    <w:rsid w:val="004021C0"/>
    <w:rsid w:val="00405D81"/>
    <w:rsid w:val="00406B28"/>
    <w:rsid w:val="00407D17"/>
    <w:rsid w:val="00412AFC"/>
    <w:rsid w:val="004140BE"/>
    <w:rsid w:val="00417374"/>
    <w:rsid w:val="00420D7C"/>
    <w:rsid w:val="0042274E"/>
    <w:rsid w:val="004234A6"/>
    <w:rsid w:val="004309F1"/>
    <w:rsid w:val="0043124F"/>
    <w:rsid w:val="00432C74"/>
    <w:rsid w:val="00434EFE"/>
    <w:rsid w:val="00440C09"/>
    <w:rsid w:val="0044144A"/>
    <w:rsid w:val="004432E1"/>
    <w:rsid w:val="00444E30"/>
    <w:rsid w:val="004454F6"/>
    <w:rsid w:val="00447204"/>
    <w:rsid w:val="00450F66"/>
    <w:rsid w:val="0045193A"/>
    <w:rsid w:val="00453B48"/>
    <w:rsid w:val="00454F4A"/>
    <w:rsid w:val="00456934"/>
    <w:rsid w:val="00457187"/>
    <w:rsid w:val="00457672"/>
    <w:rsid w:val="00457753"/>
    <w:rsid w:val="0045778D"/>
    <w:rsid w:val="004602B6"/>
    <w:rsid w:val="004606A3"/>
    <w:rsid w:val="004608FA"/>
    <w:rsid w:val="004628DD"/>
    <w:rsid w:val="00463FAD"/>
    <w:rsid w:val="00464CF4"/>
    <w:rsid w:val="00464F26"/>
    <w:rsid w:val="00471458"/>
    <w:rsid w:val="00471D18"/>
    <w:rsid w:val="0047281C"/>
    <w:rsid w:val="00474A4D"/>
    <w:rsid w:val="004763D5"/>
    <w:rsid w:val="004807F4"/>
    <w:rsid w:val="00482061"/>
    <w:rsid w:val="00487A0D"/>
    <w:rsid w:val="00490A21"/>
    <w:rsid w:val="00490EA7"/>
    <w:rsid w:val="004914C2"/>
    <w:rsid w:val="0049371B"/>
    <w:rsid w:val="00494E25"/>
    <w:rsid w:val="0049608D"/>
    <w:rsid w:val="0049663C"/>
    <w:rsid w:val="004A1DEE"/>
    <w:rsid w:val="004A1F8E"/>
    <w:rsid w:val="004A28D5"/>
    <w:rsid w:val="004A2950"/>
    <w:rsid w:val="004A46D2"/>
    <w:rsid w:val="004A5367"/>
    <w:rsid w:val="004A53C8"/>
    <w:rsid w:val="004A5E54"/>
    <w:rsid w:val="004A6BC4"/>
    <w:rsid w:val="004B070A"/>
    <w:rsid w:val="004B1D5A"/>
    <w:rsid w:val="004B2BA4"/>
    <w:rsid w:val="004B4448"/>
    <w:rsid w:val="004B5099"/>
    <w:rsid w:val="004B5E29"/>
    <w:rsid w:val="004B6930"/>
    <w:rsid w:val="004C31AF"/>
    <w:rsid w:val="004C4A5D"/>
    <w:rsid w:val="004C6F46"/>
    <w:rsid w:val="004C783B"/>
    <w:rsid w:val="004C7B56"/>
    <w:rsid w:val="004D1189"/>
    <w:rsid w:val="004D268D"/>
    <w:rsid w:val="004D479F"/>
    <w:rsid w:val="004D6250"/>
    <w:rsid w:val="004D6708"/>
    <w:rsid w:val="004E02ED"/>
    <w:rsid w:val="004E5101"/>
    <w:rsid w:val="004E63BD"/>
    <w:rsid w:val="004E6896"/>
    <w:rsid w:val="004E7227"/>
    <w:rsid w:val="004F0329"/>
    <w:rsid w:val="004F617F"/>
    <w:rsid w:val="004F670C"/>
    <w:rsid w:val="00502004"/>
    <w:rsid w:val="00503A92"/>
    <w:rsid w:val="00503B7E"/>
    <w:rsid w:val="00504D2D"/>
    <w:rsid w:val="00505210"/>
    <w:rsid w:val="00507BE9"/>
    <w:rsid w:val="00510320"/>
    <w:rsid w:val="00510D4D"/>
    <w:rsid w:val="00513051"/>
    <w:rsid w:val="0051672C"/>
    <w:rsid w:val="0051678E"/>
    <w:rsid w:val="00522DD1"/>
    <w:rsid w:val="00523807"/>
    <w:rsid w:val="005248D4"/>
    <w:rsid w:val="005251A5"/>
    <w:rsid w:val="00525418"/>
    <w:rsid w:val="005259A6"/>
    <w:rsid w:val="005265AE"/>
    <w:rsid w:val="005276F7"/>
    <w:rsid w:val="00530103"/>
    <w:rsid w:val="00531936"/>
    <w:rsid w:val="0053203A"/>
    <w:rsid w:val="00537AF1"/>
    <w:rsid w:val="00537CE5"/>
    <w:rsid w:val="0054093F"/>
    <w:rsid w:val="005414CD"/>
    <w:rsid w:val="005427D6"/>
    <w:rsid w:val="0054337C"/>
    <w:rsid w:val="005476EB"/>
    <w:rsid w:val="00547896"/>
    <w:rsid w:val="00551766"/>
    <w:rsid w:val="00551EAB"/>
    <w:rsid w:val="005530F8"/>
    <w:rsid w:val="00553440"/>
    <w:rsid w:val="00553DCF"/>
    <w:rsid w:val="00554CF3"/>
    <w:rsid w:val="00554F0B"/>
    <w:rsid w:val="00555DF3"/>
    <w:rsid w:val="005567E2"/>
    <w:rsid w:val="00557997"/>
    <w:rsid w:val="005719C4"/>
    <w:rsid w:val="00572EC7"/>
    <w:rsid w:val="00573221"/>
    <w:rsid w:val="00573EE0"/>
    <w:rsid w:val="00576BD5"/>
    <w:rsid w:val="0058019A"/>
    <w:rsid w:val="005808DC"/>
    <w:rsid w:val="00581206"/>
    <w:rsid w:val="0058172A"/>
    <w:rsid w:val="005828AF"/>
    <w:rsid w:val="005869EE"/>
    <w:rsid w:val="00587625"/>
    <w:rsid w:val="00587CDA"/>
    <w:rsid w:val="00592F06"/>
    <w:rsid w:val="00593C38"/>
    <w:rsid w:val="0059407E"/>
    <w:rsid w:val="005942C1"/>
    <w:rsid w:val="005946D4"/>
    <w:rsid w:val="005949C7"/>
    <w:rsid w:val="00594CF9"/>
    <w:rsid w:val="005959EA"/>
    <w:rsid w:val="00596BDC"/>
    <w:rsid w:val="00597CC1"/>
    <w:rsid w:val="005A06CD"/>
    <w:rsid w:val="005A0971"/>
    <w:rsid w:val="005A1023"/>
    <w:rsid w:val="005A2EB6"/>
    <w:rsid w:val="005B0A85"/>
    <w:rsid w:val="005B0BC4"/>
    <w:rsid w:val="005B1F8E"/>
    <w:rsid w:val="005B21BB"/>
    <w:rsid w:val="005B3685"/>
    <w:rsid w:val="005B4EAB"/>
    <w:rsid w:val="005B7ADF"/>
    <w:rsid w:val="005C03E8"/>
    <w:rsid w:val="005C0746"/>
    <w:rsid w:val="005C0B31"/>
    <w:rsid w:val="005C17EA"/>
    <w:rsid w:val="005C3101"/>
    <w:rsid w:val="005C35D8"/>
    <w:rsid w:val="005C7342"/>
    <w:rsid w:val="005D1129"/>
    <w:rsid w:val="005D264D"/>
    <w:rsid w:val="005D516B"/>
    <w:rsid w:val="005D6082"/>
    <w:rsid w:val="005D66FF"/>
    <w:rsid w:val="005D6E7B"/>
    <w:rsid w:val="005D713B"/>
    <w:rsid w:val="005E00DF"/>
    <w:rsid w:val="005E0B77"/>
    <w:rsid w:val="005E185D"/>
    <w:rsid w:val="005E1A77"/>
    <w:rsid w:val="005E1F30"/>
    <w:rsid w:val="005E3CC2"/>
    <w:rsid w:val="005E4B95"/>
    <w:rsid w:val="005E4F6E"/>
    <w:rsid w:val="005E7F8E"/>
    <w:rsid w:val="005F0053"/>
    <w:rsid w:val="005F01DE"/>
    <w:rsid w:val="005F1287"/>
    <w:rsid w:val="005F3568"/>
    <w:rsid w:val="005F3911"/>
    <w:rsid w:val="005F45E1"/>
    <w:rsid w:val="005F5627"/>
    <w:rsid w:val="005F62B6"/>
    <w:rsid w:val="006024C1"/>
    <w:rsid w:val="00602CE6"/>
    <w:rsid w:val="00602E27"/>
    <w:rsid w:val="006038ED"/>
    <w:rsid w:val="00604BC5"/>
    <w:rsid w:val="00607865"/>
    <w:rsid w:val="00610610"/>
    <w:rsid w:val="00610B9D"/>
    <w:rsid w:val="00610F74"/>
    <w:rsid w:val="00611744"/>
    <w:rsid w:val="00615412"/>
    <w:rsid w:val="006157E5"/>
    <w:rsid w:val="00616B26"/>
    <w:rsid w:val="00616E6D"/>
    <w:rsid w:val="00623401"/>
    <w:rsid w:val="00624D04"/>
    <w:rsid w:val="00625607"/>
    <w:rsid w:val="00625CA8"/>
    <w:rsid w:val="00625E60"/>
    <w:rsid w:val="00630493"/>
    <w:rsid w:val="00631A30"/>
    <w:rsid w:val="00632B68"/>
    <w:rsid w:val="00633437"/>
    <w:rsid w:val="00636717"/>
    <w:rsid w:val="00640AA8"/>
    <w:rsid w:val="00641E04"/>
    <w:rsid w:val="00643144"/>
    <w:rsid w:val="006431FB"/>
    <w:rsid w:val="00646E0E"/>
    <w:rsid w:val="00650444"/>
    <w:rsid w:val="00651406"/>
    <w:rsid w:val="0065329D"/>
    <w:rsid w:val="0065339E"/>
    <w:rsid w:val="0065374D"/>
    <w:rsid w:val="00653A52"/>
    <w:rsid w:val="00653BB4"/>
    <w:rsid w:val="00653E67"/>
    <w:rsid w:val="00656169"/>
    <w:rsid w:val="006573C4"/>
    <w:rsid w:val="00657C3D"/>
    <w:rsid w:val="00657EBC"/>
    <w:rsid w:val="00660066"/>
    <w:rsid w:val="006604E8"/>
    <w:rsid w:val="0066051E"/>
    <w:rsid w:val="00660950"/>
    <w:rsid w:val="00661A24"/>
    <w:rsid w:val="00663AA4"/>
    <w:rsid w:val="00663DDF"/>
    <w:rsid w:val="00666AD1"/>
    <w:rsid w:val="0067018B"/>
    <w:rsid w:val="00670CC1"/>
    <w:rsid w:val="00671026"/>
    <w:rsid w:val="006717A6"/>
    <w:rsid w:val="00672CE3"/>
    <w:rsid w:val="0067628C"/>
    <w:rsid w:val="006832BF"/>
    <w:rsid w:val="00684F7A"/>
    <w:rsid w:val="00685AD5"/>
    <w:rsid w:val="0068760A"/>
    <w:rsid w:val="00691589"/>
    <w:rsid w:val="00691C4A"/>
    <w:rsid w:val="006923FD"/>
    <w:rsid w:val="0069275D"/>
    <w:rsid w:val="0069492D"/>
    <w:rsid w:val="0069572F"/>
    <w:rsid w:val="006A1636"/>
    <w:rsid w:val="006A1E7A"/>
    <w:rsid w:val="006A3F90"/>
    <w:rsid w:val="006A7858"/>
    <w:rsid w:val="006B0768"/>
    <w:rsid w:val="006B0B1F"/>
    <w:rsid w:val="006B2960"/>
    <w:rsid w:val="006B4913"/>
    <w:rsid w:val="006B5165"/>
    <w:rsid w:val="006C01BB"/>
    <w:rsid w:val="006C1D6B"/>
    <w:rsid w:val="006C28EF"/>
    <w:rsid w:val="006C37BD"/>
    <w:rsid w:val="006C6EB1"/>
    <w:rsid w:val="006C73AA"/>
    <w:rsid w:val="006C77F9"/>
    <w:rsid w:val="006D0BC0"/>
    <w:rsid w:val="006D28FB"/>
    <w:rsid w:val="006D3F17"/>
    <w:rsid w:val="006D44A9"/>
    <w:rsid w:val="006D4DFE"/>
    <w:rsid w:val="006D630B"/>
    <w:rsid w:val="006D6975"/>
    <w:rsid w:val="006D6E8D"/>
    <w:rsid w:val="006D7612"/>
    <w:rsid w:val="006E08BC"/>
    <w:rsid w:val="006E0DEB"/>
    <w:rsid w:val="006E2942"/>
    <w:rsid w:val="006E4501"/>
    <w:rsid w:val="006E46AB"/>
    <w:rsid w:val="006F0FE2"/>
    <w:rsid w:val="006F168F"/>
    <w:rsid w:val="006F1E69"/>
    <w:rsid w:val="006F632E"/>
    <w:rsid w:val="006F65C4"/>
    <w:rsid w:val="006F74FE"/>
    <w:rsid w:val="006F75C4"/>
    <w:rsid w:val="006F78CE"/>
    <w:rsid w:val="00704576"/>
    <w:rsid w:val="00705DA0"/>
    <w:rsid w:val="007108DF"/>
    <w:rsid w:val="007120C6"/>
    <w:rsid w:val="00713EB5"/>
    <w:rsid w:val="00715587"/>
    <w:rsid w:val="00716461"/>
    <w:rsid w:val="00716D19"/>
    <w:rsid w:val="00717416"/>
    <w:rsid w:val="00720326"/>
    <w:rsid w:val="00720881"/>
    <w:rsid w:val="007219D2"/>
    <w:rsid w:val="00721F39"/>
    <w:rsid w:val="0072204E"/>
    <w:rsid w:val="007227E2"/>
    <w:rsid w:val="00722B22"/>
    <w:rsid w:val="007237CD"/>
    <w:rsid w:val="00727B93"/>
    <w:rsid w:val="00732E58"/>
    <w:rsid w:val="00733DC2"/>
    <w:rsid w:val="00737F6E"/>
    <w:rsid w:val="007438F5"/>
    <w:rsid w:val="00743C33"/>
    <w:rsid w:val="00744E44"/>
    <w:rsid w:val="00745936"/>
    <w:rsid w:val="0074631D"/>
    <w:rsid w:val="0075133E"/>
    <w:rsid w:val="00753620"/>
    <w:rsid w:val="007544CE"/>
    <w:rsid w:val="00754662"/>
    <w:rsid w:val="00755025"/>
    <w:rsid w:val="00755128"/>
    <w:rsid w:val="007556FC"/>
    <w:rsid w:val="00755A1A"/>
    <w:rsid w:val="00757AC2"/>
    <w:rsid w:val="00757BAB"/>
    <w:rsid w:val="00757C61"/>
    <w:rsid w:val="0076378E"/>
    <w:rsid w:val="0076557C"/>
    <w:rsid w:val="00767391"/>
    <w:rsid w:val="007722B4"/>
    <w:rsid w:val="00774687"/>
    <w:rsid w:val="0077476F"/>
    <w:rsid w:val="00774BA0"/>
    <w:rsid w:val="007754F4"/>
    <w:rsid w:val="007765C5"/>
    <w:rsid w:val="00777FAF"/>
    <w:rsid w:val="00780327"/>
    <w:rsid w:val="007829E4"/>
    <w:rsid w:val="0078366A"/>
    <w:rsid w:val="00784169"/>
    <w:rsid w:val="00784362"/>
    <w:rsid w:val="00785FB7"/>
    <w:rsid w:val="007902B7"/>
    <w:rsid w:val="00790624"/>
    <w:rsid w:val="00793B61"/>
    <w:rsid w:val="007944B4"/>
    <w:rsid w:val="00794B26"/>
    <w:rsid w:val="00795EB3"/>
    <w:rsid w:val="00797748"/>
    <w:rsid w:val="007A03CE"/>
    <w:rsid w:val="007A14CE"/>
    <w:rsid w:val="007A1E9B"/>
    <w:rsid w:val="007A20A1"/>
    <w:rsid w:val="007A2E44"/>
    <w:rsid w:val="007A3205"/>
    <w:rsid w:val="007A625E"/>
    <w:rsid w:val="007A7327"/>
    <w:rsid w:val="007A7BB6"/>
    <w:rsid w:val="007A7F88"/>
    <w:rsid w:val="007B062F"/>
    <w:rsid w:val="007B17B3"/>
    <w:rsid w:val="007B2C32"/>
    <w:rsid w:val="007B42FF"/>
    <w:rsid w:val="007B6A3A"/>
    <w:rsid w:val="007C208A"/>
    <w:rsid w:val="007C3812"/>
    <w:rsid w:val="007C478E"/>
    <w:rsid w:val="007D1E97"/>
    <w:rsid w:val="007D6B49"/>
    <w:rsid w:val="007D7F2D"/>
    <w:rsid w:val="007E05D9"/>
    <w:rsid w:val="007E16CC"/>
    <w:rsid w:val="007F0B84"/>
    <w:rsid w:val="007F3D91"/>
    <w:rsid w:val="007F44F6"/>
    <w:rsid w:val="007F59E2"/>
    <w:rsid w:val="007F5EBF"/>
    <w:rsid w:val="007F6FF2"/>
    <w:rsid w:val="007F76A8"/>
    <w:rsid w:val="008017DB"/>
    <w:rsid w:val="0080261E"/>
    <w:rsid w:val="008057FE"/>
    <w:rsid w:val="008063E8"/>
    <w:rsid w:val="00806F83"/>
    <w:rsid w:val="00807E6F"/>
    <w:rsid w:val="00810671"/>
    <w:rsid w:val="0081220D"/>
    <w:rsid w:val="00812A23"/>
    <w:rsid w:val="00812D90"/>
    <w:rsid w:val="00812F0E"/>
    <w:rsid w:val="00813527"/>
    <w:rsid w:val="00813B33"/>
    <w:rsid w:val="00815360"/>
    <w:rsid w:val="0081704D"/>
    <w:rsid w:val="0081794A"/>
    <w:rsid w:val="00817C9F"/>
    <w:rsid w:val="00823344"/>
    <w:rsid w:val="00826F8A"/>
    <w:rsid w:val="008273F4"/>
    <w:rsid w:val="00831D42"/>
    <w:rsid w:val="00833DB8"/>
    <w:rsid w:val="008342C3"/>
    <w:rsid w:val="00836111"/>
    <w:rsid w:val="008364B4"/>
    <w:rsid w:val="0083678D"/>
    <w:rsid w:val="00837960"/>
    <w:rsid w:val="00837F00"/>
    <w:rsid w:val="00843F42"/>
    <w:rsid w:val="00845A66"/>
    <w:rsid w:val="008462ED"/>
    <w:rsid w:val="00847037"/>
    <w:rsid w:val="008471D9"/>
    <w:rsid w:val="00851F00"/>
    <w:rsid w:val="0085261E"/>
    <w:rsid w:val="008536B8"/>
    <w:rsid w:val="0085388F"/>
    <w:rsid w:val="0085605D"/>
    <w:rsid w:val="00856A9A"/>
    <w:rsid w:val="00857E6B"/>
    <w:rsid w:val="0086203E"/>
    <w:rsid w:val="00863AC0"/>
    <w:rsid w:val="008644B0"/>
    <w:rsid w:val="00867032"/>
    <w:rsid w:val="00867356"/>
    <w:rsid w:val="00871549"/>
    <w:rsid w:val="00873A7B"/>
    <w:rsid w:val="0087787F"/>
    <w:rsid w:val="00877C83"/>
    <w:rsid w:val="00880783"/>
    <w:rsid w:val="00882592"/>
    <w:rsid w:val="008832AD"/>
    <w:rsid w:val="0088576B"/>
    <w:rsid w:val="008867E3"/>
    <w:rsid w:val="00886A5E"/>
    <w:rsid w:val="00886DDF"/>
    <w:rsid w:val="008879D1"/>
    <w:rsid w:val="00890B82"/>
    <w:rsid w:val="00891B1E"/>
    <w:rsid w:val="00892605"/>
    <w:rsid w:val="00892741"/>
    <w:rsid w:val="008944D0"/>
    <w:rsid w:val="008948FB"/>
    <w:rsid w:val="0089501E"/>
    <w:rsid w:val="00896A97"/>
    <w:rsid w:val="0089777D"/>
    <w:rsid w:val="00897FD2"/>
    <w:rsid w:val="008A0878"/>
    <w:rsid w:val="008A1E6B"/>
    <w:rsid w:val="008A2FC3"/>
    <w:rsid w:val="008A3DCE"/>
    <w:rsid w:val="008A5739"/>
    <w:rsid w:val="008B0B6C"/>
    <w:rsid w:val="008B0C0F"/>
    <w:rsid w:val="008B1B28"/>
    <w:rsid w:val="008B3055"/>
    <w:rsid w:val="008B3AA5"/>
    <w:rsid w:val="008B676A"/>
    <w:rsid w:val="008B7570"/>
    <w:rsid w:val="008B7722"/>
    <w:rsid w:val="008B7E7C"/>
    <w:rsid w:val="008C07B3"/>
    <w:rsid w:val="008C120E"/>
    <w:rsid w:val="008C23AA"/>
    <w:rsid w:val="008C6911"/>
    <w:rsid w:val="008D0A12"/>
    <w:rsid w:val="008D11BD"/>
    <w:rsid w:val="008D1787"/>
    <w:rsid w:val="008D188B"/>
    <w:rsid w:val="008D2E31"/>
    <w:rsid w:val="008D3DA3"/>
    <w:rsid w:val="008D41FE"/>
    <w:rsid w:val="008E024A"/>
    <w:rsid w:val="008E315F"/>
    <w:rsid w:val="008E3A44"/>
    <w:rsid w:val="008E5FBA"/>
    <w:rsid w:val="008E72C5"/>
    <w:rsid w:val="008F2DE0"/>
    <w:rsid w:val="008F45E7"/>
    <w:rsid w:val="008F46F9"/>
    <w:rsid w:val="008F4CA5"/>
    <w:rsid w:val="008F51D1"/>
    <w:rsid w:val="00900D80"/>
    <w:rsid w:val="009019BF"/>
    <w:rsid w:val="00901B01"/>
    <w:rsid w:val="00901F49"/>
    <w:rsid w:val="00902778"/>
    <w:rsid w:val="009078CD"/>
    <w:rsid w:val="00911B26"/>
    <w:rsid w:val="009129D9"/>
    <w:rsid w:val="009140B9"/>
    <w:rsid w:val="009147F2"/>
    <w:rsid w:val="00914A7B"/>
    <w:rsid w:val="00914AEF"/>
    <w:rsid w:val="00915306"/>
    <w:rsid w:val="009165D7"/>
    <w:rsid w:val="00917329"/>
    <w:rsid w:val="00922B3A"/>
    <w:rsid w:val="00926224"/>
    <w:rsid w:val="00927F36"/>
    <w:rsid w:val="00931868"/>
    <w:rsid w:val="009320DA"/>
    <w:rsid w:val="009339F7"/>
    <w:rsid w:val="009343BA"/>
    <w:rsid w:val="00940701"/>
    <w:rsid w:val="00942022"/>
    <w:rsid w:val="009468DC"/>
    <w:rsid w:val="009469C3"/>
    <w:rsid w:val="00946D28"/>
    <w:rsid w:val="00947DAE"/>
    <w:rsid w:val="00953B80"/>
    <w:rsid w:val="00954230"/>
    <w:rsid w:val="00955178"/>
    <w:rsid w:val="00961556"/>
    <w:rsid w:val="00962501"/>
    <w:rsid w:val="009627F1"/>
    <w:rsid w:val="00963F3E"/>
    <w:rsid w:val="00965D5F"/>
    <w:rsid w:val="0096732E"/>
    <w:rsid w:val="009674F9"/>
    <w:rsid w:val="0096754C"/>
    <w:rsid w:val="00970AD4"/>
    <w:rsid w:val="009735F6"/>
    <w:rsid w:val="009743AE"/>
    <w:rsid w:val="0097598D"/>
    <w:rsid w:val="0098092B"/>
    <w:rsid w:val="00980AEC"/>
    <w:rsid w:val="009819DE"/>
    <w:rsid w:val="00982504"/>
    <w:rsid w:val="00984214"/>
    <w:rsid w:val="00987FAA"/>
    <w:rsid w:val="00992390"/>
    <w:rsid w:val="00993017"/>
    <w:rsid w:val="00993C89"/>
    <w:rsid w:val="00994A0C"/>
    <w:rsid w:val="0099518A"/>
    <w:rsid w:val="009953F6"/>
    <w:rsid w:val="009957BB"/>
    <w:rsid w:val="00997102"/>
    <w:rsid w:val="009A0151"/>
    <w:rsid w:val="009A12F5"/>
    <w:rsid w:val="009A1526"/>
    <w:rsid w:val="009A315F"/>
    <w:rsid w:val="009A4A3B"/>
    <w:rsid w:val="009A72C3"/>
    <w:rsid w:val="009B2130"/>
    <w:rsid w:val="009B308E"/>
    <w:rsid w:val="009B41A5"/>
    <w:rsid w:val="009B4862"/>
    <w:rsid w:val="009B55C9"/>
    <w:rsid w:val="009B5AA6"/>
    <w:rsid w:val="009B5C51"/>
    <w:rsid w:val="009B7678"/>
    <w:rsid w:val="009C0D0E"/>
    <w:rsid w:val="009C1878"/>
    <w:rsid w:val="009C28A2"/>
    <w:rsid w:val="009C4AD6"/>
    <w:rsid w:val="009C5229"/>
    <w:rsid w:val="009C55A7"/>
    <w:rsid w:val="009C55E6"/>
    <w:rsid w:val="009C7D1D"/>
    <w:rsid w:val="009D2CBB"/>
    <w:rsid w:val="009D5B8B"/>
    <w:rsid w:val="009D6F7F"/>
    <w:rsid w:val="009F3E5A"/>
    <w:rsid w:val="009F41EF"/>
    <w:rsid w:val="009F69D9"/>
    <w:rsid w:val="009F78DF"/>
    <w:rsid w:val="00A001BA"/>
    <w:rsid w:val="00A01AE7"/>
    <w:rsid w:val="00A069A3"/>
    <w:rsid w:val="00A0792B"/>
    <w:rsid w:val="00A113F9"/>
    <w:rsid w:val="00A11431"/>
    <w:rsid w:val="00A11EE2"/>
    <w:rsid w:val="00A151E0"/>
    <w:rsid w:val="00A15641"/>
    <w:rsid w:val="00A20662"/>
    <w:rsid w:val="00A251F4"/>
    <w:rsid w:val="00A2555D"/>
    <w:rsid w:val="00A26DCD"/>
    <w:rsid w:val="00A276BB"/>
    <w:rsid w:val="00A30439"/>
    <w:rsid w:val="00A30556"/>
    <w:rsid w:val="00A31834"/>
    <w:rsid w:val="00A35C74"/>
    <w:rsid w:val="00A40735"/>
    <w:rsid w:val="00A40C27"/>
    <w:rsid w:val="00A44DC2"/>
    <w:rsid w:val="00A52485"/>
    <w:rsid w:val="00A52844"/>
    <w:rsid w:val="00A5765B"/>
    <w:rsid w:val="00A57B4D"/>
    <w:rsid w:val="00A61CB2"/>
    <w:rsid w:val="00A624BB"/>
    <w:rsid w:val="00A627E4"/>
    <w:rsid w:val="00A66673"/>
    <w:rsid w:val="00A714E8"/>
    <w:rsid w:val="00A71E08"/>
    <w:rsid w:val="00A726E8"/>
    <w:rsid w:val="00A74739"/>
    <w:rsid w:val="00A74F21"/>
    <w:rsid w:val="00A75BA2"/>
    <w:rsid w:val="00A80B65"/>
    <w:rsid w:val="00A82726"/>
    <w:rsid w:val="00A82D48"/>
    <w:rsid w:val="00A83461"/>
    <w:rsid w:val="00A83A02"/>
    <w:rsid w:val="00A83EA5"/>
    <w:rsid w:val="00A83FD2"/>
    <w:rsid w:val="00A85E01"/>
    <w:rsid w:val="00A900E0"/>
    <w:rsid w:val="00A909A2"/>
    <w:rsid w:val="00A91A0B"/>
    <w:rsid w:val="00A953D8"/>
    <w:rsid w:val="00A95AD5"/>
    <w:rsid w:val="00A96196"/>
    <w:rsid w:val="00AA0D2D"/>
    <w:rsid w:val="00AA2B6B"/>
    <w:rsid w:val="00AA2B73"/>
    <w:rsid w:val="00AA4558"/>
    <w:rsid w:val="00AA67F2"/>
    <w:rsid w:val="00AA766C"/>
    <w:rsid w:val="00AB2B14"/>
    <w:rsid w:val="00AB4C1B"/>
    <w:rsid w:val="00AB5094"/>
    <w:rsid w:val="00AB616D"/>
    <w:rsid w:val="00AB68F2"/>
    <w:rsid w:val="00AB71FB"/>
    <w:rsid w:val="00AB72D7"/>
    <w:rsid w:val="00AC047E"/>
    <w:rsid w:val="00AC20B4"/>
    <w:rsid w:val="00AC2CB5"/>
    <w:rsid w:val="00AC5258"/>
    <w:rsid w:val="00AC5FE6"/>
    <w:rsid w:val="00AC705D"/>
    <w:rsid w:val="00AC750A"/>
    <w:rsid w:val="00AD02E0"/>
    <w:rsid w:val="00AD0433"/>
    <w:rsid w:val="00AD1C95"/>
    <w:rsid w:val="00AD24C3"/>
    <w:rsid w:val="00AD3004"/>
    <w:rsid w:val="00AD41C1"/>
    <w:rsid w:val="00AD47D5"/>
    <w:rsid w:val="00AD4D5E"/>
    <w:rsid w:val="00AD617B"/>
    <w:rsid w:val="00AD7E3B"/>
    <w:rsid w:val="00AE0868"/>
    <w:rsid w:val="00AE0874"/>
    <w:rsid w:val="00AE3BCF"/>
    <w:rsid w:val="00AE4965"/>
    <w:rsid w:val="00AE4D6B"/>
    <w:rsid w:val="00AF06F8"/>
    <w:rsid w:val="00AF129F"/>
    <w:rsid w:val="00AF4919"/>
    <w:rsid w:val="00B02480"/>
    <w:rsid w:val="00B02B26"/>
    <w:rsid w:val="00B04A5D"/>
    <w:rsid w:val="00B053C8"/>
    <w:rsid w:val="00B10308"/>
    <w:rsid w:val="00B12C79"/>
    <w:rsid w:val="00B12E7C"/>
    <w:rsid w:val="00B133FB"/>
    <w:rsid w:val="00B13B3C"/>
    <w:rsid w:val="00B159A4"/>
    <w:rsid w:val="00B21AB0"/>
    <w:rsid w:val="00B22BCA"/>
    <w:rsid w:val="00B24F96"/>
    <w:rsid w:val="00B27566"/>
    <w:rsid w:val="00B27756"/>
    <w:rsid w:val="00B30478"/>
    <w:rsid w:val="00B306FD"/>
    <w:rsid w:val="00B33A3F"/>
    <w:rsid w:val="00B36CC3"/>
    <w:rsid w:val="00B405C3"/>
    <w:rsid w:val="00B41A9A"/>
    <w:rsid w:val="00B439AB"/>
    <w:rsid w:val="00B44989"/>
    <w:rsid w:val="00B44FF3"/>
    <w:rsid w:val="00B46A7A"/>
    <w:rsid w:val="00B47790"/>
    <w:rsid w:val="00B50D1C"/>
    <w:rsid w:val="00B51E57"/>
    <w:rsid w:val="00B5204A"/>
    <w:rsid w:val="00B5215C"/>
    <w:rsid w:val="00B52643"/>
    <w:rsid w:val="00B54D97"/>
    <w:rsid w:val="00B55C87"/>
    <w:rsid w:val="00B55DF1"/>
    <w:rsid w:val="00B62F3A"/>
    <w:rsid w:val="00B63D5E"/>
    <w:rsid w:val="00B64867"/>
    <w:rsid w:val="00B6528E"/>
    <w:rsid w:val="00B66811"/>
    <w:rsid w:val="00B66F9F"/>
    <w:rsid w:val="00B70133"/>
    <w:rsid w:val="00B73FE6"/>
    <w:rsid w:val="00B75CE3"/>
    <w:rsid w:val="00B76644"/>
    <w:rsid w:val="00B77ADF"/>
    <w:rsid w:val="00B77CBE"/>
    <w:rsid w:val="00B803C2"/>
    <w:rsid w:val="00B806E0"/>
    <w:rsid w:val="00B81422"/>
    <w:rsid w:val="00B83638"/>
    <w:rsid w:val="00B86BB5"/>
    <w:rsid w:val="00B87471"/>
    <w:rsid w:val="00B90B3A"/>
    <w:rsid w:val="00B91EC2"/>
    <w:rsid w:val="00B93605"/>
    <w:rsid w:val="00BA35C2"/>
    <w:rsid w:val="00BB13FD"/>
    <w:rsid w:val="00BB4432"/>
    <w:rsid w:val="00BB5D8D"/>
    <w:rsid w:val="00BC1E4E"/>
    <w:rsid w:val="00BC255D"/>
    <w:rsid w:val="00BC466F"/>
    <w:rsid w:val="00BC6C11"/>
    <w:rsid w:val="00BC7C6F"/>
    <w:rsid w:val="00BD03A7"/>
    <w:rsid w:val="00BD1A53"/>
    <w:rsid w:val="00BD2B22"/>
    <w:rsid w:val="00BD55CA"/>
    <w:rsid w:val="00BE0188"/>
    <w:rsid w:val="00BE025A"/>
    <w:rsid w:val="00BE2578"/>
    <w:rsid w:val="00BF1BEC"/>
    <w:rsid w:val="00BF208B"/>
    <w:rsid w:val="00BF2EB2"/>
    <w:rsid w:val="00BF3344"/>
    <w:rsid w:val="00BF691E"/>
    <w:rsid w:val="00C02816"/>
    <w:rsid w:val="00C02E3D"/>
    <w:rsid w:val="00C030DE"/>
    <w:rsid w:val="00C041BD"/>
    <w:rsid w:val="00C04B38"/>
    <w:rsid w:val="00C0511C"/>
    <w:rsid w:val="00C05F01"/>
    <w:rsid w:val="00C078F7"/>
    <w:rsid w:val="00C1242E"/>
    <w:rsid w:val="00C14AF9"/>
    <w:rsid w:val="00C15BFF"/>
    <w:rsid w:val="00C16800"/>
    <w:rsid w:val="00C1682B"/>
    <w:rsid w:val="00C16875"/>
    <w:rsid w:val="00C173A3"/>
    <w:rsid w:val="00C20080"/>
    <w:rsid w:val="00C20444"/>
    <w:rsid w:val="00C2076C"/>
    <w:rsid w:val="00C209AD"/>
    <w:rsid w:val="00C22E62"/>
    <w:rsid w:val="00C23E8B"/>
    <w:rsid w:val="00C2550E"/>
    <w:rsid w:val="00C25955"/>
    <w:rsid w:val="00C26234"/>
    <w:rsid w:val="00C26F59"/>
    <w:rsid w:val="00C326F1"/>
    <w:rsid w:val="00C3275C"/>
    <w:rsid w:val="00C32F36"/>
    <w:rsid w:val="00C3313B"/>
    <w:rsid w:val="00C33865"/>
    <w:rsid w:val="00C354D6"/>
    <w:rsid w:val="00C3668F"/>
    <w:rsid w:val="00C36C0D"/>
    <w:rsid w:val="00C37133"/>
    <w:rsid w:val="00C372F6"/>
    <w:rsid w:val="00C40C31"/>
    <w:rsid w:val="00C42295"/>
    <w:rsid w:val="00C4351A"/>
    <w:rsid w:val="00C45A5E"/>
    <w:rsid w:val="00C46F53"/>
    <w:rsid w:val="00C5169D"/>
    <w:rsid w:val="00C53F99"/>
    <w:rsid w:val="00C55C4B"/>
    <w:rsid w:val="00C57507"/>
    <w:rsid w:val="00C62F07"/>
    <w:rsid w:val="00C63858"/>
    <w:rsid w:val="00C6516C"/>
    <w:rsid w:val="00C65CD9"/>
    <w:rsid w:val="00C66836"/>
    <w:rsid w:val="00C674D1"/>
    <w:rsid w:val="00C70F7A"/>
    <w:rsid w:val="00C7152E"/>
    <w:rsid w:val="00C73396"/>
    <w:rsid w:val="00C73DF9"/>
    <w:rsid w:val="00C74364"/>
    <w:rsid w:val="00C802FD"/>
    <w:rsid w:val="00C84AF6"/>
    <w:rsid w:val="00C87AA2"/>
    <w:rsid w:val="00C90326"/>
    <w:rsid w:val="00C90EFF"/>
    <w:rsid w:val="00C93AC6"/>
    <w:rsid w:val="00C948A0"/>
    <w:rsid w:val="00C95657"/>
    <w:rsid w:val="00CA10F2"/>
    <w:rsid w:val="00CA2956"/>
    <w:rsid w:val="00CA2B8E"/>
    <w:rsid w:val="00CA2CD3"/>
    <w:rsid w:val="00CA4049"/>
    <w:rsid w:val="00CA48B3"/>
    <w:rsid w:val="00CA7832"/>
    <w:rsid w:val="00CA7BDA"/>
    <w:rsid w:val="00CB0EA2"/>
    <w:rsid w:val="00CB39E6"/>
    <w:rsid w:val="00CB3A79"/>
    <w:rsid w:val="00CB5CD2"/>
    <w:rsid w:val="00CB6F07"/>
    <w:rsid w:val="00CB7FE8"/>
    <w:rsid w:val="00CC0144"/>
    <w:rsid w:val="00CC046B"/>
    <w:rsid w:val="00CC1D2F"/>
    <w:rsid w:val="00CC462C"/>
    <w:rsid w:val="00CC57A6"/>
    <w:rsid w:val="00CC5C3D"/>
    <w:rsid w:val="00CC648B"/>
    <w:rsid w:val="00CC75E9"/>
    <w:rsid w:val="00CD01B5"/>
    <w:rsid w:val="00CD145C"/>
    <w:rsid w:val="00CD1A2F"/>
    <w:rsid w:val="00CD2EEF"/>
    <w:rsid w:val="00CD76E6"/>
    <w:rsid w:val="00CE0058"/>
    <w:rsid w:val="00CE0972"/>
    <w:rsid w:val="00CE3070"/>
    <w:rsid w:val="00CF0CFB"/>
    <w:rsid w:val="00CF3AF7"/>
    <w:rsid w:val="00CF57A0"/>
    <w:rsid w:val="00D00217"/>
    <w:rsid w:val="00D008CA"/>
    <w:rsid w:val="00D02241"/>
    <w:rsid w:val="00D029A5"/>
    <w:rsid w:val="00D041D2"/>
    <w:rsid w:val="00D057A2"/>
    <w:rsid w:val="00D06F71"/>
    <w:rsid w:val="00D10B7E"/>
    <w:rsid w:val="00D2064D"/>
    <w:rsid w:val="00D20670"/>
    <w:rsid w:val="00D212B4"/>
    <w:rsid w:val="00D239C0"/>
    <w:rsid w:val="00D249FC"/>
    <w:rsid w:val="00D24CCD"/>
    <w:rsid w:val="00D26DD8"/>
    <w:rsid w:val="00D27CA1"/>
    <w:rsid w:val="00D27CC6"/>
    <w:rsid w:val="00D30AFE"/>
    <w:rsid w:val="00D32A12"/>
    <w:rsid w:val="00D33855"/>
    <w:rsid w:val="00D36EFD"/>
    <w:rsid w:val="00D36F31"/>
    <w:rsid w:val="00D41527"/>
    <w:rsid w:val="00D435EB"/>
    <w:rsid w:val="00D50BB5"/>
    <w:rsid w:val="00D52CF5"/>
    <w:rsid w:val="00D535A3"/>
    <w:rsid w:val="00D54273"/>
    <w:rsid w:val="00D57F59"/>
    <w:rsid w:val="00D60CEE"/>
    <w:rsid w:val="00D61267"/>
    <w:rsid w:val="00D61D48"/>
    <w:rsid w:val="00D63905"/>
    <w:rsid w:val="00D63D40"/>
    <w:rsid w:val="00D6434A"/>
    <w:rsid w:val="00D654B0"/>
    <w:rsid w:val="00D667B9"/>
    <w:rsid w:val="00D74FCD"/>
    <w:rsid w:val="00D767A9"/>
    <w:rsid w:val="00D774C0"/>
    <w:rsid w:val="00D804F8"/>
    <w:rsid w:val="00D80D8A"/>
    <w:rsid w:val="00D834A3"/>
    <w:rsid w:val="00D86E52"/>
    <w:rsid w:val="00D91B2B"/>
    <w:rsid w:val="00D91F06"/>
    <w:rsid w:val="00D937FE"/>
    <w:rsid w:val="00D939BC"/>
    <w:rsid w:val="00DA0A6C"/>
    <w:rsid w:val="00DA366B"/>
    <w:rsid w:val="00DA4242"/>
    <w:rsid w:val="00DA6D6F"/>
    <w:rsid w:val="00DA7092"/>
    <w:rsid w:val="00DB07B4"/>
    <w:rsid w:val="00DB09CB"/>
    <w:rsid w:val="00DB24DC"/>
    <w:rsid w:val="00DB4E0E"/>
    <w:rsid w:val="00DB500B"/>
    <w:rsid w:val="00DB7B67"/>
    <w:rsid w:val="00DC08A8"/>
    <w:rsid w:val="00DC0CB5"/>
    <w:rsid w:val="00DC0DA4"/>
    <w:rsid w:val="00DC2C02"/>
    <w:rsid w:val="00DC2F9D"/>
    <w:rsid w:val="00DC5271"/>
    <w:rsid w:val="00DC53D8"/>
    <w:rsid w:val="00DC5483"/>
    <w:rsid w:val="00DC6066"/>
    <w:rsid w:val="00DC6832"/>
    <w:rsid w:val="00DC7640"/>
    <w:rsid w:val="00DD01C6"/>
    <w:rsid w:val="00DD238C"/>
    <w:rsid w:val="00DD2FF9"/>
    <w:rsid w:val="00DD43FC"/>
    <w:rsid w:val="00DD7E2F"/>
    <w:rsid w:val="00DE02C4"/>
    <w:rsid w:val="00DE02D7"/>
    <w:rsid w:val="00DE1B6B"/>
    <w:rsid w:val="00DE5594"/>
    <w:rsid w:val="00DE68AE"/>
    <w:rsid w:val="00DF0CB4"/>
    <w:rsid w:val="00DF4BB8"/>
    <w:rsid w:val="00DF53AC"/>
    <w:rsid w:val="00DF5649"/>
    <w:rsid w:val="00DF7CCE"/>
    <w:rsid w:val="00E00C23"/>
    <w:rsid w:val="00E012A7"/>
    <w:rsid w:val="00E02500"/>
    <w:rsid w:val="00E028B0"/>
    <w:rsid w:val="00E02A9C"/>
    <w:rsid w:val="00E04B2D"/>
    <w:rsid w:val="00E054D5"/>
    <w:rsid w:val="00E100D6"/>
    <w:rsid w:val="00E11CFA"/>
    <w:rsid w:val="00E11E0C"/>
    <w:rsid w:val="00E14370"/>
    <w:rsid w:val="00E147BF"/>
    <w:rsid w:val="00E170FB"/>
    <w:rsid w:val="00E179E1"/>
    <w:rsid w:val="00E201F1"/>
    <w:rsid w:val="00E20800"/>
    <w:rsid w:val="00E214FF"/>
    <w:rsid w:val="00E22A5B"/>
    <w:rsid w:val="00E30262"/>
    <w:rsid w:val="00E3320A"/>
    <w:rsid w:val="00E34791"/>
    <w:rsid w:val="00E429A8"/>
    <w:rsid w:val="00E46D21"/>
    <w:rsid w:val="00E50020"/>
    <w:rsid w:val="00E51355"/>
    <w:rsid w:val="00E51690"/>
    <w:rsid w:val="00E51CBB"/>
    <w:rsid w:val="00E52D74"/>
    <w:rsid w:val="00E53D71"/>
    <w:rsid w:val="00E54507"/>
    <w:rsid w:val="00E56C15"/>
    <w:rsid w:val="00E62EC3"/>
    <w:rsid w:val="00E63423"/>
    <w:rsid w:val="00E63898"/>
    <w:rsid w:val="00E67894"/>
    <w:rsid w:val="00E70097"/>
    <w:rsid w:val="00E70578"/>
    <w:rsid w:val="00E73471"/>
    <w:rsid w:val="00E739FB"/>
    <w:rsid w:val="00E7577B"/>
    <w:rsid w:val="00E7725D"/>
    <w:rsid w:val="00E83412"/>
    <w:rsid w:val="00E86579"/>
    <w:rsid w:val="00E874E8"/>
    <w:rsid w:val="00E87B6A"/>
    <w:rsid w:val="00E946DA"/>
    <w:rsid w:val="00E9560C"/>
    <w:rsid w:val="00E9696E"/>
    <w:rsid w:val="00E9756B"/>
    <w:rsid w:val="00EA12FE"/>
    <w:rsid w:val="00EA148A"/>
    <w:rsid w:val="00EA26D3"/>
    <w:rsid w:val="00EA6A93"/>
    <w:rsid w:val="00EA6F6A"/>
    <w:rsid w:val="00EB144C"/>
    <w:rsid w:val="00EB200D"/>
    <w:rsid w:val="00EB3021"/>
    <w:rsid w:val="00EB3A1B"/>
    <w:rsid w:val="00EB3F30"/>
    <w:rsid w:val="00EB44B3"/>
    <w:rsid w:val="00EB4B48"/>
    <w:rsid w:val="00EB5CDE"/>
    <w:rsid w:val="00EB625C"/>
    <w:rsid w:val="00EB646C"/>
    <w:rsid w:val="00EC14F2"/>
    <w:rsid w:val="00EC2D45"/>
    <w:rsid w:val="00EC38DE"/>
    <w:rsid w:val="00ED0105"/>
    <w:rsid w:val="00ED14BB"/>
    <w:rsid w:val="00ED1C4F"/>
    <w:rsid w:val="00ED59DD"/>
    <w:rsid w:val="00ED6DB3"/>
    <w:rsid w:val="00EE2BFB"/>
    <w:rsid w:val="00EE3E89"/>
    <w:rsid w:val="00EE5C35"/>
    <w:rsid w:val="00EE6ABD"/>
    <w:rsid w:val="00EE6D69"/>
    <w:rsid w:val="00EE7A05"/>
    <w:rsid w:val="00EF045B"/>
    <w:rsid w:val="00EF2200"/>
    <w:rsid w:val="00EF28A6"/>
    <w:rsid w:val="00EF3E90"/>
    <w:rsid w:val="00EF438B"/>
    <w:rsid w:val="00EF5B63"/>
    <w:rsid w:val="00F01EBF"/>
    <w:rsid w:val="00F05D26"/>
    <w:rsid w:val="00F05EB5"/>
    <w:rsid w:val="00F07565"/>
    <w:rsid w:val="00F103ED"/>
    <w:rsid w:val="00F10D67"/>
    <w:rsid w:val="00F10F9D"/>
    <w:rsid w:val="00F148A6"/>
    <w:rsid w:val="00F20465"/>
    <w:rsid w:val="00F204DF"/>
    <w:rsid w:val="00F21326"/>
    <w:rsid w:val="00F21D56"/>
    <w:rsid w:val="00F222BD"/>
    <w:rsid w:val="00F22BF6"/>
    <w:rsid w:val="00F264E6"/>
    <w:rsid w:val="00F27DA4"/>
    <w:rsid w:val="00F30254"/>
    <w:rsid w:val="00F3187C"/>
    <w:rsid w:val="00F325BF"/>
    <w:rsid w:val="00F328EC"/>
    <w:rsid w:val="00F32DE1"/>
    <w:rsid w:val="00F3480B"/>
    <w:rsid w:val="00F36E29"/>
    <w:rsid w:val="00F4133B"/>
    <w:rsid w:val="00F41CAF"/>
    <w:rsid w:val="00F422A3"/>
    <w:rsid w:val="00F423A7"/>
    <w:rsid w:val="00F4468D"/>
    <w:rsid w:val="00F44DCC"/>
    <w:rsid w:val="00F51141"/>
    <w:rsid w:val="00F52456"/>
    <w:rsid w:val="00F53D32"/>
    <w:rsid w:val="00F550A4"/>
    <w:rsid w:val="00F55AE3"/>
    <w:rsid w:val="00F57D80"/>
    <w:rsid w:val="00F637B6"/>
    <w:rsid w:val="00F63A7E"/>
    <w:rsid w:val="00F64236"/>
    <w:rsid w:val="00F64993"/>
    <w:rsid w:val="00F660F4"/>
    <w:rsid w:val="00F66798"/>
    <w:rsid w:val="00F71629"/>
    <w:rsid w:val="00F727A3"/>
    <w:rsid w:val="00F7328D"/>
    <w:rsid w:val="00F734C0"/>
    <w:rsid w:val="00F7413B"/>
    <w:rsid w:val="00F74DA1"/>
    <w:rsid w:val="00F76A0F"/>
    <w:rsid w:val="00F800B0"/>
    <w:rsid w:val="00F81D6B"/>
    <w:rsid w:val="00F81DB1"/>
    <w:rsid w:val="00F81E83"/>
    <w:rsid w:val="00F82F81"/>
    <w:rsid w:val="00F83D5E"/>
    <w:rsid w:val="00F8499F"/>
    <w:rsid w:val="00F84EEA"/>
    <w:rsid w:val="00F853D8"/>
    <w:rsid w:val="00F87DB4"/>
    <w:rsid w:val="00F90620"/>
    <w:rsid w:val="00F926D1"/>
    <w:rsid w:val="00F93068"/>
    <w:rsid w:val="00F9363C"/>
    <w:rsid w:val="00F9472E"/>
    <w:rsid w:val="00F94C8A"/>
    <w:rsid w:val="00FA0AD7"/>
    <w:rsid w:val="00FA3624"/>
    <w:rsid w:val="00FA3D71"/>
    <w:rsid w:val="00FA59C0"/>
    <w:rsid w:val="00FA5E25"/>
    <w:rsid w:val="00FA5E46"/>
    <w:rsid w:val="00FB3121"/>
    <w:rsid w:val="00FB6BA9"/>
    <w:rsid w:val="00FB6D6D"/>
    <w:rsid w:val="00FB774A"/>
    <w:rsid w:val="00FC02E8"/>
    <w:rsid w:val="00FC0A99"/>
    <w:rsid w:val="00FC1315"/>
    <w:rsid w:val="00FC1601"/>
    <w:rsid w:val="00FC1A8A"/>
    <w:rsid w:val="00FC26CA"/>
    <w:rsid w:val="00FC5C8F"/>
    <w:rsid w:val="00FC7284"/>
    <w:rsid w:val="00FD30D6"/>
    <w:rsid w:val="00FD40E3"/>
    <w:rsid w:val="00FD46A9"/>
    <w:rsid w:val="00FD54C7"/>
    <w:rsid w:val="00FD641B"/>
    <w:rsid w:val="00FD71AB"/>
    <w:rsid w:val="00FD7938"/>
    <w:rsid w:val="00FE0D97"/>
    <w:rsid w:val="00FE1621"/>
    <w:rsid w:val="00FE2A3C"/>
    <w:rsid w:val="00FE7EF3"/>
    <w:rsid w:val="00FF118F"/>
    <w:rsid w:val="00FF141D"/>
    <w:rsid w:val="00FF21A7"/>
    <w:rsid w:val="00FF5BB7"/>
    <w:rsid w:val="00FF787A"/>
    <w:rsid w:val="00FF7F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A2029"/>
  <w15:chartTrackingRefBased/>
  <w15:docId w15:val="{2CB88843-65BB-4FD3-8434-6EF0C449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next w:val="Navaden"/>
    <w:autoRedefine/>
    <w:uiPriority w:val="39"/>
    <w:locked/>
    <w:rsid w:val="00E22A5B"/>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locked/>
    <w:rsid w:val="00E22A5B"/>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locked/>
    <w:rsid w:val="00E22A5B"/>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locked/>
    <w:rsid w:val="00E22A5B"/>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BB4432"/>
    <w:pPr>
      <w:numPr>
        <w:numId w:val="1"/>
      </w:numPr>
      <w:shd w:val="clear" w:color="auto" w:fill="FFFFFF"/>
      <w:spacing w:after="120"/>
      <w:jc w:val="both"/>
    </w:pPr>
    <w:rPr>
      <w:rFonts w:ascii="Garamond" w:hAnsi="Garamond"/>
      <w:szCs w:val="20"/>
    </w:rPr>
  </w:style>
  <w:style w:type="character" w:customStyle="1" w:styleId="LPalinejeZnak">
    <w:name w:val="LP_alineje Znak"/>
    <w:link w:val="LPalineje"/>
    <w:rsid w:val="00BB4432"/>
    <w:rPr>
      <w:rFonts w:ascii="Garamond" w:eastAsia="Times New Roman" w:hAnsi="Garamond" w:cs="Times New Roman"/>
      <w:sz w:val="24"/>
      <w:szCs w:val="20"/>
      <w:shd w:val="clear" w:color="auto" w:fill="FFFFFF"/>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E22A5B"/>
    <w:pPr>
      <w:pageBreakBefore/>
      <w:numPr>
        <w:numId w:val="2"/>
      </w:numPr>
      <w:spacing w:after="320"/>
      <w:jc w:val="left"/>
      <w:outlineLvl w:val="0"/>
    </w:pPr>
    <w:rPr>
      <w:b/>
      <w:caps/>
      <w:color w:val="0070C0"/>
      <w:sz w:val="36"/>
    </w:rPr>
  </w:style>
  <w:style w:type="paragraph" w:customStyle="1" w:styleId="LPNaslov2">
    <w:name w:val="LP_Naslov 2"/>
    <w:basedOn w:val="LPnavaden"/>
    <w:next w:val="LPnavaden"/>
    <w:qFormat/>
    <w:rsid w:val="00E22A5B"/>
    <w:pPr>
      <w:keepNext/>
      <w:numPr>
        <w:ilvl w:val="1"/>
        <w:numId w:val="2"/>
      </w:numPr>
      <w:spacing w:before="320" w:after="240"/>
      <w:jc w:val="left"/>
      <w:outlineLvl w:val="1"/>
    </w:pPr>
    <w:rPr>
      <w:b/>
      <w:caps/>
      <w:color w:val="0070C0"/>
      <w:sz w:val="32"/>
    </w:rPr>
  </w:style>
  <w:style w:type="paragraph" w:customStyle="1" w:styleId="LPNaslov3">
    <w:name w:val="LP_Naslov 3"/>
    <w:basedOn w:val="LPnavaden"/>
    <w:next w:val="LPnavaden"/>
    <w:qFormat/>
    <w:rsid w:val="00E22A5B"/>
    <w:pPr>
      <w:keepNext/>
      <w:numPr>
        <w:ilvl w:val="2"/>
        <w:numId w:val="2"/>
      </w:numPr>
      <w:spacing w:before="240" w:after="240"/>
      <w:jc w:val="left"/>
      <w:outlineLvl w:val="2"/>
    </w:pPr>
    <w:rPr>
      <w:b/>
      <w:color w:val="0070C0"/>
      <w:sz w:val="28"/>
    </w:rPr>
  </w:style>
  <w:style w:type="paragraph" w:customStyle="1" w:styleId="LPNaslov4">
    <w:name w:val="LP_Naslov 4"/>
    <w:basedOn w:val="LPnavaden"/>
    <w:next w:val="LPnavaden"/>
    <w:uiPriority w:val="99"/>
    <w:qFormat/>
    <w:rsid w:val="00E22A5B"/>
    <w:pPr>
      <w:keepNext/>
      <w:numPr>
        <w:ilvl w:val="3"/>
        <w:numId w:val="2"/>
      </w:numPr>
      <w:spacing w:before="240" w:after="240"/>
      <w:jc w:val="left"/>
      <w:outlineLvl w:val="3"/>
    </w:pPr>
    <w:rPr>
      <w:b/>
      <w:color w:val="0070C0"/>
    </w:rPr>
  </w:style>
  <w:style w:type="paragraph" w:customStyle="1" w:styleId="LPnaslovkrepko">
    <w:name w:val="LP_naslov krepko"/>
    <w:basedOn w:val="Navaden"/>
    <w:next w:val="Navaden"/>
    <w:link w:val="LPnaslovkrepkoZnak"/>
    <w:qFormat/>
    <w:rsid w:val="00E22A5B"/>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E22A5B"/>
    <w:rPr>
      <w:rFonts w:ascii="Garamond" w:eastAsia="Times New Roman" w:hAnsi="Garamond" w:cs="Times New Roman"/>
      <w:b/>
      <w:sz w:val="24"/>
      <w:szCs w:val="20"/>
      <w:lang w:eastAsia="ar-SA"/>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310014"/>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310014"/>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310014"/>
    <w:pPr>
      <w:ind w:left="737" w:hanging="737"/>
    </w:pPr>
  </w:style>
  <w:style w:type="character" w:customStyle="1" w:styleId="LPnaslovslikaZnak">
    <w:name w:val="LP_naslov slika Znak"/>
    <w:basedOn w:val="LPnaslovpreglednicaZnak"/>
    <w:link w:val="LPnaslovslika"/>
    <w:rsid w:val="00310014"/>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B4432"/>
    <w:rPr>
      <w:sz w:val="16"/>
    </w:rPr>
  </w:style>
  <w:style w:type="character" w:customStyle="1" w:styleId="LPnavadenpomanjan8ptnadpisan">
    <w:name w:val="LP_navaden pomanjšan 8 pt _nadpisan"/>
    <w:basedOn w:val="Privzetapisavaodstavka"/>
    <w:rsid w:val="00BB4432"/>
    <w:rPr>
      <w:rFonts w:ascii="Verdana" w:hAnsi="Verdana"/>
      <w:sz w:val="16"/>
      <w:vertAlign w:val="superscript"/>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Privzetapisavaodstavka"/>
    <w:qFormat/>
    <w:rsid w:val="00E3320A"/>
    <w:rPr>
      <w:rFonts w:ascii="Garamond" w:hAnsi="Garamond"/>
      <w:b/>
      <w:sz w:val="24"/>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character" w:customStyle="1" w:styleId="LPpodpisanopreglednicakrepko">
    <w:name w:val="LP_podpisano preglednica krepko"/>
    <w:basedOn w:val="LPnadpisanopreglednicakrepko"/>
    <w:rsid w:val="00BB4432"/>
    <w:rPr>
      <w:rFonts w:ascii="Garamond" w:hAnsi="Garamond"/>
      <w:b/>
      <w:sz w:val="18"/>
      <w:szCs w:val="16"/>
      <w:vertAlign w:val="subscript"/>
    </w:rPr>
  </w:style>
  <w:style w:type="paragraph" w:customStyle="1" w:styleId="LPpodpoglavje">
    <w:name w:val="LP_podpoglavje"/>
    <w:basedOn w:val="Navaden"/>
    <w:next w:val="Navaden"/>
    <w:link w:val="LPpodpoglavjeZnak"/>
    <w:qFormat/>
    <w:rsid w:val="003743B2"/>
    <w:pPr>
      <w:numPr>
        <w:ilvl w:val="4"/>
        <w:numId w:val="2"/>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sredina">
    <w:name w:val="LP_preglednica glava sredina"/>
    <w:basedOn w:val="Navaden"/>
    <w:next w:val="Navaden"/>
    <w:rsid w:val="000E5141"/>
    <w:pPr>
      <w:shd w:val="clear" w:color="auto" w:fill="5B9BD5" w:themeFill="accent1"/>
      <w:spacing w:line="360" w:lineRule="auto"/>
      <w:jc w:val="center"/>
    </w:pPr>
    <w:rPr>
      <w:rFonts w:ascii="Garamond" w:hAnsi="Garamond"/>
      <w:b/>
      <w:color w:val="000000" w:themeColor="text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E22A5B"/>
    <w:pPr>
      <w:spacing w:after="0"/>
      <w:ind w:left="369" w:hanging="369"/>
    </w:pPr>
    <w:rPr>
      <w:sz w:val="20"/>
    </w:rPr>
  </w:style>
  <w:style w:type="character" w:customStyle="1" w:styleId="LPviriZnakZnak">
    <w:name w:val="LP_viri Znak Znak"/>
    <w:basedOn w:val="LPnavadenpomanjanZnak"/>
    <w:link w:val="LPviri"/>
    <w:uiPriority w:val="99"/>
    <w:rsid w:val="00E22A5B"/>
    <w:rPr>
      <w:rFonts w:ascii="Garamond" w:eastAsia="Times New Roman" w:hAnsi="Garamond" w:cs="Times New Roman"/>
      <w:sz w:val="20"/>
      <w:szCs w:val="24"/>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iPriority w:val="99"/>
    <w:semiHidden/>
    <w:unhideWhenUsed/>
    <w:locked/>
    <w:rsid w:val="00C32F36"/>
    <w:pPr>
      <w:spacing w:after="120" w:line="480" w:lineRule="auto"/>
    </w:pPr>
  </w:style>
  <w:style w:type="character" w:customStyle="1" w:styleId="Telobesedila2Znak">
    <w:name w:val="Telo besedila 2 Znak"/>
    <w:basedOn w:val="Privzetapisavaodstavka"/>
    <w:link w:val="Telobesedila2"/>
    <w:uiPriority w:val="99"/>
    <w:semiHidden/>
    <w:rsid w:val="00C32F36"/>
    <w:rPr>
      <w:rFonts w:ascii="Times New Roman" w:eastAsia="Times New Roman" w:hAnsi="Times New Roman" w:cs="Times New Roman"/>
      <w:sz w:val="24"/>
      <w:szCs w:val="24"/>
      <w:lang w:eastAsia="ar-SA"/>
    </w:rPr>
  </w:style>
  <w:style w:type="character" w:customStyle="1" w:styleId="Naslov1Znak">
    <w:name w:val="Naslov 1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slik">
    <w:name w:val="table of figures"/>
    <w:basedOn w:val="Navaden"/>
    <w:next w:val="Navaden"/>
    <w:uiPriority w:val="99"/>
    <w:unhideWhenUsed/>
    <w:locked/>
    <w:rsid w:val="00E22A5B"/>
    <w:pPr>
      <w:ind w:left="709" w:hanging="709"/>
    </w:pPr>
    <w:rPr>
      <w:rFonts w:ascii="Garamond" w:hAnsi="Garamond"/>
      <w:sz w:val="20"/>
    </w:rPr>
  </w:style>
  <w:style w:type="paragraph" w:customStyle="1" w:styleId="LPVirienojni">
    <w:name w:val="LP_Viri_enojni"/>
    <w:basedOn w:val="LPviri"/>
    <w:next w:val="LPnavaden"/>
    <w:qFormat/>
    <w:rsid w:val="00E22A5B"/>
    <w:pPr>
      <w:ind w:left="284" w:hanging="284"/>
    </w:pPr>
  </w:style>
  <w:style w:type="paragraph" w:customStyle="1" w:styleId="LPpreglednicatelosredinaobarvano">
    <w:name w:val="LP_preglednica telo sredina obarvano"/>
    <w:basedOn w:val="LPpreglednicaglavasredina"/>
    <w:next w:val="LPnavaden"/>
    <w:qFormat/>
    <w:rsid w:val="008063E8"/>
    <w:pPr>
      <w:shd w:val="clear" w:color="auto" w:fill="9CC2E5" w:themeFill="accent1" w:themeFillTint="99"/>
    </w:pPr>
    <w:rPr>
      <w:color w:val="auto"/>
    </w:rPr>
  </w:style>
  <w:style w:type="character" w:styleId="Hiperpovezava">
    <w:name w:val="Hyperlink"/>
    <w:basedOn w:val="Privzetapisavaodstavka"/>
    <w:uiPriority w:val="99"/>
    <w:unhideWhenUsed/>
    <w:locked/>
    <w:rsid w:val="005719C4"/>
    <w:rPr>
      <w:color w:val="0563C1" w:themeColor="hyperlink"/>
      <w:u w:val="single"/>
    </w:rPr>
  </w:style>
  <w:style w:type="character" w:styleId="Nerazreenaomemba">
    <w:name w:val="Unresolved Mention"/>
    <w:basedOn w:val="Privzetapisavaodstavka"/>
    <w:uiPriority w:val="99"/>
    <w:semiHidden/>
    <w:unhideWhenUsed/>
    <w:rsid w:val="005719C4"/>
    <w:rPr>
      <w:color w:val="605E5C"/>
      <w:shd w:val="clear" w:color="auto" w:fill="E1DFDD"/>
    </w:rPr>
  </w:style>
  <w:style w:type="character" w:customStyle="1" w:styleId="LPnavadenpodrtan">
    <w:name w:val="LP_navaden_podčrtan"/>
    <w:basedOn w:val="Privzetapisavaodstavka"/>
    <w:uiPriority w:val="1"/>
    <w:rsid w:val="009019BF"/>
    <w:rPr>
      <w:rFonts w:ascii="Garamond" w:hAnsi="Garamond"/>
      <w:color w:val="auto"/>
      <w:sz w:val="24"/>
      <w:u w:val="single"/>
    </w:rPr>
  </w:style>
  <w:style w:type="character" w:customStyle="1" w:styleId="LPnavadenpoevno">
    <w:name w:val="LP_navaden_poševno"/>
    <w:basedOn w:val="Privzetapisavaodstavka"/>
    <w:uiPriority w:val="1"/>
    <w:qFormat/>
    <w:rsid w:val="009019BF"/>
    <w:rPr>
      <w:rFonts w:ascii="Garamond" w:hAnsi="Garamond"/>
      <w:i/>
      <w:color w:val="auto"/>
      <w:sz w:val="24"/>
    </w:rPr>
  </w:style>
  <w:style w:type="paragraph" w:styleId="Navadensplet">
    <w:name w:val="Normal (Web)"/>
    <w:basedOn w:val="Navaden"/>
    <w:uiPriority w:val="99"/>
    <w:semiHidden/>
    <w:unhideWhenUsed/>
    <w:locked/>
    <w:rsid w:val="009019BF"/>
  </w:style>
  <w:style w:type="character" w:styleId="Krepko">
    <w:name w:val="Strong"/>
    <w:basedOn w:val="Privzetapisavaodstavka"/>
    <w:uiPriority w:val="22"/>
    <w:qFormat/>
    <w:locked/>
    <w:rsid w:val="009019BF"/>
    <w:rPr>
      <w:b/>
      <w:bCs/>
    </w:rPr>
  </w:style>
  <w:style w:type="character" w:styleId="Pripombasklic">
    <w:name w:val="annotation reference"/>
    <w:basedOn w:val="Privzetapisavaodstavka"/>
    <w:uiPriority w:val="99"/>
    <w:semiHidden/>
    <w:unhideWhenUsed/>
    <w:locked/>
    <w:rsid w:val="009019BF"/>
    <w:rPr>
      <w:sz w:val="16"/>
      <w:szCs w:val="16"/>
    </w:rPr>
  </w:style>
  <w:style w:type="paragraph" w:styleId="Pripombabesedilo">
    <w:name w:val="annotation text"/>
    <w:basedOn w:val="Navaden"/>
    <w:link w:val="PripombabesediloZnak"/>
    <w:uiPriority w:val="99"/>
    <w:semiHidden/>
    <w:unhideWhenUsed/>
    <w:locked/>
    <w:rsid w:val="009019BF"/>
    <w:rPr>
      <w:sz w:val="20"/>
      <w:szCs w:val="20"/>
    </w:rPr>
  </w:style>
  <w:style w:type="character" w:customStyle="1" w:styleId="PripombabesediloZnak">
    <w:name w:val="Pripomba – besedilo Znak"/>
    <w:basedOn w:val="Privzetapisavaodstavka"/>
    <w:link w:val="Pripombabesedilo"/>
    <w:uiPriority w:val="99"/>
    <w:semiHidden/>
    <w:rsid w:val="009019BF"/>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9019BF"/>
    <w:rPr>
      <w:b/>
      <w:bCs/>
    </w:rPr>
  </w:style>
  <w:style w:type="character" w:customStyle="1" w:styleId="ZadevapripombeZnak">
    <w:name w:val="Zadeva pripombe Znak"/>
    <w:basedOn w:val="PripombabesediloZnak"/>
    <w:link w:val="Zadevapripombe"/>
    <w:uiPriority w:val="99"/>
    <w:semiHidden/>
    <w:rsid w:val="009019BF"/>
    <w:rPr>
      <w:rFonts w:ascii="Times New Roman" w:eastAsia="Times New Roman" w:hAnsi="Times New Roman" w:cs="Times New Roman"/>
      <w:b/>
      <w:bCs/>
      <w:sz w:val="20"/>
      <w:szCs w:val="20"/>
      <w:lang w:eastAsia="ar-SA"/>
    </w:rPr>
  </w:style>
  <w:style w:type="paragraph" w:styleId="Noga">
    <w:name w:val="footer"/>
    <w:basedOn w:val="Navaden"/>
    <w:link w:val="NogaZnak"/>
    <w:uiPriority w:val="99"/>
    <w:locked/>
    <w:rsid w:val="00993C89"/>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993C89"/>
    <w:rPr>
      <w:rFonts w:ascii="Garamond" w:eastAsia="Times New Roman" w:hAnsi="Garamond" w:cs="Times New Roman"/>
      <w:sz w:val="20"/>
      <w:szCs w:val="20"/>
    </w:rPr>
  </w:style>
  <w:style w:type="paragraph" w:styleId="Glava">
    <w:name w:val="header"/>
    <w:basedOn w:val="Navaden"/>
    <w:link w:val="GlavaZnak"/>
    <w:uiPriority w:val="99"/>
    <w:locked/>
    <w:rsid w:val="00993C89"/>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uiPriority w:val="99"/>
    <w:rsid w:val="00993C89"/>
    <w:rPr>
      <w:rFonts w:ascii="Garamond" w:eastAsia="Times New Roman" w:hAnsi="Garamond" w:cs="Times New Roman"/>
      <w:color w:val="3366FF"/>
      <w:sz w:val="20"/>
      <w:szCs w:val="20"/>
    </w:rPr>
  </w:style>
  <w:style w:type="paragraph" w:customStyle="1" w:styleId="LPnavadenpomanjan0">
    <w:name w:val="LP_ navaden pomanjšan"/>
    <w:basedOn w:val="LPnavaden"/>
    <w:rsid w:val="00993C89"/>
    <w:pPr>
      <w:suppressAutoHyphens w:val="0"/>
      <w:spacing w:after="0"/>
      <w:jc w:val="left"/>
    </w:pPr>
    <w:rPr>
      <w:sz w:val="22"/>
      <w:lang w:eastAsia="en-US"/>
    </w:rPr>
  </w:style>
  <w:style w:type="character" w:customStyle="1" w:styleId="LPnavadenpomanjankrepko">
    <w:name w:val="LP_navaden pomanjšan_krepko"/>
    <w:rsid w:val="00993C89"/>
    <w:rPr>
      <w:rFonts w:ascii="Garamond" w:hAnsi="Garamond"/>
      <w:b/>
      <w:sz w:val="22"/>
    </w:rPr>
  </w:style>
  <w:style w:type="character" w:styleId="SledenaHiperpovezava">
    <w:name w:val="FollowedHyperlink"/>
    <w:basedOn w:val="Privzetapisavaodstavka"/>
    <w:uiPriority w:val="99"/>
    <w:semiHidden/>
    <w:unhideWhenUsed/>
    <w:locked/>
    <w:rsid w:val="00CB3A79"/>
    <w:rPr>
      <w:color w:val="954F72" w:themeColor="followedHyperlink"/>
      <w:u w:val="single"/>
    </w:rPr>
  </w:style>
  <w:style w:type="paragraph" w:styleId="Napis">
    <w:name w:val="caption"/>
    <w:basedOn w:val="Navaden"/>
    <w:next w:val="Navaden"/>
    <w:uiPriority w:val="35"/>
    <w:unhideWhenUsed/>
    <w:qFormat/>
    <w:locked/>
    <w:rsid w:val="00490EA7"/>
    <w:pPr>
      <w:spacing w:after="200"/>
    </w:pPr>
    <w:rPr>
      <w:i/>
      <w:iCs/>
      <w:color w:val="44546A" w:themeColor="text2"/>
      <w:sz w:val="18"/>
      <w:szCs w:val="18"/>
    </w:rPr>
  </w:style>
  <w:style w:type="character" w:customStyle="1" w:styleId="tlid-translation">
    <w:name w:val="tlid-translation"/>
    <w:basedOn w:val="Privzetapisavaodstavka"/>
    <w:rsid w:val="005248D4"/>
  </w:style>
  <w:style w:type="paragraph" w:styleId="Sprotnaopomba-besedilo">
    <w:name w:val="footnote text"/>
    <w:basedOn w:val="Navaden"/>
    <w:link w:val="Sprotnaopomba-besediloZnak"/>
    <w:uiPriority w:val="99"/>
    <w:semiHidden/>
    <w:locked/>
    <w:rsid w:val="005248D4"/>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5248D4"/>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locked/>
    <w:rsid w:val="005248D4"/>
    <w:rPr>
      <w:vertAlign w:val="superscript"/>
    </w:rPr>
  </w:style>
  <w:style w:type="character" w:customStyle="1" w:styleId="LPposevno">
    <w:name w:val="LP_posevno"/>
    <w:basedOn w:val="Privzetapisavaodstavka"/>
    <w:uiPriority w:val="1"/>
    <w:rsid w:val="00FA3624"/>
    <w:rPr>
      <w:rFonts w:ascii="Garamond" w:hAnsi="Garamond"/>
      <w:i/>
      <w:sz w:val="24"/>
    </w:rPr>
  </w:style>
  <w:style w:type="paragraph" w:styleId="NaslovTOC">
    <w:name w:val="TOC Heading"/>
    <w:basedOn w:val="Naslov1"/>
    <w:next w:val="Navaden"/>
    <w:uiPriority w:val="39"/>
    <w:unhideWhenUsed/>
    <w:qFormat/>
    <w:locked/>
    <w:rsid w:val="00B47790"/>
    <w:pPr>
      <w:suppressAutoHyphens w:val="0"/>
      <w:spacing w:line="259" w:lineRule="auto"/>
      <w:outlineLvl w:val="9"/>
    </w:pPr>
    <w:rPr>
      <w:lang w:eastAsia="sl-SI"/>
    </w:rPr>
  </w:style>
  <w:style w:type="paragraph" w:styleId="Revizija">
    <w:name w:val="Revision"/>
    <w:hidden/>
    <w:uiPriority w:val="99"/>
    <w:semiHidden/>
    <w:rsid w:val="00CD2EEF"/>
    <w:pPr>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25504">
      <w:bodyDiv w:val="1"/>
      <w:marLeft w:val="0"/>
      <w:marRight w:val="0"/>
      <w:marTop w:val="0"/>
      <w:marBottom w:val="0"/>
      <w:divBdr>
        <w:top w:val="none" w:sz="0" w:space="0" w:color="auto"/>
        <w:left w:val="none" w:sz="0" w:space="0" w:color="auto"/>
        <w:bottom w:val="none" w:sz="0" w:space="0" w:color="auto"/>
        <w:right w:val="none" w:sz="0" w:space="0" w:color="auto"/>
      </w:divBdr>
    </w:div>
    <w:div w:id="602765432">
      <w:bodyDiv w:val="1"/>
      <w:marLeft w:val="0"/>
      <w:marRight w:val="0"/>
      <w:marTop w:val="0"/>
      <w:marBottom w:val="0"/>
      <w:divBdr>
        <w:top w:val="none" w:sz="0" w:space="0" w:color="auto"/>
        <w:left w:val="none" w:sz="0" w:space="0" w:color="auto"/>
        <w:bottom w:val="none" w:sz="0" w:space="0" w:color="auto"/>
        <w:right w:val="none" w:sz="0" w:space="0" w:color="auto"/>
      </w:divBdr>
    </w:div>
    <w:div w:id="61093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34" Type="http://schemas.openxmlformats.org/officeDocument/2006/relationships/image" Target="media/image4.jpeg"/><Relationship Id="rId42" Type="http://schemas.openxmlformats.org/officeDocument/2006/relationships/image" Target="media/image10.jpe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18.png"/><Relationship Id="rId63" Type="http://schemas.openxmlformats.org/officeDocument/2006/relationships/hyperlink" Target="https://www.gov.si/en/state-authorities/bodies-within-ministries/slovenian-nuclear-safety-administration/o-upravi/jedrske-novice-za-tujino/" TargetMode="External"/><Relationship Id="rId68" Type="http://schemas.openxmlformats.org/officeDocument/2006/relationships/hyperlink" Target="https://www.gov.si/drzavni-organi/organi-v-sestavi/uprava-za-jedrsko-varnost/o-upravi/sektor-za-jedrsko-varnost/ines-dogodki/" TargetMode="External"/><Relationship Id="rId76" Type="http://schemas.openxmlformats.org/officeDocument/2006/relationships/hyperlink" Target="http://www.predsednik.si/up-rs/uprs-eng.nsf/pages/5177812D46C35771C12583A7004DBB2F?OpenDocument" TargetMode="External"/><Relationship Id="rId84" Type="http://schemas.openxmlformats.org/officeDocument/2006/relationships/hyperlink" Target="http://www.nuclearsuppliersgroup.org/en" TargetMode="External"/><Relationship Id="rId89" Type="http://schemas.openxmlformats.org/officeDocument/2006/relationships/hyperlink" Target="https://www.ensra.org/wp-content/uploads/2021/08/2021-05-25-ENSRA-1.pdf" TargetMode="External"/><Relationship Id="rId97" Type="http://schemas.openxmlformats.org/officeDocument/2006/relationships/hyperlink" Target="https://www.iaea.org/publications/documents/infcircs/communication-dated-22-march-2017-received-from-the-permanent-mission-of-the-hashemite-kingdom-of-jordan-concerning-a-joint-statement-on-countering-nuclear-smuggling" TargetMode="External"/><Relationship Id="rId7" Type="http://schemas.openxmlformats.org/officeDocument/2006/relationships/endnotes" Target="endnotes.xml"/><Relationship Id="rId71" Type="http://schemas.openxmlformats.org/officeDocument/2006/relationships/hyperlink" Target="https://www.iaea.org/newscenter/multimedia/videos/2020-npt-review-conference-has-been-postponed" TargetMode="External"/><Relationship Id="rId92" Type="http://schemas.openxmlformats.org/officeDocument/2006/relationships/hyperlink" Target="https://www.iaea.org/sites/default/files/publications/documents/infcircs/2017/infcirc908a4.pdf" TargetMode="External"/><Relationship Id="rId2" Type="http://schemas.openxmlformats.org/officeDocument/2006/relationships/numbering" Target="numbering.xml"/><Relationship Id="rId16" Type="http://schemas.openxmlformats.org/officeDocument/2006/relationships/hyperlink" Target="https://www.gov.si/en/state-authorities/bodies-within-ministries/slovenian-nuclear-safety-administration/o-upravi/" TargetMode="External"/><Relationship Id="rId29" Type="http://schemas.openxmlformats.org/officeDocument/2006/relationships/hyperlink" Target="https://podatki.gov.si/dataset/815cb3ab-9f7c-43d7-8291-8e32bbd31326/resource/4bc191a1-4ab9-4ff5-9ed3-1281f4b0256f/download/sloveniannacpdec20tabela.docx" TargetMode="Externa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hyperlink" Target="https://www.gov.si/drzavni-organi/organi-v-sestavi/uprava-za-jedrsko-varnost/o-upravi/sevalne-novice/" TargetMode="External"/><Relationship Id="rId37" Type="http://schemas.openxmlformats.org/officeDocument/2006/relationships/image" Target="media/image7.jpeg"/><Relationship Id="rId40" Type="http://schemas.openxmlformats.org/officeDocument/2006/relationships/hyperlink" Target="http://ursjv.arhiv-spletisc.gov.si/fileadmin/ujv.gov.si/pageuploads/si/medijsko-sredisce/sevalne-novice/sev-nov-41.pdf" TargetMode="External"/><Relationship Id="rId45" Type="http://schemas.openxmlformats.org/officeDocument/2006/relationships/chart" Target="charts/chart12.xml"/><Relationship Id="rId53" Type="http://schemas.openxmlformats.org/officeDocument/2006/relationships/chart" Target="charts/chart14.xml"/><Relationship Id="rId58" Type="http://schemas.openxmlformats.org/officeDocument/2006/relationships/chart" Target="charts/chart17.xml"/><Relationship Id="rId66" Type="http://schemas.openxmlformats.org/officeDocument/2006/relationships/hyperlink" Target="https://podatki.gov.si/dataset/evidenca-pooblascenih-izvajalcev-meritev-radioaktivnosti-posiljk" TargetMode="External"/><Relationship Id="rId74" Type="http://schemas.openxmlformats.org/officeDocument/2006/relationships/hyperlink" Target="https://www.un.org/en/sc/1540/documents/Slovenia%20revised%20matrix.pdf" TargetMode="External"/><Relationship Id="rId79" Type="http://schemas.openxmlformats.org/officeDocument/2006/relationships/hyperlink" Target="https://www.ctbto.org/press-centre/highlights/2017/executive-secretary-lassina-zerbo-participates-in-bled-strategic-forum/" TargetMode="External"/><Relationship Id="rId87" Type="http://schemas.openxmlformats.org/officeDocument/2006/relationships/hyperlink" Target="http://www-ns.iaea.org/downloads/rw/source-safety/scrap-metal-code/workshops/malta-workshop-meeting-report-final.pdf" TargetMode="External"/><Relationship Id="rId5" Type="http://schemas.openxmlformats.org/officeDocument/2006/relationships/webSettings" Target="webSettings.xml"/><Relationship Id="rId61" Type="http://schemas.openxmlformats.org/officeDocument/2006/relationships/hyperlink" Target="https://www.gov.si/drzavni-organi/organi-v-sestavi/uprava-za-jedrsko-varnost/zakonodaja/" TargetMode="External"/><Relationship Id="rId82" Type="http://schemas.openxmlformats.org/officeDocument/2006/relationships/hyperlink" Target="https://www.ctbto.org/fileadmin/user_upload/Art_14_2021/Statements/Slovenia.pdf" TargetMode="External"/><Relationship Id="rId90" Type="http://schemas.openxmlformats.org/officeDocument/2006/relationships/hyperlink" Target="http://csnsecurityconference.org/presentations/keynote-speaker/KS4_GDandrieux.pdf" TargetMode="External"/><Relationship Id="rId95" Type="http://schemas.openxmlformats.org/officeDocument/2006/relationships/hyperlink" Target="http://www.nscontactgroup.org/" TargetMode="External"/><Relationship Id="rId19" Type="http://schemas.openxmlformats.org/officeDocument/2006/relationships/chart" Target="charts/chart3.xml"/><Relationship Id="rId14" Type="http://schemas.openxmlformats.org/officeDocument/2006/relationships/hyperlink" Target="mailto:gp.ursjv@gov.si" TargetMode="External"/><Relationship Id="rId22" Type="http://schemas.openxmlformats.org/officeDocument/2006/relationships/chart" Target="charts/chart6.xml"/><Relationship Id="rId27" Type="http://schemas.openxmlformats.org/officeDocument/2006/relationships/image" Target="media/image3.jpeg"/><Relationship Id="rId30" Type="http://schemas.openxmlformats.org/officeDocument/2006/relationships/hyperlink" Target="https://www.gov.si/zbirke/seznami/nek/" TargetMode="External"/><Relationship Id="rId35" Type="http://schemas.openxmlformats.org/officeDocument/2006/relationships/image" Target="media/image5.jpeg"/><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image" Target="cid:image002.png@01D8D7F8.84C2CD90" TargetMode="External"/><Relationship Id="rId64" Type="http://schemas.openxmlformats.org/officeDocument/2006/relationships/hyperlink" Target="https://podatki.gov.si/dataset/evidenca-pooblascenih-izvedencev-za-sevalno-in-jedrsko-varnost" TargetMode="External"/><Relationship Id="rId69" Type="http://schemas.openxmlformats.org/officeDocument/2006/relationships/hyperlink" Target="http://reachingcriticalwill.org/images/documents/Disarmament-fora/npt/prepcom18/statements/23April_Slovenia.pdf" TargetMode="External"/><Relationship Id="rId77" Type="http://schemas.openxmlformats.org/officeDocument/2006/relationships/hyperlink" Target="https://pris.iaea.org/PRIS/home.aspx"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www.consilium.europa.eu/sl/council-eu/preparatory-bodies/working-party-non-proliferation/" TargetMode="External"/><Relationship Id="rId80" Type="http://schemas.openxmlformats.org/officeDocument/2006/relationships/hyperlink" Target="https://www.ctbto.org/press-centre/news-stories/2021/article-xiv-conference-mobilises-global-support-for-ctbt-on-25th-anniversary/" TargetMode="External"/><Relationship Id="rId85" Type="http://schemas.openxmlformats.org/officeDocument/2006/relationships/hyperlink" Target="http://www.mgrt.gov.si/" TargetMode="External"/><Relationship Id="rId93" Type="http://schemas.openxmlformats.org/officeDocument/2006/relationships/hyperlink" Target="https://www.iaea.org/sites/default/files/publications/documents/infcircs/2016/infcirc899.pdf" TargetMode="External"/><Relationship Id="rId98" Type="http://schemas.openxmlformats.org/officeDocument/2006/relationships/hyperlink" Target="https://www.un.org/counterterrorism/sites/www.un.org.counterterrorism/files/20201116_interpol_uncct_global_study_final.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s://www.gov.si/teme/ionizacijski-javljalniki-pozara/" TargetMode="External"/><Relationship Id="rId38" Type="http://schemas.openxmlformats.org/officeDocument/2006/relationships/image" Target="media/image8.jpeg"/><Relationship Id="rId46" Type="http://schemas.openxmlformats.org/officeDocument/2006/relationships/hyperlink" Target="https://www.radioaktivnost.si/rvo_public/RVO/Map" TargetMode="External"/><Relationship Id="rId59" Type="http://schemas.openxmlformats.org/officeDocument/2006/relationships/hyperlink" Target="http://www.kalijevjodid.si" TargetMode="External"/><Relationship Id="rId67" Type="http://schemas.openxmlformats.org/officeDocument/2006/relationships/hyperlink" Target="https://www-news.iaea.org/" TargetMode="External"/><Relationship Id="rId20" Type="http://schemas.openxmlformats.org/officeDocument/2006/relationships/chart" Target="charts/chart4.xml"/><Relationship Id="rId41" Type="http://schemas.openxmlformats.org/officeDocument/2006/relationships/image" Target="media/image9.jpeg"/><Relationship Id="rId54" Type="http://schemas.openxmlformats.org/officeDocument/2006/relationships/chart" Target="charts/chart15.xml"/><Relationship Id="rId62" Type="http://schemas.openxmlformats.org/officeDocument/2006/relationships/hyperlink" Target="https://www.gov.si/drzavni-organi/organi-v-sestavi/uprava-za-jedrsko-varnost/o-upravi/sevalne-novice/" TargetMode="External"/><Relationship Id="rId70" Type="http://schemas.openxmlformats.org/officeDocument/2006/relationships/hyperlink" Target="http://statements.unmeetings.org/media2/21491900/slovenia.pdf" TargetMode="External"/><Relationship Id="rId75" Type="http://schemas.openxmlformats.org/officeDocument/2006/relationships/hyperlink" Target="https://deepcuts.org/news/detail/page?tx_news_pi1%5Bnews%5D=245&amp;cHash=05fec923af524c2c3ab0255e9f45d626" TargetMode="External"/><Relationship Id="rId83" Type="http://schemas.openxmlformats.org/officeDocument/2006/relationships/hyperlink" Target="http://ec.europa.eu/trade/import-and-export-rules/export-from-eu/dual-use-controls/" TargetMode="External"/><Relationship Id="rId88" Type="http://schemas.openxmlformats.org/officeDocument/2006/relationships/hyperlink" Target="http://www-pub.iaea.org/MTCD/publications/PDF/Pub1316_web.pdf" TargetMode="External"/><Relationship Id="rId91" Type="http://schemas.openxmlformats.org/officeDocument/2006/relationships/hyperlink" Target="https://www.ensra.org/wp-content/uploads/2021/08/ENSRA-REPORT-2021-compendium-good-practices-nuclear-security-inspections.pdf" TargetMode="External"/><Relationship Id="rId96" Type="http://schemas.openxmlformats.org/officeDocument/2006/relationships/hyperlink" Target="http://www.mzz.gov.si/si/medijsko_sredisce/novica/article/6/382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si/en/state-authorities/bodies-within-ministries/slovenian-nuclear-safety-administration/" TargetMode="External"/><Relationship Id="rId23" Type="http://schemas.openxmlformats.org/officeDocument/2006/relationships/chart" Target="charts/chart7.xml"/><Relationship Id="rId28" Type="http://schemas.openxmlformats.org/officeDocument/2006/relationships/hyperlink" Target="https://www.ensreg.eu/sites/default/files/Slovenian%20National%20Post%20Fukushima%20Action%20Plan.pdf" TargetMode="External"/><Relationship Id="rId36" Type="http://schemas.openxmlformats.org/officeDocument/2006/relationships/image" Target="media/image6.jpeg"/><Relationship Id="rId49" Type="http://schemas.openxmlformats.org/officeDocument/2006/relationships/image" Target="media/image15.png"/><Relationship Id="rId57" Type="http://schemas.openxmlformats.org/officeDocument/2006/relationships/chart" Target="charts/chart16.xml"/><Relationship Id="rId10" Type="http://schemas.openxmlformats.org/officeDocument/2006/relationships/header" Target="header1.xml"/><Relationship Id="rId31" Type="http://schemas.openxmlformats.org/officeDocument/2006/relationships/chart" Target="charts/chart11.xml"/><Relationship Id="rId44" Type="http://schemas.openxmlformats.org/officeDocument/2006/relationships/image" Target="media/image12.jpeg"/><Relationship Id="rId52" Type="http://schemas.openxmlformats.org/officeDocument/2006/relationships/chart" Target="charts/chart13.xml"/><Relationship Id="rId60" Type="http://schemas.openxmlformats.org/officeDocument/2006/relationships/hyperlink" Target="https://e-uprava.gov.si/drzava-in-druzba/e-demokracija/predlogi-predpisov/predlog-predpisa.html?id=11900" TargetMode="External"/><Relationship Id="rId65" Type="http://schemas.openxmlformats.org/officeDocument/2006/relationships/hyperlink" Target="https://www.gov.si/teme/pooblasceni-izvajalci-strokovnih-nalog-s-podrocja-ionizirajocih-sevanj/" TargetMode="External"/><Relationship Id="rId73" Type="http://schemas.openxmlformats.org/officeDocument/2006/relationships/hyperlink" Target="https://www.nonproliferation.org/wp-content/uploads/2020/09/EU-As-RevCon-Redeemer.pdf" TargetMode="External"/><Relationship Id="rId78" Type="http://schemas.openxmlformats.org/officeDocument/2006/relationships/hyperlink" Target="https://www.ctbto.org/" TargetMode="External"/><Relationship Id="rId81" Type="http://schemas.openxmlformats.org/officeDocument/2006/relationships/hyperlink" Target="https://www.ctbto.org/fileadmin/user_upload/Art_14_2021/CTBT-Art.XIV-2021-WP.1.pdf" TargetMode="External"/><Relationship Id="rId86" Type="http://schemas.openxmlformats.org/officeDocument/2006/relationships/hyperlink" Target="http://indico.ictp.it/event/a14255/other-view?view=ictptimetable" TargetMode="External"/><Relationship Id="rId94" Type="http://schemas.openxmlformats.org/officeDocument/2006/relationships/hyperlink" Target="https://www.iaea.org/sites/default/files/publications/documents/infcircs/2016/infcirc899a4.pdf" TargetMode="External"/><Relationship Id="rId99" Type="http://schemas.openxmlformats.org/officeDocument/2006/relationships/hyperlink" Target="http://euraca.eu/"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chart" Target="charts/chart2.xml"/><Relationship Id="rId39" Type="http://schemas.openxmlformats.org/officeDocument/2006/relationships/hyperlink" Target="http://ursjv.arhiv-spletisc.gov.si/si/info/novica/2390/index.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d.sigov.si\usr\T-Z\ZivkoT81\Documents\Letna%20poro&#269;ila\LP%202021\Delo%20Dolgo%20poro&#269;ilo\Poslal%20Benji%2022%20marca\Nekova%20proizvodnja%2020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d.sigov.si\usr\T-Z\ZivkoT81\Documents\Letna%20poro&#269;ila\LP%202021\LPVoki\poslano%20Benji%20raz&#353;irjeno\10.okt%20ang%20Tomi%20LP%20VOK%2021%20&#8211;%20kopija.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d.sigov.si\usr\M-P\NemecT19\Documents\Delovisce%20TN\letno%20poro&#269;ilo\aktivnost%20hladila14.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5.xml"/><Relationship Id="rId4" Type="http://schemas.openxmlformats.org/officeDocument/2006/relationships/package" Target="../embeddings/Microsoft_Excel_Worksheet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2" Type="http://schemas.openxmlformats.org/officeDocument/2006/relationships/oleObject" Target="file:///\\ad.sigov.si\usr\K-L\KalisnikM75\Documents\ODPADKI\DARKO\Graf%20ANG.xlsx" TargetMode="External"/><Relationship Id="rId1" Type="http://schemas.openxmlformats.org/officeDocument/2006/relationships/themeOverride" Target="../theme/themeOverride3.xml"/></Relationships>
</file>

<file path=word/charts/_rels/chart17.xml.rels><?xml version="1.0" encoding="UTF-8" standalone="yes"?>
<Relationships xmlns="http://schemas.openxmlformats.org/package/2006/relationships"><Relationship Id="rId3" Type="http://schemas.openxmlformats.org/officeDocument/2006/relationships/oleObject" Target="file:///\\app01\SKUPNO\Bloomberg_AdTreasury\Porocila\Letno%20poro&#269;ilo\Letno%20poro&#269;ilo%202021\UJP.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T-Z\ZivkoT81\Documents\Letna%20poro&#269;ila\LP%202021\Delo%20Dolgo%20poro&#269;ilo\Poslal%20Benji%2022%20marca\Garamond2022%2021.%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igov.si\usr\T-Z\ZivkoT81\Documents\Letna%20poro&#269;ila\LP%202021\Delo%20Dolgo%20poro&#269;ilo\Poslal%20Benji%2022%20marca\Garamond2022%2021.%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igov.si\usr\T-Z\ZivkoT81\Documents\Letna%20poro&#269;ila\LP%202021\Delo%20Dolgo%20poro&#269;ilo\Poslal%20Benji%2022%20marca\Garamond2022%2021.%20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igov.si\usr\T-Z\ZivkoT81\Documents\Letna%20poro&#269;ila\LP%202021\Delo%20Dolgo%20poro&#269;ilo\Poslal%20Benji%2022%20marca\Garamond2022%2021.%200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d.sigov.si\usr\T-Z\ZivkoT81\Documents\Letna%20poro&#269;ila\LP%202021\LPVoki\poslano%20Benji%20raz&#353;irjeno\10.okt%20ang%20Tomi%20LP%20VOK%20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igov.si\usr\T-Z\ZivkoT81\Documents\Letna%20poro&#269;ila\LP%202021\LPVoki\poslano%20Benji%20raz&#353;irjeno\10.okt%20ang%20Tomi%20LP%20VOK%2021.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ad.sigov.si\usr\T-Z\ZivkoT81\Documents\Letna%20poro&#269;ila\LP%202021\LPVoki\poslano%20Benji%20raz&#353;irjeno\10.okt%20ang%20Tomi%20LP%20VOK%2021.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ad.sigov.si\usr\T-Z\ZivkoT81\Documents\Letna%20poro&#269;ila\LP%202021\LPVoki\poslano%20Benji%20raz&#353;irjeno\10.okt%20ang%20Tomi%20LP%20VOK%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3945756780402"/>
          <c:y val="0.22172326189365044"/>
          <c:w val="0.83761075004513341"/>
          <c:h val="0.66803030453475787"/>
        </c:manualLayout>
      </c:layout>
      <c:lineChart>
        <c:grouping val="standard"/>
        <c:varyColors val="0"/>
        <c:ser>
          <c:idx val="0"/>
          <c:order val="0"/>
          <c:marker>
            <c:symbol val="none"/>
          </c:marker>
          <c:cat>
            <c:strRef>
              <c:f>'DO2021'!$D$1:$D$8784</c:f>
              <c:strCache>
                <c:ptCount val="8281"/>
                <c:pt idx="360">
                  <c:v>JAN</c:v>
                </c:pt>
                <c:pt idx="1080">
                  <c:v>FEB</c:v>
                </c:pt>
                <c:pt idx="1800">
                  <c:v>MAR</c:v>
                </c:pt>
                <c:pt idx="2520">
                  <c:v>APR</c:v>
                </c:pt>
                <c:pt idx="3240">
                  <c:v>MAY</c:v>
                </c:pt>
                <c:pt idx="3960">
                  <c:v>JUN</c:v>
                </c:pt>
                <c:pt idx="4680">
                  <c:v>JUL</c:v>
                </c:pt>
                <c:pt idx="5400">
                  <c:v>AUG</c:v>
                </c:pt>
                <c:pt idx="6120">
                  <c:v>SEP</c:v>
                </c:pt>
                <c:pt idx="6840">
                  <c:v>OCT</c:v>
                </c:pt>
                <c:pt idx="7560">
                  <c:v>NOV</c:v>
                </c:pt>
                <c:pt idx="8280">
                  <c:v>DEC</c:v>
                </c:pt>
              </c:strCache>
            </c:strRef>
          </c:cat>
          <c:val>
            <c:numRef>
              <c:f>'DO2021'!$B$1:$B$8784</c:f>
              <c:numCache>
                <c:formatCode>General_)</c:formatCode>
                <c:ptCount val="8784"/>
                <c:pt idx="0">
                  <c:v>725</c:v>
                </c:pt>
                <c:pt idx="1">
                  <c:v>727</c:v>
                </c:pt>
                <c:pt idx="2">
                  <c:v>727</c:v>
                </c:pt>
                <c:pt idx="3">
                  <c:v>726</c:v>
                </c:pt>
                <c:pt idx="4">
                  <c:v>725</c:v>
                </c:pt>
                <c:pt idx="5">
                  <c:v>725</c:v>
                </c:pt>
                <c:pt idx="6">
                  <c:v>726</c:v>
                </c:pt>
                <c:pt idx="7">
                  <c:v>727</c:v>
                </c:pt>
                <c:pt idx="8">
                  <c:v>727</c:v>
                </c:pt>
                <c:pt idx="9">
                  <c:v>727</c:v>
                </c:pt>
                <c:pt idx="10">
                  <c:v>726</c:v>
                </c:pt>
                <c:pt idx="11">
                  <c:v>726</c:v>
                </c:pt>
                <c:pt idx="12">
                  <c:v>726</c:v>
                </c:pt>
                <c:pt idx="13">
                  <c:v>726</c:v>
                </c:pt>
                <c:pt idx="14">
                  <c:v>725</c:v>
                </c:pt>
                <c:pt idx="15">
                  <c:v>725</c:v>
                </c:pt>
                <c:pt idx="16">
                  <c:v>725</c:v>
                </c:pt>
                <c:pt idx="17">
                  <c:v>725</c:v>
                </c:pt>
                <c:pt idx="18">
                  <c:v>725</c:v>
                </c:pt>
                <c:pt idx="19">
                  <c:v>725</c:v>
                </c:pt>
                <c:pt idx="20">
                  <c:v>725</c:v>
                </c:pt>
                <c:pt idx="21">
                  <c:v>725</c:v>
                </c:pt>
                <c:pt idx="22">
                  <c:v>725</c:v>
                </c:pt>
                <c:pt idx="23">
                  <c:v>725</c:v>
                </c:pt>
                <c:pt idx="24">
                  <c:v>725</c:v>
                </c:pt>
                <c:pt idx="25">
                  <c:v>725</c:v>
                </c:pt>
                <c:pt idx="26">
                  <c:v>725</c:v>
                </c:pt>
                <c:pt idx="27">
                  <c:v>725</c:v>
                </c:pt>
                <c:pt idx="28">
                  <c:v>725</c:v>
                </c:pt>
                <c:pt idx="29">
                  <c:v>725</c:v>
                </c:pt>
                <c:pt idx="30">
                  <c:v>726</c:v>
                </c:pt>
                <c:pt idx="31">
                  <c:v>726</c:v>
                </c:pt>
                <c:pt idx="32">
                  <c:v>726</c:v>
                </c:pt>
                <c:pt idx="33">
                  <c:v>726</c:v>
                </c:pt>
                <c:pt idx="34">
                  <c:v>726</c:v>
                </c:pt>
                <c:pt idx="35">
                  <c:v>727</c:v>
                </c:pt>
                <c:pt idx="36">
                  <c:v>728</c:v>
                </c:pt>
                <c:pt idx="37">
                  <c:v>728</c:v>
                </c:pt>
                <c:pt idx="38">
                  <c:v>728</c:v>
                </c:pt>
                <c:pt idx="39">
                  <c:v>728</c:v>
                </c:pt>
                <c:pt idx="40">
                  <c:v>728</c:v>
                </c:pt>
                <c:pt idx="41">
                  <c:v>728</c:v>
                </c:pt>
                <c:pt idx="42">
                  <c:v>728</c:v>
                </c:pt>
                <c:pt idx="43">
                  <c:v>728</c:v>
                </c:pt>
                <c:pt idx="44">
                  <c:v>728</c:v>
                </c:pt>
                <c:pt idx="45">
                  <c:v>728</c:v>
                </c:pt>
                <c:pt idx="46">
                  <c:v>728</c:v>
                </c:pt>
                <c:pt idx="47">
                  <c:v>728</c:v>
                </c:pt>
                <c:pt idx="48">
                  <c:v>728</c:v>
                </c:pt>
                <c:pt idx="49">
                  <c:v>728</c:v>
                </c:pt>
                <c:pt idx="50">
                  <c:v>728</c:v>
                </c:pt>
                <c:pt idx="51">
                  <c:v>728</c:v>
                </c:pt>
                <c:pt idx="52">
                  <c:v>728</c:v>
                </c:pt>
                <c:pt idx="53">
                  <c:v>728</c:v>
                </c:pt>
                <c:pt idx="54">
                  <c:v>728</c:v>
                </c:pt>
                <c:pt idx="55">
                  <c:v>728</c:v>
                </c:pt>
                <c:pt idx="56">
                  <c:v>728</c:v>
                </c:pt>
                <c:pt idx="57">
                  <c:v>728</c:v>
                </c:pt>
                <c:pt idx="58">
                  <c:v>728</c:v>
                </c:pt>
                <c:pt idx="59">
                  <c:v>729</c:v>
                </c:pt>
                <c:pt idx="60">
                  <c:v>730</c:v>
                </c:pt>
                <c:pt idx="61">
                  <c:v>730</c:v>
                </c:pt>
                <c:pt idx="62">
                  <c:v>730</c:v>
                </c:pt>
                <c:pt idx="63">
                  <c:v>730</c:v>
                </c:pt>
                <c:pt idx="64">
                  <c:v>730</c:v>
                </c:pt>
                <c:pt idx="65">
                  <c:v>730</c:v>
                </c:pt>
                <c:pt idx="66">
                  <c:v>730</c:v>
                </c:pt>
                <c:pt idx="67">
                  <c:v>730</c:v>
                </c:pt>
                <c:pt idx="68">
                  <c:v>730</c:v>
                </c:pt>
                <c:pt idx="69">
                  <c:v>730</c:v>
                </c:pt>
                <c:pt idx="70">
                  <c:v>730</c:v>
                </c:pt>
                <c:pt idx="71">
                  <c:v>730</c:v>
                </c:pt>
                <c:pt idx="72">
                  <c:v>730</c:v>
                </c:pt>
                <c:pt idx="73">
                  <c:v>730</c:v>
                </c:pt>
                <c:pt idx="74">
                  <c:v>730</c:v>
                </c:pt>
                <c:pt idx="75">
                  <c:v>730</c:v>
                </c:pt>
                <c:pt idx="76">
                  <c:v>730</c:v>
                </c:pt>
                <c:pt idx="77">
                  <c:v>730</c:v>
                </c:pt>
                <c:pt idx="78">
                  <c:v>730</c:v>
                </c:pt>
                <c:pt idx="79">
                  <c:v>729</c:v>
                </c:pt>
                <c:pt idx="80">
                  <c:v>729</c:v>
                </c:pt>
                <c:pt idx="81">
                  <c:v>729</c:v>
                </c:pt>
                <c:pt idx="82">
                  <c:v>729</c:v>
                </c:pt>
                <c:pt idx="83">
                  <c:v>730</c:v>
                </c:pt>
                <c:pt idx="84">
                  <c:v>730</c:v>
                </c:pt>
                <c:pt idx="85">
                  <c:v>730</c:v>
                </c:pt>
                <c:pt idx="86">
                  <c:v>729</c:v>
                </c:pt>
                <c:pt idx="87">
                  <c:v>730</c:v>
                </c:pt>
                <c:pt idx="88">
                  <c:v>730</c:v>
                </c:pt>
                <c:pt idx="89">
                  <c:v>731</c:v>
                </c:pt>
                <c:pt idx="90">
                  <c:v>730</c:v>
                </c:pt>
                <c:pt idx="91">
                  <c:v>731</c:v>
                </c:pt>
                <c:pt idx="92">
                  <c:v>731</c:v>
                </c:pt>
                <c:pt idx="93">
                  <c:v>730</c:v>
                </c:pt>
                <c:pt idx="94">
                  <c:v>731</c:v>
                </c:pt>
                <c:pt idx="95">
                  <c:v>731</c:v>
                </c:pt>
                <c:pt idx="96">
                  <c:v>731</c:v>
                </c:pt>
                <c:pt idx="97">
                  <c:v>731</c:v>
                </c:pt>
                <c:pt idx="98">
                  <c:v>731</c:v>
                </c:pt>
                <c:pt idx="99">
                  <c:v>731</c:v>
                </c:pt>
                <c:pt idx="100">
                  <c:v>731</c:v>
                </c:pt>
                <c:pt idx="101">
                  <c:v>731</c:v>
                </c:pt>
                <c:pt idx="102">
                  <c:v>731</c:v>
                </c:pt>
                <c:pt idx="103">
                  <c:v>730</c:v>
                </c:pt>
                <c:pt idx="104">
                  <c:v>730</c:v>
                </c:pt>
                <c:pt idx="105">
                  <c:v>731</c:v>
                </c:pt>
                <c:pt idx="106">
                  <c:v>731</c:v>
                </c:pt>
                <c:pt idx="107">
                  <c:v>731</c:v>
                </c:pt>
                <c:pt idx="108">
                  <c:v>731</c:v>
                </c:pt>
                <c:pt idx="109">
                  <c:v>731</c:v>
                </c:pt>
                <c:pt idx="110">
                  <c:v>731</c:v>
                </c:pt>
                <c:pt idx="111">
                  <c:v>731</c:v>
                </c:pt>
                <c:pt idx="112">
                  <c:v>731</c:v>
                </c:pt>
                <c:pt idx="113">
                  <c:v>731</c:v>
                </c:pt>
                <c:pt idx="114">
                  <c:v>731</c:v>
                </c:pt>
                <c:pt idx="115">
                  <c:v>731</c:v>
                </c:pt>
                <c:pt idx="116">
                  <c:v>731</c:v>
                </c:pt>
                <c:pt idx="117">
                  <c:v>731</c:v>
                </c:pt>
                <c:pt idx="118">
                  <c:v>731</c:v>
                </c:pt>
                <c:pt idx="119">
                  <c:v>731</c:v>
                </c:pt>
                <c:pt idx="120">
                  <c:v>730</c:v>
                </c:pt>
                <c:pt idx="121">
                  <c:v>731</c:v>
                </c:pt>
                <c:pt idx="122">
                  <c:v>730</c:v>
                </c:pt>
                <c:pt idx="123">
                  <c:v>730</c:v>
                </c:pt>
                <c:pt idx="124">
                  <c:v>730</c:v>
                </c:pt>
                <c:pt idx="125">
                  <c:v>730</c:v>
                </c:pt>
                <c:pt idx="126">
                  <c:v>730</c:v>
                </c:pt>
                <c:pt idx="127">
                  <c:v>730</c:v>
                </c:pt>
                <c:pt idx="128">
                  <c:v>730</c:v>
                </c:pt>
                <c:pt idx="129">
                  <c:v>730</c:v>
                </c:pt>
                <c:pt idx="130">
                  <c:v>730</c:v>
                </c:pt>
                <c:pt idx="131">
                  <c:v>730</c:v>
                </c:pt>
                <c:pt idx="132">
                  <c:v>730</c:v>
                </c:pt>
                <c:pt idx="133">
                  <c:v>730</c:v>
                </c:pt>
                <c:pt idx="134">
                  <c:v>730</c:v>
                </c:pt>
                <c:pt idx="135">
                  <c:v>730</c:v>
                </c:pt>
                <c:pt idx="136">
                  <c:v>730</c:v>
                </c:pt>
                <c:pt idx="137">
                  <c:v>730</c:v>
                </c:pt>
                <c:pt idx="138">
                  <c:v>730</c:v>
                </c:pt>
                <c:pt idx="139">
                  <c:v>730</c:v>
                </c:pt>
                <c:pt idx="140">
                  <c:v>730</c:v>
                </c:pt>
                <c:pt idx="141">
                  <c:v>730</c:v>
                </c:pt>
                <c:pt idx="142">
                  <c:v>730</c:v>
                </c:pt>
                <c:pt idx="143">
                  <c:v>731</c:v>
                </c:pt>
                <c:pt idx="144">
                  <c:v>730</c:v>
                </c:pt>
                <c:pt idx="145">
                  <c:v>730</c:v>
                </c:pt>
                <c:pt idx="146">
                  <c:v>731</c:v>
                </c:pt>
                <c:pt idx="147">
                  <c:v>731</c:v>
                </c:pt>
                <c:pt idx="148">
                  <c:v>730</c:v>
                </c:pt>
                <c:pt idx="149">
                  <c:v>731</c:v>
                </c:pt>
                <c:pt idx="150">
                  <c:v>731</c:v>
                </c:pt>
                <c:pt idx="151">
                  <c:v>730</c:v>
                </c:pt>
                <c:pt idx="152">
                  <c:v>730</c:v>
                </c:pt>
                <c:pt idx="153">
                  <c:v>730</c:v>
                </c:pt>
                <c:pt idx="154">
                  <c:v>730</c:v>
                </c:pt>
                <c:pt idx="155">
                  <c:v>730</c:v>
                </c:pt>
                <c:pt idx="156">
                  <c:v>730</c:v>
                </c:pt>
                <c:pt idx="157">
                  <c:v>730</c:v>
                </c:pt>
                <c:pt idx="158">
                  <c:v>730</c:v>
                </c:pt>
                <c:pt idx="159">
                  <c:v>730</c:v>
                </c:pt>
                <c:pt idx="160">
                  <c:v>730</c:v>
                </c:pt>
                <c:pt idx="161">
                  <c:v>731</c:v>
                </c:pt>
                <c:pt idx="162">
                  <c:v>731</c:v>
                </c:pt>
                <c:pt idx="163">
                  <c:v>731</c:v>
                </c:pt>
                <c:pt idx="164">
                  <c:v>731</c:v>
                </c:pt>
                <c:pt idx="165">
                  <c:v>731</c:v>
                </c:pt>
                <c:pt idx="166">
                  <c:v>731</c:v>
                </c:pt>
                <c:pt idx="167">
                  <c:v>731</c:v>
                </c:pt>
                <c:pt idx="168">
                  <c:v>731</c:v>
                </c:pt>
                <c:pt idx="169">
                  <c:v>731</c:v>
                </c:pt>
                <c:pt idx="170">
                  <c:v>731</c:v>
                </c:pt>
                <c:pt idx="171">
                  <c:v>731</c:v>
                </c:pt>
                <c:pt idx="172">
                  <c:v>731</c:v>
                </c:pt>
                <c:pt idx="173">
                  <c:v>731</c:v>
                </c:pt>
                <c:pt idx="174">
                  <c:v>731</c:v>
                </c:pt>
                <c:pt idx="175">
                  <c:v>731</c:v>
                </c:pt>
                <c:pt idx="176">
                  <c:v>731</c:v>
                </c:pt>
                <c:pt idx="177">
                  <c:v>730</c:v>
                </c:pt>
                <c:pt idx="178">
                  <c:v>731</c:v>
                </c:pt>
                <c:pt idx="179">
                  <c:v>730</c:v>
                </c:pt>
                <c:pt idx="180">
                  <c:v>731</c:v>
                </c:pt>
                <c:pt idx="181">
                  <c:v>730</c:v>
                </c:pt>
                <c:pt idx="182">
                  <c:v>730</c:v>
                </c:pt>
                <c:pt idx="183">
                  <c:v>730</c:v>
                </c:pt>
                <c:pt idx="184">
                  <c:v>730</c:v>
                </c:pt>
                <c:pt idx="185">
                  <c:v>730</c:v>
                </c:pt>
                <c:pt idx="186">
                  <c:v>731</c:v>
                </c:pt>
                <c:pt idx="187">
                  <c:v>731</c:v>
                </c:pt>
                <c:pt idx="188">
                  <c:v>731</c:v>
                </c:pt>
                <c:pt idx="189">
                  <c:v>731</c:v>
                </c:pt>
                <c:pt idx="190">
                  <c:v>731</c:v>
                </c:pt>
                <c:pt idx="191">
                  <c:v>731</c:v>
                </c:pt>
                <c:pt idx="192">
                  <c:v>731</c:v>
                </c:pt>
                <c:pt idx="193">
                  <c:v>731</c:v>
                </c:pt>
                <c:pt idx="194">
                  <c:v>731</c:v>
                </c:pt>
                <c:pt idx="195">
                  <c:v>730</c:v>
                </c:pt>
                <c:pt idx="196">
                  <c:v>730</c:v>
                </c:pt>
                <c:pt idx="197">
                  <c:v>730</c:v>
                </c:pt>
                <c:pt idx="198">
                  <c:v>731</c:v>
                </c:pt>
                <c:pt idx="199">
                  <c:v>731</c:v>
                </c:pt>
                <c:pt idx="200">
                  <c:v>730</c:v>
                </c:pt>
                <c:pt idx="201">
                  <c:v>731</c:v>
                </c:pt>
                <c:pt idx="202">
                  <c:v>731</c:v>
                </c:pt>
                <c:pt idx="203">
                  <c:v>731</c:v>
                </c:pt>
                <c:pt idx="204">
                  <c:v>731</c:v>
                </c:pt>
                <c:pt idx="205">
                  <c:v>730</c:v>
                </c:pt>
                <c:pt idx="206">
                  <c:v>731</c:v>
                </c:pt>
                <c:pt idx="207">
                  <c:v>731</c:v>
                </c:pt>
                <c:pt idx="208">
                  <c:v>730</c:v>
                </c:pt>
                <c:pt idx="209">
                  <c:v>730</c:v>
                </c:pt>
                <c:pt idx="210">
                  <c:v>730</c:v>
                </c:pt>
                <c:pt idx="211">
                  <c:v>730</c:v>
                </c:pt>
                <c:pt idx="212">
                  <c:v>730</c:v>
                </c:pt>
                <c:pt idx="213">
                  <c:v>730</c:v>
                </c:pt>
                <c:pt idx="214">
                  <c:v>731</c:v>
                </c:pt>
                <c:pt idx="215">
                  <c:v>731</c:v>
                </c:pt>
                <c:pt idx="216">
                  <c:v>730</c:v>
                </c:pt>
                <c:pt idx="217">
                  <c:v>730</c:v>
                </c:pt>
                <c:pt idx="218">
                  <c:v>731</c:v>
                </c:pt>
                <c:pt idx="219">
                  <c:v>730</c:v>
                </c:pt>
                <c:pt idx="220">
                  <c:v>731</c:v>
                </c:pt>
                <c:pt idx="221">
                  <c:v>731</c:v>
                </c:pt>
                <c:pt idx="222">
                  <c:v>731</c:v>
                </c:pt>
                <c:pt idx="223">
                  <c:v>730</c:v>
                </c:pt>
                <c:pt idx="224">
                  <c:v>731</c:v>
                </c:pt>
                <c:pt idx="225">
                  <c:v>730</c:v>
                </c:pt>
                <c:pt idx="226">
                  <c:v>731</c:v>
                </c:pt>
                <c:pt idx="227">
                  <c:v>730</c:v>
                </c:pt>
                <c:pt idx="228">
                  <c:v>730</c:v>
                </c:pt>
                <c:pt idx="229">
                  <c:v>731</c:v>
                </c:pt>
                <c:pt idx="230">
                  <c:v>730</c:v>
                </c:pt>
                <c:pt idx="231">
                  <c:v>730</c:v>
                </c:pt>
                <c:pt idx="232">
                  <c:v>730</c:v>
                </c:pt>
                <c:pt idx="233">
                  <c:v>730</c:v>
                </c:pt>
                <c:pt idx="234">
                  <c:v>730</c:v>
                </c:pt>
                <c:pt idx="235">
                  <c:v>730</c:v>
                </c:pt>
                <c:pt idx="236">
                  <c:v>730</c:v>
                </c:pt>
                <c:pt idx="237">
                  <c:v>730</c:v>
                </c:pt>
                <c:pt idx="238">
                  <c:v>731</c:v>
                </c:pt>
                <c:pt idx="239">
                  <c:v>731</c:v>
                </c:pt>
                <c:pt idx="240">
                  <c:v>731</c:v>
                </c:pt>
                <c:pt idx="241">
                  <c:v>731</c:v>
                </c:pt>
                <c:pt idx="242">
                  <c:v>731</c:v>
                </c:pt>
                <c:pt idx="243">
                  <c:v>731</c:v>
                </c:pt>
                <c:pt idx="244">
                  <c:v>731</c:v>
                </c:pt>
                <c:pt idx="245">
                  <c:v>731</c:v>
                </c:pt>
                <c:pt idx="246">
                  <c:v>730</c:v>
                </c:pt>
                <c:pt idx="247">
                  <c:v>730</c:v>
                </c:pt>
                <c:pt idx="248">
                  <c:v>731</c:v>
                </c:pt>
                <c:pt idx="249">
                  <c:v>730</c:v>
                </c:pt>
                <c:pt idx="250">
                  <c:v>730</c:v>
                </c:pt>
                <c:pt idx="251">
                  <c:v>730</c:v>
                </c:pt>
                <c:pt idx="252">
                  <c:v>730</c:v>
                </c:pt>
                <c:pt idx="253">
                  <c:v>730</c:v>
                </c:pt>
                <c:pt idx="254">
                  <c:v>730</c:v>
                </c:pt>
                <c:pt idx="255">
                  <c:v>730</c:v>
                </c:pt>
                <c:pt idx="256">
                  <c:v>730</c:v>
                </c:pt>
                <c:pt idx="257">
                  <c:v>730</c:v>
                </c:pt>
                <c:pt idx="258">
                  <c:v>730</c:v>
                </c:pt>
                <c:pt idx="259">
                  <c:v>730</c:v>
                </c:pt>
                <c:pt idx="260">
                  <c:v>730</c:v>
                </c:pt>
                <c:pt idx="261">
                  <c:v>730</c:v>
                </c:pt>
                <c:pt idx="262">
                  <c:v>730</c:v>
                </c:pt>
                <c:pt idx="263">
                  <c:v>730</c:v>
                </c:pt>
                <c:pt idx="264">
                  <c:v>730</c:v>
                </c:pt>
                <c:pt idx="265">
                  <c:v>730</c:v>
                </c:pt>
                <c:pt idx="266">
                  <c:v>730</c:v>
                </c:pt>
                <c:pt idx="267">
                  <c:v>730</c:v>
                </c:pt>
                <c:pt idx="268">
                  <c:v>730</c:v>
                </c:pt>
                <c:pt idx="269">
                  <c:v>730</c:v>
                </c:pt>
                <c:pt idx="270">
                  <c:v>730</c:v>
                </c:pt>
                <c:pt idx="271">
                  <c:v>730</c:v>
                </c:pt>
                <c:pt idx="272">
                  <c:v>730</c:v>
                </c:pt>
                <c:pt idx="273">
                  <c:v>730</c:v>
                </c:pt>
                <c:pt idx="274">
                  <c:v>730</c:v>
                </c:pt>
                <c:pt idx="275">
                  <c:v>730</c:v>
                </c:pt>
                <c:pt idx="276">
                  <c:v>730</c:v>
                </c:pt>
                <c:pt idx="277">
                  <c:v>730</c:v>
                </c:pt>
                <c:pt idx="278">
                  <c:v>730</c:v>
                </c:pt>
                <c:pt idx="279">
                  <c:v>730</c:v>
                </c:pt>
                <c:pt idx="280">
                  <c:v>731</c:v>
                </c:pt>
                <c:pt idx="281">
                  <c:v>730</c:v>
                </c:pt>
                <c:pt idx="282">
                  <c:v>731</c:v>
                </c:pt>
                <c:pt idx="283">
                  <c:v>730</c:v>
                </c:pt>
                <c:pt idx="284">
                  <c:v>730</c:v>
                </c:pt>
                <c:pt idx="285">
                  <c:v>730</c:v>
                </c:pt>
                <c:pt idx="286">
                  <c:v>730</c:v>
                </c:pt>
                <c:pt idx="287">
                  <c:v>730</c:v>
                </c:pt>
                <c:pt idx="288">
                  <c:v>730</c:v>
                </c:pt>
                <c:pt idx="289">
                  <c:v>730</c:v>
                </c:pt>
                <c:pt idx="290">
                  <c:v>730</c:v>
                </c:pt>
                <c:pt idx="291">
                  <c:v>730</c:v>
                </c:pt>
                <c:pt idx="292">
                  <c:v>730</c:v>
                </c:pt>
                <c:pt idx="293">
                  <c:v>731</c:v>
                </c:pt>
                <c:pt idx="294">
                  <c:v>730</c:v>
                </c:pt>
                <c:pt idx="295">
                  <c:v>730</c:v>
                </c:pt>
                <c:pt idx="296">
                  <c:v>730</c:v>
                </c:pt>
                <c:pt idx="297">
                  <c:v>730</c:v>
                </c:pt>
                <c:pt idx="298">
                  <c:v>730</c:v>
                </c:pt>
                <c:pt idx="299">
                  <c:v>730</c:v>
                </c:pt>
                <c:pt idx="300">
                  <c:v>730</c:v>
                </c:pt>
                <c:pt idx="301">
                  <c:v>730</c:v>
                </c:pt>
                <c:pt idx="302">
                  <c:v>730</c:v>
                </c:pt>
                <c:pt idx="303">
                  <c:v>730</c:v>
                </c:pt>
                <c:pt idx="304">
                  <c:v>730</c:v>
                </c:pt>
                <c:pt idx="305">
                  <c:v>730</c:v>
                </c:pt>
                <c:pt idx="306">
                  <c:v>730</c:v>
                </c:pt>
                <c:pt idx="307">
                  <c:v>731</c:v>
                </c:pt>
                <c:pt idx="308">
                  <c:v>731</c:v>
                </c:pt>
                <c:pt idx="309">
                  <c:v>731</c:v>
                </c:pt>
                <c:pt idx="310">
                  <c:v>731</c:v>
                </c:pt>
                <c:pt idx="311">
                  <c:v>731</c:v>
                </c:pt>
                <c:pt idx="312">
                  <c:v>731</c:v>
                </c:pt>
                <c:pt idx="313">
                  <c:v>731</c:v>
                </c:pt>
                <c:pt idx="314">
                  <c:v>731</c:v>
                </c:pt>
                <c:pt idx="315">
                  <c:v>731</c:v>
                </c:pt>
                <c:pt idx="316">
                  <c:v>731</c:v>
                </c:pt>
                <c:pt idx="317">
                  <c:v>731</c:v>
                </c:pt>
                <c:pt idx="318">
                  <c:v>731</c:v>
                </c:pt>
                <c:pt idx="319">
                  <c:v>730</c:v>
                </c:pt>
                <c:pt idx="320">
                  <c:v>730</c:v>
                </c:pt>
                <c:pt idx="321">
                  <c:v>730</c:v>
                </c:pt>
                <c:pt idx="322">
                  <c:v>730</c:v>
                </c:pt>
                <c:pt idx="323">
                  <c:v>730</c:v>
                </c:pt>
                <c:pt idx="324">
                  <c:v>731</c:v>
                </c:pt>
                <c:pt idx="325">
                  <c:v>730</c:v>
                </c:pt>
                <c:pt idx="326">
                  <c:v>730</c:v>
                </c:pt>
                <c:pt idx="327">
                  <c:v>730</c:v>
                </c:pt>
                <c:pt idx="328">
                  <c:v>730</c:v>
                </c:pt>
                <c:pt idx="329">
                  <c:v>731</c:v>
                </c:pt>
                <c:pt idx="330">
                  <c:v>731</c:v>
                </c:pt>
                <c:pt idx="331">
                  <c:v>731</c:v>
                </c:pt>
                <c:pt idx="332">
                  <c:v>731</c:v>
                </c:pt>
                <c:pt idx="333">
                  <c:v>731</c:v>
                </c:pt>
                <c:pt idx="334">
                  <c:v>731</c:v>
                </c:pt>
                <c:pt idx="335">
                  <c:v>731</c:v>
                </c:pt>
                <c:pt idx="336">
                  <c:v>731</c:v>
                </c:pt>
                <c:pt idx="337">
                  <c:v>731</c:v>
                </c:pt>
                <c:pt idx="338">
                  <c:v>731</c:v>
                </c:pt>
                <c:pt idx="339">
                  <c:v>731</c:v>
                </c:pt>
                <c:pt idx="340">
                  <c:v>731</c:v>
                </c:pt>
                <c:pt idx="341">
                  <c:v>730</c:v>
                </c:pt>
                <c:pt idx="342">
                  <c:v>731</c:v>
                </c:pt>
                <c:pt idx="343">
                  <c:v>731</c:v>
                </c:pt>
                <c:pt idx="344">
                  <c:v>731</c:v>
                </c:pt>
                <c:pt idx="345">
                  <c:v>731</c:v>
                </c:pt>
                <c:pt idx="346">
                  <c:v>731</c:v>
                </c:pt>
                <c:pt idx="347">
                  <c:v>731</c:v>
                </c:pt>
                <c:pt idx="348">
                  <c:v>731</c:v>
                </c:pt>
                <c:pt idx="349">
                  <c:v>731</c:v>
                </c:pt>
                <c:pt idx="350">
                  <c:v>731</c:v>
                </c:pt>
                <c:pt idx="351">
                  <c:v>731</c:v>
                </c:pt>
                <c:pt idx="352">
                  <c:v>731</c:v>
                </c:pt>
                <c:pt idx="353">
                  <c:v>731</c:v>
                </c:pt>
                <c:pt idx="354">
                  <c:v>731</c:v>
                </c:pt>
                <c:pt idx="355">
                  <c:v>731</c:v>
                </c:pt>
                <c:pt idx="356">
                  <c:v>731</c:v>
                </c:pt>
                <c:pt idx="357">
                  <c:v>730</c:v>
                </c:pt>
                <c:pt idx="358">
                  <c:v>731</c:v>
                </c:pt>
                <c:pt idx="359">
                  <c:v>731</c:v>
                </c:pt>
                <c:pt idx="360">
                  <c:v>731</c:v>
                </c:pt>
                <c:pt idx="361">
                  <c:v>731</c:v>
                </c:pt>
                <c:pt idx="362">
                  <c:v>731</c:v>
                </c:pt>
                <c:pt idx="363">
                  <c:v>731</c:v>
                </c:pt>
                <c:pt idx="364">
                  <c:v>731</c:v>
                </c:pt>
                <c:pt idx="365">
                  <c:v>731</c:v>
                </c:pt>
                <c:pt idx="366">
                  <c:v>731</c:v>
                </c:pt>
                <c:pt idx="367">
                  <c:v>731</c:v>
                </c:pt>
                <c:pt idx="368">
                  <c:v>731</c:v>
                </c:pt>
                <c:pt idx="369">
                  <c:v>731</c:v>
                </c:pt>
                <c:pt idx="370">
                  <c:v>731</c:v>
                </c:pt>
                <c:pt idx="371">
                  <c:v>731</c:v>
                </c:pt>
                <c:pt idx="372">
                  <c:v>731</c:v>
                </c:pt>
                <c:pt idx="373">
                  <c:v>731</c:v>
                </c:pt>
                <c:pt idx="374">
                  <c:v>731</c:v>
                </c:pt>
                <c:pt idx="375">
                  <c:v>731</c:v>
                </c:pt>
                <c:pt idx="376">
                  <c:v>731</c:v>
                </c:pt>
                <c:pt idx="377">
                  <c:v>731</c:v>
                </c:pt>
                <c:pt idx="378">
                  <c:v>731</c:v>
                </c:pt>
                <c:pt idx="379">
                  <c:v>731</c:v>
                </c:pt>
                <c:pt idx="380">
                  <c:v>731</c:v>
                </c:pt>
                <c:pt idx="381">
                  <c:v>731</c:v>
                </c:pt>
                <c:pt idx="382">
                  <c:v>731</c:v>
                </c:pt>
                <c:pt idx="383">
                  <c:v>731</c:v>
                </c:pt>
                <c:pt idx="384">
                  <c:v>731</c:v>
                </c:pt>
                <c:pt idx="385">
                  <c:v>731</c:v>
                </c:pt>
                <c:pt idx="386">
                  <c:v>731</c:v>
                </c:pt>
                <c:pt idx="387">
                  <c:v>731</c:v>
                </c:pt>
                <c:pt idx="388">
                  <c:v>730</c:v>
                </c:pt>
                <c:pt idx="389">
                  <c:v>730</c:v>
                </c:pt>
                <c:pt idx="390">
                  <c:v>730</c:v>
                </c:pt>
                <c:pt idx="391">
                  <c:v>730</c:v>
                </c:pt>
                <c:pt idx="392">
                  <c:v>730</c:v>
                </c:pt>
                <c:pt idx="393">
                  <c:v>731</c:v>
                </c:pt>
                <c:pt idx="394">
                  <c:v>730</c:v>
                </c:pt>
                <c:pt idx="395">
                  <c:v>731</c:v>
                </c:pt>
                <c:pt idx="396">
                  <c:v>730</c:v>
                </c:pt>
                <c:pt idx="397">
                  <c:v>731</c:v>
                </c:pt>
                <c:pt idx="398">
                  <c:v>731</c:v>
                </c:pt>
                <c:pt idx="399">
                  <c:v>731</c:v>
                </c:pt>
                <c:pt idx="400">
                  <c:v>731</c:v>
                </c:pt>
                <c:pt idx="401">
                  <c:v>731</c:v>
                </c:pt>
                <c:pt idx="402">
                  <c:v>731</c:v>
                </c:pt>
                <c:pt idx="403">
                  <c:v>731</c:v>
                </c:pt>
                <c:pt idx="404">
                  <c:v>731</c:v>
                </c:pt>
                <c:pt idx="405">
                  <c:v>731</c:v>
                </c:pt>
                <c:pt idx="406">
                  <c:v>731</c:v>
                </c:pt>
                <c:pt idx="407">
                  <c:v>731</c:v>
                </c:pt>
                <c:pt idx="408">
                  <c:v>731</c:v>
                </c:pt>
                <c:pt idx="409">
                  <c:v>731</c:v>
                </c:pt>
                <c:pt idx="410">
                  <c:v>731</c:v>
                </c:pt>
                <c:pt idx="411">
                  <c:v>730</c:v>
                </c:pt>
                <c:pt idx="412">
                  <c:v>731</c:v>
                </c:pt>
                <c:pt idx="413">
                  <c:v>731</c:v>
                </c:pt>
                <c:pt idx="414">
                  <c:v>730</c:v>
                </c:pt>
                <c:pt idx="415">
                  <c:v>730</c:v>
                </c:pt>
                <c:pt idx="416">
                  <c:v>730</c:v>
                </c:pt>
                <c:pt idx="417">
                  <c:v>730</c:v>
                </c:pt>
                <c:pt idx="418">
                  <c:v>730</c:v>
                </c:pt>
                <c:pt idx="419">
                  <c:v>730</c:v>
                </c:pt>
                <c:pt idx="420">
                  <c:v>731</c:v>
                </c:pt>
                <c:pt idx="421">
                  <c:v>731</c:v>
                </c:pt>
                <c:pt idx="422">
                  <c:v>731</c:v>
                </c:pt>
                <c:pt idx="423">
                  <c:v>731</c:v>
                </c:pt>
                <c:pt idx="424">
                  <c:v>731</c:v>
                </c:pt>
                <c:pt idx="425">
                  <c:v>731</c:v>
                </c:pt>
                <c:pt idx="426">
                  <c:v>731</c:v>
                </c:pt>
                <c:pt idx="427">
                  <c:v>731</c:v>
                </c:pt>
                <c:pt idx="428">
                  <c:v>731</c:v>
                </c:pt>
                <c:pt idx="429">
                  <c:v>730</c:v>
                </c:pt>
                <c:pt idx="430">
                  <c:v>731</c:v>
                </c:pt>
                <c:pt idx="431">
                  <c:v>730</c:v>
                </c:pt>
                <c:pt idx="432">
                  <c:v>731</c:v>
                </c:pt>
                <c:pt idx="433">
                  <c:v>730</c:v>
                </c:pt>
                <c:pt idx="434">
                  <c:v>730</c:v>
                </c:pt>
                <c:pt idx="435">
                  <c:v>730</c:v>
                </c:pt>
                <c:pt idx="436">
                  <c:v>730</c:v>
                </c:pt>
                <c:pt idx="437">
                  <c:v>730</c:v>
                </c:pt>
                <c:pt idx="438">
                  <c:v>730</c:v>
                </c:pt>
                <c:pt idx="439">
                  <c:v>730</c:v>
                </c:pt>
                <c:pt idx="440">
                  <c:v>731</c:v>
                </c:pt>
                <c:pt idx="441">
                  <c:v>731</c:v>
                </c:pt>
                <c:pt idx="442">
                  <c:v>731</c:v>
                </c:pt>
                <c:pt idx="443">
                  <c:v>731</c:v>
                </c:pt>
                <c:pt idx="444">
                  <c:v>731</c:v>
                </c:pt>
                <c:pt idx="445">
                  <c:v>731</c:v>
                </c:pt>
                <c:pt idx="446">
                  <c:v>731</c:v>
                </c:pt>
                <c:pt idx="447">
                  <c:v>731</c:v>
                </c:pt>
                <c:pt idx="448">
                  <c:v>731</c:v>
                </c:pt>
                <c:pt idx="449">
                  <c:v>731</c:v>
                </c:pt>
                <c:pt idx="450">
                  <c:v>731</c:v>
                </c:pt>
                <c:pt idx="451">
                  <c:v>731</c:v>
                </c:pt>
                <c:pt idx="452">
                  <c:v>731</c:v>
                </c:pt>
                <c:pt idx="453">
                  <c:v>731</c:v>
                </c:pt>
                <c:pt idx="454">
                  <c:v>731</c:v>
                </c:pt>
                <c:pt idx="455">
                  <c:v>731</c:v>
                </c:pt>
                <c:pt idx="456">
                  <c:v>731</c:v>
                </c:pt>
                <c:pt idx="457">
                  <c:v>731</c:v>
                </c:pt>
                <c:pt idx="458">
                  <c:v>731</c:v>
                </c:pt>
                <c:pt idx="459">
                  <c:v>731</c:v>
                </c:pt>
                <c:pt idx="460">
                  <c:v>731</c:v>
                </c:pt>
                <c:pt idx="461">
                  <c:v>731</c:v>
                </c:pt>
                <c:pt idx="462">
                  <c:v>731</c:v>
                </c:pt>
                <c:pt idx="463">
                  <c:v>731</c:v>
                </c:pt>
                <c:pt idx="464">
                  <c:v>730</c:v>
                </c:pt>
                <c:pt idx="465">
                  <c:v>731</c:v>
                </c:pt>
                <c:pt idx="466">
                  <c:v>731</c:v>
                </c:pt>
                <c:pt idx="467">
                  <c:v>731</c:v>
                </c:pt>
                <c:pt idx="468">
                  <c:v>731</c:v>
                </c:pt>
                <c:pt idx="469">
                  <c:v>731</c:v>
                </c:pt>
                <c:pt idx="470">
                  <c:v>731</c:v>
                </c:pt>
                <c:pt idx="471">
                  <c:v>731</c:v>
                </c:pt>
                <c:pt idx="472">
                  <c:v>731</c:v>
                </c:pt>
                <c:pt idx="473">
                  <c:v>731</c:v>
                </c:pt>
                <c:pt idx="474">
                  <c:v>731</c:v>
                </c:pt>
                <c:pt idx="475">
                  <c:v>731</c:v>
                </c:pt>
                <c:pt idx="476">
                  <c:v>731</c:v>
                </c:pt>
                <c:pt idx="477">
                  <c:v>731</c:v>
                </c:pt>
                <c:pt idx="478">
                  <c:v>731</c:v>
                </c:pt>
                <c:pt idx="479">
                  <c:v>731</c:v>
                </c:pt>
                <c:pt idx="480">
                  <c:v>731</c:v>
                </c:pt>
                <c:pt idx="481">
                  <c:v>731</c:v>
                </c:pt>
                <c:pt idx="482">
                  <c:v>731</c:v>
                </c:pt>
                <c:pt idx="483">
                  <c:v>731</c:v>
                </c:pt>
                <c:pt idx="484">
                  <c:v>731</c:v>
                </c:pt>
                <c:pt idx="485">
                  <c:v>731</c:v>
                </c:pt>
                <c:pt idx="486">
                  <c:v>731</c:v>
                </c:pt>
                <c:pt idx="487">
                  <c:v>731</c:v>
                </c:pt>
                <c:pt idx="488">
                  <c:v>731</c:v>
                </c:pt>
                <c:pt idx="489">
                  <c:v>731</c:v>
                </c:pt>
                <c:pt idx="490">
                  <c:v>731</c:v>
                </c:pt>
                <c:pt idx="491">
                  <c:v>731</c:v>
                </c:pt>
                <c:pt idx="492">
                  <c:v>731</c:v>
                </c:pt>
                <c:pt idx="493">
                  <c:v>731</c:v>
                </c:pt>
                <c:pt idx="494">
                  <c:v>731</c:v>
                </c:pt>
                <c:pt idx="495">
                  <c:v>731</c:v>
                </c:pt>
                <c:pt idx="496">
                  <c:v>731</c:v>
                </c:pt>
                <c:pt idx="497">
                  <c:v>731</c:v>
                </c:pt>
                <c:pt idx="498">
                  <c:v>731</c:v>
                </c:pt>
                <c:pt idx="499">
                  <c:v>731</c:v>
                </c:pt>
                <c:pt idx="500">
                  <c:v>731</c:v>
                </c:pt>
                <c:pt idx="501">
                  <c:v>731</c:v>
                </c:pt>
                <c:pt idx="502">
                  <c:v>731</c:v>
                </c:pt>
                <c:pt idx="503">
                  <c:v>731</c:v>
                </c:pt>
                <c:pt idx="504">
                  <c:v>731</c:v>
                </c:pt>
                <c:pt idx="505">
                  <c:v>731</c:v>
                </c:pt>
                <c:pt idx="506">
                  <c:v>732</c:v>
                </c:pt>
                <c:pt idx="507">
                  <c:v>731</c:v>
                </c:pt>
                <c:pt idx="508">
                  <c:v>731</c:v>
                </c:pt>
                <c:pt idx="509">
                  <c:v>732</c:v>
                </c:pt>
                <c:pt idx="510">
                  <c:v>731</c:v>
                </c:pt>
                <c:pt idx="511">
                  <c:v>731</c:v>
                </c:pt>
                <c:pt idx="512">
                  <c:v>731</c:v>
                </c:pt>
                <c:pt idx="513">
                  <c:v>731</c:v>
                </c:pt>
                <c:pt idx="514">
                  <c:v>731</c:v>
                </c:pt>
                <c:pt idx="515">
                  <c:v>731</c:v>
                </c:pt>
                <c:pt idx="516">
                  <c:v>731</c:v>
                </c:pt>
                <c:pt idx="517">
                  <c:v>731</c:v>
                </c:pt>
                <c:pt idx="518">
                  <c:v>731</c:v>
                </c:pt>
                <c:pt idx="519">
                  <c:v>731</c:v>
                </c:pt>
                <c:pt idx="520">
                  <c:v>731</c:v>
                </c:pt>
                <c:pt idx="521">
                  <c:v>731</c:v>
                </c:pt>
                <c:pt idx="522">
                  <c:v>731</c:v>
                </c:pt>
                <c:pt idx="523">
                  <c:v>731</c:v>
                </c:pt>
                <c:pt idx="524">
                  <c:v>731</c:v>
                </c:pt>
                <c:pt idx="525">
                  <c:v>731</c:v>
                </c:pt>
                <c:pt idx="526">
                  <c:v>731</c:v>
                </c:pt>
                <c:pt idx="527">
                  <c:v>731</c:v>
                </c:pt>
                <c:pt idx="528">
                  <c:v>731</c:v>
                </c:pt>
                <c:pt idx="529">
                  <c:v>731</c:v>
                </c:pt>
                <c:pt idx="530">
                  <c:v>731</c:v>
                </c:pt>
                <c:pt idx="531">
                  <c:v>731</c:v>
                </c:pt>
                <c:pt idx="532">
                  <c:v>730</c:v>
                </c:pt>
                <c:pt idx="533">
                  <c:v>730</c:v>
                </c:pt>
                <c:pt idx="534">
                  <c:v>730</c:v>
                </c:pt>
                <c:pt idx="535">
                  <c:v>730</c:v>
                </c:pt>
                <c:pt idx="536">
                  <c:v>730</c:v>
                </c:pt>
                <c:pt idx="537">
                  <c:v>730</c:v>
                </c:pt>
                <c:pt idx="538">
                  <c:v>730</c:v>
                </c:pt>
                <c:pt idx="539">
                  <c:v>730</c:v>
                </c:pt>
                <c:pt idx="540">
                  <c:v>730</c:v>
                </c:pt>
                <c:pt idx="541">
                  <c:v>730</c:v>
                </c:pt>
                <c:pt idx="542">
                  <c:v>730</c:v>
                </c:pt>
                <c:pt idx="543">
                  <c:v>730</c:v>
                </c:pt>
                <c:pt idx="544">
                  <c:v>730</c:v>
                </c:pt>
                <c:pt idx="545">
                  <c:v>730</c:v>
                </c:pt>
                <c:pt idx="546">
                  <c:v>730</c:v>
                </c:pt>
                <c:pt idx="547">
                  <c:v>730</c:v>
                </c:pt>
                <c:pt idx="548">
                  <c:v>730</c:v>
                </c:pt>
                <c:pt idx="549">
                  <c:v>730</c:v>
                </c:pt>
                <c:pt idx="550">
                  <c:v>730</c:v>
                </c:pt>
                <c:pt idx="551">
                  <c:v>730</c:v>
                </c:pt>
                <c:pt idx="552">
                  <c:v>730</c:v>
                </c:pt>
                <c:pt idx="553">
                  <c:v>730</c:v>
                </c:pt>
                <c:pt idx="554">
                  <c:v>730</c:v>
                </c:pt>
                <c:pt idx="555">
                  <c:v>730</c:v>
                </c:pt>
                <c:pt idx="556">
                  <c:v>730</c:v>
                </c:pt>
                <c:pt idx="557">
                  <c:v>730</c:v>
                </c:pt>
                <c:pt idx="558">
                  <c:v>730</c:v>
                </c:pt>
                <c:pt idx="559">
                  <c:v>730</c:v>
                </c:pt>
                <c:pt idx="560">
                  <c:v>729</c:v>
                </c:pt>
                <c:pt idx="561">
                  <c:v>729</c:v>
                </c:pt>
                <c:pt idx="562">
                  <c:v>729</c:v>
                </c:pt>
                <c:pt idx="563">
                  <c:v>729</c:v>
                </c:pt>
                <c:pt idx="564">
                  <c:v>729</c:v>
                </c:pt>
                <c:pt idx="565">
                  <c:v>729</c:v>
                </c:pt>
                <c:pt idx="566">
                  <c:v>729</c:v>
                </c:pt>
                <c:pt idx="567">
                  <c:v>729</c:v>
                </c:pt>
                <c:pt idx="568">
                  <c:v>729</c:v>
                </c:pt>
                <c:pt idx="569">
                  <c:v>729</c:v>
                </c:pt>
                <c:pt idx="570">
                  <c:v>729</c:v>
                </c:pt>
                <c:pt idx="571">
                  <c:v>729</c:v>
                </c:pt>
                <c:pt idx="572">
                  <c:v>730</c:v>
                </c:pt>
                <c:pt idx="573">
                  <c:v>730</c:v>
                </c:pt>
                <c:pt idx="574">
                  <c:v>731</c:v>
                </c:pt>
                <c:pt idx="575">
                  <c:v>731</c:v>
                </c:pt>
                <c:pt idx="576">
                  <c:v>730</c:v>
                </c:pt>
                <c:pt idx="577">
                  <c:v>730</c:v>
                </c:pt>
                <c:pt idx="578">
                  <c:v>731</c:v>
                </c:pt>
                <c:pt idx="579">
                  <c:v>731</c:v>
                </c:pt>
                <c:pt idx="580">
                  <c:v>730</c:v>
                </c:pt>
                <c:pt idx="581">
                  <c:v>731</c:v>
                </c:pt>
                <c:pt idx="582">
                  <c:v>730</c:v>
                </c:pt>
                <c:pt idx="583">
                  <c:v>730</c:v>
                </c:pt>
                <c:pt idx="584">
                  <c:v>731</c:v>
                </c:pt>
                <c:pt idx="585">
                  <c:v>731</c:v>
                </c:pt>
                <c:pt idx="586">
                  <c:v>730</c:v>
                </c:pt>
                <c:pt idx="587">
                  <c:v>731</c:v>
                </c:pt>
                <c:pt idx="588">
                  <c:v>731</c:v>
                </c:pt>
                <c:pt idx="589">
                  <c:v>731</c:v>
                </c:pt>
                <c:pt idx="590">
                  <c:v>731</c:v>
                </c:pt>
                <c:pt idx="591">
                  <c:v>731</c:v>
                </c:pt>
                <c:pt idx="592">
                  <c:v>731</c:v>
                </c:pt>
                <c:pt idx="593">
                  <c:v>731</c:v>
                </c:pt>
                <c:pt idx="594">
                  <c:v>731</c:v>
                </c:pt>
                <c:pt idx="595">
                  <c:v>731</c:v>
                </c:pt>
                <c:pt idx="596">
                  <c:v>731</c:v>
                </c:pt>
                <c:pt idx="597">
                  <c:v>731</c:v>
                </c:pt>
                <c:pt idx="598">
                  <c:v>731</c:v>
                </c:pt>
                <c:pt idx="599">
                  <c:v>731</c:v>
                </c:pt>
                <c:pt idx="600">
                  <c:v>731</c:v>
                </c:pt>
                <c:pt idx="601">
                  <c:v>731</c:v>
                </c:pt>
                <c:pt idx="602">
                  <c:v>731</c:v>
                </c:pt>
                <c:pt idx="603">
                  <c:v>731</c:v>
                </c:pt>
                <c:pt idx="604">
                  <c:v>731</c:v>
                </c:pt>
                <c:pt idx="605">
                  <c:v>731</c:v>
                </c:pt>
                <c:pt idx="606">
                  <c:v>731</c:v>
                </c:pt>
                <c:pt idx="607">
                  <c:v>730</c:v>
                </c:pt>
                <c:pt idx="608">
                  <c:v>730</c:v>
                </c:pt>
                <c:pt idx="609">
                  <c:v>730</c:v>
                </c:pt>
                <c:pt idx="610">
                  <c:v>730</c:v>
                </c:pt>
                <c:pt idx="611">
                  <c:v>730</c:v>
                </c:pt>
                <c:pt idx="612">
                  <c:v>730</c:v>
                </c:pt>
                <c:pt idx="613">
                  <c:v>730</c:v>
                </c:pt>
                <c:pt idx="614">
                  <c:v>730</c:v>
                </c:pt>
                <c:pt idx="615">
                  <c:v>730</c:v>
                </c:pt>
                <c:pt idx="616">
                  <c:v>730</c:v>
                </c:pt>
                <c:pt idx="617">
                  <c:v>731</c:v>
                </c:pt>
                <c:pt idx="618">
                  <c:v>731</c:v>
                </c:pt>
                <c:pt idx="619">
                  <c:v>731</c:v>
                </c:pt>
                <c:pt idx="620">
                  <c:v>731</c:v>
                </c:pt>
                <c:pt idx="621">
                  <c:v>731</c:v>
                </c:pt>
                <c:pt idx="622">
                  <c:v>731</c:v>
                </c:pt>
                <c:pt idx="623">
                  <c:v>731</c:v>
                </c:pt>
                <c:pt idx="624">
                  <c:v>731</c:v>
                </c:pt>
                <c:pt idx="625">
                  <c:v>731</c:v>
                </c:pt>
                <c:pt idx="626">
                  <c:v>731</c:v>
                </c:pt>
                <c:pt idx="627">
                  <c:v>731</c:v>
                </c:pt>
                <c:pt idx="628">
                  <c:v>731</c:v>
                </c:pt>
                <c:pt idx="629">
                  <c:v>731</c:v>
                </c:pt>
                <c:pt idx="630">
                  <c:v>731</c:v>
                </c:pt>
                <c:pt idx="631">
                  <c:v>730</c:v>
                </c:pt>
                <c:pt idx="632">
                  <c:v>730</c:v>
                </c:pt>
                <c:pt idx="633">
                  <c:v>731</c:v>
                </c:pt>
                <c:pt idx="634">
                  <c:v>731</c:v>
                </c:pt>
                <c:pt idx="635">
                  <c:v>731</c:v>
                </c:pt>
                <c:pt idx="636">
                  <c:v>731</c:v>
                </c:pt>
                <c:pt idx="637">
                  <c:v>731</c:v>
                </c:pt>
                <c:pt idx="638">
                  <c:v>731</c:v>
                </c:pt>
                <c:pt idx="639">
                  <c:v>731</c:v>
                </c:pt>
                <c:pt idx="640">
                  <c:v>731</c:v>
                </c:pt>
                <c:pt idx="641">
                  <c:v>731</c:v>
                </c:pt>
                <c:pt idx="642">
                  <c:v>731</c:v>
                </c:pt>
                <c:pt idx="643">
                  <c:v>731</c:v>
                </c:pt>
                <c:pt idx="644">
                  <c:v>731</c:v>
                </c:pt>
                <c:pt idx="645">
                  <c:v>731</c:v>
                </c:pt>
                <c:pt idx="646">
                  <c:v>731</c:v>
                </c:pt>
                <c:pt idx="647">
                  <c:v>731</c:v>
                </c:pt>
                <c:pt idx="648">
                  <c:v>731</c:v>
                </c:pt>
                <c:pt idx="649">
                  <c:v>731</c:v>
                </c:pt>
                <c:pt idx="650">
                  <c:v>731</c:v>
                </c:pt>
                <c:pt idx="651">
                  <c:v>731</c:v>
                </c:pt>
                <c:pt idx="652">
                  <c:v>731</c:v>
                </c:pt>
                <c:pt idx="653">
                  <c:v>731</c:v>
                </c:pt>
                <c:pt idx="654">
                  <c:v>731</c:v>
                </c:pt>
                <c:pt idx="655">
                  <c:v>731</c:v>
                </c:pt>
                <c:pt idx="656">
                  <c:v>731</c:v>
                </c:pt>
                <c:pt idx="657">
                  <c:v>731</c:v>
                </c:pt>
                <c:pt idx="658">
                  <c:v>731</c:v>
                </c:pt>
                <c:pt idx="659">
                  <c:v>731</c:v>
                </c:pt>
                <c:pt idx="660">
                  <c:v>731</c:v>
                </c:pt>
                <c:pt idx="661">
                  <c:v>731</c:v>
                </c:pt>
                <c:pt idx="662">
                  <c:v>731</c:v>
                </c:pt>
                <c:pt idx="663">
                  <c:v>731</c:v>
                </c:pt>
                <c:pt idx="664">
                  <c:v>731</c:v>
                </c:pt>
                <c:pt idx="665">
                  <c:v>731</c:v>
                </c:pt>
                <c:pt idx="666">
                  <c:v>731</c:v>
                </c:pt>
                <c:pt idx="667">
                  <c:v>731</c:v>
                </c:pt>
                <c:pt idx="668">
                  <c:v>731</c:v>
                </c:pt>
                <c:pt idx="669">
                  <c:v>731</c:v>
                </c:pt>
                <c:pt idx="670">
                  <c:v>731</c:v>
                </c:pt>
                <c:pt idx="671">
                  <c:v>731</c:v>
                </c:pt>
                <c:pt idx="672">
                  <c:v>731</c:v>
                </c:pt>
                <c:pt idx="673">
                  <c:v>731</c:v>
                </c:pt>
                <c:pt idx="674">
                  <c:v>732</c:v>
                </c:pt>
                <c:pt idx="675">
                  <c:v>732</c:v>
                </c:pt>
                <c:pt idx="676">
                  <c:v>732</c:v>
                </c:pt>
                <c:pt idx="677">
                  <c:v>731</c:v>
                </c:pt>
                <c:pt idx="678">
                  <c:v>732</c:v>
                </c:pt>
                <c:pt idx="679">
                  <c:v>731</c:v>
                </c:pt>
                <c:pt idx="680">
                  <c:v>731</c:v>
                </c:pt>
                <c:pt idx="681">
                  <c:v>731</c:v>
                </c:pt>
                <c:pt idx="682">
                  <c:v>731</c:v>
                </c:pt>
                <c:pt idx="683">
                  <c:v>731</c:v>
                </c:pt>
                <c:pt idx="684">
                  <c:v>732</c:v>
                </c:pt>
                <c:pt idx="685">
                  <c:v>732</c:v>
                </c:pt>
                <c:pt idx="686">
                  <c:v>732</c:v>
                </c:pt>
                <c:pt idx="687">
                  <c:v>732</c:v>
                </c:pt>
                <c:pt idx="688">
                  <c:v>732</c:v>
                </c:pt>
                <c:pt idx="689">
                  <c:v>732</c:v>
                </c:pt>
                <c:pt idx="690">
                  <c:v>731</c:v>
                </c:pt>
                <c:pt idx="691">
                  <c:v>732</c:v>
                </c:pt>
                <c:pt idx="692">
                  <c:v>731</c:v>
                </c:pt>
                <c:pt idx="693">
                  <c:v>731</c:v>
                </c:pt>
                <c:pt idx="694">
                  <c:v>731</c:v>
                </c:pt>
                <c:pt idx="695">
                  <c:v>731</c:v>
                </c:pt>
                <c:pt idx="696">
                  <c:v>731</c:v>
                </c:pt>
                <c:pt idx="697">
                  <c:v>731</c:v>
                </c:pt>
                <c:pt idx="698">
                  <c:v>731</c:v>
                </c:pt>
                <c:pt idx="699">
                  <c:v>731</c:v>
                </c:pt>
                <c:pt idx="700">
                  <c:v>731</c:v>
                </c:pt>
                <c:pt idx="701">
                  <c:v>731</c:v>
                </c:pt>
                <c:pt idx="702">
                  <c:v>731</c:v>
                </c:pt>
                <c:pt idx="703">
                  <c:v>731</c:v>
                </c:pt>
                <c:pt idx="704">
                  <c:v>731</c:v>
                </c:pt>
                <c:pt idx="705">
                  <c:v>731</c:v>
                </c:pt>
                <c:pt idx="706">
                  <c:v>731</c:v>
                </c:pt>
                <c:pt idx="707">
                  <c:v>732</c:v>
                </c:pt>
                <c:pt idx="708">
                  <c:v>732</c:v>
                </c:pt>
                <c:pt idx="709">
                  <c:v>732</c:v>
                </c:pt>
                <c:pt idx="710">
                  <c:v>732</c:v>
                </c:pt>
                <c:pt idx="711">
                  <c:v>732</c:v>
                </c:pt>
                <c:pt idx="712">
                  <c:v>732</c:v>
                </c:pt>
                <c:pt idx="713">
                  <c:v>732</c:v>
                </c:pt>
                <c:pt idx="714">
                  <c:v>732</c:v>
                </c:pt>
                <c:pt idx="715">
                  <c:v>731</c:v>
                </c:pt>
                <c:pt idx="716">
                  <c:v>731</c:v>
                </c:pt>
                <c:pt idx="717">
                  <c:v>731</c:v>
                </c:pt>
                <c:pt idx="718">
                  <c:v>732</c:v>
                </c:pt>
                <c:pt idx="719">
                  <c:v>732</c:v>
                </c:pt>
                <c:pt idx="720">
                  <c:v>732</c:v>
                </c:pt>
                <c:pt idx="721">
                  <c:v>732</c:v>
                </c:pt>
                <c:pt idx="722">
                  <c:v>731</c:v>
                </c:pt>
                <c:pt idx="723">
                  <c:v>731</c:v>
                </c:pt>
                <c:pt idx="724">
                  <c:v>731</c:v>
                </c:pt>
                <c:pt idx="725">
                  <c:v>731</c:v>
                </c:pt>
                <c:pt idx="726">
                  <c:v>731</c:v>
                </c:pt>
                <c:pt idx="727">
                  <c:v>731</c:v>
                </c:pt>
                <c:pt idx="728">
                  <c:v>731</c:v>
                </c:pt>
                <c:pt idx="729">
                  <c:v>731</c:v>
                </c:pt>
                <c:pt idx="730">
                  <c:v>731</c:v>
                </c:pt>
                <c:pt idx="731">
                  <c:v>731</c:v>
                </c:pt>
                <c:pt idx="732">
                  <c:v>732</c:v>
                </c:pt>
                <c:pt idx="733">
                  <c:v>731</c:v>
                </c:pt>
                <c:pt idx="734">
                  <c:v>731</c:v>
                </c:pt>
                <c:pt idx="735">
                  <c:v>731</c:v>
                </c:pt>
                <c:pt idx="736">
                  <c:v>731</c:v>
                </c:pt>
                <c:pt idx="737">
                  <c:v>731</c:v>
                </c:pt>
                <c:pt idx="738">
                  <c:v>731</c:v>
                </c:pt>
                <c:pt idx="739">
                  <c:v>731</c:v>
                </c:pt>
                <c:pt idx="740">
                  <c:v>731</c:v>
                </c:pt>
                <c:pt idx="741">
                  <c:v>731</c:v>
                </c:pt>
                <c:pt idx="742">
                  <c:v>732</c:v>
                </c:pt>
                <c:pt idx="743">
                  <c:v>731</c:v>
                </c:pt>
                <c:pt idx="744">
                  <c:v>731</c:v>
                </c:pt>
                <c:pt idx="745">
                  <c:v>731</c:v>
                </c:pt>
                <c:pt idx="746">
                  <c:v>731</c:v>
                </c:pt>
                <c:pt idx="747">
                  <c:v>731</c:v>
                </c:pt>
                <c:pt idx="748">
                  <c:v>731</c:v>
                </c:pt>
                <c:pt idx="749">
                  <c:v>731</c:v>
                </c:pt>
                <c:pt idx="750">
                  <c:v>731</c:v>
                </c:pt>
                <c:pt idx="751">
                  <c:v>731</c:v>
                </c:pt>
                <c:pt idx="752">
                  <c:v>731</c:v>
                </c:pt>
                <c:pt idx="753">
                  <c:v>731</c:v>
                </c:pt>
                <c:pt idx="754">
                  <c:v>731</c:v>
                </c:pt>
                <c:pt idx="755">
                  <c:v>731</c:v>
                </c:pt>
                <c:pt idx="756">
                  <c:v>731</c:v>
                </c:pt>
                <c:pt idx="757">
                  <c:v>731</c:v>
                </c:pt>
                <c:pt idx="758">
                  <c:v>731</c:v>
                </c:pt>
                <c:pt idx="759">
                  <c:v>731</c:v>
                </c:pt>
                <c:pt idx="760">
                  <c:v>731</c:v>
                </c:pt>
                <c:pt idx="761">
                  <c:v>731</c:v>
                </c:pt>
                <c:pt idx="762">
                  <c:v>731</c:v>
                </c:pt>
                <c:pt idx="763">
                  <c:v>731</c:v>
                </c:pt>
                <c:pt idx="764">
                  <c:v>731</c:v>
                </c:pt>
                <c:pt idx="765">
                  <c:v>731</c:v>
                </c:pt>
                <c:pt idx="766">
                  <c:v>731</c:v>
                </c:pt>
                <c:pt idx="767">
                  <c:v>731</c:v>
                </c:pt>
                <c:pt idx="768">
                  <c:v>731</c:v>
                </c:pt>
                <c:pt idx="769">
                  <c:v>731</c:v>
                </c:pt>
                <c:pt idx="770">
                  <c:v>731</c:v>
                </c:pt>
                <c:pt idx="771">
                  <c:v>731</c:v>
                </c:pt>
                <c:pt idx="772">
                  <c:v>731</c:v>
                </c:pt>
                <c:pt idx="773">
                  <c:v>731</c:v>
                </c:pt>
                <c:pt idx="774">
                  <c:v>731</c:v>
                </c:pt>
                <c:pt idx="775">
                  <c:v>731</c:v>
                </c:pt>
                <c:pt idx="776">
                  <c:v>731</c:v>
                </c:pt>
                <c:pt idx="777">
                  <c:v>731</c:v>
                </c:pt>
                <c:pt idx="778">
                  <c:v>731</c:v>
                </c:pt>
                <c:pt idx="779">
                  <c:v>731</c:v>
                </c:pt>
                <c:pt idx="780">
                  <c:v>731</c:v>
                </c:pt>
                <c:pt idx="781">
                  <c:v>731</c:v>
                </c:pt>
                <c:pt idx="782">
                  <c:v>731</c:v>
                </c:pt>
                <c:pt idx="783">
                  <c:v>731</c:v>
                </c:pt>
                <c:pt idx="784">
                  <c:v>731</c:v>
                </c:pt>
                <c:pt idx="785">
                  <c:v>731</c:v>
                </c:pt>
                <c:pt idx="786">
                  <c:v>731</c:v>
                </c:pt>
                <c:pt idx="787">
                  <c:v>731</c:v>
                </c:pt>
                <c:pt idx="788">
                  <c:v>731</c:v>
                </c:pt>
                <c:pt idx="789">
                  <c:v>731</c:v>
                </c:pt>
                <c:pt idx="790">
                  <c:v>731</c:v>
                </c:pt>
                <c:pt idx="791">
                  <c:v>731</c:v>
                </c:pt>
                <c:pt idx="792">
                  <c:v>731</c:v>
                </c:pt>
                <c:pt idx="793">
                  <c:v>731</c:v>
                </c:pt>
                <c:pt idx="794">
                  <c:v>731</c:v>
                </c:pt>
                <c:pt idx="795">
                  <c:v>731</c:v>
                </c:pt>
                <c:pt idx="796">
                  <c:v>731</c:v>
                </c:pt>
                <c:pt idx="797">
                  <c:v>731</c:v>
                </c:pt>
                <c:pt idx="798">
                  <c:v>731</c:v>
                </c:pt>
                <c:pt idx="799">
                  <c:v>732</c:v>
                </c:pt>
                <c:pt idx="800">
                  <c:v>732</c:v>
                </c:pt>
                <c:pt idx="801">
                  <c:v>731</c:v>
                </c:pt>
                <c:pt idx="802">
                  <c:v>732</c:v>
                </c:pt>
                <c:pt idx="803">
                  <c:v>732</c:v>
                </c:pt>
                <c:pt idx="804">
                  <c:v>732</c:v>
                </c:pt>
                <c:pt idx="805">
                  <c:v>731</c:v>
                </c:pt>
                <c:pt idx="806">
                  <c:v>731</c:v>
                </c:pt>
                <c:pt idx="807">
                  <c:v>731</c:v>
                </c:pt>
                <c:pt idx="808">
                  <c:v>731</c:v>
                </c:pt>
                <c:pt idx="809">
                  <c:v>731</c:v>
                </c:pt>
                <c:pt idx="810">
                  <c:v>731</c:v>
                </c:pt>
                <c:pt idx="811">
                  <c:v>731</c:v>
                </c:pt>
                <c:pt idx="812">
                  <c:v>731</c:v>
                </c:pt>
                <c:pt idx="813">
                  <c:v>731</c:v>
                </c:pt>
                <c:pt idx="814">
                  <c:v>731</c:v>
                </c:pt>
                <c:pt idx="815">
                  <c:v>731</c:v>
                </c:pt>
                <c:pt idx="816">
                  <c:v>731</c:v>
                </c:pt>
                <c:pt idx="817">
                  <c:v>731</c:v>
                </c:pt>
                <c:pt idx="818">
                  <c:v>731</c:v>
                </c:pt>
                <c:pt idx="819">
                  <c:v>731</c:v>
                </c:pt>
                <c:pt idx="820">
                  <c:v>731</c:v>
                </c:pt>
                <c:pt idx="821">
                  <c:v>731</c:v>
                </c:pt>
                <c:pt idx="822">
                  <c:v>731</c:v>
                </c:pt>
                <c:pt idx="823">
                  <c:v>731</c:v>
                </c:pt>
                <c:pt idx="824">
                  <c:v>731</c:v>
                </c:pt>
                <c:pt idx="825">
                  <c:v>731</c:v>
                </c:pt>
                <c:pt idx="826">
                  <c:v>731</c:v>
                </c:pt>
                <c:pt idx="827">
                  <c:v>731</c:v>
                </c:pt>
                <c:pt idx="828">
                  <c:v>731</c:v>
                </c:pt>
                <c:pt idx="829">
                  <c:v>731</c:v>
                </c:pt>
                <c:pt idx="830">
                  <c:v>731</c:v>
                </c:pt>
                <c:pt idx="831">
                  <c:v>731</c:v>
                </c:pt>
                <c:pt idx="832">
                  <c:v>731</c:v>
                </c:pt>
                <c:pt idx="833">
                  <c:v>731</c:v>
                </c:pt>
                <c:pt idx="834">
                  <c:v>731</c:v>
                </c:pt>
                <c:pt idx="835">
                  <c:v>731</c:v>
                </c:pt>
                <c:pt idx="836">
                  <c:v>731</c:v>
                </c:pt>
                <c:pt idx="837">
                  <c:v>731</c:v>
                </c:pt>
                <c:pt idx="838">
                  <c:v>731</c:v>
                </c:pt>
                <c:pt idx="839">
                  <c:v>731</c:v>
                </c:pt>
                <c:pt idx="840">
                  <c:v>731</c:v>
                </c:pt>
                <c:pt idx="841">
                  <c:v>731</c:v>
                </c:pt>
                <c:pt idx="842">
                  <c:v>731</c:v>
                </c:pt>
                <c:pt idx="843">
                  <c:v>731</c:v>
                </c:pt>
                <c:pt idx="844">
                  <c:v>731</c:v>
                </c:pt>
                <c:pt idx="845">
                  <c:v>731</c:v>
                </c:pt>
                <c:pt idx="846">
                  <c:v>731</c:v>
                </c:pt>
                <c:pt idx="847">
                  <c:v>731</c:v>
                </c:pt>
                <c:pt idx="848">
                  <c:v>731</c:v>
                </c:pt>
                <c:pt idx="849">
                  <c:v>731</c:v>
                </c:pt>
                <c:pt idx="850">
                  <c:v>731</c:v>
                </c:pt>
                <c:pt idx="851">
                  <c:v>731</c:v>
                </c:pt>
                <c:pt idx="852">
                  <c:v>731</c:v>
                </c:pt>
                <c:pt idx="853">
                  <c:v>731</c:v>
                </c:pt>
                <c:pt idx="854">
                  <c:v>731</c:v>
                </c:pt>
                <c:pt idx="855">
                  <c:v>731</c:v>
                </c:pt>
                <c:pt idx="856">
                  <c:v>731</c:v>
                </c:pt>
                <c:pt idx="857">
                  <c:v>731</c:v>
                </c:pt>
                <c:pt idx="858">
                  <c:v>731</c:v>
                </c:pt>
                <c:pt idx="859">
                  <c:v>731</c:v>
                </c:pt>
                <c:pt idx="860">
                  <c:v>731</c:v>
                </c:pt>
                <c:pt idx="861">
                  <c:v>731</c:v>
                </c:pt>
                <c:pt idx="862">
                  <c:v>731</c:v>
                </c:pt>
                <c:pt idx="863">
                  <c:v>731</c:v>
                </c:pt>
                <c:pt idx="864">
                  <c:v>731</c:v>
                </c:pt>
                <c:pt idx="865">
                  <c:v>731</c:v>
                </c:pt>
                <c:pt idx="866">
                  <c:v>731</c:v>
                </c:pt>
                <c:pt idx="867">
                  <c:v>731</c:v>
                </c:pt>
                <c:pt idx="868">
                  <c:v>730</c:v>
                </c:pt>
                <c:pt idx="869">
                  <c:v>731</c:v>
                </c:pt>
                <c:pt idx="870">
                  <c:v>730</c:v>
                </c:pt>
                <c:pt idx="871">
                  <c:v>730</c:v>
                </c:pt>
                <c:pt idx="872">
                  <c:v>731</c:v>
                </c:pt>
                <c:pt idx="873">
                  <c:v>731</c:v>
                </c:pt>
                <c:pt idx="874">
                  <c:v>731</c:v>
                </c:pt>
                <c:pt idx="875">
                  <c:v>731</c:v>
                </c:pt>
                <c:pt idx="876">
                  <c:v>731</c:v>
                </c:pt>
                <c:pt idx="877">
                  <c:v>731</c:v>
                </c:pt>
                <c:pt idx="878">
                  <c:v>731</c:v>
                </c:pt>
                <c:pt idx="879">
                  <c:v>731</c:v>
                </c:pt>
                <c:pt idx="880">
                  <c:v>731</c:v>
                </c:pt>
                <c:pt idx="881">
                  <c:v>731</c:v>
                </c:pt>
                <c:pt idx="882">
                  <c:v>731</c:v>
                </c:pt>
                <c:pt idx="883">
                  <c:v>731</c:v>
                </c:pt>
                <c:pt idx="884">
                  <c:v>731</c:v>
                </c:pt>
                <c:pt idx="885">
                  <c:v>731</c:v>
                </c:pt>
                <c:pt idx="886">
                  <c:v>731</c:v>
                </c:pt>
                <c:pt idx="887">
                  <c:v>731</c:v>
                </c:pt>
                <c:pt idx="888">
                  <c:v>731</c:v>
                </c:pt>
                <c:pt idx="889">
                  <c:v>731</c:v>
                </c:pt>
                <c:pt idx="890">
                  <c:v>731</c:v>
                </c:pt>
                <c:pt idx="891">
                  <c:v>730</c:v>
                </c:pt>
                <c:pt idx="892">
                  <c:v>731</c:v>
                </c:pt>
                <c:pt idx="893">
                  <c:v>731</c:v>
                </c:pt>
                <c:pt idx="894">
                  <c:v>730</c:v>
                </c:pt>
                <c:pt idx="895">
                  <c:v>731</c:v>
                </c:pt>
                <c:pt idx="896">
                  <c:v>731</c:v>
                </c:pt>
                <c:pt idx="897">
                  <c:v>730</c:v>
                </c:pt>
                <c:pt idx="898">
                  <c:v>731</c:v>
                </c:pt>
                <c:pt idx="899">
                  <c:v>731</c:v>
                </c:pt>
                <c:pt idx="900">
                  <c:v>731</c:v>
                </c:pt>
                <c:pt idx="901">
                  <c:v>731</c:v>
                </c:pt>
                <c:pt idx="902">
                  <c:v>731</c:v>
                </c:pt>
                <c:pt idx="903">
                  <c:v>731</c:v>
                </c:pt>
                <c:pt idx="904">
                  <c:v>731</c:v>
                </c:pt>
                <c:pt idx="905">
                  <c:v>731</c:v>
                </c:pt>
                <c:pt idx="906">
                  <c:v>731</c:v>
                </c:pt>
                <c:pt idx="907">
                  <c:v>731</c:v>
                </c:pt>
                <c:pt idx="908">
                  <c:v>731</c:v>
                </c:pt>
                <c:pt idx="909">
                  <c:v>731</c:v>
                </c:pt>
                <c:pt idx="910">
                  <c:v>731</c:v>
                </c:pt>
                <c:pt idx="911">
                  <c:v>731</c:v>
                </c:pt>
                <c:pt idx="912">
                  <c:v>731</c:v>
                </c:pt>
                <c:pt idx="913">
                  <c:v>730</c:v>
                </c:pt>
                <c:pt idx="914">
                  <c:v>730</c:v>
                </c:pt>
                <c:pt idx="915">
                  <c:v>730</c:v>
                </c:pt>
                <c:pt idx="916">
                  <c:v>730</c:v>
                </c:pt>
                <c:pt idx="917">
                  <c:v>730</c:v>
                </c:pt>
                <c:pt idx="918">
                  <c:v>730</c:v>
                </c:pt>
                <c:pt idx="919">
                  <c:v>730</c:v>
                </c:pt>
                <c:pt idx="920">
                  <c:v>730</c:v>
                </c:pt>
                <c:pt idx="921">
                  <c:v>730</c:v>
                </c:pt>
                <c:pt idx="922">
                  <c:v>730</c:v>
                </c:pt>
                <c:pt idx="923">
                  <c:v>730</c:v>
                </c:pt>
                <c:pt idx="924">
                  <c:v>730</c:v>
                </c:pt>
                <c:pt idx="925">
                  <c:v>730</c:v>
                </c:pt>
                <c:pt idx="926">
                  <c:v>730</c:v>
                </c:pt>
                <c:pt idx="927">
                  <c:v>730</c:v>
                </c:pt>
                <c:pt idx="928">
                  <c:v>730</c:v>
                </c:pt>
                <c:pt idx="929">
                  <c:v>730</c:v>
                </c:pt>
                <c:pt idx="930">
                  <c:v>730</c:v>
                </c:pt>
                <c:pt idx="931">
                  <c:v>730</c:v>
                </c:pt>
                <c:pt idx="932">
                  <c:v>730</c:v>
                </c:pt>
                <c:pt idx="933">
                  <c:v>730</c:v>
                </c:pt>
                <c:pt idx="934">
                  <c:v>730</c:v>
                </c:pt>
                <c:pt idx="935">
                  <c:v>730</c:v>
                </c:pt>
                <c:pt idx="936">
                  <c:v>730</c:v>
                </c:pt>
                <c:pt idx="937">
                  <c:v>730</c:v>
                </c:pt>
                <c:pt idx="938">
                  <c:v>730</c:v>
                </c:pt>
                <c:pt idx="939">
                  <c:v>730</c:v>
                </c:pt>
                <c:pt idx="940">
                  <c:v>730</c:v>
                </c:pt>
                <c:pt idx="941">
                  <c:v>730</c:v>
                </c:pt>
                <c:pt idx="942">
                  <c:v>730</c:v>
                </c:pt>
                <c:pt idx="943">
                  <c:v>730</c:v>
                </c:pt>
                <c:pt idx="944">
                  <c:v>730</c:v>
                </c:pt>
                <c:pt idx="945">
                  <c:v>730</c:v>
                </c:pt>
                <c:pt idx="946">
                  <c:v>730</c:v>
                </c:pt>
                <c:pt idx="947">
                  <c:v>730</c:v>
                </c:pt>
                <c:pt idx="948">
                  <c:v>730</c:v>
                </c:pt>
                <c:pt idx="949">
                  <c:v>730</c:v>
                </c:pt>
                <c:pt idx="950">
                  <c:v>730</c:v>
                </c:pt>
                <c:pt idx="951">
                  <c:v>730</c:v>
                </c:pt>
                <c:pt idx="952">
                  <c:v>730</c:v>
                </c:pt>
                <c:pt idx="953">
                  <c:v>730</c:v>
                </c:pt>
                <c:pt idx="954">
                  <c:v>730</c:v>
                </c:pt>
                <c:pt idx="955">
                  <c:v>730</c:v>
                </c:pt>
                <c:pt idx="956">
                  <c:v>730</c:v>
                </c:pt>
                <c:pt idx="957">
                  <c:v>730</c:v>
                </c:pt>
                <c:pt idx="958">
                  <c:v>730</c:v>
                </c:pt>
                <c:pt idx="959">
                  <c:v>730</c:v>
                </c:pt>
                <c:pt idx="960">
                  <c:v>730</c:v>
                </c:pt>
                <c:pt idx="961">
                  <c:v>730</c:v>
                </c:pt>
                <c:pt idx="962">
                  <c:v>730</c:v>
                </c:pt>
                <c:pt idx="963">
                  <c:v>730</c:v>
                </c:pt>
                <c:pt idx="964">
                  <c:v>730</c:v>
                </c:pt>
                <c:pt idx="965">
                  <c:v>730</c:v>
                </c:pt>
                <c:pt idx="966">
                  <c:v>730</c:v>
                </c:pt>
                <c:pt idx="967">
                  <c:v>730</c:v>
                </c:pt>
                <c:pt idx="968">
                  <c:v>730</c:v>
                </c:pt>
                <c:pt idx="969">
                  <c:v>730</c:v>
                </c:pt>
                <c:pt idx="970">
                  <c:v>730</c:v>
                </c:pt>
                <c:pt idx="971">
                  <c:v>730</c:v>
                </c:pt>
                <c:pt idx="972">
                  <c:v>730</c:v>
                </c:pt>
                <c:pt idx="973">
                  <c:v>730</c:v>
                </c:pt>
                <c:pt idx="974">
                  <c:v>730</c:v>
                </c:pt>
                <c:pt idx="975">
                  <c:v>730</c:v>
                </c:pt>
                <c:pt idx="976">
                  <c:v>730</c:v>
                </c:pt>
                <c:pt idx="977">
                  <c:v>730</c:v>
                </c:pt>
                <c:pt idx="978">
                  <c:v>730</c:v>
                </c:pt>
                <c:pt idx="979">
                  <c:v>730</c:v>
                </c:pt>
                <c:pt idx="980">
                  <c:v>730</c:v>
                </c:pt>
                <c:pt idx="981">
                  <c:v>730</c:v>
                </c:pt>
                <c:pt idx="982">
                  <c:v>730</c:v>
                </c:pt>
                <c:pt idx="983">
                  <c:v>730</c:v>
                </c:pt>
                <c:pt idx="984">
                  <c:v>730</c:v>
                </c:pt>
                <c:pt idx="985">
                  <c:v>730</c:v>
                </c:pt>
                <c:pt idx="986">
                  <c:v>730</c:v>
                </c:pt>
                <c:pt idx="987">
                  <c:v>730</c:v>
                </c:pt>
                <c:pt idx="988">
                  <c:v>730</c:v>
                </c:pt>
                <c:pt idx="989">
                  <c:v>730</c:v>
                </c:pt>
                <c:pt idx="990">
                  <c:v>729</c:v>
                </c:pt>
                <c:pt idx="991">
                  <c:v>729</c:v>
                </c:pt>
                <c:pt idx="992">
                  <c:v>729</c:v>
                </c:pt>
                <c:pt idx="993">
                  <c:v>729</c:v>
                </c:pt>
                <c:pt idx="994">
                  <c:v>729</c:v>
                </c:pt>
                <c:pt idx="995">
                  <c:v>729</c:v>
                </c:pt>
                <c:pt idx="996">
                  <c:v>729</c:v>
                </c:pt>
                <c:pt idx="997">
                  <c:v>729</c:v>
                </c:pt>
                <c:pt idx="998">
                  <c:v>729</c:v>
                </c:pt>
                <c:pt idx="999">
                  <c:v>729</c:v>
                </c:pt>
                <c:pt idx="1000">
                  <c:v>729</c:v>
                </c:pt>
                <c:pt idx="1001">
                  <c:v>729</c:v>
                </c:pt>
                <c:pt idx="1002">
                  <c:v>729</c:v>
                </c:pt>
                <c:pt idx="1003">
                  <c:v>729</c:v>
                </c:pt>
                <c:pt idx="1004">
                  <c:v>729</c:v>
                </c:pt>
                <c:pt idx="1005">
                  <c:v>729</c:v>
                </c:pt>
                <c:pt idx="1006">
                  <c:v>730</c:v>
                </c:pt>
                <c:pt idx="1007">
                  <c:v>730</c:v>
                </c:pt>
                <c:pt idx="1008">
                  <c:v>729</c:v>
                </c:pt>
                <c:pt idx="1009">
                  <c:v>729</c:v>
                </c:pt>
                <c:pt idx="1010">
                  <c:v>729</c:v>
                </c:pt>
                <c:pt idx="1011">
                  <c:v>729</c:v>
                </c:pt>
                <c:pt idx="1012">
                  <c:v>729</c:v>
                </c:pt>
                <c:pt idx="1013">
                  <c:v>729</c:v>
                </c:pt>
                <c:pt idx="1014">
                  <c:v>729</c:v>
                </c:pt>
                <c:pt idx="1015">
                  <c:v>729</c:v>
                </c:pt>
                <c:pt idx="1016">
                  <c:v>729</c:v>
                </c:pt>
                <c:pt idx="1017">
                  <c:v>729</c:v>
                </c:pt>
                <c:pt idx="1018">
                  <c:v>729</c:v>
                </c:pt>
                <c:pt idx="1019">
                  <c:v>729</c:v>
                </c:pt>
                <c:pt idx="1020">
                  <c:v>730</c:v>
                </c:pt>
                <c:pt idx="1021">
                  <c:v>730</c:v>
                </c:pt>
                <c:pt idx="1022">
                  <c:v>730</c:v>
                </c:pt>
                <c:pt idx="1023">
                  <c:v>730</c:v>
                </c:pt>
                <c:pt idx="1024">
                  <c:v>730</c:v>
                </c:pt>
                <c:pt idx="1025">
                  <c:v>730</c:v>
                </c:pt>
                <c:pt idx="1026">
                  <c:v>730</c:v>
                </c:pt>
                <c:pt idx="1027">
                  <c:v>730</c:v>
                </c:pt>
                <c:pt idx="1028">
                  <c:v>730</c:v>
                </c:pt>
                <c:pt idx="1029">
                  <c:v>730</c:v>
                </c:pt>
                <c:pt idx="1030">
                  <c:v>730</c:v>
                </c:pt>
                <c:pt idx="1031">
                  <c:v>730</c:v>
                </c:pt>
                <c:pt idx="1032">
                  <c:v>730</c:v>
                </c:pt>
                <c:pt idx="1033">
                  <c:v>730</c:v>
                </c:pt>
                <c:pt idx="1034">
                  <c:v>731</c:v>
                </c:pt>
                <c:pt idx="1035">
                  <c:v>731</c:v>
                </c:pt>
                <c:pt idx="1036">
                  <c:v>731</c:v>
                </c:pt>
                <c:pt idx="1037">
                  <c:v>731</c:v>
                </c:pt>
                <c:pt idx="1038">
                  <c:v>731</c:v>
                </c:pt>
                <c:pt idx="1039">
                  <c:v>731</c:v>
                </c:pt>
                <c:pt idx="1040">
                  <c:v>731</c:v>
                </c:pt>
                <c:pt idx="1041">
                  <c:v>731</c:v>
                </c:pt>
                <c:pt idx="1042">
                  <c:v>731</c:v>
                </c:pt>
                <c:pt idx="1043">
                  <c:v>731</c:v>
                </c:pt>
                <c:pt idx="1044">
                  <c:v>731</c:v>
                </c:pt>
                <c:pt idx="1045">
                  <c:v>731</c:v>
                </c:pt>
                <c:pt idx="1046">
                  <c:v>731</c:v>
                </c:pt>
                <c:pt idx="1047">
                  <c:v>730</c:v>
                </c:pt>
                <c:pt idx="1048">
                  <c:v>731</c:v>
                </c:pt>
                <c:pt idx="1049">
                  <c:v>731</c:v>
                </c:pt>
                <c:pt idx="1050">
                  <c:v>731</c:v>
                </c:pt>
                <c:pt idx="1051">
                  <c:v>731</c:v>
                </c:pt>
                <c:pt idx="1052">
                  <c:v>731</c:v>
                </c:pt>
                <c:pt idx="1053">
                  <c:v>731</c:v>
                </c:pt>
                <c:pt idx="1054">
                  <c:v>731</c:v>
                </c:pt>
                <c:pt idx="1055">
                  <c:v>731</c:v>
                </c:pt>
                <c:pt idx="1056">
                  <c:v>731</c:v>
                </c:pt>
                <c:pt idx="1057">
                  <c:v>731</c:v>
                </c:pt>
                <c:pt idx="1058">
                  <c:v>731</c:v>
                </c:pt>
                <c:pt idx="1059">
                  <c:v>731</c:v>
                </c:pt>
                <c:pt idx="1060">
                  <c:v>730</c:v>
                </c:pt>
                <c:pt idx="1061">
                  <c:v>731</c:v>
                </c:pt>
                <c:pt idx="1062">
                  <c:v>731</c:v>
                </c:pt>
                <c:pt idx="1063">
                  <c:v>731</c:v>
                </c:pt>
                <c:pt idx="1064">
                  <c:v>731</c:v>
                </c:pt>
                <c:pt idx="1065">
                  <c:v>731</c:v>
                </c:pt>
                <c:pt idx="1066">
                  <c:v>731</c:v>
                </c:pt>
                <c:pt idx="1067">
                  <c:v>731</c:v>
                </c:pt>
                <c:pt idx="1068">
                  <c:v>731</c:v>
                </c:pt>
                <c:pt idx="1069">
                  <c:v>731</c:v>
                </c:pt>
                <c:pt idx="1070">
                  <c:v>731</c:v>
                </c:pt>
                <c:pt idx="1071">
                  <c:v>731</c:v>
                </c:pt>
                <c:pt idx="1072">
                  <c:v>731</c:v>
                </c:pt>
                <c:pt idx="1073">
                  <c:v>730</c:v>
                </c:pt>
                <c:pt idx="1074">
                  <c:v>730</c:v>
                </c:pt>
                <c:pt idx="1075">
                  <c:v>730</c:v>
                </c:pt>
                <c:pt idx="1076">
                  <c:v>730</c:v>
                </c:pt>
                <c:pt idx="1077">
                  <c:v>730</c:v>
                </c:pt>
                <c:pt idx="1078">
                  <c:v>731</c:v>
                </c:pt>
                <c:pt idx="1079">
                  <c:v>731</c:v>
                </c:pt>
                <c:pt idx="1080">
                  <c:v>731</c:v>
                </c:pt>
                <c:pt idx="1081">
                  <c:v>731</c:v>
                </c:pt>
                <c:pt idx="1082">
                  <c:v>731</c:v>
                </c:pt>
                <c:pt idx="1083">
                  <c:v>731</c:v>
                </c:pt>
                <c:pt idx="1084">
                  <c:v>731</c:v>
                </c:pt>
                <c:pt idx="1085">
                  <c:v>731</c:v>
                </c:pt>
                <c:pt idx="1086">
                  <c:v>731</c:v>
                </c:pt>
                <c:pt idx="1087">
                  <c:v>731</c:v>
                </c:pt>
                <c:pt idx="1088">
                  <c:v>730</c:v>
                </c:pt>
                <c:pt idx="1089">
                  <c:v>730</c:v>
                </c:pt>
                <c:pt idx="1090">
                  <c:v>730</c:v>
                </c:pt>
                <c:pt idx="1091">
                  <c:v>731</c:v>
                </c:pt>
                <c:pt idx="1092">
                  <c:v>731</c:v>
                </c:pt>
                <c:pt idx="1093">
                  <c:v>731</c:v>
                </c:pt>
                <c:pt idx="1094">
                  <c:v>731</c:v>
                </c:pt>
                <c:pt idx="1095">
                  <c:v>731</c:v>
                </c:pt>
                <c:pt idx="1096">
                  <c:v>731</c:v>
                </c:pt>
                <c:pt idx="1097">
                  <c:v>731</c:v>
                </c:pt>
                <c:pt idx="1098">
                  <c:v>731</c:v>
                </c:pt>
                <c:pt idx="1099">
                  <c:v>731</c:v>
                </c:pt>
                <c:pt idx="1100">
                  <c:v>731</c:v>
                </c:pt>
                <c:pt idx="1101">
                  <c:v>731</c:v>
                </c:pt>
                <c:pt idx="1102">
                  <c:v>731</c:v>
                </c:pt>
                <c:pt idx="1103">
                  <c:v>731</c:v>
                </c:pt>
                <c:pt idx="1104">
                  <c:v>731</c:v>
                </c:pt>
                <c:pt idx="1105">
                  <c:v>731</c:v>
                </c:pt>
                <c:pt idx="1106">
                  <c:v>731</c:v>
                </c:pt>
                <c:pt idx="1107">
                  <c:v>731</c:v>
                </c:pt>
                <c:pt idx="1108">
                  <c:v>731</c:v>
                </c:pt>
                <c:pt idx="1109">
                  <c:v>731</c:v>
                </c:pt>
                <c:pt idx="1110">
                  <c:v>731</c:v>
                </c:pt>
                <c:pt idx="1111">
                  <c:v>731</c:v>
                </c:pt>
                <c:pt idx="1112">
                  <c:v>731</c:v>
                </c:pt>
                <c:pt idx="1113">
                  <c:v>731</c:v>
                </c:pt>
                <c:pt idx="1114">
                  <c:v>731</c:v>
                </c:pt>
                <c:pt idx="1115">
                  <c:v>731</c:v>
                </c:pt>
                <c:pt idx="1116">
                  <c:v>731</c:v>
                </c:pt>
                <c:pt idx="1117">
                  <c:v>731</c:v>
                </c:pt>
                <c:pt idx="1118">
                  <c:v>731</c:v>
                </c:pt>
                <c:pt idx="1119">
                  <c:v>731</c:v>
                </c:pt>
                <c:pt idx="1120">
                  <c:v>731</c:v>
                </c:pt>
                <c:pt idx="1121">
                  <c:v>731</c:v>
                </c:pt>
                <c:pt idx="1122">
                  <c:v>731</c:v>
                </c:pt>
                <c:pt idx="1123">
                  <c:v>731</c:v>
                </c:pt>
                <c:pt idx="1124">
                  <c:v>731</c:v>
                </c:pt>
                <c:pt idx="1125">
                  <c:v>731</c:v>
                </c:pt>
                <c:pt idx="1126">
                  <c:v>731</c:v>
                </c:pt>
                <c:pt idx="1127">
                  <c:v>731</c:v>
                </c:pt>
                <c:pt idx="1128">
                  <c:v>731</c:v>
                </c:pt>
                <c:pt idx="1129">
                  <c:v>731</c:v>
                </c:pt>
                <c:pt idx="1130">
                  <c:v>731</c:v>
                </c:pt>
                <c:pt idx="1131">
                  <c:v>731</c:v>
                </c:pt>
                <c:pt idx="1132">
                  <c:v>731</c:v>
                </c:pt>
                <c:pt idx="1133">
                  <c:v>731</c:v>
                </c:pt>
                <c:pt idx="1134">
                  <c:v>731</c:v>
                </c:pt>
                <c:pt idx="1135">
                  <c:v>731</c:v>
                </c:pt>
                <c:pt idx="1136">
                  <c:v>731</c:v>
                </c:pt>
                <c:pt idx="1137">
                  <c:v>731</c:v>
                </c:pt>
                <c:pt idx="1138">
                  <c:v>731</c:v>
                </c:pt>
                <c:pt idx="1139">
                  <c:v>731</c:v>
                </c:pt>
                <c:pt idx="1140">
                  <c:v>731</c:v>
                </c:pt>
                <c:pt idx="1141">
                  <c:v>730</c:v>
                </c:pt>
                <c:pt idx="1142">
                  <c:v>731</c:v>
                </c:pt>
                <c:pt idx="1143">
                  <c:v>730</c:v>
                </c:pt>
                <c:pt idx="1144">
                  <c:v>731</c:v>
                </c:pt>
                <c:pt idx="1145">
                  <c:v>731</c:v>
                </c:pt>
                <c:pt idx="1146">
                  <c:v>731</c:v>
                </c:pt>
                <c:pt idx="1147">
                  <c:v>731</c:v>
                </c:pt>
                <c:pt idx="1148">
                  <c:v>731</c:v>
                </c:pt>
                <c:pt idx="1149">
                  <c:v>731</c:v>
                </c:pt>
                <c:pt idx="1150">
                  <c:v>731</c:v>
                </c:pt>
                <c:pt idx="1151">
                  <c:v>731</c:v>
                </c:pt>
                <c:pt idx="1152">
                  <c:v>731</c:v>
                </c:pt>
                <c:pt idx="1153">
                  <c:v>731</c:v>
                </c:pt>
                <c:pt idx="1154">
                  <c:v>731</c:v>
                </c:pt>
                <c:pt idx="1155">
                  <c:v>731</c:v>
                </c:pt>
                <c:pt idx="1156">
                  <c:v>731</c:v>
                </c:pt>
                <c:pt idx="1157">
                  <c:v>731</c:v>
                </c:pt>
                <c:pt idx="1158">
                  <c:v>731</c:v>
                </c:pt>
                <c:pt idx="1159">
                  <c:v>730</c:v>
                </c:pt>
                <c:pt idx="1160">
                  <c:v>730</c:v>
                </c:pt>
                <c:pt idx="1161">
                  <c:v>730</c:v>
                </c:pt>
                <c:pt idx="1162">
                  <c:v>730</c:v>
                </c:pt>
                <c:pt idx="1163">
                  <c:v>730</c:v>
                </c:pt>
                <c:pt idx="1164">
                  <c:v>731</c:v>
                </c:pt>
                <c:pt idx="1165">
                  <c:v>731</c:v>
                </c:pt>
                <c:pt idx="1166">
                  <c:v>731</c:v>
                </c:pt>
                <c:pt idx="1167">
                  <c:v>731</c:v>
                </c:pt>
                <c:pt idx="1168">
                  <c:v>731</c:v>
                </c:pt>
                <c:pt idx="1169">
                  <c:v>731</c:v>
                </c:pt>
                <c:pt idx="1170">
                  <c:v>731</c:v>
                </c:pt>
                <c:pt idx="1171">
                  <c:v>731</c:v>
                </c:pt>
                <c:pt idx="1172">
                  <c:v>731</c:v>
                </c:pt>
                <c:pt idx="1173">
                  <c:v>731</c:v>
                </c:pt>
                <c:pt idx="1174">
                  <c:v>731</c:v>
                </c:pt>
                <c:pt idx="1175">
                  <c:v>731</c:v>
                </c:pt>
                <c:pt idx="1176">
                  <c:v>731</c:v>
                </c:pt>
                <c:pt idx="1177">
                  <c:v>731</c:v>
                </c:pt>
                <c:pt idx="1178">
                  <c:v>731</c:v>
                </c:pt>
                <c:pt idx="1179">
                  <c:v>731</c:v>
                </c:pt>
                <c:pt idx="1180">
                  <c:v>731</c:v>
                </c:pt>
                <c:pt idx="1181">
                  <c:v>731</c:v>
                </c:pt>
                <c:pt idx="1182">
                  <c:v>731</c:v>
                </c:pt>
                <c:pt idx="1183">
                  <c:v>731</c:v>
                </c:pt>
                <c:pt idx="1184">
                  <c:v>731</c:v>
                </c:pt>
                <c:pt idx="1185">
                  <c:v>731</c:v>
                </c:pt>
                <c:pt idx="1186">
                  <c:v>731</c:v>
                </c:pt>
                <c:pt idx="1187">
                  <c:v>731</c:v>
                </c:pt>
                <c:pt idx="1188">
                  <c:v>732</c:v>
                </c:pt>
                <c:pt idx="1189">
                  <c:v>732</c:v>
                </c:pt>
                <c:pt idx="1190">
                  <c:v>731</c:v>
                </c:pt>
                <c:pt idx="1191">
                  <c:v>731</c:v>
                </c:pt>
                <c:pt idx="1192">
                  <c:v>731</c:v>
                </c:pt>
                <c:pt idx="1193">
                  <c:v>731</c:v>
                </c:pt>
                <c:pt idx="1194">
                  <c:v>731</c:v>
                </c:pt>
                <c:pt idx="1195">
                  <c:v>731</c:v>
                </c:pt>
                <c:pt idx="1196">
                  <c:v>731</c:v>
                </c:pt>
                <c:pt idx="1197">
                  <c:v>731</c:v>
                </c:pt>
                <c:pt idx="1198">
                  <c:v>731</c:v>
                </c:pt>
                <c:pt idx="1199">
                  <c:v>731</c:v>
                </c:pt>
                <c:pt idx="1200">
                  <c:v>731</c:v>
                </c:pt>
                <c:pt idx="1201">
                  <c:v>731</c:v>
                </c:pt>
                <c:pt idx="1202">
                  <c:v>731</c:v>
                </c:pt>
                <c:pt idx="1203">
                  <c:v>731</c:v>
                </c:pt>
                <c:pt idx="1204">
                  <c:v>731</c:v>
                </c:pt>
                <c:pt idx="1205">
                  <c:v>731</c:v>
                </c:pt>
                <c:pt idx="1206">
                  <c:v>731</c:v>
                </c:pt>
                <c:pt idx="1207">
                  <c:v>731</c:v>
                </c:pt>
                <c:pt idx="1208">
                  <c:v>731</c:v>
                </c:pt>
                <c:pt idx="1209">
                  <c:v>731</c:v>
                </c:pt>
                <c:pt idx="1210">
                  <c:v>731</c:v>
                </c:pt>
                <c:pt idx="1211">
                  <c:v>731</c:v>
                </c:pt>
                <c:pt idx="1212">
                  <c:v>731</c:v>
                </c:pt>
                <c:pt idx="1213">
                  <c:v>731</c:v>
                </c:pt>
                <c:pt idx="1214">
                  <c:v>731</c:v>
                </c:pt>
                <c:pt idx="1215">
                  <c:v>731</c:v>
                </c:pt>
                <c:pt idx="1216">
                  <c:v>731</c:v>
                </c:pt>
                <c:pt idx="1217">
                  <c:v>731</c:v>
                </c:pt>
                <c:pt idx="1218">
                  <c:v>731</c:v>
                </c:pt>
                <c:pt idx="1219">
                  <c:v>731</c:v>
                </c:pt>
                <c:pt idx="1220">
                  <c:v>731</c:v>
                </c:pt>
                <c:pt idx="1221">
                  <c:v>731</c:v>
                </c:pt>
                <c:pt idx="1222">
                  <c:v>731</c:v>
                </c:pt>
                <c:pt idx="1223">
                  <c:v>731</c:v>
                </c:pt>
                <c:pt idx="1224">
                  <c:v>731</c:v>
                </c:pt>
                <c:pt idx="1225">
                  <c:v>731</c:v>
                </c:pt>
                <c:pt idx="1226">
                  <c:v>731</c:v>
                </c:pt>
                <c:pt idx="1227">
                  <c:v>731</c:v>
                </c:pt>
                <c:pt idx="1228">
                  <c:v>731</c:v>
                </c:pt>
                <c:pt idx="1229">
                  <c:v>731</c:v>
                </c:pt>
                <c:pt idx="1230">
                  <c:v>731</c:v>
                </c:pt>
                <c:pt idx="1231">
                  <c:v>731</c:v>
                </c:pt>
                <c:pt idx="1232">
                  <c:v>731</c:v>
                </c:pt>
                <c:pt idx="1233">
                  <c:v>731</c:v>
                </c:pt>
                <c:pt idx="1234">
                  <c:v>731</c:v>
                </c:pt>
                <c:pt idx="1235">
                  <c:v>731</c:v>
                </c:pt>
                <c:pt idx="1236">
                  <c:v>731</c:v>
                </c:pt>
                <c:pt idx="1237">
                  <c:v>731</c:v>
                </c:pt>
                <c:pt idx="1238">
                  <c:v>731</c:v>
                </c:pt>
                <c:pt idx="1239">
                  <c:v>731</c:v>
                </c:pt>
                <c:pt idx="1240">
                  <c:v>731</c:v>
                </c:pt>
                <c:pt idx="1241">
                  <c:v>731</c:v>
                </c:pt>
                <c:pt idx="1242">
                  <c:v>731</c:v>
                </c:pt>
                <c:pt idx="1243">
                  <c:v>731</c:v>
                </c:pt>
                <c:pt idx="1244">
                  <c:v>731</c:v>
                </c:pt>
                <c:pt idx="1245">
                  <c:v>731</c:v>
                </c:pt>
                <c:pt idx="1246">
                  <c:v>731</c:v>
                </c:pt>
                <c:pt idx="1247">
                  <c:v>731</c:v>
                </c:pt>
                <c:pt idx="1248">
                  <c:v>731</c:v>
                </c:pt>
                <c:pt idx="1249">
                  <c:v>731</c:v>
                </c:pt>
                <c:pt idx="1250">
                  <c:v>731</c:v>
                </c:pt>
                <c:pt idx="1251">
                  <c:v>731</c:v>
                </c:pt>
                <c:pt idx="1252">
                  <c:v>731</c:v>
                </c:pt>
                <c:pt idx="1253">
                  <c:v>731</c:v>
                </c:pt>
                <c:pt idx="1254">
                  <c:v>731</c:v>
                </c:pt>
                <c:pt idx="1255">
                  <c:v>731</c:v>
                </c:pt>
                <c:pt idx="1256">
                  <c:v>731</c:v>
                </c:pt>
                <c:pt idx="1257">
                  <c:v>731</c:v>
                </c:pt>
                <c:pt idx="1258">
                  <c:v>731</c:v>
                </c:pt>
                <c:pt idx="1259">
                  <c:v>731</c:v>
                </c:pt>
                <c:pt idx="1260">
                  <c:v>731</c:v>
                </c:pt>
                <c:pt idx="1261">
                  <c:v>731</c:v>
                </c:pt>
                <c:pt idx="1262">
                  <c:v>731</c:v>
                </c:pt>
                <c:pt idx="1263">
                  <c:v>731</c:v>
                </c:pt>
                <c:pt idx="1264">
                  <c:v>731</c:v>
                </c:pt>
                <c:pt idx="1265">
                  <c:v>731</c:v>
                </c:pt>
                <c:pt idx="1266">
                  <c:v>731</c:v>
                </c:pt>
                <c:pt idx="1267">
                  <c:v>731</c:v>
                </c:pt>
                <c:pt idx="1268">
                  <c:v>731</c:v>
                </c:pt>
                <c:pt idx="1269">
                  <c:v>731</c:v>
                </c:pt>
                <c:pt idx="1270">
                  <c:v>731</c:v>
                </c:pt>
                <c:pt idx="1271">
                  <c:v>731</c:v>
                </c:pt>
                <c:pt idx="1272">
                  <c:v>731</c:v>
                </c:pt>
                <c:pt idx="1273">
                  <c:v>731</c:v>
                </c:pt>
                <c:pt idx="1274">
                  <c:v>731</c:v>
                </c:pt>
                <c:pt idx="1275">
                  <c:v>731</c:v>
                </c:pt>
                <c:pt idx="1276">
                  <c:v>731</c:v>
                </c:pt>
                <c:pt idx="1277">
                  <c:v>731</c:v>
                </c:pt>
                <c:pt idx="1278">
                  <c:v>731</c:v>
                </c:pt>
                <c:pt idx="1279">
                  <c:v>731</c:v>
                </c:pt>
                <c:pt idx="1280">
                  <c:v>731</c:v>
                </c:pt>
                <c:pt idx="1281">
                  <c:v>731</c:v>
                </c:pt>
                <c:pt idx="1282">
                  <c:v>731</c:v>
                </c:pt>
                <c:pt idx="1283">
                  <c:v>731</c:v>
                </c:pt>
                <c:pt idx="1284">
                  <c:v>731</c:v>
                </c:pt>
                <c:pt idx="1285">
                  <c:v>730</c:v>
                </c:pt>
                <c:pt idx="1286">
                  <c:v>730</c:v>
                </c:pt>
                <c:pt idx="1287">
                  <c:v>731</c:v>
                </c:pt>
                <c:pt idx="1288">
                  <c:v>730</c:v>
                </c:pt>
                <c:pt idx="1289">
                  <c:v>731</c:v>
                </c:pt>
                <c:pt idx="1290">
                  <c:v>731</c:v>
                </c:pt>
                <c:pt idx="1291">
                  <c:v>731</c:v>
                </c:pt>
                <c:pt idx="1292">
                  <c:v>731</c:v>
                </c:pt>
                <c:pt idx="1293">
                  <c:v>731</c:v>
                </c:pt>
                <c:pt idx="1294">
                  <c:v>731</c:v>
                </c:pt>
                <c:pt idx="1295">
                  <c:v>731</c:v>
                </c:pt>
                <c:pt idx="1296">
                  <c:v>731</c:v>
                </c:pt>
                <c:pt idx="1297">
                  <c:v>731</c:v>
                </c:pt>
                <c:pt idx="1298">
                  <c:v>731</c:v>
                </c:pt>
                <c:pt idx="1299">
                  <c:v>731</c:v>
                </c:pt>
                <c:pt idx="1300">
                  <c:v>731</c:v>
                </c:pt>
                <c:pt idx="1301">
                  <c:v>731</c:v>
                </c:pt>
                <c:pt idx="1302">
                  <c:v>730</c:v>
                </c:pt>
                <c:pt idx="1303">
                  <c:v>730</c:v>
                </c:pt>
                <c:pt idx="1304">
                  <c:v>730</c:v>
                </c:pt>
                <c:pt idx="1305">
                  <c:v>731</c:v>
                </c:pt>
                <c:pt idx="1306">
                  <c:v>730</c:v>
                </c:pt>
                <c:pt idx="1307">
                  <c:v>730</c:v>
                </c:pt>
                <c:pt idx="1308">
                  <c:v>730</c:v>
                </c:pt>
                <c:pt idx="1309">
                  <c:v>731</c:v>
                </c:pt>
                <c:pt idx="1310">
                  <c:v>730</c:v>
                </c:pt>
                <c:pt idx="1311">
                  <c:v>730</c:v>
                </c:pt>
                <c:pt idx="1312">
                  <c:v>730</c:v>
                </c:pt>
                <c:pt idx="1313">
                  <c:v>731</c:v>
                </c:pt>
                <c:pt idx="1314">
                  <c:v>731</c:v>
                </c:pt>
                <c:pt idx="1315">
                  <c:v>731</c:v>
                </c:pt>
                <c:pt idx="1316">
                  <c:v>731</c:v>
                </c:pt>
                <c:pt idx="1317">
                  <c:v>731</c:v>
                </c:pt>
                <c:pt idx="1318">
                  <c:v>731</c:v>
                </c:pt>
                <c:pt idx="1319">
                  <c:v>731</c:v>
                </c:pt>
                <c:pt idx="1320">
                  <c:v>731</c:v>
                </c:pt>
                <c:pt idx="1321">
                  <c:v>731</c:v>
                </c:pt>
                <c:pt idx="1322">
                  <c:v>731</c:v>
                </c:pt>
                <c:pt idx="1323">
                  <c:v>731</c:v>
                </c:pt>
                <c:pt idx="1324">
                  <c:v>731</c:v>
                </c:pt>
                <c:pt idx="1325">
                  <c:v>730</c:v>
                </c:pt>
                <c:pt idx="1326">
                  <c:v>731</c:v>
                </c:pt>
                <c:pt idx="1327">
                  <c:v>730</c:v>
                </c:pt>
                <c:pt idx="1328">
                  <c:v>731</c:v>
                </c:pt>
                <c:pt idx="1329">
                  <c:v>731</c:v>
                </c:pt>
                <c:pt idx="1330">
                  <c:v>731</c:v>
                </c:pt>
                <c:pt idx="1331">
                  <c:v>731</c:v>
                </c:pt>
                <c:pt idx="1332">
                  <c:v>731</c:v>
                </c:pt>
                <c:pt idx="1333">
                  <c:v>731</c:v>
                </c:pt>
                <c:pt idx="1334">
                  <c:v>731</c:v>
                </c:pt>
                <c:pt idx="1335">
                  <c:v>730</c:v>
                </c:pt>
                <c:pt idx="1336">
                  <c:v>731</c:v>
                </c:pt>
                <c:pt idx="1337">
                  <c:v>731</c:v>
                </c:pt>
                <c:pt idx="1338">
                  <c:v>731</c:v>
                </c:pt>
                <c:pt idx="1339">
                  <c:v>731</c:v>
                </c:pt>
                <c:pt idx="1340">
                  <c:v>731</c:v>
                </c:pt>
                <c:pt idx="1341">
                  <c:v>731</c:v>
                </c:pt>
                <c:pt idx="1342">
                  <c:v>731</c:v>
                </c:pt>
                <c:pt idx="1343">
                  <c:v>731</c:v>
                </c:pt>
                <c:pt idx="1344">
                  <c:v>731</c:v>
                </c:pt>
                <c:pt idx="1345">
                  <c:v>731</c:v>
                </c:pt>
                <c:pt idx="1346">
                  <c:v>731</c:v>
                </c:pt>
                <c:pt idx="1347">
                  <c:v>731</c:v>
                </c:pt>
                <c:pt idx="1348">
                  <c:v>731</c:v>
                </c:pt>
                <c:pt idx="1349">
                  <c:v>731</c:v>
                </c:pt>
                <c:pt idx="1350">
                  <c:v>731</c:v>
                </c:pt>
                <c:pt idx="1351">
                  <c:v>731</c:v>
                </c:pt>
                <c:pt idx="1352">
                  <c:v>731</c:v>
                </c:pt>
                <c:pt idx="1353">
                  <c:v>731</c:v>
                </c:pt>
                <c:pt idx="1354">
                  <c:v>731</c:v>
                </c:pt>
                <c:pt idx="1355">
                  <c:v>731</c:v>
                </c:pt>
                <c:pt idx="1356">
                  <c:v>731</c:v>
                </c:pt>
                <c:pt idx="1357">
                  <c:v>731</c:v>
                </c:pt>
                <c:pt idx="1358">
                  <c:v>731</c:v>
                </c:pt>
                <c:pt idx="1359">
                  <c:v>731</c:v>
                </c:pt>
                <c:pt idx="1360">
                  <c:v>731</c:v>
                </c:pt>
                <c:pt idx="1361">
                  <c:v>731</c:v>
                </c:pt>
                <c:pt idx="1362">
                  <c:v>731</c:v>
                </c:pt>
                <c:pt idx="1363">
                  <c:v>731</c:v>
                </c:pt>
                <c:pt idx="1364">
                  <c:v>731</c:v>
                </c:pt>
                <c:pt idx="1365">
                  <c:v>731</c:v>
                </c:pt>
                <c:pt idx="1366">
                  <c:v>731</c:v>
                </c:pt>
                <c:pt idx="1367">
                  <c:v>730</c:v>
                </c:pt>
                <c:pt idx="1368">
                  <c:v>730</c:v>
                </c:pt>
                <c:pt idx="1369">
                  <c:v>731</c:v>
                </c:pt>
                <c:pt idx="1370">
                  <c:v>731</c:v>
                </c:pt>
                <c:pt idx="1371">
                  <c:v>730</c:v>
                </c:pt>
                <c:pt idx="1372">
                  <c:v>730</c:v>
                </c:pt>
                <c:pt idx="1373">
                  <c:v>731</c:v>
                </c:pt>
                <c:pt idx="1374">
                  <c:v>731</c:v>
                </c:pt>
                <c:pt idx="1375">
                  <c:v>731</c:v>
                </c:pt>
                <c:pt idx="1376">
                  <c:v>731</c:v>
                </c:pt>
                <c:pt idx="1377">
                  <c:v>731</c:v>
                </c:pt>
                <c:pt idx="1378">
                  <c:v>731</c:v>
                </c:pt>
                <c:pt idx="1379">
                  <c:v>731</c:v>
                </c:pt>
                <c:pt idx="1380">
                  <c:v>731</c:v>
                </c:pt>
                <c:pt idx="1381">
                  <c:v>731</c:v>
                </c:pt>
                <c:pt idx="1382">
                  <c:v>731</c:v>
                </c:pt>
                <c:pt idx="1383">
                  <c:v>731</c:v>
                </c:pt>
                <c:pt idx="1384">
                  <c:v>731</c:v>
                </c:pt>
                <c:pt idx="1385">
                  <c:v>731</c:v>
                </c:pt>
                <c:pt idx="1386">
                  <c:v>731</c:v>
                </c:pt>
                <c:pt idx="1387">
                  <c:v>731</c:v>
                </c:pt>
                <c:pt idx="1388">
                  <c:v>730</c:v>
                </c:pt>
                <c:pt idx="1389">
                  <c:v>731</c:v>
                </c:pt>
                <c:pt idx="1390">
                  <c:v>731</c:v>
                </c:pt>
                <c:pt idx="1391">
                  <c:v>731</c:v>
                </c:pt>
                <c:pt idx="1392">
                  <c:v>731</c:v>
                </c:pt>
                <c:pt idx="1393">
                  <c:v>731</c:v>
                </c:pt>
                <c:pt idx="1394">
                  <c:v>731</c:v>
                </c:pt>
                <c:pt idx="1395">
                  <c:v>731</c:v>
                </c:pt>
                <c:pt idx="1396">
                  <c:v>731</c:v>
                </c:pt>
                <c:pt idx="1397">
                  <c:v>731</c:v>
                </c:pt>
                <c:pt idx="1398">
                  <c:v>731</c:v>
                </c:pt>
                <c:pt idx="1399">
                  <c:v>731</c:v>
                </c:pt>
                <c:pt idx="1400">
                  <c:v>731</c:v>
                </c:pt>
                <c:pt idx="1401">
                  <c:v>731</c:v>
                </c:pt>
                <c:pt idx="1402">
                  <c:v>731</c:v>
                </c:pt>
                <c:pt idx="1403">
                  <c:v>731</c:v>
                </c:pt>
                <c:pt idx="1404">
                  <c:v>731</c:v>
                </c:pt>
                <c:pt idx="1405">
                  <c:v>731</c:v>
                </c:pt>
                <c:pt idx="1406">
                  <c:v>731</c:v>
                </c:pt>
                <c:pt idx="1407">
                  <c:v>731</c:v>
                </c:pt>
                <c:pt idx="1408">
                  <c:v>731</c:v>
                </c:pt>
                <c:pt idx="1409">
                  <c:v>731</c:v>
                </c:pt>
                <c:pt idx="1410">
                  <c:v>731</c:v>
                </c:pt>
                <c:pt idx="1411">
                  <c:v>731</c:v>
                </c:pt>
                <c:pt idx="1412">
                  <c:v>731</c:v>
                </c:pt>
                <c:pt idx="1413">
                  <c:v>731</c:v>
                </c:pt>
                <c:pt idx="1414">
                  <c:v>731</c:v>
                </c:pt>
                <c:pt idx="1415">
                  <c:v>731</c:v>
                </c:pt>
                <c:pt idx="1416">
                  <c:v>731</c:v>
                </c:pt>
                <c:pt idx="1417">
                  <c:v>731</c:v>
                </c:pt>
                <c:pt idx="1418">
                  <c:v>731</c:v>
                </c:pt>
                <c:pt idx="1419">
                  <c:v>731</c:v>
                </c:pt>
                <c:pt idx="1420">
                  <c:v>731</c:v>
                </c:pt>
                <c:pt idx="1421">
                  <c:v>731</c:v>
                </c:pt>
                <c:pt idx="1422">
                  <c:v>731</c:v>
                </c:pt>
                <c:pt idx="1423">
                  <c:v>731</c:v>
                </c:pt>
                <c:pt idx="1424">
                  <c:v>731</c:v>
                </c:pt>
                <c:pt idx="1425">
                  <c:v>731</c:v>
                </c:pt>
                <c:pt idx="1426">
                  <c:v>731</c:v>
                </c:pt>
                <c:pt idx="1427">
                  <c:v>730</c:v>
                </c:pt>
                <c:pt idx="1428">
                  <c:v>730</c:v>
                </c:pt>
                <c:pt idx="1429">
                  <c:v>730</c:v>
                </c:pt>
                <c:pt idx="1430">
                  <c:v>730</c:v>
                </c:pt>
                <c:pt idx="1431">
                  <c:v>730</c:v>
                </c:pt>
                <c:pt idx="1432">
                  <c:v>731</c:v>
                </c:pt>
                <c:pt idx="1433">
                  <c:v>731</c:v>
                </c:pt>
                <c:pt idx="1434">
                  <c:v>731</c:v>
                </c:pt>
                <c:pt idx="1435">
                  <c:v>731</c:v>
                </c:pt>
                <c:pt idx="1436">
                  <c:v>731</c:v>
                </c:pt>
                <c:pt idx="1437">
                  <c:v>731</c:v>
                </c:pt>
                <c:pt idx="1438">
                  <c:v>731</c:v>
                </c:pt>
                <c:pt idx="1439">
                  <c:v>731</c:v>
                </c:pt>
                <c:pt idx="1440">
                  <c:v>731</c:v>
                </c:pt>
                <c:pt idx="1441">
                  <c:v>731</c:v>
                </c:pt>
                <c:pt idx="1442">
                  <c:v>731</c:v>
                </c:pt>
                <c:pt idx="1443">
                  <c:v>731</c:v>
                </c:pt>
                <c:pt idx="1444">
                  <c:v>731</c:v>
                </c:pt>
                <c:pt idx="1445">
                  <c:v>731</c:v>
                </c:pt>
                <c:pt idx="1446">
                  <c:v>731</c:v>
                </c:pt>
                <c:pt idx="1447">
                  <c:v>730</c:v>
                </c:pt>
                <c:pt idx="1448">
                  <c:v>730</c:v>
                </c:pt>
                <c:pt idx="1449">
                  <c:v>731</c:v>
                </c:pt>
                <c:pt idx="1450">
                  <c:v>731</c:v>
                </c:pt>
                <c:pt idx="1451">
                  <c:v>731</c:v>
                </c:pt>
                <c:pt idx="1452">
                  <c:v>731</c:v>
                </c:pt>
                <c:pt idx="1453">
                  <c:v>731</c:v>
                </c:pt>
                <c:pt idx="1454">
                  <c:v>731</c:v>
                </c:pt>
                <c:pt idx="1455">
                  <c:v>731</c:v>
                </c:pt>
                <c:pt idx="1456">
                  <c:v>731</c:v>
                </c:pt>
                <c:pt idx="1457">
                  <c:v>731</c:v>
                </c:pt>
                <c:pt idx="1458">
                  <c:v>731</c:v>
                </c:pt>
                <c:pt idx="1459">
                  <c:v>731</c:v>
                </c:pt>
                <c:pt idx="1460">
                  <c:v>731</c:v>
                </c:pt>
                <c:pt idx="1461">
                  <c:v>731</c:v>
                </c:pt>
                <c:pt idx="1462">
                  <c:v>731</c:v>
                </c:pt>
                <c:pt idx="1463">
                  <c:v>731</c:v>
                </c:pt>
                <c:pt idx="1464">
                  <c:v>731</c:v>
                </c:pt>
                <c:pt idx="1465">
                  <c:v>731</c:v>
                </c:pt>
                <c:pt idx="1466">
                  <c:v>731</c:v>
                </c:pt>
                <c:pt idx="1467">
                  <c:v>731</c:v>
                </c:pt>
                <c:pt idx="1468">
                  <c:v>731</c:v>
                </c:pt>
                <c:pt idx="1469">
                  <c:v>731</c:v>
                </c:pt>
                <c:pt idx="1470">
                  <c:v>731</c:v>
                </c:pt>
                <c:pt idx="1471">
                  <c:v>731</c:v>
                </c:pt>
                <c:pt idx="1472">
                  <c:v>731</c:v>
                </c:pt>
                <c:pt idx="1473">
                  <c:v>731</c:v>
                </c:pt>
                <c:pt idx="1474">
                  <c:v>731</c:v>
                </c:pt>
                <c:pt idx="1475">
                  <c:v>731</c:v>
                </c:pt>
                <c:pt idx="1476">
                  <c:v>732</c:v>
                </c:pt>
                <c:pt idx="1477">
                  <c:v>731</c:v>
                </c:pt>
                <c:pt idx="1478">
                  <c:v>731</c:v>
                </c:pt>
                <c:pt idx="1479">
                  <c:v>731</c:v>
                </c:pt>
                <c:pt idx="1480">
                  <c:v>731</c:v>
                </c:pt>
                <c:pt idx="1481">
                  <c:v>732</c:v>
                </c:pt>
                <c:pt idx="1482">
                  <c:v>731</c:v>
                </c:pt>
                <c:pt idx="1483">
                  <c:v>731</c:v>
                </c:pt>
                <c:pt idx="1484">
                  <c:v>731</c:v>
                </c:pt>
                <c:pt idx="1485">
                  <c:v>731</c:v>
                </c:pt>
                <c:pt idx="1486">
                  <c:v>731</c:v>
                </c:pt>
                <c:pt idx="1487">
                  <c:v>731</c:v>
                </c:pt>
                <c:pt idx="1488">
                  <c:v>731</c:v>
                </c:pt>
                <c:pt idx="1489">
                  <c:v>731</c:v>
                </c:pt>
                <c:pt idx="1490">
                  <c:v>731</c:v>
                </c:pt>
                <c:pt idx="1491">
                  <c:v>731</c:v>
                </c:pt>
                <c:pt idx="1492">
                  <c:v>731</c:v>
                </c:pt>
                <c:pt idx="1493">
                  <c:v>731</c:v>
                </c:pt>
                <c:pt idx="1494">
                  <c:v>731</c:v>
                </c:pt>
                <c:pt idx="1495">
                  <c:v>731</c:v>
                </c:pt>
                <c:pt idx="1496">
                  <c:v>731</c:v>
                </c:pt>
                <c:pt idx="1497">
                  <c:v>731</c:v>
                </c:pt>
                <c:pt idx="1498">
                  <c:v>731</c:v>
                </c:pt>
                <c:pt idx="1499">
                  <c:v>731</c:v>
                </c:pt>
                <c:pt idx="1500">
                  <c:v>731</c:v>
                </c:pt>
                <c:pt idx="1501">
                  <c:v>731</c:v>
                </c:pt>
                <c:pt idx="1502">
                  <c:v>732</c:v>
                </c:pt>
                <c:pt idx="1503">
                  <c:v>731</c:v>
                </c:pt>
                <c:pt idx="1504">
                  <c:v>731</c:v>
                </c:pt>
                <c:pt idx="1505">
                  <c:v>731</c:v>
                </c:pt>
                <c:pt idx="1506">
                  <c:v>731</c:v>
                </c:pt>
                <c:pt idx="1507">
                  <c:v>731</c:v>
                </c:pt>
                <c:pt idx="1508">
                  <c:v>731</c:v>
                </c:pt>
                <c:pt idx="1509">
                  <c:v>731</c:v>
                </c:pt>
                <c:pt idx="1510">
                  <c:v>731</c:v>
                </c:pt>
                <c:pt idx="1511">
                  <c:v>731</c:v>
                </c:pt>
                <c:pt idx="1512">
                  <c:v>731</c:v>
                </c:pt>
                <c:pt idx="1513">
                  <c:v>731</c:v>
                </c:pt>
                <c:pt idx="1514">
                  <c:v>731</c:v>
                </c:pt>
                <c:pt idx="1515">
                  <c:v>731</c:v>
                </c:pt>
                <c:pt idx="1516">
                  <c:v>731</c:v>
                </c:pt>
                <c:pt idx="1517">
                  <c:v>731</c:v>
                </c:pt>
                <c:pt idx="1518">
                  <c:v>731</c:v>
                </c:pt>
                <c:pt idx="1519">
                  <c:v>731</c:v>
                </c:pt>
                <c:pt idx="1520">
                  <c:v>731</c:v>
                </c:pt>
                <c:pt idx="1521">
                  <c:v>731</c:v>
                </c:pt>
                <c:pt idx="1522">
                  <c:v>731</c:v>
                </c:pt>
                <c:pt idx="1523">
                  <c:v>731</c:v>
                </c:pt>
                <c:pt idx="1524">
                  <c:v>731</c:v>
                </c:pt>
                <c:pt idx="1525">
                  <c:v>731</c:v>
                </c:pt>
                <c:pt idx="1526">
                  <c:v>731</c:v>
                </c:pt>
                <c:pt idx="1527">
                  <c:v>731</c:v>
                </c:pt>
                <c:pt idx="1528">
                  <c:v>731</c:v>
                </c:pt>
                <c:pt idx="1529">
                  <c:v>731</c:v>
                </c:pt>
                <c:pt idx="1530">
                  <c:v>731</c:v>
                </c:pt>
                <c:pt idx="1531">
                  <c:v>731</c:v>
                </c:pt>
                <c:pt idx="1532">
                  <c:v>731</c:v>
                </c:pt>
                <c:pt idx="1533">
                  <c:v>731</c:v>
                </c:pt>
                <c:pt idx="1534">
                  <c:v>731</c:v>
                </c:pt>
                <c:pt idx="1535">
                  <c:v>731</c:v>
                </c:pt>
                <c:pt idx="1536">
                  <c:v>731</c:v>
                </c:pt>
                <c:pt idx="1537">
                  <c:v>730</c:v>
                </c:pt>
                <c:pt idx="1538">
                  <c:v>730</c:v>
                </c:pt>
                <c:pt idx="1539">
                  <c:v>730</c:v>
                </c:pt>
                <c:pt idx="1540">
                  <c:v>730</c:v>
                </c:pt>
                <c:pt idx="1541">
                  <c:v>730</c:v>
                </c:pt>
                <c:pt idx="1542">
                  <c:v>730</c:v>
                </c:pt>
                <c:pt idx="1543">
                  <c:v>731</c:v>
                </c:pt>
                <c:pt idx="1544">
                  <c:v>731</c:v>
                </c:pt>
                <c:pt idx="1545">
                  <c:v>731</c:v>
                </c:pt>
                <c:pt idx="1546">
                  <c:v>731</c:v>
                </c:pt>
                <c:pt idx="1547">
                  <c:v>731</c:v>
                </c:pt>
                <c:pt idx="1548">
                  <c:v>731</c:v>
                </c:pt>
                <c:pt idx="1549">
                  <c:v>731</c:v>
                </c:pt>
                <c:pt idx="1550">
                  <c:v>731</c:v>
                </c:pt>
                <c:pt idx="1551">
                  <c:v>730</c:v>
                </c:pt>
                <c:pt idx="1552">
                  <c:v>731</c:v>
                </c:pt>
                <c:pt idx="1553">
                  <c:v>731</c:v>
                </c:pt>
                <c:pt idx="1554">
                  <c:v>731</c:v>
                </c:pt>
                <c:pt idx="1555">
                  <c:v>731</c:v>
                </c:pt>
                <c:pt idx="1556">
                  <c:v>730</c:v>
                </c:pt>
                <c:pt idx="1557">
                  <c:v>730</c:v>
                </c:pt>
                <c:pt idx="1558">
                  <c:v>730</c:v>
                </c:pt>
                <c:pt idx="1559">
                  <c:v>730</c:v>
                </c:pt>
                <c:pt idx="1560">
                  <c:v>730</c:v>
                </c:pt>
                <c:pt idx="1561">
                  <c:v>730</c:v>
                </c:pt>
                <c:pt idx="1562">
                  <c:v>730</c:v>
                </c:pt>
                <c:pt idx="1563">
                  <c:v>730</c:v>
                </c:pt>
                <c:pt idx="1564">
                  <c:v>730</c:v>
                </c:pt>
                <c:pt idx="1565">
                  <c:v>730</c:v>
                </c:pt>
                <c:pt idx="1566">
                  <c:v>730</c:v>
                </c:pt>
                <c:pt idx="1567">
                  <c:v>730</c:v>
                </c:pt>
                <c:pt idx="1568">
                  <c:v>730</c:v>
                </c:pt>
                <c:pt idx="1569">
                  <c:v>730</c:v>
                </c:pt>
                <c:pt idx="1570">
                  <c:v>730</c:v>
                </c:pt>
                <c:pt idx="1571">
                  <c:v>730</c:v>
                </c:pt>
                <c:pt idx="1572">
                  <c:v>730</c:v>
                </c:pt>
                <c:pt idx="1573">
                  <c:v>730</c:v>
                </c:pt>
                <c:pt idx="1574">
                  <c:v>730</c:v>
                </c:pt>
                <c:pt idx="1575">
                  <c:v>730</c:v>
                </c:pt>
                <c:pt idx="1576">
                  <c:v>730</c:v>
                </c:pt>
                <c:pt idx="1577">
                  <c:v>730</c:v>
                </c:pt>
                <c:pt idx="1578">
                  <c:v>730</c:v>
                </c:pt>
                <c:pt idx="1579">
                  <c:v>730</c:v>
                </c:pt>
                <c:pt idx="1580">
                  <c:v>730</c:v>
                </c:pt>
                <c:pt idx="1581">
                  <c:v>730</c:v>
                </c:pt>
                <c:pt idx="1582">
                  <c:v>730</c:v>
                </c:pt>
                <c:pt idx="1583">
                  <c:v>730</c:v>
                </c:pt>
                <c:pt idx="1584">
                  <c:v>730</c:v>
                </c:pt>
                <c:pt idx="1585">
                  <c:v>730</c:v>
                </c:pt>
                <c:pt idx="1586">
                  <c:v>730</c:v>
                </c:pt>
                <c:pt idx="1587">
                  <c:v>730</c:v>
                </c:pt>
                <c:pt idx="1588">
                  <c:v>730</c:v>
                </c:pt>
                <c:pt idx="1589">
                  <c:v>730</c:v>
                </c:pt>
                <c:pt idx="1590">
                  <c:v>730</c:v>
                </c:pt>
                <c:pt idx="1591">
                  <c:v>730</c:v>
                </c:pt>
                <c:pt idx="1592">
                  <c:v>730</c:v>
                </c:pt>
                <c:pt idx="1593">
                  <c:v>730</c:v>
                </c:pt>
                <c:pt idx="1594">
                  <c:v>730</c:v>
                </c:pt>
                <c:pt idx="1595">
                  <c:v>730</c:v>
                </c:pt>
                <c:pt idx="1596">
                  <c:v>730</c:v>
                </c:pt>
                <c:pt idx="1597">
                  <c:v>730</c:v>
                </c:pt>
                <c:pt idx="1598">
                  <c:v>730</c:v>
                </c:pt>
                <c:pt idx="1599">
                  <c:v>730</c:v>
                </c:pt>
                <c:pt idx="1600">
                  <c:v>730</c:v>
                </c:pt>
                <c:pt idx="1601">
                  <c:v>730</c:v>
                </c:pt>
                <c:pt idx="1602">
                  <c:v>730</c:v>
                </c:pt>
                <c:pt idx="1603">
                  <c:v>730</c:v>
                </c:pt>
                <c:pt idx="1604">
                  <c:v>730</c:v>
                </c:pt>
                <c:pt idx="1605">
                  <c:v>730</c:v>
                </c:pt>
                <c:pt idx="1606">
                  <c:v>730</c:v>
                </c:pt>
                <c:pt idx="1607">
                  <c:v>730</c:v>
                </c:pt>
                <c:pt idx="1608">
                  <c:v>730</c:v>
                </c:pt>
                <c:pt idx="1609">
                  <c:v>730</c:v>
                </c:pt>
                <c:pt idx="1610">
                  <c:v>730</c:v>
                </c:pt>
                <c:pt idx="1611">
                  <c:v>730</c:v>
                </c:pt>
                <c:pt idx="1612">
                  <c:v>730</c:v>
                </c:pt>
                <c:pt idx="1613">
                  <c:v>730</c:v>
                </c:pt>
                <c:pt idx="1614">
                  <c:v>730</c:v>
                </c:pt>
                <c:pt idx="1615">
                  <c:v>729</c:v>
                </c:pt>
                <c:pt idx="1616">
                  <c:v>729</c:v>
                </c:pt>
                <c:pt idx="1617">
                  <c:v>730</c:v>
                </c:pt>
                <c:pt idx="1618">
                  <c:v>730</c:v>
                </c:pt>
                <c:pt idx="1619">
                  <c:v>730</c:v>
                </c:pt>
                <c:pt idx="1620">
                  <c:v>730</c:v>
                </c:pt>
                <c:pt idx="1621">
                  <c:v>730</c:v>
                </c:pt>
                <c:pt idx="1622">
                  <c:v>730</c:v>
                </c:pt>
                <c:pt idx="1623">
                  <c:v>730</c:v>
                </c:pt>
                <c:pt idx="1624">
                  <c:v>730</c:v>
                </c:pt>
                <c:pt idx="1625">
                  <c:v>730</c:v>
                </c:pt>
                <c:pt idx="1626">
                  <c:v>730</c:v>
                </c:pt>
                <c:pt idx="1627">
                  <c:v>730</c:v>
                </c:pt>
                <c:pt idx="1628">
                  <c:v>730</c:v>
                </c:pt>
                <c:pt idx="1629">
                  <c:v>730</c:v>
                </c:pt>
                <c:pt idx="1630">
                  <c:v>730</c:v>
                </c:pt>
                <c:pt idx="1631">
                  <c:v>730</c:v>
                </c:pt>
                <c:pt idx="1632">
                  <c:v>730</c:v>
                </c:pt>
                <c:pt idx="1633">
                  <c:v>730</c:v>
                </c:pt>
                <c:pt idx="1634">
                  <c:v>729</c:v>
                </c:pt>
                <c:pt idx="1635">
                  <c:v>730</c:v>
                </c:pt>
                <c:pt idx="1636">
                  <c:v>730</c:v>
                </c:pt>
                <c:pt idx="1637">
                  <c:v>730</c:v>
                </c:pt>
                <c:pt idx="1638">
                  <c:v>730</c:v>
                </c:pt>
                <c:pt idx="1639">
                  <c:v>730</c:v>
                </c:pt>
                <c:pt idx="1640">
                  <c:v>729</c:v>
                </c:pt>
                <c:pt idx="1641">
                  <c:v>729</c:v>
                </c:pt>
                <c:pt idx="1642">
                  <c:v>729</c:v>
                </c:pt>
                <c:pt idx="1643">
                  <c:v>729</c:v>
                </c:pt>
                <c:pt idx="1644">
                  <c:v>729</c:v>
                </c:pt>
                <c:pt idx="1645">
                  <c:v>729</c:v>
                </c:pt>
                <c:pt idx="1646">
                  <c:v>729</c:v>
                </c:pt>
                <c:pt idx="1647">
                  <c:v>729</c:v>
                </c:pt>
                <c:pt idx="1648">
                  <c:v>729</c:v>
                </c:pt>
                <c:pt idx="1649">
                  <c:v>729</c:v>
                </c:pt>
                <c:pt idx="1650">
                  <c:v>729</c:v>
                </c:pt>
                <c:pt idx="1651">
                  <c:v>730</c:v>
                </c:pt>
                <c:pt idx="1652">
                  <c:v>729</c:v>
                </c:pt>
                <c:pt idx="1653">
                  <c:v>729</c:v>
                </c:pt>
                <c:pt idx="1654">
                  <c:v>729</c:v>
                </c:pt>
                <c:pt idx="1655">
                  <c:v>729</c:v>
                </c:pt>
                <c:pt idx="1656">
                  <c:v>729</c:v>
                </c:pt>
                <c:pt idx="1657">
                  <c:v>729</c:v>
                </c:pt>
                <c:pt idx="1658">
                  <c:v>729</c:v>
                </c:pt>
                <c:pt idx="1659">
                  <c:v>729</c:v>
                </c:pt>
                <c:pt idx="1660">
                  <c:v>729</c:v>
                </c:pt>
                <c:pt idx="1661">
                  <c:v>729</c:v>
                </c:pt>
                <c:pt idx="1662">
                  <c:v>729</c:v>
                </c:pt>
                <c:pt idx="1663">
                  <c:v>729</c:v>
                </c:pt>
                <c:pt idx="1664">
                  <c:v>729</c:v>
                </c:pt>
                <c:pt idx="1665">
                  <c:v>729</c:v>
                </c:pt>
                <c:pt idx="1666">
                  <c:v>729</c:v>
                </c:pt>
                <c:pt idx="1667">
                  <c:v>729</c:v>
                </c:pt>
                <c:pt idx="1668">
                  <c:v>729</c:v>
                </c:pt>
                <c:pt idx="1669">
                  <c:v>729</c:v>
                </c:pt>
                <c:pt idx="1670">
                  <c:v>729</c:v>
                </c:pt>
                <c:pt idx="1671">
                  <c:v>730</c:v>
                </c:pt>
                <c:pt idx="1672">
                  <c:v>729</c:v>
                </c:pt>
                <c:pt idx="1673">
                  <c:v>730</c:v>
                </c:pt>
                <c:pt idx="1674">
                  <c:v>730</c:v>
                </c:pt>
                <c:pt idx="1675">
                  <c:v>730</c:v>
                </c:pt>
                <c:pt idx="1676">
                  <c:v>730</c:v>
                </c:pt>
                <c:pt idx="1677">
                  <c:v>730</c:v>
                </c:pt>
                <c:pt idx="1678">
                  <c:v>730</c:v>
                </c:pt>
                <c:pt idx="1679">
                  <c:v>730</c:v>
                </c:pt>
                <c:pt idx="1680">
                  <c:v>729</c:v>
                </c:pt>
                <c:pt idx="1681">
                  <c:v>730</c:v>
                </c:pt>
                <c:pt idx="1682">
                  <c:v>730</c:v>
                </c:pt>
                <c:pt idx="1683">
                  <c:v>730</c:v>
                </c:pt>
                <c:pt idx="1684">
                  <c:v>729</c:v>
                </c:pt>
                <c:pt idx="1685">
                  <c:v>729</c:v>
                </c:pt>
                <c:pt idx="1686">
                  <c:v>730</c:v>
                </c:pt>
                <c:pt idx="1687">
                  <c:v>730</c:v>
                </c:pt>
                <c:pt idx="1688">
                  <c:v>730</c:v>
                </c:pt>
                <c:pt idx="1689">
                  <c:v>730</c:v>
                </c:pt>
                <c:pt idx="1690">
                  <c:v>730</c:v>
                </c:pt>
                <c:pt idx="1691">
                  <c:v>730</c:v>
                </c:pt>
                <c:pt idx="1692">
                  <c:v>729</c:v>
                </c:pt>
                <c:pt idx="1693">
                  <c:v>729</c:v>
                </c:pt>
                <c:pt idx="1694">
                  <c:v>729</c:v>
                </c:pt>
                <c:pt idx="1695">
                  <c:v>730</c:v>
                </c:pt>
                <c:pt idx="1696">
                  <c:v>730</c:v>
                </c:pt>
                <c:pt idx="1697">
                  <c:v>730</c:v>
                </c:pt>
                <c:pt idx="1698">
                  <c:v>730</c:v>
                </c:pt>
                <c:pt idx="1699">
                  <c:v>730</c:v>
                </c:pt>
                <c:pt idx="1700">
                  <c:v>730</c:v>
                </c:pt>
                <c:pt idx="1701">
                  <c:v>730</c:v>
                </c:pt>
                <c:pt idx="1702">
                  <c:v>730</c:v>
                </c:pt>
                <c:pt idx="1703">
                  <c:v>730</c:v>
                </c:pt>
                <c:pt idx="1704">
                  <c:v>730</c:v>
                </c:pt>
                <c:pt idx="1705">
                  <c:v>730</c:v>
                </c:pt>
                <c:pt idx="1706">
                  <c:v>730</c:v>
                </c:pt>
                <c:pt idx="1707">
                  <c:v>730</c:v>
                </c:pt>
                <c:pt idx="1708">
                  <c:v>730</c:v>
                </c:pt>
                <c:pt idx="1709">
                  <c:v>730</c:v>
                </c:pt>
                <c:pt idx="1710">
                  <c:v>730</c:v>
                </c:pt>
                <c:pt idx="1711">
                  <c:v>730</c:v>
                </c:pt>
                <c:pt idx="1712">
                  <c:v>730</c:v>
                </c:pt>
                <c:pt idx="1713">
                  <c:v>730</c:v>
                </c:pt>
                <c:pt idx="1714">
                  <c:v>730</c:v>
                </c:pt>
                <c:pt idx="1715">
                  <c:v>730</c:v>
                </c:pt>
                <c:pt idx="1716">
                  <c:v>730</c:v>
                </c:pt>
                <c:pt idx="1717">
                  <c:v>730</c:v>
                </c:pt>
                <c:pt idx="1718">
                  <c:v>730</c:v>
                </c:pt>
                <c:pt idx="1719">
                  <c:v>730</c:v>
                </c:pt>
                <c:pt idx="1720">
                  <c:v>730</c:v>
                </c:pt>
                <c:pt idx="1721">
                  <c:v>730</c:v>
                </c:pt>
                <c:pt idx="1722">
                  <c:v>730</c:v>
                </c:pt>
                <c:pt idx="1723">
                  <c:v>730</c:v>
                </c:pt>
                <c:pt idx="1724">
                  <c:v>730</c:v>
                </c:pt>
                <c:pt idx="1725">
                  <c:v>730</c:v>
                </c:pt>
                <c:pt idx="1726">
                  <c:v>730</c:v>
                </c:pt>
                <c:pt idx="1727">
                  <c:v>730</c:v>
                </c:pt>
                <c:pt idx="1728">
                  <c:v>730</c:v>
                </c:pt>
                <c:pt idx="1729">
                  <c:v>730</c:v>
                </c:pt>
                <c:pt idx="1730">
                  <c:v>729</c:v>
                </c:pt>
                <c:pt idx="1731">
                  <c:v>729</c:v>
                </c:pt>
                <c:pt idx="1732">
                  <c:v>730</c:v>
                </c:pt>
                <c:pt idx="1733">
                  <c:v>730</c:v>
                </c:pt>
                <c:pt idx="1734">
                  <c:v>729</c:v>
                </c:pt>
                <c:pt idx="1735">
                  <c:v>729</c:v>
                </c:pt>
                <c:pt idx="1736">
                  <c:v>730</c:v>
                </c:pt>
                <c:pt idx="1737">
                  <c:v>730</c:v>
                </c:pt>
                <c:pt idx="1738">
                  <c:v>730</c:v>
                </c:pt>
                <c:pt idx="1739">
                  <c:v>729</c:v>
                </c:pt>
                <c:pt idx="1740">
                  <c:v>729</c:v>
                </c:pt>
                <c:pt idx="1741">
                  <c:v>729</c:v>
                </c:pt>
                <c:pt idx="1742">
                  <c:v>729</c:v>
                </c:pt>
                <c:pt idx="1743">
                  <c:v>729</c:v>
                </c:pt>
                <c:pt idx="1744">
                  <c:v>729</c:v>
                </c:pt>
                <c:pt idx="1745">
                  <c:v>729</c:v>
                </c:pt>
                <c:pt idx="1746">
                  <c:v>729</c:v>
                </c:pt>
                <c:pt idx="1747">
                  <c:v>729</c:v>
                </c:pt>
                <c:pt idx="1748">
                  <c:v>729</c:v>
                </c:pt>
                <c:pt idx="1749">
                  <c:v>729</c:v>
                </c:pt>
                <c:pt idx="1750">
                  <c:v>729</c:v>
                </c:pt>
                <c:pt idx="1751">
                  <c:v>729</c:v>
                </c:pt>
                <c:pt idx="1752">
                  <c:v>729</c:v>
                </c:pt>
                <c:pt idx="1753">
                  <c:v>729</c:v>
                </c:pt>
                <c:pt idx="1754">
                  <c:v>729</c:v>
                </c:pt>
                <c:pt idx="1755">
                  <c:v>729</c:v>
                </c:pt>
                <c:pt idx="1756">
                  <c:v>729</c:v>
                </c:pt>
                <c:pt idx="1757">
                  <c:v>729</c:v>
                </c:pt>
                <c:pt idx="1758">
                  <c:v>729</c:v>
                </c:pt>
                <c:pt idx="1759">
                  <c:v>729</c:v>
                </c:pt>
                <c:pt idx="1760">
                  <c:v>729</c:v>
                </c:pt>
                <c:pt idx="1761">
                  <c:v>729</c:v>
                </c:pt>
                <c:pt idx="1762">
                  <c:v>729</c:v>
                </c:pt>
                <c:pt idx="1763">
                  <c:v>729</c:v>
                </c:pt>
                <c:pt idx="1764">
                  <c:v>729</c:v>
                </c:pt>
                <c:pt idx="1765">
                  <c:v>729</c:v>
                </c:pt>
                <c:pt idx="1766">
                  <c:v>729</c:v>
                </c:pt>
                <c:pt idx="1767">
                  <c:v>729</c:v>
                </c:pt>
                <c:pt idx="1768">
                  <c:v>729</c:v>
                </c:pt>
                <c:pt idx="1769">
                  <c:v>729</c:v>
                </c:pt>
                <c:pt idx="1770">
                  <c:v>729</c:v>
                </c:pt>
                <c:pt idx="1771">
                  <c:v>729</c:v>
                </c:pt>
                <c:pt idx="1772">
                  <c:v>729</c:v>
                </c:pt>
                <c:pt idx="1773">
                  <c:v>729</c:v>
                </c:pt>
                <c:pt idx="1774">
                  <c:v>729</c:v>
                </c:pt>
                <c:pt idx="1775">
                  <c:v>729</c:v>
                </c:pt>
                <c:pt idx="1776">
                  <c:v>729</c:v>
                </c:pt>
                <c:pt idx="1777">
                  <c:v>729</c:v>
                </c:pt>
                <c:pt idx="1778">
                  <c:v>729</c:v>
                </c:pt>
                <c:pt idx="1779">
                  <c:v>729</c:v>
                </c:pt>
                <c:pt idx="1780">
                  <c:v>729</c:v>
                </c:pt>
                <c:pt idx="1781">
                  <c:v>729</c:v>
                </c:pt>
                <c:pt idx="1782">
                  <c:v>729</c:v>
                </c:pt>
                <c:pt idx="1783">
                  <c:v>729</c:v>
                </c:pt>
                <c:pt idx="1784">
                  <c:v>729</c:v>
                </c:pt>
                <c:pt idx="1785">
                  <c:v>729</c:v>
                </c:pt>
                <c:pt idx="1786">
                  <c:v>729</c:v>
                </c:pt>
                <c:pt idx="1787">
                  <c:v>729</c:v>
                </c:pt>
                <c:pt idx="1788">
                  <c:v>729</c:v>
                </c:pt>
                <c:pt idx="1789">
                  <c:v>729</c:v>
                </c:pt>
                <c:pt idx="1790">
                  <c:v>729</c:v>
                </c:pt>
                <c:pt idx="1791">
                  <c:v>728</c:v>
                </c:pt>
                <c:pt idx="1792">
                  <c:v>728</c:v>
                </c:pt>
                <c:pt idx="1793">
                  <c:v>729</c:v>
                </c:pt>
                <c:pt idx="1794">
                  <c:v>729</c:v>
                </c:pt>
                <c:pt idx="1795">
                  <c:v>729</c:v>
                </c:pt>
                <c:pt idx="1796">
                  <c:v>729</c:v>
                </c:pt>
                <c:pt idx="1797">
                  <c:v>729</c:v>
                </c:pt>
                <c:pt idx="1798">
                  <c:v>729</c:v>
                </c:pt>
                <c:pt idx="1799">
                  <c:v>729</c:v>
                </c:pt>
                <c:pt idx="1800">
                  <c:v>729</c:v>
                </c:pt>
                <c:pt idx="1801">
                  <c:v>729</c:v>
                </c:pt>
                <c:pt idx="1802">
                  <c:v>729</c:v>
                </c:pt>
                <c:pt idx="1803">
                  <c:v>729</c:v>
                </c:pt>
                <c:pt idx="1804">
                  <c:v>729</c:v>
                </c:pt>
                <c:pt idx="1805">
                  <c:v>729</c:v>
                </c:pt>
                <c:pt idx="1806">
                  <c:v>729</c:v>
                </c:pt>
                <c:pt idx="1807">
                  <c:v>728</c:v>
                </c:pt>
                <c:pt idx="1808">
                  <c:v>728</c:v>
                </c:pt>
                <c:pt idx="1809">
                  <c:v>728</c:v>
                </c:pt>
                <c:pt idx="1810">
                  <c:v>728</c:v>
                </c:pt>
                <c:pt idx="1811">
                  <c:v>729</c:v>
                </c:pt>
                <c:pt idx="1812">
                  <c:v>729</c:v>
                </c:pt>
                <c:pt idx="1813">
                  <c:v>729</c:v>
                </c:pt>
                <c:pt idx="1814">
                  <c:v>728</c:v>
                </c:pt>
                <c:pt idx="1815">
                  <c:v>729</c:v>
                </c:pt>
                <c:pt idx="1816">
                  <c:v>729</c:v>
                </c:pt>
                <c:pt idx="1817">
                  <c:v>729</c:v>
                </c:pt>
                <c:pt idx="1818">
                  <c:v>729</c:v>
                </c:pt>
                <c:pt idx="1819">
                  <c:v>729</c:v>
                </c:pt>
                <c:pt idx="1820">
                  <c:v>729</c:v>
                </c:pt>
                <c:pt idx="1821">
                  <c:v>729</c:v>
                </c:pt>
                <c:pt idx="1822">
                  <c:v>729</c:v>
                </c:pt>
                <c:pt idx="1823">
                  <c:v>729</c:v>
                </c:pt>
                <c:pt idx="1824">
                  <c:v>729</c:v>
                </c:pt>
                <c:pt idx="1825">
                  <c:v>729</c:v>
                </c:pt>
                <c:pt idx="1826">
                  <c:v>729</c:v>
                </c:pt>
                <c:pt idx="1827">
                  <c:v>729</c:v>
                </c:pt>
                <c:pt idx="1828">
                  <c:v>729</c:v>
                </c:pt>
                <c:pt idx="1829">
                  <c:v>729</c:v>
                </c:pt>
                <c:pt idx="1830">
                  <c:v>729</c:v>
                </c:pt>
                <c:pt idx="1831">
                  <c:v>729</c:v>
                </c:pt>
                <c:pt idx="1832">
                  <c:v>728</c:v>
                </c:pt>
                <c:pt idx="1833">
                  <c:v>728</c:v>
                </c:pt>
                <c:pt idx="1834">
                  <c:v>728</c:v>
                </c:pt>
                <c:pt idx="1835">
                  <c:v>728</c:v>
                </c:pt>
                <c:pt idx="1836">
                  <c:v>728</c:v>
                </c:pt>
                <c:pt idx="1837">
                  <c:v>728</c:v>
                </c:pt>
                <c:pt idx="1838">
                  <c:v>728</c:v>
                </c:pt>
                <c:pt idx="1839">
                  <c:v>728</c:v>
                </c:pt>
                <c:pt idx="1840">
                  <c:v>728</c:v>
                </c:pt>
                <c:pt idx="1841">
                  <c:v>728</c:v>
                </c:pt>
                <c:pt idx="1842">
                  <c:v>729</c:v>
                </c:pt>
                <c:pt idx="1843">
                  <c:v>729</c:v>
                </c:pt>
                <c:pt idx="1844">
                  <c:v>728</c:v>
                </c:pt>
                <c:pt idx="1845">
                  <c:v>729</c:v>
                </c:pt>
                <c:pt idx="1846">
                  <c:v>728</c:v>
                </c:pt>
                <c:pt idx="1847">
                  <c:v>728</c:v>
                </c:pt>
                <c:pt idx="1848">
                  <c:v>728</c:v>
                </c:pt>
                <c:pt idx="1849">
                  <c:v>728</c:v>
                </c:pt>
                <c:pt idx="1850">
                  <c:v>728</c:v>
                </c:pt>
                <c:pt idx="1851">
                  <c:v>728</c:v>
                </c:pt>
                <c:pt idx="1852">
                  <c:v>728</c:v>
                </c:pt>
                <c:pt idx="1853">
                  <c:v>728</c:v>
                </c:pt>
                <c:pt idx="1854">
                  <c:v>728</c:v>
                </c:pt>
                <c:pt idx="1855">
                  <c:v>729</c:v>
                </c:pt>
                <c:pt idx="1856">
                  <c:v>728</c:v>
                </c:pt>
                <c:pt idx="1857">
                  <c:v>728</c:v>
                </c:pt>
                <c:pt idx="1858">
                  <c:v>728</c:v>
                </c:pt>
                <c:pt idx="1859">
                  <c:v>729</c:v>
                </c:pt>
                <c:pt idx="1860">
                  <c:v>729</c:v>
                </c:pt>
                <c:pt idx="1861">
                  <c:v>728</c:v>
                </c:pt>
                <c:pt idx="1862">
                  <c:v>728</c:v>
                </c:pt>
                <c:pt idx="1863">
                  <c:v>728</c:v>
                </c:pt>
                <c:pt idx="1864">
                  <c:v>728</c:v>
                </c:pt>
                <c:pt idx="1865">
                  <c:v>728</c:v>
                </c:pt>
                <c:pt idx="1866">
                  <c:v>728</c:v>
                </c:pt>
                <c:pt idx="1867">
                  <c:v>728</c:v>
                </c:pt>
                <c:pt idx="1868">
                  <c:v>728</c:v>
                </c:pt>
                <c:pt idx="1869">
                  <c:v>728</c:v>
                </c:pt>
                <c:pt idx="1870">
                  <c:v>728</c:v>
                </c:pt>
                <c:pt idx="1871">
                  <c:v>728</c:v>
                </c:pt>
                <c:pt idx="1872">
                  <c:v>728</c:v>
                </c:pt>
                <c:pt idx="1873">
                  <c:v>728</c:v>
                </c:pt>
                <c:pt idx="1874">
                  <c:v>728</c:v>
                </c:pt>
                <c:pt idx="1875">
                  <c:v>728</c:v>
                </c:pt>
                <c:pt idx="1876">
                  <c:v>728</c:v>
                </c:pt>
                <c:pt idx="1877">
                  <c:v>728</c:v>
                </c:pt>
                <c:pt idx="1878">
                  <c:v>728</c:v>
                </c:pt>
                <c:pt idx="1879">
                  <c:v>728</c:v>
                </c:pt>
                <c:pt idx="1880">
                  <c:v>728</c:v>
                </c:pt>
                <c:pt idx="1881">
                  <c:v>728</c:v>
                </c:pt>
                <c:pt idx="1882">
                  <c:v>728</c:v>
                </c:pt>
                <c:pt idx="1883">
                  <c:v>729</c:v>
                </c:pt>
                <c:pt idx="1884">
                  <c:v>729</c:v>
                </c:pt>
                <c:pt idx="1885">
                  <c:v>729</c:v>
                </c:pt>
                <c:pt idx="1886">
                  <c:v>729</c:v>
                </c:pt>
                <c:pt idx="1887">
                  <c:v>728</c:v>
                </c:pt>
                <c:pt idx="1888">
                  <c:v>728</c:v>
                </c:pt>
                <c:pt idx="1889">
                  <c:v>728</c:v>
                </c:pt>
                <c:pt idx="1890">
                  <c:v>728</c:v>
                </c:pt>
                <c:pt idx="1891">
                  <c:v>728</c:v>
                </c:pt>
                <c:pt idx="1892">
                  <c:v>728</c:v>
                </c:pt>
                <c:pt idx="1893">
                  <c:v>728</c:v>
                </c:pt>
                <c:pt idx="1894">
                  <c:v>728</c:v>
                </c:pt>
                <c:pt idx="1895">
                  <c:v>728</c:v>
                </c:pt>
                <c:pt idx="1896">
                  <c:v>728</c:v>
                </c:pt>
                <c:pt idx="1897">
                  <c:v>728</c:v>
                </c:pt>
                <c:pt idx="1898">
                  <c:v>728</c:v>
                </c:pt>
                <c:pt idx="1899">
                  <c:v>728</c:v>
                </c:pt>
                <c:pt idx="1900">
                  <c:v>728</c:v>
                </c:pt>
                <c:pt idx="1901">
                  <c:v>728</c:v>
                </c:pt>
                <c:pt idx="1902">
                  <c:v>728</c:v>
                </c:pt>
                <c:pt idx="1903">
                  <c:v>728</c:v>
                </c:pt>
                <c:pt idx="1904">
                  <c:v>728</c:v>
                </c:pt>
                <c:pt idx="1905">
                  <c:v>728</c:v>
                </c:pt>
                <c:pt idx="1906">
                  <c:v>728</c:v>
                </c:pt>
                <c:pt idx="1907">
                  <c:v>728</c:v>
                </c:pt>
                <c:pt idx="1908">
                  <c:v>728</c:v>
                </c:pt>
                <c:pt idx="1909">
                  <c:v>728</c:v>
                </c:pt>
                <c:pt idx="1910">
                  <c:v>728</c:v>
                </c:pt>
                <c:pt idx="1911">
                  <c:v>728</c:v>
                </c:pt>
                <c:pt idx="1912">
                  <c:v>728</c:v>
                </c:pt>
                <c:pt idx="1913">
                  <c:v>728</c:v>
                </c:pt>
                <c:pt idx="1914">
                  <c:v>728</c:v>
                </c:pt>
                <c:pt idx="1915">
                  <c:v>728</c:v>
                </c:pt>
                <c:pt idx="1916">
                  <c:v>728</c:v>
                </c:pt>
                <c:pt idx="1917">
                  <c:v>728</c:v>
                </c:pt>
                <c:pt idx="1918">
                  <c:v>728</c:v>
                </c:pt>
                <c:pt idx="1919">
                  <c:v>728</c:v>
                </c:pt>
                <c:pt idx="1920">
                  <c:v>728</c:v>
                </c:pt>
                <c:pt idx="1921">
                  <c:v>728</c:v>
                </c:pt>
                <c:pt idx="1922">
                  <c:v>728</c:v>
                </c:pt>
                <c:pt idx="1923">
                  <c:v>728</c:v>
                </c:pt>
                <c:pt idx="1924">
                  <c:v>728</c:v>
                </c:pt>
                <c:pt idx="1925">
                  <c:v>728</c:v>
                </c:pt>
                <c:pt idx="1926">
                  <c:v>728</c:v>
                </c:pt>
                <c:pt idx="1927">
                  <c:v>728</c:v>
                </c:pt>
                <c:pt idx="1928">
                  <c:v>728</c:v>
                </c:pt>
                <c:pt idx="1929">
                  <c:v>728</c:v>
                </c:pt>
                <c:pt idx="1930">
                  <c:v>728</c:v>
                </c:pt>
                <c:pt idx="1931">
                  <c:v>728</c:v>
                </c:pt>
                <c:pt idx="1932">
                  <c:v>728</c:v>
                </c:pt>
                <c:pt idx="1933">
                  <c:v>728</c:v>
                </c:pt>
                <c:pt idx="1934">
                  <c:v>728</c:v>
                </c:pt>
                <c:pt idx="1935">
                  <c:v>728</c:v>
                </c:pt>
                <c:pt idx="1936">
                  <c:v>728</c:v>
                </c:pt>
                <c:pt idx="1937">
                  <c:v>728</c:v>
                </c:pt>
                <c:pt idx="1938">
                  <c:v>728</c:v>
                </c:pt>
                <c:pt idx="1939">
                  <c:v>728</c:v>
                </c:pt>
                <c:pt idx="1940">
                  <c:v>728</c:v>
                </c:pt>
                <c:pt idx="1941">
                  <c:v>728</c:v>
                </c:pt>
                <c:pt idx="1942">
                  <c:v>728</c:v>
                </c:pt>
                <c:pt idx="1943">
                  <c:v>728</c:v>
                </c:pt>
                <c:pt idx="1944">
                  <c:v>728</c:v>
                </c:pt>
                <c:pt idx="1945">
                  <c:v>728</c:v>
                </c:pt>
                <c:pt idx="1946">
                  <c:v>728</c:v>
                </c:pt>
                <c:pt idx="1947">
                  <c:v>728</c:v>
                </c:pt>
                <c:pt idx="1948">
                  <c:v>728</c:v>
                </c:pt>
                <c:pt idx="1949">
                  <c:v>728</c:v>
                </c:pt>
                <c:pt idx="1950">
                  <c:v>728</c:v>
                </c:pt>
                <c:pt idx="1951">
                  <c:v>728</c:v>
                </c:pt>
                <c:pt idx="1952">
                  <c:v>728</c:v>
                </c:pt>
                <c:pt idx="1953">
                  <c:v>728</c:v>
                </c:pt>
                <c:pt idx="1954">
                  <c:v>728</c:v>
                </c:pt>
                <c:pt idx="1955">
                  <c:v>728</c:v>
                </c:pt>
                <c:pt idx="1956">
                  <c:v>728</c:v>
                </c:pt>
                <c:pt idx="1957">
                  <c:v>728</c:v>
                </c:pt>
                <c:pt idx="1958">
                  <c:v>728</c:v>
                </c:pt>
                <c:pt idx="1959">
                  <c:v>727</c:v>
                </c:pt>
                <c:pt idx="1960">
                  <c:v>727</c:v>
                </c:pt>
                <c:pt idx="1961">
                  <c:v>728</c:v>
                </c:pt>
                <c:pt idx="1962">
                  <c:v>728</c:v>
                </c:pt>
                <c:pt idx="1963">
                  <c:v>728</c:v>
                </c:pt>
                <c:pt idx="1964">
                  <c:v>728</c:v>
                </c:pt>
                <c:pt idx="1965">
                  <c:v>728</c:v>
                </c:pt>
                <c:pt idx="1966">
                  <c:v>728</c:v>
                </c:pt>
                <c:pt idx="1967">
                  <c:v>728</c:v>
                </c:pt>
                <c:pt idx="1968">
                  <c:v>728</c:v>
                </c:pt>
                <c:pt idx="1969">
                  <c:v>728</c:v>
                </c:pt>
                <c:pt idx="1970">
                  <c:v>728</c:v>
                </c:pt>
                <c:pt idx="1971">
                  <c:v>728</c:v>
                </c:pt>
                <c:pt idx="1972">
                  <c:v>728</c:v>
                </c:pt>
                <c:pt idx="1973">
                  <c:v>728</c:v>
                </c:pt>
                <c:pt idx="1974">
                  <c:v>728</c:v>
                </c:pt>
                <c:pt idx="1975">
                  <c:v>728</c:v>
                </c:pt>
                <c:pt idx="1976">
                  <c:v>728</c:v>
                </c:pt>
                <c:pt idx="1977">
                  <c:v>728</c:v>
                </c:pt>
                <c:pt idx="1978">
                  <c:v>728</c:v>
                </c:pt>
                <c:pt idx="1979">
                  <c:v>728</c:v>
                </c:pt>
                <c:pt idx="1980">
                  <c:v>728</c:v>
                </c:pt>
                <c:pt idx="1981">
                  <c:v>728</c:v>
                </c:pt>
                <c:pt idx="1982">
                  <c:v>728</c:v>
                </c:pt>
                <c:pt idx="1983">
                  <c:v>728</c:v>
                </c:pt>
                <c:pt idx="1984">
                  <c:v>728</c:v>
                </c:pt>
                <c:pt idx="1985">
                  <c:v>728</c:v>
                </c:pt>
                <c:pt idx="1986">
                  <c:v>728</c:v>
                </c:pt>
                <c:pt idx="1987">
                  <c:v>728</c:v>
                </c:pt>
                <c:pt idx="1988">
                  <c:v>728</c:v>
                </c:pt>
                <c:pt idx="1989">
                  <c:v>728</c:v>
                </c:pt>
                <c:pt idx="1990">
                  <c:v>728</c:v>
                </c:pt>
                <c:pt idx="1991">
                  <c:v>728</c:v>
                </c:pt>
                <c:pt idx="1992">
                  <c:v>728</c:v>
                </c:pt>
                <c:pt idx="1993">
                  <c:v>728</c:v>
                </c:pt>
                <c:pt idx="1994">
                  <c:v>728</c:v>
                </c:pt>
                <c:pt idx="1995">
                  <c:v>728</c:v>
                </c:pt>
                <c:pt idx="1996">
                  <c:v>727</c:v>
                </c:pt>
                <c:pt idx="1997">
                  <c:v>727</c:v>
                </c:pt>
                <c:pt idx="1998">
                  <c:v>727</c:v>
                </c:pt>
                <c:pt idx="1999">
                  <c:v>727</c:v>
                </c:pt>
                <c:pt idx="2000">
                  <c:v>727</c:v>
                </c:pt>
                <c:pt idx="2001">
                  <c:v>727</c:v>
                </c:pt>
                <c:pt idx="2002">
                  <c:v>727</c:v>
                </c:pt>
                <c:pt idx="2003">
                  <c:v>727</c:v>
                </c:pt>
                <c:pt idx="2004">
                  <c:v>727</c:v>
                </c:pt>
                <c:pt idx="2005">
                  <c:v>727</c:v>
                </c:pt>
                <c:pt idx="2006">
                  <c:v>727</c:v>
                </c:pt>
                <c:pt idx="2007">
                  <c:v>728</c:v>
                </c:pt>
                <c:pt idx="2008">
                  <c:v>728</c:v>
                </c:pt>
                <c:pt idx="2009">
                  <c:v>728</c:v>
                </c:pt>
                <c:pt idx="2010">
                  <c:v>728</c:v>
                </c:pt>
                <c:pt idx="2011">
                  <c:v>728</c:v>
                </c:pt>
                <c:pt idx="2012">
                  <c:v>728</c:v>
                </c:pt>
                <c:pt idx="2013">
                  <c:v>728</c:v>
                </c:pt>
                <c:pt idx="2014">
                  <c:v>727</c:v>
                </c:pt>
                <c:pt idx="2015">
                  <c:v>727</c:v>
                </c:pt>
                <c:pt idx="2016">
                  <c:v>727</c:v>
                </c:pt>
                <c:pt idx="2017">
                  <c:v>727</c:v>
                </c:pt>
                <c:pt idx="2018">
                  <c:v>727</c:v>
                </c:pt>
                <c:pt idx="2019">
                  <c:v>727</c:v>
                </c:pt>
                <c:pt idx="2020">
                  <c:v>727</c:v>
                </c:pt>
                <c:pt idx="2021">
                  <c:v>727</c:v>
                </c:pt>
                <c:pt idx="2022">
                  <c:v>727</c:v>
                </c:pt>
                <c:pt idx="2023">
                  <c:v>727</c:v>
                </c:pt>
                <c:pt idx="2024">
                  <c:v>727</c:v>
                </c:pt>
                <c:pt idx="2025">
                  <c:v>727</c:v>
                </c:pt>
                <c:pt idx="2026">
                  <c:v>727</c:v>
                </c:pt>
                <c:pt idx="2027">
                  <c:v>727</c:v>
                </c:pt>
                <c:pt idx="2028">
                  <c:v>727</c:v>
                </c:pt>
                <c:pt idx="2029">
                  <c:v>727</c:v>
                </c:pt>
                <c:pt idx="2030">
                  <c:v>727</c:v>
                </c:pt>
                <c:pt idx="2031">
                  <c:v>727</c:v>
                </c:pt>
                <c:pt idx="2032">
                  <c:v>727</c:v>
                </c:pt>
                <c:pt idx="2033">
                  <c:v>728</c:v>
                </c:pt>
                <c:pt idx="2034">
                  <c:v>727</c:v>
                </c:pt>
                <c:pt idx="2035">
                  <c:v>728</c:v>
                </c:pt>
                <c:pt idx="2036">
                  <c:v>728</c:v>
                </c:pt>
                <c:pt idx="2037">
                  <c:v>727</c:v>
                </c:pt>
                <c:pt idx="2038">
                  <c:v>728</c:v>
                </c:pt>
                <c:pt idx="2039">
                  <c:v>728</c:v>
                </c:pt>
                <c:pt idx="2040">
                  <c:v>728</c:v>
                </c:pt>
                <c:pt idx="2041">
                  <c:v>728</c:v>
                </c:pt>
                <c:pt idx="2042">
                  <c:v>728</c:v>
                </c:pt>
                <c:pt idx="2043">
                  <c:v>727</c:v>
                </c:pt>
                <c:pt idx="2044">
                  <c:v>727</c:v>
                </c:pt>
                <c:pt idx="2045">
                  <c:v>727</c:v>
                </c:pt>
                <c:pt idx="2046">
                  <c:v>727</c:v>
                </c:pt>
                <c:pt idx="2047">
                  <c:v>727</c:v>
                </c:pt>
                <c:pt idx="2048">
                  <c:v>727</c:v>
                </c:pt>
                <c:pt idx="2049">
                  <c:v>727</c:v>
                </c:pt>
                <c:pt idx="2050">
                  <c:v>727</c:v>
                </c:pt>
                <c:pt idx="2051">
                  <c:v>727</c:v>
                </c:pt>
                <c:pt idx="2052">
                  <c:v>727</c:v>
                </c:pt>
                <c:pt idx="2053">
                  <c:v>727</c:v>
                </c:pt>
                <c:pt idx="2054">
                  <c:v>727</c:v>
                </c:pt>
                <c:pt idx="2055">
                  <c:v>727</c:v>
                </c:pt>
                <c:pt idx="2056">
                  <c:v>727</c:v>
                </c:pt>
                <c:pt idx="2057">
                  <c:v>727</c:v>
                </c:pt>
                <c:pt idx="2058">
                  <c:v>727</c:v>
                </c:pt>
                <c:pt idx="2059">
                  <c:v>727</c:v>
                </c:pt>
                <c:pt idx="2060">
                  <c:v>727</c:v>
                </c:pt>
                <c:pt idx="2061">
                  <c:v>727</c:v>
                </c:pt>
                <c:pt idx="2062">
                  <c:v>727</c:v>
                </c:pt>
                <c:pt idx="2063">
                  <c:v>727</c:v>
                </c:pt>
                <c:pt idx="2064">
                  <c:v>727</c:v>
                </c:pt>
                <c:pt idx="2065">
                  <c:v>727</c:v>
                </c:pt>
                <c:pt idx="2066">
                  <c:v>727</c:v>
                </c:pt>
                <c:pt idx="2067">
                  <c:v>727</c:v>
                </c:pt>
                <c:pt idx="2068">
                  <c:v>727</c:v>
                </c:pt>
                <c:pt idx="2069">
                  <c:v>727</c:v>
                </c:pt>
                <c:pt idx="2070">
                  <c:v>727</c:v>
                </c:pt>
                <c:pt idx="2071">
                  <c:v>727</c:v>
                </c:pt>
                <c:pt idx="2072">
                  <c:v>727</c:v>
                </c:pt>
                <c:pt idx="2073">
                  <c:v>727</c:v>
                </c:pt>
                <c:pt idx="2074">
                  <c:v>727</c:v>
                </c:pt>
                <c:pt idx="2075">
                  <c:v>727</c:v>
                </c:pt>
                <c:pt idx="2076">
                  <c:v>727</c:v>
                </c:pt>
                <c:pt idx="2077">
                  <c:v>727</c:v>
                </c:pt>
                <c:pt idx="2078">
                  <c:v>727</c:v>
                </c:pt>
                <c:pt idx="2079">
                  <c:v>727</c:v>
                </c:pt>
                <c:pt idx="2080">
                  <c:v>727</c:v>
                </c:pt>
                <c:pt idx="2081">
                  <c:v>727</c:v>
                </c:pt>
                <c:pt idx="2082">
                  <c:v>727</c:v>
                </c:pt>
                <c:pt idx="2083">
                  <c:v>727</c:v>
                </c:pt>
                <c:pt idx="2084">
                  <c:v>727</c:v>
                </c:pt>
                <c:pt idx="2085">
                  <c:v>727</c:v>
                </c:pt>
                <c:pt idx="2086">
                  <c:v>727</c:v>
                </c:pt>
                <c:pt idx="2087">
                  <c:v>727</c:v>
                </c:pt>
                <c:pt idx="2088">
                  <c:v>727</c:v>
                </c:pt>
                <c:pt idx="2089">
                  <c:v>727</c:v>
                </c:pt>
                <c:pt idx="2090">
                  <c:v>727</c:v>
                </c:pt>
                <c:pt idx="2091">
                  <c:v>727</c:v>
                </c:pt>
                <c:pt idx="2092">
                  <c:v>727</c:v>
                </c:pt>
                <c:pt idx="2093">
                  <c:v>726</c:v>
                </c:pt>
                <c:pt idx="2094">
                  <c:v>727</c:v>
                </c:pt>
                <c:pt idx="2095">
                  <c:v>725</c:v>
                </c:pt>
                <c:pt idx="2096">
                  <c:v>725</c:v>
                </c:pt>
                <c:pt idx="2097">
                  <c:v>725</c:v>
                </c:pt>
                <c:pt idx="2098">
                  <c:v>724</c:v>
                </c:pt>
                <c:pt idx="2099">
                  <c:v>724</c:v>
                </c:pt>
                <c:pt idx="2100">
                  <c:v>724</c:v>
                </c:pt>
                <c:pt idx="2101">
                  <c:v>724</c:v>
                </c:pt>
                <c:pt idx="2102">
                  <c:v>724</c:v>
                </c:pt>
                <c:pt idx="2103">
                  <c:v>724</c:v>
                </c:pt>
                <c:pt idx="2104">
                  <c:v>724</c:v>
                </c:pt>
                <c:pt idx="2105">
                  <c:v>724</c:v>
                </c:pt>
                <c:pt idx="2106">
                  <c:v>723</c:v>
                </c:pt>
                <c:pt idx="2107">
                  <c:v>723</c:v>
                </c:pt>
                <c:pt idx="2108">
                  <c:v>723</c:v>
                </c:pt>
                <c:pt idx="2109">
                  <c:v>723</c:v>
                </c:pt>
                <c:pt idx="2110">
                  <c:v>723</c:v>
                </c:pt>
                <c:pt idx="2111">
                  <c:v>723</c:v>
                </c:pt>
                <c:pt idx="2112">
                  <c:v>723</c:v>
                </c:pt>
                <c:pt idx="2113">
                  <c:v>723</c:v>
                </c:pt>
                <c:pt idx="2114">
                  <c:v>723</c:v>
                </c:pt>
                <c:pt idx="2115">
                  <c:v>721</c:v>
                </c:pt>
                <c:pt idx="2116">
                  <c:v>721</c:v>
                </c:pt>
                <c:pt idx="2117">
                  <c:v>721</c:v>
                </c:pt>
                <c:pt idx="2118">
                  <c:v>720</c:v>
                </c:pt>
                <c:pt idx="2119">
                  <c:v>717</c:v>
                </c:pt>
                <c:pt idx="2120">
                  <c:v>716</c:v>
                </c:pt>
                <c:pt idx="2121">
                  <c:v>716</c:v>
                </c:pt>
                <c:pt idx="2122">
                  <c:v>716</c:v>
                </c:pt>
                <c:pt idx="2123">
                  <c:v>716</c:v>
                </c:pt>
                <c:pt idx="2124">
                  <c:v>716</c:v>
                </c:pt>
                <c:pt idx="2125">
                  <c:v>716</c:v>
                </c:pt>
                <c:pt idx="2126">
                  <c:v>716</c:v>
                </c:pt>
                <c:pt idx="2127">
                  <c:v>715</c:v>
                </c:pt>
                <c:pt idx="2128">
                  <c:v>715</c:v>
                </c:pt>
                <c:pt idx="2129">
                  <c:v>715</c:v>
                </c:pt>
                <c:pt idx="2130">
                  <c:v>715</c:v>
                </c:pt>
                <c:pt idx="2131">
                  <c:v>715</c:v>
                </c:pt>
                <c:pt idx="2132">
                  <c:v>715</c:v>
                </c:pt>
                <c:pt idx="2133">
                  <c:v>715</c:v>
                </c:pt>
                <c:pt idx="2134">
                  <c:v>715</c:v>
                </c:pt>
                <c:pt idx="2135">
                  <c:v>715</c:v>
                </c:pt>
                <c:pt idx="2136">
                  <c:v>715</c:v>
                </c:pt>
                <c:pt idx="2137">
                  <c:v>715</c:v>
                </c:pt>
                <c:pt idx="2138">
                  <c:v>715</c:v>
                </c:pt>
                <c:pt idx="2139">
                  <c:v>714</c:v>
                </c:pt>
                <c:pt idx="2140">
                  <c:v>714</c:v>
                </c:pt>
                <c:pt idx="2141">
                  <c:v>714</c:v>
                </c:pt>
                <c:pt idx="2142">
                  <c:v>714</c:v>
                </c:pt>
                <c:pt idx="2143">
                  <c:v>714</c:v>
                </c:pt>
                <c:pt idx="2144">
                  <c:v>714</c:v>
                </c:pt>
                <c:pt idx="2145">
                  <c:v>714</c:v>
                </c:pt>
                <c:pt idx="2146">
                  <c:v>714</c:v>
                </c:pt>
                <c:pt idx="2147">
                  <c:v>714</c:v>
                </c:pt>
                <c:pt idx="2148">
                  <c:v>712</c:v>
                </c:pt>
                <c:pt idx="2149">
                  <c:v>710</c:v>
                </c:pt>
                <c:pt idx="2150">
                  <c:v>710</c:v>
                </c:pt>
                <c:pt idx="2151">
                  <c:v>710</c:v>
                </c:pt>
                <c:pt idx="2152">
                  <c:v>710</c:v>
                </c:pt>
                <c:pt idx="2153">
                  <c:v>710</c:v>
                </c:pt>
                <c:pt idx="2154">
                  <c:v>710</c:v>
                </c:pt>
                <c:pt idx="2155">
                  <c:v>710</c:v>
                </c:pt>
                <c:pt idx="2156">
                  <c:v>710</c:v>
                </c:pt>
                <c:pt idx="2157">
                  <c:v>710</c:v>
                </c:pt>
                <c:pt idx="2158">
                  <c:v>587</c:v>
                </c:pt>
                <c:pt idx="2159">
                  <c:v>307</c:v>
                </c:pt>
                <c:pt idx="2160">
                  <c:v>93</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36</c:v>
                </c:pt>
                <c:pt idx="2981">
                  <c:v>90</c:v>
                </c:pt>
                <c:pt idx="2982">
                  <c:v>107</c:v>
                </c:pt>
                <c:pt idx="2983">
                  <c:v>117</c:v>
                </c:pt>
                <c:pt idx="2984">
                  <c:v>125</c:v>
                </c:pt>
                <c:pt idx="2985">
                  <c:v>138</c:v>
                </c:pt>
                <c:pt idx="2986">
                  <c:v>146</c:v>
                </c:pt>
                <c:pt idx="2987">
                  <c:v>147</c:v>
                </c:pt>
                <c:pt idx="2988">
                  <c:v>147</c:v>
                </c:pt>
                <c:pt idx="2989">
                  <c:v>148</c:v>
                </c:pt>
                <c:pt idx="2990">
                  <c:v>149</c:v>
                </c:pt>
                <c:pt idx="2991">
                  <c:v>161</c:v>
                </c:pt>
                <c:pt idx="2992">
                  <c:v>161</c:v>
                </c:pt>
                <c:pt idx="2993">
                  <c:v>162</c:v>
                </c:pt>
                <c:pt idx="2994">
                  <c:v>162</c:v>
                </c:pt>
                <c:pt idx="2995">
                  <c:v>163</c:v>
                </c:pt>
                <c:pt idx="2996">
                  <c:v>172</c:v>
                </c:pt>
                <c:pt idx="2997">
                  <c:v>191</c:v>
                </c:pt>
                <c:pt idx="2998">
                  <c:v>210</c:v>
                </c:pt>
                <c:pt idx="2999">
                  <c:v>236</c:v>
                </c:pt>
                <c:pt idx="3000">
                  <c:v>256</c:v>
                </c:pt>
                <c:pt idx="3001">
                  <c:v>281</c:v>
                </c:pt>
                <c:pt idx="3002">
                  <c:v>309</c:v>
                </c:pt>
                <c:pt idx="3003">
                  <c:v>333</c:v>
                </c:pt>
                <c:pt idx="3004">
                  <c:v>340</c:v>
                </c:pt>
                <c:pt idx="3005">
                  <c:v>341</c:v>
                </c:pt>
                <c:pt idx="3006">
                  <c:v>341</c:v>
                </c:pt>
                <c:pt idx="3007">
                  <c:v>340</c:v>
                </c:pt>
                <c:pt idx="3008">
                  <c:v>341</c:v>
                </c:pt>
                <c:pt idx="3009">
                  <c:v>351</c:v>
                </c:pt>
                <c:pt idx="3010">
                  <c:v>366</c:v>
                </c:pt>
                <c:pt idx="3011">
                  <c:v>377</c:v>
                </c:pt>
                <c:pt idx="3012">
                  <c:v>401</c:v>
                </c:pt>
                <c:pt idx="3013">
                  <c:v>423</c:v>
                </c:pt>
                <c:pt idx="3014">
                  <c:v>444</c:v>
                </c:pt>
                <c:pt idx="3015">
                  <c:v>465</c:v>
                </c:pt>
                <c:pt idx="3016">
                  <c:v>486</c:v>
                </c:pt>
                <c:pt idx="3017">
                  <c:v>512</c:v>
                </c:pt>
                <c:pt idx="3018">
                  <c:v>530</c:v>
                </c:pt>
                <c:pt idx="3019">
                  <c:v>532</c:v>
                </c:pt>
                <c:pt idx="3020">
                  <c:v>532</c:v>
                </c:pt>
                <c:pt idx="3021">
                  <c:v>532</c:v>
                </c:pt>
                <c:pt idx="3022">
                  <c:v>533</c:v>
                </c:pt>
                <c:pt idx="3023">
                  <c:v>533</c:v>
                </c:pt>
                <c:pt idx="3024">
                  <c:v>532</c:v>
                </c:pt>
                <c:pt idx="3025">
                  <c:v>533</c:v>
                </c:pt>
                <c:pt idx="3026">
                  <c:v>533</c:v>
                </c:pt>
                <c:pt idx="3027">
                  <c:v>533</c:v>
                </c:pt>
                <c:pt idx="3028">
                  <c:v>533</c:v>
                </c:pt>
                <c:pt idx="3029">
                  <c:v>532</c:v>
                </c:pt>
                <c:pt idx="3030">
                  <c:v>533</c:v>
                </c:pt>
                <c:pt idx="3031">
                  <c:v>534</c:v>
                </c:pt>
                <c:pt idx="3032">
                  <c:v>534</c:v>
                </c:pt>
                <c:pt idx="3033">
                  <c:v>534</c:v>
                </c:pt>
                <c:pt idx="3034">
                  <c:v>534</c:v>
                </c:pt>
                <c:pt idx="3035">
                  <c:v>534</c:v>
                </c:pt>
                <c:pt idx="3036">
                  <c:v>534</c:v>
                </c:pt>
                <c:pt idx="3037">
                  <c:v>536</c:v>
                </c:pt>
                <c:pt idx="3038">
                  <c:v>535</c:v>
                </c:pt>
                <c:pt idx="3039">
                  <c:v>535</c:v>
                </c:pt>
                <c:pt idx="3040">
                  <c:v>535</c:v>
                </c:pt>
                <c:pt idx="3041">
                  <c:v>534</c:v>
                </c:pt>
                <c:pt idx="3042">
                  <c:v>535</c:v>
                </c:pt>
                <c:pt idx="3043">
                  <c:v>535</c:v>
                </c:pt>
                <c:pt idx="3044">
                  <c:v>535</c:v>
                </c:pt>
                <c:pt idx="3045">
                  <c:v>535</c:v>
                </c:pt>
                <c:pt idx="3046">
                  <c:v>535</c:v>
                </c:pt>
                <c:pt idx="3047">
                  <c:v>534</c:v>
                </c:pt>
                <c:pt idx="3048">
                  <c:v>535</c:v>
                </c:pt>
                <c:pt idx="3049">
                  <c:v>535</c:v>
                </c:pt>
                <c:pt idx="3050">
                  <c:v>534</c:v>
                </c:pt>
                <c:pt idx="3051">
                  <c:v>534</c:v>
                </c:pt>
                <c:pt idx="3052">
                  <c:v>534</c:v>
                </c:pt>
                <c:pt idx="3053">
                  <c:v>535</c:v>
                </c:pt>
                <c:pt idx="3054">
                  <c:v>535</c:v>
                </c:pt>
                <c:pt idx="3055">
                  <c:v>535</c:v>
                </c:pt>
                <c:pt idx="3056">
                  <c:v>535</c:v>
                </c:pt>
                <c:pt idx="3057">
                  <c:v>540</c:v>
                </c:pt>
                <c:pt idx="3058">
                  <c:v>558</c:v>
                </c:pt>
                <c:pt idx="3059">
                  <c:v>576</c:v>
                </c:pt>
                <c:pt idx="3060">
                  <c:v>592</c:v>
                </c:pt>
                <c:pt idx="3061">
                  <c:v>605</c:v>
                </c:pt>
                <c:pt idx="3062">
                  <c:v>618</c:v>
                </c:pt>
                <c:pt idx="3063">
                  <c:v>632</c:v>
                </c:pt>
                <c:pt idx="3064">
                  <c:v>646</c:v>
                </c:pt>
                <c:pt idx="3065">
                  <c:v>652</c:v>
                </c:pt>
                <c:pt idx="3066">
                  <c:v>645</c:v>
                </c:pt>
                <c:pt idx="3067">
                  <c:v>638</c:v>
                </c:pt>
                <c:pt idx="3068">
                  <c:v>659</c:v>
                </c:pt>
                <c:pt idx="3069">
                  <c:v>674</c:v>
                </c:pt>
                <c:pt idx="3070">
                  <c:v>690</c:v>
                </c:pt>
                <c:pt idx="3071">
                  <c:v>706</c:v>
                </c:pt>
                <c:pt idx="3072">
                  <c:v>712</c:v>
                </c:pt>
                <c:pt idx="3073">
                  <c:v>715</c:v>
                </c:pt>
                <c:pt idx="3074">
                  <c:v>724</c:v>
                </c:pt>
                <c:pt idx="3075">
                  <c:v>724</c:v>
                </c:pt>
                <c:pt idx="3076">
                  <c:v>724</c:v>
                </c:pt>
                <c:pt idx="3077">
                  <c:v>724</c:v>
                </c:pt>
                <c:pt idx="3078">
                  <c:v>726</c:v>
                </c:pt>
                <c:pt idx="3079">
                  <c:v>726</c:v>
                </c:pt>
                <c:pt idx="3080">
                  <c:v>726</c:v>
                </c:pt>
                <c:pt idx="3081">
                  <c:v>726</c:v>
                </c:pt>
                <c:pt idx="3082">
                  <c:v>726</c:v>
                </c:pt>
                <c:pt idx="3083">
                  <c:v>726</c:v>
                </c:pt>
                <c:pt idx="3084">
                  <c:v>726</c:v>
                </c:pt>
                <c:pt idx="3085">
                  <c:v>726</c:v>
                </c:pt>
                <c:pt idx="3086">
                  <c:v>726</c:v>
                </c:pt>
                <c:pt idx="3087">
                  <c:v>726</c:v>
                </c:pt>
                <c:pt idx="3088">
                  <c:v>726</c:v>
                </c:pt>
                <c:pt idx="3089">
                  <c:v>725</c:v>
                </c:pt>
                <c:pt idx="3090">
                  <c:v>726</c:v>
                </c:pt>
                <c:pt idx="3091">
                  <c:v>726</c:v>
                </c:pt>
                <c:pt idx="3092">
                  <c:v>726</c:v>
                </c:pt>
                <c:pt idx="3093">
                  <c:v>726</c:v>
                </c:pt>
                <c:pt idx="3094">
                  <c:v>726</c:v>
                </c:pt>
                <c:pt idx="3095">
                  <c:v>726</c:v>
                </c:pt>
                <c:pt idx="3096">
                  <c:v>726</c:v>
                </c:pt>
                <c:pt idx="3097">
                  <c:v>726</c:v>
                </c:pt>
                <c:pt idx="3098">
                  <c:v>726</c:v>
                </c:pt>
                <c:pt idx="3099">
                  <c:v>726</c:v>
                </c:pt>
                <c:pt idx="3100">
                  <c:v>726</c:v>
                </c:pt>
                <c:pt idx="3101">
                  <c:v>726</c:v>
                </c:pt>
                <c:pt idx="3102">
                  <c:v>726</c:v>
                </c:pt>
                <c:pt idx="3103">
                  <c:v>726</c:v>
                </c:pt>
                <c:pt idx="3104">
                  <c:v>726</c:v>
                </c:pt>
                <c:pt idx="3105">
                  <c:v>726</c:v>
                </c:pt>
                <c:pt idx="3106">
                  <c:v>725</c:v>
                </c:pt>
                <c:pt idx="3107">
                  <c:v>725</c:v>
                </c:pt>
                <c:pt idx="3108">
                  <c:v>725</c:v>
                </c:pt>
                <c:pt idx="3109">
                  <c:v>725</c:v>
                </c:pt>
                <c:pt idx="3110">
                  <c:v>725</c:v>
                </c:pt>
                <c:pt idx="3111">
                  <c:v>725</c:v>
                </c:pt>
                <c:pt idx="3112">
                  <c:v>725</c:v>
                </c:pt>
                <c:pt idx="3113">
                  <c:v>725</c:v>
                </c:pt>
                <c:pt idx="3114">
                  <c:v>725</c:v>
                </c:pt>
                <c:pt idx="3115">
                  <c:v>725</c:v>
                </c:pt>
                <c:pt idx="3116">
                  <c:v>725</c:v>
                </c:pt>
                <c:pt idx="3117">
                  <c:v>725</c:v>
                </c:pt>
                <c:pt idx="3118">
                  <c:v>725</c:v>
                </c:pt>
                <c:pt idx="3119">
                  <c:v>725</c:v>
                </c:pt>
                <c:pt idx="3120">
                  <c:v>725</c:v>
                </c:pt>
                <c:pt idx="3121">
                  <c:v>725</c:v>
                </c:pt>
                <c:pt idx="3122">
                  <c:v>725</c:v>
                </c:pt>
                <c:pt idx="3123">
                  <c:v>725</c:v>
                </c:pt>
                <c:pt idx="3124">
                  <c:v>725</c:v>
                </c:pt>
                <c:pt idx="3125">
                  <c:v>725</c:v>
                </c:pt>
                <c:pt idx="3126">
                  <c:v>725</c:v>
                </c:pt>
                <c:pt idx="3127">
                  <c:v>725</c:v>
                </c:pt>
                <c:pt idx="3128">
                  <c:v>724</c:v>
                </c:pt>
                <c:pt idx="3129">
                  <c:v>724</c:v>
                </c:pt>
                <c:pt idx="3130">
                  <c:v>724</c:v>
                </c:pt>
                <c:pt idx="3131">
                  <c:v>724</c:v>
                </c:pt>
                <c:pt idx="3132">
                  <c:v>724</c:v>
                </c:pt>
                <c:pt idx="3133">
                  <c:v>724</c:v>
                </c:pt>
                <c:pt idx="3134">
                  <c:v>724</c:v>
                </c:pt>
                <c:pt idx="3135">
                  <c:v>724</c:v>
                </c:pt>
                <c:pt idx="3136">
                  <c:v>724</c:v>
                </c:pt>
                <c:pt idx="3137">
                  <c:v>724</c:v>
                </c:pt>
                <c:pt idx="3138">
                  <c:v>724</c:v>
                </c:pt>
                <c:pt idx="3139">
                  <c:v>724</c:v>
                </c:pt>
                <c:pt idx="3140">
                  <c:v>724</c:v>
                </c:pt>
                <c:pt idx="3141">
                  <c:v>724</c:v>
                </c:pt>
                <c:pt idx="3142">
                  <c:v>724</c:v>
                </c:pt>
                <c:pt idx="3143">
                  <c:v>724</c:v>
                </c:pt>
                <c:pt idx="3144">
                  <c:v>724</c:v>
                </c:pt>
                <c:pt idx="3145">
                  <c:v>724</c:v>
                </c:pt>
                <c:pt idx="3146">
                  <c:v>724</c:v>
                </c:pt>
                <c:pt idx="3147">
                  <c:v>724</c:v>
                </c:pt>
                <c:pt idx="3148">
                  <c:v>724</c:v>
                </c:pt>
                <c:pt idx="3149">
                  <c:v>724</c:v>
                </c:pt>
                <c:pt idx="3150">
                  <c:v>724</c:v>
                </c:pt>
                <c:pt idx="3151">
                  <c:v>724</c:v>
                </c:pt>
                <c:pt idx="3152">
                  <c:v>724</c:v>
                </c:pt>
                <c:pt idx="3153">
                  <c:v>724</c:v>
                </c:pt>
                <c:pt idx="3154">
                  <c:v>724</c:v>
                </c:pt>
                <c:pt idx="3155">
                  <c:v>724</c:v>
                </c:pt>
                <c:pt idx="3156">
                  <c:v>724</c:v>
                </c:pt>
                <c:pt idx="3157">
                  <c:v>724</c:v>
                </c:pt>
                <c:pt idx="3158">
                  <c:v>724</c:v>
                </c:pt>
                <c:pt idx="3159">
                  <c:v>724</c:v>
                </c:pt>
                <c:pt idx="3160">
                  <c:v>724</c:v>
                </c:pt>
                <c:pt idx="3161">
                  <c:v>724</c:v>
                </c:pt>
                <c:pt idx="3162">
                  <c:v>723</c:v>
                </c:pt>
                <c:pt idx="3163">
                  <c:v>723</c:v>
                </c:pt>
                <c:pt idx="3164">
                  <c:v>723</c:v>
                </c:pt>
                <c:pt idx="3165">
                  <c:v>723</c:v>
                </c:pt>
                <c:pt idx="3166">
                  <c:v>723</c:v>
                </c:pt>
                <c:pt idx="3167">
                  <c:v>723</c:v>
                </c:pt>
                <c:pt idx="3168">
                  <c:v>723</c:v>
                </c:pt>
                <c:pt idx="3169">
                  <c:v>724</c:v>
                </c:pt>
                <c:pt idx="3170">
                  <c:v>724</c:v>
                </c:pt>
                <c:pt idx="3171">
                  <c:v>724</c:v>
                </c:pt>
                <c:pt idx="3172">
                  <c:v>724</c:v>
                </c:pt>
                <c:pt idx="3173">
                  <c:v>724</c:v>
                </c:pt>
                <c:pt idx="3174">
                  <c:v>724</c:v>
                </c:pt>
                <c:pt idx="3175">
                  <c:v>724</c:v>
                </c:pt>
                <c:pt idx="3176">
                  <c:v>724</c:v>
                </c:pt>
                <c:pt idx="3177">
                  <c:v>724</c:v>
                </c:pt>
                <c:pt idx="3178">
                  <c:v>723</c:v>
                </c:pt>
                <c:pt idx="3179">
                  <c:v>724</c:v>
                </c:pt>
                <c:pt idx="3180">
                  <c:v>724</c:v>
                </c:pt>
                <c:pt idx="3181">
                  <c:v>724</c:v>
                </c:pt>
                <c:pt idx="3182">
                  <c:v>724</c:v>
                </c:pt>
                <c:pt idx="3183">
                  <c:v>724</c:v>
                </c:pt>
                <c:pt idx="3184">
                  <c:v>725</c:v>
                </c:pt>
                <c:pt idx="3185">
                  <c:v>725</c:v>
                </c:pt>
                <c:pt idx="3186">
                  <c:v>725</c:v>
                </c:pt>
                <c:pt idx="3187">
                  <c:v>725</c:v>
                </c:pt>
                <c:pt idx="3188">
                  <c:v>725</c:v>
                </c:pt>
                <c:pt idx="3189">
                  <c:v>725</c:v>
                </c:pt>
                <c:pt idx="3190">
                  <c:v>725</c:v>
                </c:pt>
                <c:pt idx="3191">
                  <c:v>725</c:v>
                </c:pt>
                <c:pt idx="3192">
                  <c:v>725</c:v>
                </c:pt>
                <c:pt idx="3193">
                  <c:v>725</c:v>
                </c:pt>
                <c:pt idx="3194">
                  <c:v>725</c:v>
                </c:pt>
                <c:pt idx="3195">
                  <c:v>725</c:v>
                </c:pt>
                <c:pt idx="3196">
                  <c:v>725</c:v>
                </c:pt>
                <c:pt idx="3197">
                  <c:v>724</c:v>
                </c:pt>
                <c:pt idx="3198">
                  <c:v>724</c:v>
                </c:pt>
                <c:pt idx="3199">
                  <c:v>724</c:v>
                </c:pt>
                <c:pt idx="3200">
                  <c:v>724</c:v>
                </c:pt>
                <c:pt idx="3201">
                  <c:v>725</c:v>
                </c:pt>
                <c:pt idx="3202">
                  <c:v>725</c:v>
                </c:pt>
                <c:pt idx="3203">
                  <c:v>725</c:v>
                </c:pt>
                <c:pt idx="3204">
                  <c:v>724</c:v>
                </c:pt>
                <c:pt idx="3205">
                  <c:v>724</c:v>
                </c:pt>
                <c:pt idx="3206">
                  <c:v>724</c:v>
                </c:pt>
                <c:pt idx="3207">
                  <c:v>724</c:v>
                </c:pt>
                <c:pt idx="3208">
                  <c:v>724</c:v>
                </c:pt>
                <c:pt idx="3209">
                  <c:v>724</c:v>
                </c:pt>
                <c:pt idx="3210">
                  <c:v>724</c:v>
                </c:pt>
                <c:pt idx="3211">
                  <c:v>724</c:v>
                </c:pt>
                <c:pt idx="3212">
                  <c:v>724</c:v>
                </c:pt>
                <c:pt idx="3213">
                  <c:v>724</c:v>
                </c:pt>
                <c:pt idx="3214">
                  <c:v>724</c:v>
                </c:pt>
                <c:pt idx="3215">
                  <c:v>724</c:v>
                </c:pt>
                <c:pt idx="3216">
                  <c:v>724</c:v>
                </c:pt>
                <c:pt idx="3217">
                  <c:v>724</c:v>
                </c:pt>
                <c:pt idx="3218">
                  <c:v>724</c:v>
                </c:pt>
                <c:pt idx="3219">
                  <c:v>724</c:v>
                </c:pt>
                <c:pt idx="3220">
                  <c:v>724</c:v>
                </c:pt>
                <c:pt idx="3221">
                  <c:v>724</c:v>
                </c:pt>
                <c:pt idx="3222">
                  <c:v>724</c:v>
                </c:pt>
                <c:pt idx="3223">
                  <c:v>724</c:v>
                </c:pt>
                <c:pt idx="3224">
                  <c:v>724</c:v>
                </c:pt>
                <c:pt idx="3225">
                  <c:v>724</c:v>
                </c:pt>
                <c:pt idx="3226">
                  <c:v>724</c:v>
                </c:pt>
                <c:pt idx="3227">
                  <c:v>724</c:v>
                </c:pt>
                <c:pt idx="3228">
                  <c:v>724</c:v>
                </c:pt>
                <c:pt idx="3229">
                  <c:v>724</c:v>
                </c:pt>
                <c:pt idx="3230">
                  <c:v>724</c:v>
                </c:pt>
                <c:pt idx="3231">
                  <c:v>724</c:v>
                </c:pt>
                <c:pt idx="3232">
                  <c:v>724</c:v>
                </c:pt>
                <c:pt idx="3233">
                  <c:v>725</c:v>
                </c:pt>
                <c:pt idx="3234">
                  <c:v>725</c:v>
                </c:pt>
                <c:pt idx="3235">
                  <c:v>725</c:v>
                </c:pt>
                <c:pt idx="3236">
                  <c:v>725</c:v>
                </c:pt>
                <c:pt idx="3237">
                  <c:v>725</c:v>
                </c:pt>
                <c:pt idx="3238">
                  <c:v>725</c:v>
                </c:pt>
                <c:pt idx="3239">
                  <c:v>725</c:v>
                </c:pt>
                <c:pt idx="3240">
                  <c:v>725</c:v>
                </c:pt>
                <c:pt idx="3241">
                  <c:v>725</c:v>
                </c:pt>
                <c:pt idx="3242">
                  <c:v>725</c:v>
                </c:pt>
                <c:pt idx="3243">
                  <c:v>725</c:v>
                </c:pt>
                <c:pt idx="3244">
                  <c:v>725</c:v>
                </c:pt>
                <c:pt idx="3245">
                  <c:v>725</c:v>
                </c:pt>
                <c:pt idx="3246">
                  <c:v>725</c:v>
                </c:pt>
                <c:pt idx="3247">
                  <c:v>725</c:v>
                </c:pt>
                <c:pt idx="3248">
                  <c:v>725</c:v>
                </c:pt>
                <c:pt idx="3249">
                  <c:v>725</c:v>
                </c:pt>
                <c:pt idx="3250">
                  <c:v>725</c:v>
                </c:pt>
                <c:pt idx="3251">
                  <c:v>725</c:v>
                </c:pt>
                <c:pt idx="3252">
                  <c:v>725</c:v>
                </c:pt>
                <c:pt idx="3253">
                  <c:v>725</c:v>
                </c:pt>
                <c:pt idx="3254">
                  <c:v>725</c:v>
                </c:pt>
                <c:pt idx="3255">
                  <c:v>725</c:v>
                </c:pt>
                <c:pt idx="3256">
                  <c:v>725</c:v>
                </c:pt>
                <c:pt idx="3257">
                  <c:v>725</c:v>
                </c:pt>
                <c:pt idx="3258">
                  <c:v>725</c:v>
                </c:pt>
                <c:pt idx="3259">
                  <c:v>725</c:v>
                </c:pt>
                <c:pt idx="3260">
                  <c:v>725</c:v>
                </c:pt>
                <c:pt idx="3261">
                  <c:v>725</c:v>
                </c:pt>
                <c:pt idx="3262">
                  <c:v>725</c:v>
                </c:pt>
                <c:pt idx="3263">
                  <c:v>724</c:v>
                </c:pt>
                <c:pt idx="3264">
                  <c:v>724</c:v>
                </c:pt>
                <c:pt idx="3265">
                  <c:v>724</c:v>
                </c:pt>
                <c:pt idx="3266">
                  <c:v>724</c:v>
                </c:pt>
                <c:pt idx="3267">
                  <c:v>724</c:v>
                </c:pt>
                <c:pt idx="3268">
                  <c:v>724</c:v>
                </c:pt>
                <c:pt idx="3269">
                  <c:v>724</c:v>
                </c:pt>
                <c:pt idx="3270">
                  <c:v>724</c:v>
                </c:pt>
                <c:pt idx="3271">
                  <c:v>724</c:v>
                </c:pt>
                <c:pt idx="3272">
                  <c:v>725</c:v>
                </c:pt>
                <c:pt idx="3273">
                  <c:v>725</c:v>
                </c:pt>
                <c:pt idx="3274">
                  <c:v>724</c:v>
                </c:pt>
                <c:pt idx="3275">
                  <c:v>723</c:v>
                </c:pt>
                <c:pt idx="3276">
                  <c:v>723</c:v>
                </c:pt>
                <c:pt idx="3277">
                  <c:v>723</c:v>
                </c:pt>
                <c:pt idx="3278">
                  <c:v>723</c:v>
                </c:pt>
                <c:pt idx="3279">
                  <c:v>723</c:v>
                </c:pt>
                <c:pt idx="3280">
                  <c:v>723</c:v>
                </c:pt>
                <c:pt idx="3281">
                  <c:v>723</c:v>
                </c:pt>
                <c:pt idx="3282">
                  <c:v>723</c:v>
                </c:pt>
                <c:pt idx="3283">
                  <c:v>723</c:v>
                </c:pt>
                <c:pt idx="3284">
                  <c:v>723</c:v>
                </c:pt>
                <c:pt idx="3285">
                  <c:v>723</c:v>
                </c:pt>
                <c:pt idx="3286">
                  <c:v>724</c:v>
                </c:pt>
                <c:pt idx="3287">
                  <c:v>724</c:v>
                </c:pt>
                <c:pt idx="3288">
                  <c:v>724</c:v>
                </c:pt>
                <c:pt idx="3289">
                  <c:v>724</c:v>
                </c:pt>
                <c:pt idx="3290">
                  <c:v>724</c:v>
                </c:pt>
                <c:pt idx="3291">
                  <c:v>724</c:v>
                </c:pt>
                <c:pt idx="3292">
                  <c:v>724</c:v>
                </c:pt>
                <c:pt idx="3293">
                  <c:v>724</c:v>
                </c:pt>
                <c:pt idx="3294">
                  <c:v>724</c:v>
                </c:pt>
                <c:pt idx="3295">
                  <c:v>724</c:v>
                </c:pt>
                <c:pt idx="3296">
                  <c:v>724</c:v>
                </c:pt>
                <c:pt idx="3297">
                  <c:v>724</c:v>
                </c:pt>
                <c:pt idx="3298">
                  <c:v>724</c:v>
                </c:pt>
                <c:pt idx="3299">
                  <c:v>724</c:v>
                </c:pt>
                <c:pt idx="3300">
                  <c:v>724</c:v>
                </c:pt>
                <c:pt idx="3301">
                  <c:v>724</c:v>
                </c:pt>
                <c:pt idx="3302">
                  <c:v>724</c:v>
                </c:pt>
                <c:pt idx="3303">
                  <c:v>724</c:v>
                </c:pt>
                <c:pt idx="3304">
                  <c:v>724</c:v>
                </c:pt>
                <c:pt idx="3305">
                  <c:v>725</c:v>
                </c:pt>
                <c:pt idx="3306">
                  <c:v>724</c:v>
                </c:pt>
                <c:pt idx="3307">
                  <c:v>724</c:v>
                </c:pt>
                <c:pt idx="3308">
                  <c:v>724</c:v>
                </c:pt>
                <c:pt idx="3309">
                  <c:v>724</c:v>
                </c:pt>
                <c:pt idx="3310">
                  <c:v>725</c:v>
                </c:pt>
                <c:pt idx="3311">
                  <c:v>725</c:v>
                </c:pt>
                <c:pt idx="3312">
                  <c:v>725</c:v>
                </c:pt>
                <c:pt idx="3313">
                  <c:v>725</c:v>
                </c:pt>
                <c:pt idx="3314">
                  <c:v>725</c:v>
                </c:pt>
                <c:pt idx="3315">
                  <c:v>725</c:v>
                </c:pt>
                <c:pt idx="3316">
                  <c:v>724</c:v>
                </c:pt>
                <c:pt idx="3317">
                  <c:v>724</c:v>
                </c:pt>
                <c:pt idx="3318">
                  <c:v>724</c:v>
                </c:pt>
                <c:pt idx="3319">
                  <c:v>724</c:v>
                </c:pt>
                <c:pt idx="3320">
                  <c:v>724</c:v>
                </c:pt>
                <c:pt idx="3321">
                  <c:v>724</c:v>
                </c:pt>
                <c:pt idx="3322">
                  <c:v>724</c:v>
                </c:pt>
                <c:pt idx="3323">
                  <c:v>724</c:v>
                </c:pt>
                <c:pt idx="3324">
                  <c:v>724</c:v>
                </c:pt>
                <c:pt idx="3325">
                  <c:v>724</c:v>
                </c:pt>
                <c:pt idx="3326">
                  <c:v>724</c:v>
                </c:pt>
                <c:pt idx="3327">
                  <c:v>725</c:v>
                </c:pt>
                <c:pt idx="3328">
                  <c:v>725</c:v>
                </c:pt>
                <c:pt idx="3329">
                  <c:v>725</c:v>
                </c:pt>
                <c:pt idx="3330">
                  <c:v>724</c:v>
                </c:pt>
                <c:pt idx="3331">
                  <c:v>724</c:v>
                </c:pt>
                <c:pt idx="3332">
                  <c:v>725</c:v>
                </c:pt>
                <c:pt idx="3333">
                  <c:v>725</c:v>
                </c:pt>
                <c:pt idx="3334">
                  <c:v>725</c:v>
                </c:pt>
                <c:pt idx="3335">
                  <c:v>725</c:v>
                </c:pt>
                <c:pt idx="3336">
                  <c:v>725</c:v>
                </c:pt>
                <c:pt idx="3337">
                  <c:v>725</c:v>
                </c:pt>
                <c:pt idx="3338">
                  <c:v>725</c:v>
                </c:pt>
                <c:pt idx="3339">
                  <c:v>725</c:v>
                </c:pt>
                <c:pt idx="3340">
                  <c:v>725</c:v>
                </c:pt>
                <c:pt idx="3341">
                  <c:v>725</c:v>
                </c:pt>
                <c:pt idx="3342">
                  <c:v>725</c:v>
                </c:pt>
                <c:pt idx="3343">
                  <c:v>725</c:v>
                </c:pt>
                <c:pt idx="3344">
                  <c:v>725</c:v>
                </c:pt>
                <c:pt idx="3345">
                  <c:v>725</c:v>
                </c:pt>
                <c:pt idx="3346">
                  <c:v>725</c:v>
                </c:pt>
                <c:pt idx="3347">
                  <c:v>726</c:v>
                </c:pt>
                <c:pt idx="3348">
                  <c:v>726</c:v>
                </c:pt>
                <c:pt idx="3349">
                  <c:v>726</c:v>
                </c:pt>
                <c:pt idx="3350">
                  <c:v>726</c:v>
                </c:pt>
                <c:pt idx="3351">
                  <c:v>726</c:v>
                </c:pt>
                <c:pt idx="3352">
                  <c:v>726</c:v>
                </c:pt>
                <c:pt idx="3353">
                  <c:v>726</c:v>
                </c:pt>
                <c:pt idx="3354">
                  <c:v>726</c:v>
                </c:pt>
                <c:pt idx="3355">
                  <c:v>726</c:v>
                </c:pt>
                <c:pt idx="3356">
                  <c:v>726</c:v>
                </c:pt>
                <c:pt idx="3357">
                  <c:v>726</c:v>
                </c:pt>
                <c:pt idx="3358">
                  <c:v>726</c:v>
                </c:pt>
                <c:pt idx="3359">
                  <c:v>726</c:v>
                </c:pt>
                <c:pt idx="3360">
                  <c:v>726</c:v>
                </c:pt>
                <c:pt idx="3361">
                  <c:v>726</c:v>
                </c:pt>
                <c:pt idx="3362">
                  <c:v>726</c:v>
                </c:pt>
                <c:pt idx="3363">
                  <c:v>726</c:v>
                </c:pt>
                <c:pt idx="3364">
                  <c:v>726</c:v>
                </c:pt>
                <c:pt idx="3365">
                  <c:v>726</c:v>
                </c:pt>
                <c:pt idx="3366">
                  <c:v>726</c:v>
                </c:pt>
                <c:pt idx="3367">
                  <c:v>726</c:v>
                </c:pt>
                <c:pt idx="3368">
                  <c:v>726</c:v>
                </c:pt>
                <c:pt idx="3369">
                  <c:v>726</c:v>
                </c:pt>
                <c:pt idx="3370">
                  <c:v>725</c:v>
                </c:pt>
                <c:pt idx="3371">
                  <c:v>725</c:v>
                </c:pt>
                <c:pt idx="3372">
                  <c:v>725</c:v>
                </c:pt>
                <c:pt idx="3373">
                  <c:v>725</c:v>
                </c:pt>
                <c:pt idx="3374">
                  <c:v>725</c:v>
                </c:pt>
                <c:pt idx="3375">
                  <c:v>725</c:v>
                </c:pt>
                <c:pt idx="3376">
                  <c:v>726</c:v>
                </c:pt>
                <c:pt idx="3377">
                  <c:v>726</c:v>
                </c:pt>
                <c:pt idx="3378">
                  <c:v>726</c:v>
                </c:pt>
                <c:pt idx="3379">
                  <c:v>725</c:v>
                </c:pt>
                <c:pt idx="3380">
                  <c:v>726</c:v>
                </c:pt>
                <c:pt idx="3381">
                  <c:v>726</c:v>
                </c:pt>
                <c:pt idx="3382">
                  <c:v>726</c:v>
                </c:pt>
                <c:pt idx="3383">
                  <c:v>726</c:v>
                </c:pt>
                <c:pt idx="3384">
                  <c:v>726</c:v>
                </c:pt>
                <c:pt idx="3385">
                  <c:v>726</c:v>
                </c:pt>
                <c:pt idx="3386">
                  <c:v>726</c:v>
                </c:pt>
                <c:pt idx="3387">
                  <c:v>726</c:v>
                </c:pt>
                <c:pt idx="3388">
                  <c:v>726</c:v>
                </c:pt>
                <c:pt idx="3389">
                  <c:v>726</c:v>
                </c:pt>
                <c:pt idx="3390">
                  <c:v>726</c:v>
                </c:pt>
                <c:pt idx="3391">
                  <c:v>726</c:v>
                </c:pt>
                <c:pt idx="3392">
                  <c:v>726</c:v>
                </c:pt>
                <c:pt idx="3393">
                  <c:v>726</c:v>
                </c:pt>
                <c:pt idx="3394">
                  <c:v>725</c:v>
                </c:pt>
                <c:pt idx="3395">
                  <c:v>725</c:v>
                </c:pt>
                <c:pt idx="3396">
                  <c:v>725</c:v>
                </c:pt>
                <c:pt idx="3397">
                  <c:v>725</c:v>
                </c:pt>
                <c:pt idx="3398">
                  <c:v>725</c:v>
                </c:pt>
                <c:pt idx="3399">
                  <c:v>725</c:v>
                </c:pt>
                <c:pt idx="3400">
                  <c:v>725</c:v>
                </c:pt>
                <c:pt idx="3401">
                  <c:v>725</c:v>
                </c:pt>
                <c:pt idx="3402">
                  <c:v>725</c:v>
                </c:pt>
                <c:pt idx="3403">
                  <c:v>725</c:v>
                </c:pt>
                <c:pt idx="3404">
                  <c:v>725</c:v>
                </c:pt>
                <c:pt idx="3405">
                  <c:v>725</c:v>
                </c:pt>
                <c:pt idx="3406">
                  <c:v>725</c:v>
                </c:pt>
                <c:pt idx="3407">
                  <c:v>725</c:v>
                </c:pt>
                <c:pt idx="3408">
                  <c:v>725</c:v>
                </c:pt>
                <c:pt idx="3409">
                  <c:v>725</c:v>
                </c:pt>
                <c:pt idx="3410">
                  <c:v>725</c:v>
                </c:pt>
                <c:pt idx="3411">
                  <c:v>725</c:v>
                </c:pt>
                <c:pt idx="3412">
                  <c:v>725</c:v>
                </c:pt>
                <c:pt idx="3413">
                  <c:v>725</c:v>
                </c:pt>
                <c:pt idx="3414">
                  <c:v>726</c:v>
                </c:pt>
                <c:pt idx="3415">
                  <c:v>726</c:v>
                </c:pt>
                <c:pt idx="3416">
                  <c:v>726</c:v>
                </c:pt>
                <c:pt idx="3417">
                  <c:v>725</c:v>
                </c:pt>
                <c:pt idx="3418">
                  <c:v>725</c:v>
                </c:pt>
                <c:pt idx="3419">
                  <c:v>725</c:v>
                </c:pt>
                <c:pt idx="3420">
                  <c:v>725</c:v>
                </c:pt>
                <c:pt idx="3421">
                  <c:v>725</c:v>
                </c:pt>
                <c:pt idx="3422">
                  <c:v>725</c:v>
                </c:pt>
                <c:pt idx="3423">
                  <c:v>725</c:v>
                </c:pt>
                <c:pt idx="3424">
                  <c:v>725</c:v>
                </c:pt>
                <c:pt idx="3425">
                  <c:v>725</c:v>
                </c:pt>
                <c:pt idx="3426">
                  <c:v>725</c:v>
                </c:pt>
                <c:pt idx="3427">
                  <c:v>725</c:v>
                </c:pt>
                <c:pt idx="3428">
                  <c:v>725</c:v>
                </c:pt>
                <c:pt idx="3429">
                  <c:v>725</c:v>
                </c:pt>
                <c:pt idx="3430">
                  <c:v>725</c:v>
                </c:pt>
                <c:pt idx="3431">
                  <c:v>725</c:v>
                </c:pt>
                <c:pt idx="3432">
                  <c:v>725</c:v>
                </c:pt>
                <c:pt idx="3433">
                  <c:v>725</c:v>
                </c:pt>
                <c:pt idx="3434">
                  <c:v>725</c:v>
                </c:pt>
                <c:pt idx="3435">
                  <c:v>725</c:v>
                </c:pt>
                <c:pt idx="3436">
                  <c:v>725</c:v>
                </c:pt>
                <c:pt idx="3437">
                  <c:v>725</c:v>
                </c:pt>
                <c:pt idx="3438">
                  <c:v>725</c:v>
                </c:pt>
                <c:pt idx="3439">
                  <c:v>725</c:v>
                </c:pt>
                <c:pt idx="3440">
                  <c:v>725</c:v>
                </c:pt>
                <c:pt idx="3441">
                  <c:v>725</c:v>
                </c:pt>
                <c:pt idx="3442">
                  <c:v>725</c:v>
                </c:pt>
                <c:pt idx="3443">
                  <c:v>726</c:v>
                </c:pt>
                <c:pt idx="3444">
                  <c:v>725</c:v>
                </c:pt>
                <c:pt idx="3445">
                  <c:v>725</c:v>
                </c:pt>
                <c:pt idx="3446">
                  <c:v>725</c:v>
                </c:pt>
                <c:pt idx="3447">
                  <c:v>725</c:v>
                </c:pt>
                <c:pt idx="3448">
                  <c:v>725</c:v>
                </c:pt>
                <c:pt idx="3449">
                  <c:v>725</c:v>
                </c:pt>
                <c:pt idx="3450">
                  <c:v>726</c:v>
                </c:pt>
                <c:pt idx="3451">
                  <c:v>726</c:v>
                </c:pt>
                <c:pt idx="3452">
                  <c:v>726</c:v>
                </c:pt>
                <c:pt idx="3453">
                  <c:v>726</c:v>
                </c:pt>
                <c:pt idx="3454">
                  <c:v>727</c:v>
                </c:pt>
                <c:pt idx="3455">
                  <c:v>727</c:v>
                </c:pt>
                <c:pt idx="3456">
                  <c:v>727</c:v>
                </c:pt>
                <c:pt idx="3457">
                  <c:v>726</c:v>
                </c:pt>
                <c:pt idx="3458">
                  <c:v>726</c:v>
                </c:pt>
                <c:pt idx="3459">
                  <c:v>726</c:v>
                </c:pt>
                <c:pt idx="3460">
                  <c:v>727</c:v>
                </c:pt>
                <c:pt idx="3461">
                  <c:v>726</c:v>
                </c:pt>
                <c:pt idx="3462">
                  <c:v>726</c:v>
                </c:pt>
                <c:pt idx="3463">
                  <c:v>726</c:v>
                </c:pt>
                <c:pt idx="3464">
                  <c:v>726</c:v>
                </c:pt>
                <c:pt idx="3465">
                  <c:v>726</c:v>
                </c:pt>
                <c:pt idx="3466">
                  <c:v>726</c:v>
                </c:pt>
                <c:pt idx="3467">
                  <c:v>726</c:v>
                </c:pt>
                <c:pt idx="3468">
                  <c:v>726</c:v>
                </c:pt>
                <c:pt idx="3469">
                  <c:v>726</c:v>
                </c:pt>
                <c:pt idx="3470">
                  <c:v>726</c:v>
                </c:pt>
                <c:pt idx="3471">
                  <c:v>726</c:v>
                </c:pt>
                <c:pt idx="3472">
                  <c:v>726</c:v>
                </c:pt>
                <c:pt idx="3473">
                  <c:v>726</c:v>
                </c:pt>
                <c:pt idx="3474">
                  <c:v>726</c:v>
                </c:pt>
                <c:pt idx="3475">
                  <c:v>726</c:v>
                </c:pt>
                <c:pt idx="3476">
                  <c:v>726</c:v>
                </c:pt>
                <c:pt idx="3477">
                  <c:v>726</c:v>
                </c:pt>
                <c:pt idx="3478">
                  <c:v>726</c:v>
                </c:pt>
                <c:pt idx="3479">
                  <c:v>726</c:v>
                </c:pt>
                <c:pt idx="3480">
                  <c:v>726</c:v>
                </c:pt>
                <c:pt idx="3481">
                  <c:v>726</c:v>
                </c:pt>
                <c:pt idx="3482">
                  <c:v>726</c:v>
                </c:pt>
                <c:pt idx="3483">
                  <c:v>726</c:v>
                </c:pt>
                <c:pt idx="3484">
                  <c:v>726</c:v>
                </c:pt>
                <c:pt idx="3485">
                  <c:v>726</c:v>
                </c:pt>
                <c:pt idx="3486">
                  <c:v>726</c:v>
                </c:pt>
                <c:pt idx="3487">
                  <c:v>726</c:v>
                </c:pt>
                <c:pt idx="3488">
                  <c:v>726</c:v>
                </c:pt>
                <c:pt idx="3489">
                  <c:v>726</c:v>
                </c:pt>
                <c:pt idx="3490">
                  <c:v>726</c:v>
                </c:pt>
                <c:pt idx="3491">
                  <c:v>726</c:v>
                </c:pt>
                <c:pt idx="3492">
                  <c:v>726</c:v>
                </c:pt>
                <c:pt idx="3493">
                  <c:v>726</c:v>
                </c:pt>
                <c:pt idx="3494">
                  <c:v>726</c:v>
                </c:pt>
                <c:pt idx="3495">
                  <c:v>726</c:v>
                </c:pt>
                <c:pt idx="3496">
                  <c:v>726</c:v>
                </c:pt>
                <c:pt idx="3497">
                  <c:v>726</c:v>
                </c:pt>
                <c:pt idx="3498">
                  <c:v>726</c:v>
                </c:pt>
                <c:pt idx="3499">
                  <c:v>726</c:v>
                </c:pt>
                <c:pt idx="3500">
                  <c:v>726</c:v>
                </c:pt>
                <c:pt idx="3501">
                  <c:v>726</c:v>
                </c:pt>
                <c:pt idx="3502">
                  <c:v>726</c:v>
                </c:pt>
                <c:pt idx="3503">
                  <c:v>726</c:v>
                </c:pt>
                <c:pt idx="3504">
                  <c:v>726</c:v>
                </c:pt>
                <c:pt idx="3505">
                  <c:v>726</c:v>
                </c:pt>
                <c:pt idx="3506">
                  <c:v>726</c:v>
                </c:pt>
                <c:pt idx="3507">
                  <c:v>726</c:v>
                </c:pt>
                <c:pt idx="3508">
                  <c:v>726</c:v>
                </c:pt>
                <c:pt idx="3509">
                  <c:v>726</c:v>
                </c:pt>
                <c:pt idx="3510">
                  <c:v>726</c:v>
                </c:pt>
                <c:pt idx="3511">
                  <c:v>725</c:v>
                </c:pt>
                <c:pt idx="3512">
                  <c:v>726</c:v>
                </c:pt>
                <c:pt idx="3513">
                  <c:v>726</c:v>
                </c:pt>
                <c:pt idx="3514">
                  <c:v>726</c:v>
                </c:pt>
                <c:pt idx="3515">
                  <c:v>725</c:v>
                </c:pt>
                <c:pt idx="3516">
                  <c:v>725</c:v>
                </c:pt>
                <c:pt idx="3517">
                  <c:v>725</c:v>
                </c:pt>
                <c:pt idx="3518">
                  <c:v>725</c:v>
                </c:pt>
                <c:pt idx="3519">
                  <c:v>725</c:v>
                </c:pt>
                <c:pt idx="3520">
                  <c:v>725</c:v>
                </c:pt>
                <c:pt idx="3521">
                  <c:v>725</c:v>
                </c:pt>
                <c:pt idx="3522">
                  <c:v>725</c:v>
                </c:pt>
                <c:pt idx="3523">
                  <c:v>725</c:v>
                </c:pt>
                <c:pt idx="3524">
                  <c:v>725</c:v>
                </c:pt>
                <c:pt idx="3525">
                  <c:v>725</c:v>
                </c:pt>
                <c:pt idx="3526">
                  <c:v>725</c:v>
                </c:pt>
                <c:pt idx="3527">
                  <c:v>726</c:v>
                </c:pt>
                <c:pt idx="3528">
                  <c:v>725</c:v>
                </c:pt>
                <c:pt idx="3529">
                  <c:v>725</c:v>
                </c:pt>
                <c:pt idx="3530">
                  <c:v>725</c:v>
                </c:pt>
                <c:pt idx="3531">
                  <c:v>725</c:v>
                </c:pt>
                <c:pt idx="3532">
                  <c:v>725</c:v>
                </c:pt>
                <c:pt idx="3533">
                  <c:v>725</c:v>
                </c:pt>
                <c:pt idx="3534">
                  <c:v>725</c:v>
                </c:pt>
                <c:pt idx="3535">
                  <c:v>725</c:v>
                </c:pt>
                <c:pt idx="3536">
                  <c:v>725</c:v>
                </c:pt>
                <c:pt idx="3537">
                  <c:v>725</c:v>
                </c:pt>
                <c:pt idx="3538">
                  <c:v>725</c:v>
                </c:pt>
                <c:pt idx="3539">
                  <c:v>725</c:v>
                </c:pt>
                <c:pt idx="3540">
                  <c:v>725</c:v>
                </c:pt>
                <c:pt idx="3541">
                  <c:v>724</c:v>
                </c:pt>
                <c:pt idx="3542">
                  <c:v>724</c:v>
                </c:pt>
                <c:pt idx="3543">
                  <c:v>724</c:v>
                </c:pt>
                <c:pt idx="3544">
                  <c:v>724</c:v>
                </c:pt>
                <c:pt idx="3545">
                  <c:v>724</c:v>
                </c:pt>
                <c:pt idx="3546">
                  <c:v>724</c:v>
                </c:pt>
                <c:pt idx="3547">
                  <c:v>725</c:v>
                </c:pt>
                <c:pt idx="3548">
                  <c:v>725</c:v>
                </c:pt>
                <c:pt idx="3549">
                  <c:v>724</c:v>
                </c:pt>
                <c:pt idx="3550">
                  <c:v>725</c:v>
                </c:pt>
                <c:pt idx="3551">
                  <c:v>725</c:v>
                </c:pt>
                <c:pt idx="3552">
                  <c:v>725</c:v>
                </c:pt>
                <c:pt idx="3553">
                  <c:v>725</c:v>
                </c:pt>
                <c:pt idx="3554">
                  <c:v>725</c:v>
                </c:pt>
                <c:pt idx="3555">
                  <c:v>725</c:v>
                </c:pt>
                <c:pt idx="3556">
                  <c:v>725</c:v>
                </c:pt>
                <c:pt idx="3557">
                  <c:v>725</c:v>
                </c:pt>
                <c:pt idx="3558">
                  <c:v>725</c:v>
                </c:pt>
                <c:pt idx="3559">
                  <c:v>725</c:v>
                </c:pt>
                <c:pt idx="3560">
                  <c:v>725</c:v>
                </c:pt>
                <c:pt idx="3561">
                  <c:v>725</c:v>
                </c:pt>
                <c:pt idx="3562">
                  <c:v>725</c:v>
                </c:pt>
                <c:pt idx="3563">
                  <c:v>725</c:v>
                </c:pt>
                <c:pt idx="3564">
                  <c:v>725</c:v>
                </c:pt>
                <c:pt idx="3565">
                  <c:v>724</c:v>
                </c:pt>
                <c:pt idx="3566">
                  <c:v>724</c:v>
                </c:pt>
                <c:pt idx="3567">
                  <c:v>724</c:v>
                </c:pt>
                <c:pt idx="3568">
                  <c:v>724</c:v>
                </c:pt>
                <c:pt idx="3569">
                  <c:v>724</c:v>
                </c:pt>
                <c:pt idx="3570">
                  <c:v>724</c:v>
                </c:pt>
                <c:pt idx="3571">
                  <c:v>724</c:v>
                </c:pt>
                <c:pt idx="3572">
                  <c:v>724</c:v>
                </c:pt>
                <c:pt idx="3573">
                  <c:v>724</c:v>
                </c:pt>
                <c:pt idx="3574">
                  <c:v>724</c:v>
                </c:pt>
                <c:pt idx="3575">
                  <c:v>724</c:v>
                </c:pt>
                <c:pt idx="3576">
                  <c:v>725</c:v>
                </c:pt>
                <c:pt idx="3577">
                  <c:v>725</c:v>
                </c:pt>
                <c:pt idx="3578">
                  <c:v>725</c:v>
                </c:pt>
                <c:pt idx="3579">
                  <c:v>725</c:v>
                </c:pt>
                <c:pt idx="3580">
                  <c:v>725</c:v>
                </c:pt>
                <c:pt idx="3581">
                  <c:v>725</c:v>
                </c:pt>
                <c:pt idx="3582">
                  <c:v>725</c:v>
                </c:pt>
                <c:pt idx="3583">
                  <c:v>725</c:v>
                </c:pt>
                <c:pt idx="3584">
                  <c:v>725</c:v>
                </c:pt>
                <c:pt idx="3585">
                  <c:v>725</c:v>
                </c:pt>
                <c:pt idx="3586">
                  <c:v>725</c:v>
                </c:pt>
                <c:pt idx="3587">
                  <c:v>724</c:v>
                </c:pt>
                <c:pt idx="3588">
                  <c:v>725</c:v>
                </c:pt>
                <c:pt idx="3589">
                  <c:v>725</c:v>
                </c:pt>
                <c:pt idx="3590">
                  <c:v>725</c:v>
                </c:pt>
                <c:pt idx="3591">
                  <c:v>724</c:v>
                </c:pt>
                <c:pt idx="3592">
                  <c:v>724</c:v>
                </c:pt>
                <c:pt idx="3593">
                  <c:v>724</c:v>
                </c:pt>
                <c:pt idx="3594">
                  <c:v>724</c:v>
                </c:pt>
                <c:pt idx="3595">
                  <c:v>724</c:v>
                </c:pt>
                <c:pt idx="3596">
                  <c:v>724</c:v>
                </c:pt>
                <c:pt idx="3597">
                  <c:v>724</c:v>
                </c:pt>
                <c:pt idx="3598">
                  <c:v>725</c:v>
                </c:pt>
                <c:pt idx="3599">
                  <c:v>724</c:v>
                </c:pt>
                <c:pt idx="3600">
                  <c:v>724</c:v>
                </c:pt>
                <c:pt idx="3601">
                  <c:v>724</c:v>
                </c:pt>
                <c:pt idx="3602">
                  <c:v>725</c:v>
                </c:pt>
                <c:pt idx="3603">
                  <c:v>724</c:v>
                </c:pt>
                <c:pt idx="3604">
                  <c:v>725</c:v>
                </c:pt>
                <c:pt idx="3605">
                  <c:v>725</c:v>
                </c:pt>
                <c:pt idx="3606">
                  <c:v>725</c:v>
                </c:pt>
                <c:pt idx="3607">
                  <c:v>725</c:v>
                </c:pt>
                <c:pt idx="3608">
                  <c:v>725</c:v>
                </c:pt>
                <c:pt idx="3609">
                  <c:v>725</c:v>
                </c:pt>
                <c:pt idx="3610">
                  <c:v>725</c:v>
                </c:pt>
                <c:pt idx="3611">
                  <c:v>725</c:v>
                </c:pt>
                <c:pt idx="3612">
                  <c:v>724</c:v>
                </c:pt>
                <c:pt idx="3613">
                  <c:v>724</c:v>
                </c:pt>
                <c:pt idx="3614">
                  <c:v>724</c:v>
                </c:pt>
                <c:pt idx="3615">
                  <c:v>724</c:v>
                </c:pt>
                <c:pt idx="3616">
                  <c:v>725</c:v>
                </c:pt>
                <c:pt idx="3617">
                  <c:v>724</c:v>
                </c:pt>
                <c:pt idx="3618">
                  <c:v>724</c:v>
                </c:pt>
                <c:pt idx="3619">
                  <c:v>724</c:v>
                </c:pt>
                <c:pt idx="3620">
                  <c:v>724</c:v>
                </c:pt>
                <c:pt idx="3621">
                  <c:v>724</c:v>
                </c:pt>
                <c:pt idx="3622">
                  <c:v>724</c:v>
                </c:pt>
                <c:pt idx="3623">
                  <c:v>724</c:v>
                </c:pt>
                <c:pt idx="3624">
                  <c:v>724</c:v>
                </c:pt>
                <c:pt idx="3625">
                  <c:v>724</c:v>
                </c:pt>
                <c:pt idx="3626">
                  <c:v>724</c:v>
                </c:pt>
                <c:pt idx="3627">
                  <c:v>724</c:v>
                </c:pt>
                <c:pt idx="3628">
                  <c:v>724</c:v>
                </c:pt>
                <c:pt idx="3629">
                  <c:v>725</c:v>
                </c:pt>
                <c:pt idx="3630">
                  <c:v>725</c:v>
                </c:pt>
                <c:pt idx="3631">
                  <c:v>725</c:v>
                </c:pt>
                <c:pt idx="3632">
                  <c:v>725</c:v>
                </c:pt>
                <c:pt idx="3633">
                  <c:v>725</c:v>
                </c:pt>
                <c:pt idx="3634">
                  <c:v>725</c:v>
                </c:pt>
                <c:pt idx="3635">
                  <c:v>725</c:v>
                </c:pt>
                <c:pt idx="3636">
                  <c:v>725</c:v>
                </c:pt>
                <c:pt idx="3637">
                  <c:v>725</c:v>
                </c:pt>
                <c:pt idx="3638">
                  <c:v>725</c:v>
                </c:pt>
                <c:pt idx="3639">
                  <c:v>724</c:v>
                </c:pt>
                <c:pt idx="3640">
                  <c:v>724</c:v>
                </c:pt>
                <c:pt idx="3641">
                  <c:v>724</c:v>
                </c:pt>
                <c:pt idx="3642">
                  <c:v>724</c:v>
                </c:pt>
                <c:pt idx="3643">
                  <c:v>724</c:v>
                </c:pt>
                <c:pt idx="3644">
                  <c:v>724</c:v>
                </c:pt>
                <c:pt idx="3645">
                  <c:v>724</c:v>
                </c:pt>
                <c:pt idx="3646">
                  <c:v>724</c:v>
                </c:pt>
                <c:pt idx="3647">
                  <c:v>724</c:v>
                </c:pt>
                <c:pt idx="3648">
                  <c:v>723</c:v>
                </c:pt>
                <c:pt idx="3649">
                  <c:v>723</c:v>
                </c:pt>
                <c:pt idx="3650">
                  <c:v>723</c:v>
                </c:pt>
                <c:pt idx="3651">
                  <c:v>724</c:v>
                </c:pt>
                <c:pt idx="3652">
                  <c:v>724</c:v>
                </c:pt>
                <c:pt idx="3653">
                  <c:v>723</c:v>
                </c:pt>
                <c:pt idx="3654">
                  <c:v>723</c:v>
                </c:pt>
                <c:pt idx="3655">
                  <c:v>724</c:v>
                </c:pt>
                <c:pt idx="3656">
                  <c:v>724</c:v>
                </c:pt>
                <c:pt idx="3657">
                  <c:v>724</c:v>
                </c:pt>
                <c:pt idx="3658">
                  <c:v>724</c:v>
                </c:pt>
                <c:pt idx="3659">
                  <c:v>724</c:v>
                </c:pt>
                <c:pt idx="3660">
                  <c:v>724</c:v>
                </c:pt>
                <c:pt idx="3661">
                  <c:v>724</c:v>
                </c:pt>
                <c:pt idx="3662">
                  <c:v>723</c:v>
                </c:pt>
                <c:pt idx="3663">
                  <c:v>723</c:v>
                </c:pt>
                <c:pt idx="3664">
                  <c:v>724</c:v>
                </c:pt>
                <c:pt idx="3665">
                  <c:v>724</c:v>
                </c:pt>
                <c:pt idx="3666">
                  <c:v>724</c:v>
                </c:pt>
                <c:pt idx="3667">
                  <c:v>724</c:v>
                </c:pt>
                <c:pt idx="3668">
                  <c:v>724</c:v>
                </c:pt>
                <c:pt idx="3669">
                  <c:v>724</c:v>
                </c:pt>
                <c:pt idx="3670">
                  <c:v>724</c:v>
                </c:pt>
                <c:pt idx="3671">
                  <c:v>723</c:v>
                </c:pt>
                <c:pt idx="3672">
                  <c:v>723</c:v>
                </c:pt>
                <c:pt idx="3673">
                  <c:v>723</c:v>
                </c:pt>
                <c:pt idx="3674">
                  <c:v>724</c:v>
                </c:pt>
                <c:pt idx="3675">
                  <c:v>723</c:v>
                </c:pt>
                <c:pt idx="3676">
                  <c:v>723</c:v>
                </c:pt>
                <c:pt idx="3677">
                  <c:v>723</c:v>
                </c:pt>
                <c:pt idx="3678">
                  <c:v>723</c:v>
                </c:pt>
                <c:pt idx="3679">
                  <c:v>723</c:v>
                </c:pt>
                <c:pt idx="3680">
                  <c:v>723</c:v>
                </c:pt>
                <c:pt idx="3681">
                  <c:v>723</c:v>
                </c:pt>
                <c:pt idx="3682">
                  <c:v>723</c:v>
                </c:pt>
                <c:pt idx="3683">
                  <c:v>723</c:v>
                </c:pt>
                <c:pt idx="3684">
                  <c:v>723</c:v>
                </c:pt>
                <c:pt idx="3685">
                  <c:v>723</c:v>
                </c:pt>
                <c:pt idx="3686">
                  <c:v>723</c:v>
                </c:pt>
                <c:pt idx="3687">
                  <c:v>723</c:v>
                </c:pt>
                <c:pt idx="3688">
                  <c:v>723</c:v>
                </c:pt>
                <c:pt idx="3689">
                  <c:v>723</c:v>
                </c:pt>
                <c:pt idx="3690">
                  <c:v>723</c:v>
                </c:pt>
                <c:pt idx="3691">
                  <c:v>723</c:v>
                </c:pt>
                <c:pt idx="3692">
                  <c:v>723</c:v>
                </c:pt>
                <c:pt idx="3693">
                  <c:v>723</c:v>
                </c:pt>
                <c:pt idx="3694">
                  <c:v>723</c:v>
                </c:pt>
                <c:pt idx="3695">
                  <c:v>723</c:v>
                </c:pt>
                <c:pt idx="3696">
                  <c:v>723</c:v>
                </c:pt>
                <c:pt idx="3697">
                  <c:v>723</c:v>
                </c:pt>
                <c:pt idx="3698">
                  <c:v>723</c:v>
                </c:pt>
                <c:pt idx="3699">
                  <c:v>723</c:v>
                </c:pt>
                <c:pt idx="3700">
                  <c:v>723</c:v>
                </c:pt>
                <c:pt idx="3701">
                  <c:v>722</c:v>
                </c:pt>
                <c:pt idx="3702">
                  <c:v>722</c:v>
                </c:pt>
                <c:pt idx="3703">
                  <c:v>722</c:v>
                </c:pt>
                <c:pt idx="3704">
                  <c:v>722</c:v>
                </c:pt>
                <c:pt idx="3705">
                  <c:v>722</c:v>
                </c:pt>
                <c:pt idx="3706">
                  <c:v>722</c:v>
                </c:pt>
                <c:pt idx="3707">
                  <c:v>722</c:v>
                </c:pt>
                <c:pt idx="3708">
                  <c:v>722</c:v>
                </c:pt>
                <c:pt idx="3709">
                  <c:v>722</c:v>
                </c:pt>
                <c:pt idx="3710">
                  <c:v>721</c:v>
                </c:pt>
                <c:pt idx="3711">
                  <c:v>721</c:v>
                </c:pt>
                <c:pt idx="3712">
                  <c:v>722</c:v>
                </c:pt>
                <c:pt idx="3713">
                  <c:v>722</c:v>
                </c:pt>
                <c:pt idx="3714">
                  <c:v>722</c:v>
                </c:pt>
                <c:pt idx="3715">
                  <c:v>722</c:v>
                </c:pt>
                <c:pt idx="3716">
                  <c:v>722</c:v>
                </c:pt>
                <c:pt idx="3717">
                  <c:v>722</c:v>
                </c:pt>
                <c:pt idx="3718">
                  <c:v>722</c:v>
                </c:pt>
                <c:pt idx="3719">
                  <c:v>722</c:v>
                </c:pt>
                <c:pt idx="3720">
                  <c:v>722</c:v>
                </c:pt>
                <c:pt idx="3721">
                  <c:v>722</c:v>
                </c:pt>
                <c:pt idx="3722">
                  <c:v>722</c:v>
                </c:pt>
                <c:pt idx="3723">
                  <c:v>722</c:v>
                </c:pt>
                <c:pt idx="3724">
                  <c:v>722</c:v>
                </c:pt>
                <c:pt idx="3725">
                  <c:v>722</c:v>
                </c:pt>
                <c:pt idx="3726">
                  <c:v>722</c:v>
                </c:pt>
                <c:pt idx="3727">
                  <c:v>721</c:v>
                </c:pt>
                <c:pt idx="3728">
                  <c:v>721</c:v>
                </c:pt>
                <c:pt idx="3729">
                  <c:v>721</c:v>
                </c:pt>
                <c:pt idx="3730">
                  <c:v>721</c:v>
                </c:pt>
                <c:pt idx="3731">
                  <c:v>722</c:v>
                </c:pt>
                <c:pt idx="3732">
                  <c:v>721</c:v>
                </c:pt>
                <c:pt idx="3733">
                  <c:v>721</c:v>
                </c:pt>
                <c:pt idx="3734">
                  <c:v>721</c:v>
                </c:pt>
                <c:pt idx="3735">
                  <c:v>721</c:v>
                </c:pt>
                <c:pt idx="3736">
                  <c:v>721</c:v>
                </c:pt>
                <c:pt idx="3737">
                  <c:v>721</c:v>
                </c:pt>
                <c:pt idx="3738">
                  <c:v>721</c:v>
                </c:pt>
                <c:pt idx="3739">
                  <c:v>721</c:v>
                </c:pt>
                <c:pt idx="3740">
                  <c:v>721</c:v>
                </c:pt>
                <c:pt idx="3741">
                  <c:v>721</c:v>
                </c:pt>
                <c:pt idx="3742">
                  <c:v>720</c:v>
                </c:pt>
                <c:pt idx="3743">
                  <c:v>720</c:v>
                </c:pt>
                <c:pt idx="3744">
                  <c:v>721</c:v>
                </c:pt>
                <c:pt idx="3745">
                  <c:v>720</c:v>
                </c:pt>
                <c:pt idx="3746">
                  <c:v>720</c:v>
                </c:pt>
                <c:pt idx="3747">
                  <c:v>720</c:v>
                </c:pt>
                <c:pt idx="3748">
                  <c:v>720</c:v>
                </c:pt>
                <c:pt idx="3749">
                  <c:v>721</c:v>
                </c:pt>
                <c:pt idx="3750">
                  <c:v>720</c:v>
                </c:pt>
                <c:pt idx="3751">
                  <c:v>720</c:v>
                </c:pt>
                <c:pt idx="3752">
                  <c:v>721</c:v>
                </c:pt>
                <c:pt idx="3753">
                  <c:v>721</c:v>
                </c:pt>
                <c:pt idx="3754">
                  <c:v>721</c:v>
                </c:pt>
                <c:pt idx="3755">
                  <c:v>721</c:v>
                </c:pt>
                <c:pt idx="3756">
                  <c:v>721</c:v>
                </c:pt>
                <c:pt idx="3757">
                  <c:v>721</c:v>
                </c:pt>
                <c:pt idx="3758">
                  <c:v>721</c:v>
                </c:pt>
                <c:pt idx="3759">
                  <c:v>721</c:v>
                </c:pt>
                <c:pt idx="3760">
                  <c:v>721</c:v>
                </c:pt>
                <c:pt idx="3761">
                  <c:v>721</c:v>
                </c:pt>
                <c:pt idx="3762">
                  <c:v>721</c:v>
                </c:pt>
                <c:pt idx="3763">
                  <c:v>721</c:v>
                </c:pt>
                <c:pt idx="3764">
                  <c:v>721</c:v>
                </c:pt>
                <c:pt idx="3765">
                  <c:v>721</c:v>
                </c:pt>
                <c:pt idx="3766">
                  <c:v>721</c:v>
                </c:pt>
                <c:pt idx="3767">
                  <c:v>721</c:v>
                </c:pt>
                <c:pt idx="3768">
                  <c:v>721</c:v>
                </c:pt>
                <c:pt idx="3769">
                  <c:v>721</c:v>
                </c:pt>
                <c:pt idx="3770">
                  <c:v>721</c:v>
                </c:pt>
                <c:pt idx="3771">
                  <c:v>721</c:v>
                </c:pt>
                <c:pt idx="3772">
                  <c:v>721</c:v>
                </c:pt>
                <c:pt idx="3773">
                  <c:v>721</c:v>
                </c:pt>
                <c:pt idx="3774">
                  <c:v>721</c:v>
                </c:pt>
                <c:pt idx="3775">
                  <c:v>721</c:v>
                </c:pt>
                <c:pt idx="3776">
                  <c:v>721</c:v>
                </c:pt>
                <c:pt idx="3777">
                  <c:v>722</c:v>
                </c:pt>
                <c:pt idx="3778">
                  <c:v>722</c:v>
                </c:pt>
                <c:pt idx="3779">
                  <c:v>722</c:v>
                </c:pt>
                <c:pt idx="3780">
                  <c:v>722</c:v>
                </c:pt>
                <c:pt idx="3781">
                  <c:v>722</c:v>
                </c:pt>
                <c:pt idx="3782">
                  <c:v>722</c:v>
                </c:pt>
                <c:pt idx="3783">
                  <c:v>722</c:v>
                </c:pt>
                <c:pt idx="3784">
                  <c:v>722</c:v>
                </c:pt>
                <c:pt idx="3785">
                  <c:v>722</c:v>
                </c:pt>
                <c:pt idx="3786">
                  <c:v>722</c:v>
                </c:pt>
                <c:pt idx="3787">
                  <c:v>722</c:v>
                </c:pt>
                <c:pt idx="3788">
                  <c:v>722</c:v>
                </c:pt>
                <c:pt idx="3789">
                  <c:v>722</c:v>
                </c:pt>
                <c:pt idx="3790">
                  <c:v>722</c:v>
                </c:pt>
                <c:pt idx="3791">
                  <c:v>722</c:v>
                </c:pt>
                <c:pt idx="3792">
                  <c:v>722</c:v>
                </c:pt>
                <c:pt idx="3793">
                  <c:v>722</c:v>
                </c:pt>
                <c:pt idx="3794">
                  <c:v>722</c:v>
                </c:pt>
                <c:pt idx="3795">
                  <c:v>722</c:v>
                </c:pt>
                <c:pt idx="3796">
                  <c:v>722</c:v>
                </c:pt>
                <c:pt idx="3797">
                  <c:v>722</c:v>
                </c:pt>
                <c:pt idx="3798">
                  <c:v>722</c:v>
                </c:pt>
                <c:pt idx="3799">
                  <c:v>722</c:v>
                </c:pt>
                <c:pt idx="3800">
                  <c:v>723</c:v>
                </c:pt>
                <c:pt idx="3801">
                  <c:v>722</c:v>
                </c:pt>
                <c:pt idx="3802">
                  <c:v>722</c:v>
                </c:pt>
                <c:pt idx="3803">
                  <c:v>722</c:v>
                </c:pt>
                <c:pt idx="3804">
                  <c:v>722</c:v>
                </c:pt>
                <c:pt idx="3805">
                  <c:v>722</c:v>
                </c:pt>
                <c:pt idx="3806">
                  <c:v>722</c:v>
                </c:pt>
                <c:pt idx="3807">
                  <c:v>722</c:v>
                </c:pt>
                <c:pt idx="3808">
                  <c:v>721</c:v>
                </c:pt>
                <c:pt idx="3809">
                  <c:v>722</c:v>
                </c:pt>
                <c:pt idx="3810">
                  <c:v>721</c:v>
                </c:pt>
                <c:pt idx="3811">
                  <c:v>721</c:v>
                </c:pt>
                <c:pt idx="3812">
                  <c:v>721</c:v>
                </c:pt>
                <c:pt idx="3813">
                  <c:v>722</c:v>
                </c:pt>
                <c:pt idx="3814">
                  <c:v>722</c:v>
                </c:pt>
                <c:pt idx="3815">
                  <c:v>721</c:v>
                </c:pt>
                <c:pt idx="3816">
                  <c:v>722</c:v>
                </c:pt>
                <c:pt idx="3817">
                  <c:v>722</c:v>
                </c:pt>
                <c:pt idx="3818">
                  <c:v>722</c:v>
                </c:pt>
                <c:pt idx="3819">
                  <c:v>722</c:v>
                </c:pt>
                <c:pt idx="3820">
                  <c:v>722</c:v>
                </c:pt>
                <c:pt idx="3821">
                  <c:v>722</c:v>
                </c:pt>
                <c:pt idx="3822">
                  <c:v>722</c:v>
                </c:pt>
                <c:pt idx="3823">
                  <c:v>722</c:v>
                </c:pt>
                <c:pt idx="3824">
                  <c:v>722</c:v>
                </c:pt>
                <c:pt idx="3825">
                  <c:v>722</c:v>
                </c:pt>
                <c:pt idx="3826">
                  <c:v>722</c:v>
                </c:pt>
                <c:pt idx="3827">
                  <c:v>722</c:v>
                </c:pt>
                <c:pt idx="3828">
                  <c:v>721</c:v>
                </c:pt>
                <c:pt idx="3829">
                  <c:v>721</c:v>
                </c:pt>
                <c:pt idx="3830">
                  <c:v>721</c:v>
                </c:pt>
                <c:pt idx="3831">
                  <c:v>721</c:v>
                </c:pt>
                <c:pt idx="3832">
                  <c:v>722</c:v>
                </c:pt>
                <c:pt idx="3833">
                  <c:v>722</c:v>
                </c:pt>
                <c:pt idx="3834">
                  <c:v>721</c:v>
                </c:pt>
                <c:pt idx="3835">
                  <c:v>721</c:v>
                </c:pt>
                <c:pt idx="3836">
                  <c:v>721</c:v>
                </c:pt>
                <c:pt idx="3837">
                  <c:v>722</c:v>
                </c:pt>
                <c:pt idx="3838">
                  <c:v>722</c:v>
                </c:pt>
                <c:pt idx="3839">
                  <c:v>721</c:v>
                </c:pt>
                <c:pt idx="3840">
                  <c:v>721</c:v>
                </c:pt>
                <c:pt idx="3841">
                  <c:v>721</c:v>
                </c:pt>
                <c:pt idx="3842">
                  <c:v>722</c:v>
                </c:pt>
                <c:pt idx="3843">
                  <c:v>721</c:v>
                </c:pt>
                <c:pt idx="3844">
                  <c:v>721</c:v>
                </c:pt>
                <c:pt idx="3845">
                  <c:v>721</c:v>
                </c:pt>
                <c:pt idx="3846">
                  <c:v>721</c:v>
                </c:pt>
                <c:pt idx="3847">
                  <c:v>722</c:v>
                </c:pt>
                <c:pt idx="3848">
                  <c:v>721</c:v>
                </c:pt>
                <c:pt idx="3849">
                  <c:v>721</c:v>
                </c:pt>
                <c:pt idx="3850">
                  <c:v>721</c:v>
                </c:pt>
                <c:pt idx="3851">
                  <c:v>722</c:v>
                </c:pt>
                <c:pt idx="3852">
                  <c:v>722</c:v>
                </c:pt>
                <c:pt idx="3853">
                  <c:v>722</c:v>
                </c:pt>
                <c:pt idx="3854">
                  <c:v>722</c:v>
                </c:pt>
                <c:pt idx="3855">
                  <c:v>721</c:v>
                </c:pt>
                <c:pt idx="3856">
                  <c:v>721</c:v>
                </c:pt>
                <c:pt idx="3857">
                  <c:v>722</c:v>
                </c:pt>
                <c:pt idx="3858">
                  <c:v>721</c:v>
                </c:pt>
                <c:pt idx="3859">
                  <c:v>721</c:v>
                </c:pt>
                <c:pt idx="3860">
                  <c:v>721</c:v>
                </c:pt>
                <c:pt idx="3861">
                  <c:v>721</c:v>
                </c:pt>
                <c:pt idx="3862">
                  <c:v>721</c:v>
                </c:pt>
                <c:pt idx="3863">
                  <c:v>721</c:v>
                </c:pt>
                <c:pt idx="3864">
                  <c:v>721</c:v>
                </c:pt>
                <c:pt idx="3865">
                  <c:v>722</c:v>
                </c:pt>
                <c:pt idx="3866">
                  <c:v>722</c:v>
                </c:pt>
                <c:pt idx="3867">
                  <c:v>722</c:v>
                </c:pt>
                <c:pt idx="3868">
                  <c:v>722</c:v>
                </c:pt>
                <c:pt idx="3869">
                  <c:v>722</c:v>
                </c:pt>
                <c:pt idx="3870">
                  <c:v>722</c:v>
                </c:pt>
                <c:pt idx="3871">
                  <c:v>722</c:v>
                </c:pt>
                <c:pt idx="3872">
                  <c:v>722</c:v>
                </c:pt>
                <c:pt idx="3873">
                  <c:v>722</c:v>
                </c:pt>
                <c:pt idx="3874">
                  <c:v>722</c:v>
                </c:pt>
                <c:pt idx="3875">
                  <c:v>722</c:v>
                </c:pt>
                <c:pt idx="3876">
                  <c:v>721</c:v>
                </c:pt>
                <c:pt idx="3877">
                  <c:v>722</c:v>
                </c:pt>
                <c:pt idx="3878">
                  <c:v>721</c:v>
                </c:pt>
                <c:pt idx="3879">
                  <c:v>721</c:v>
                </c:pt>
                <c:pt idx="3880">
                  <c:v>721</c:v>
                </c:pt>
                <c:pt idx="3881">
                  <c:v>722</c:v>
                </c:pt>
                <c:pt idx="3882">
                  <c:v>722</c:v>
                </c:pt>
                <c:pt idx="3883">
                  <c:v>722</c:v>
                </c:pt>
                <c:pt idx="3884">
                  <c:v>721</c:v>
                </c:pt>
                <c:pt idx="3885">
                  <c:v>722</c:v>
                </c:pt>
                <c:pt idx="3886">
                  <c:v>722</c:v>
                </c:pt>
                <c:pt idx="3887">
                  <c:v>722</c:v>
                </c:pt>
                <c:pt idx="3888">
                  <c:v>722</c:v>
                </c:pt>
                <c:pt idx="3889">
                  <c:v>722</c:v>
                </c:pt>
                <c:pt idx="3890">
                  <c:v>721</c:v>
                </c:pt>
                <c:pt idx="3891">
                  <c:v>722</c:v>
                </c:pt>
                <c:pt idx="3892">
                  <c:v>722</c:v>
                </c:pt>
                <c:pt idx="3893">
                  <c:v>722</c:v>
                </c:pt>
                <c:pt idx="3894">
                  <c:v>722</c:v>
                </c:pt>
                <c:pt idx="3895">
                  <c:v>721</c:v>
                </c:pt>
                <c:pt idx="3896">
                  <c:v>722</c:v>
                </c:pt>
                <c:pt idx="3897">
                  <c:v>722</c:v>
                </c:pt>
                <c:pt idx="3898">
                  <c:v>722</c:v>
                </c:pt>
                <c:pt idx="3899">
                  <c:v>722</c:v>
                </c:pt>
                <c:pt idx="3900">
                  <c:v>722</c:v>
                </c:pt>
                <c:pt idx="3901">
                  <c:v>721</c:v>
                </c:pt>
                <c:pt idx="3902">
                  <c:v>721</c:v>
                </c:pt>
                <c:pt idx="3903">
                  <c:v>721</c:v>
                </c:pt>
                <c:pt idx="3904">
                  <c:v>721</c:v>
                </c:pt>
                <c:pt idx="3905">
                  <c:v>721</c:v>
                </c:pt>
                <c:pt idx="3906">
                  <c:v>721</c:v>
                </c:pt>
                <c:pt idx="3907">
                  <c:v>721</c:v>
                </c:pt>
                <c:pt idx="3908">
                  <c:v>721</c:v>
                </c:pt>
                <c:pt idx="3909">
                  <c:v>721</c:v>
                </c:pt>
                <c:pt idx="3910">
                  <c:v>721</c:v>
                </c:pt>
                <c:pt idx="3911">
                  <c:v>722</c:v>
                </c:pt>
                <c:pt idx="3912">
                  <c:v>721</c:v>
                </c:pt>
                <c:pt idx="3913">
                  <c:v>721</c:v>
                </c:pt>
                <c:pt idx="3914">
                  <c:v>721</c:v>
                </c:pt>
                <c:pt idx="3915">
                  <c:v>722</c:v>
                </c:pt>
                <c:pt idx="3916">
                  <c:v>722</c:v>
                </c:pt>
                <c:pt idx="3917">
                  <c:v>722</c:v>
                </c:pt>
                <c:pt idx="3918">
                  <c:v>721</c:v>
                </c:pt>
                <c:pt idx="3919">
                  <c:v>721</c:v>
                </c:pt>
                <c:pt idx="3920">
                  <c:v>722</c:v>
                </c:pt>
                <c:pt idx="3921">
                  <c:v>722</c:v>
                </c:pt>
                <c:pt idx="3922">
                  <c:v>721</c:v>
                </c:pt>
                <c:pt idx="3923">
                  <c:v>721</c:v>
                </c:pt>
                <c:pt idx="3924">
                  <c:v>721</c:v>
                </c:pt>
                <c:pt idx="3925">
                  <c:v>721</c:v>
                </c:pt>
                <c:pt idx="3926">
                  <c:v>721</c:v>
                </c:pt>
                <c:pt idx="3927">
                  <c:v>721</c:v>
                </c:pt>
                <c:pt idx="3928">
                  <c:v>720</c:v>
                </c:pt>
                <c:pt idx="3929">
                  <c:v>720</c:v>
                </c:pt>
                <c:pt idx="3930">
                  <c:v>720</c:v>
                </c:pt>
                <c:pt idx="3931">
                  <c:v>720</c:v>
                </c:pt>
                <c:pt idx="3932">
                  <c:v>721</c:v>
                </c:pt>
                <c:pt idx="3933">
                  <c:v>721</c:v>
                </c:pt>
                <c:pt idx="3934">
                  <c:v>721</c:v>
                </c:pt>
                <c:pt idx="3935">
                  <c:v>721</c:v>
                </c:pt>
                <c:pt idx="3936">
                  <c:v>721</c:v>
                </c:pt>
                <c:pt idx="3937">
                  <c:v>721</c:v>
                </c:pt>
                <c:pt idx="3938">
                  <c:v>721</c:v>
                </c:pt>
                <c:pt idx="3939">
                  <c:v>721</c:v>
                </c:pt>
                <c:pt idx="3940">
                  <c:v>721</c:v>
                </c:pt>
                <c:pt idx="3941">
                  <c:v>721</c:v>
                </c:pt>
                <c:pt idx="3942">
                  <c:v>721</c:v>
                </c:pt>
                <c:pt idx="3943">
                  <c:v>721</c:v>
                </c:pt>
                <c:pt idx="3944">
                  <c:v>721</c:v>
                </c:pt>
                <c:pt idx="3945">
                  <c:v>721</c:v>
                </c:pt>
                <c:pt idx="3946">
                  <c:v>721</c:v>
                </c:pt>
                <c:pt idx="3947">
                  <c:v>720</c:v>
                </c:pt>
                <c:pt idx="3948">
                  <c:v>720</c:v>
                </c:pt>
                <c:pt idx="3949">
                  <c:v>720</c:v>
                </c:pt>
                <c:pt idx="3950">
                  <c:v>719</c:v>
                </c:pt>
                <c:pt idx="3951">
                  <c:v>719</c:v>
                </c:pt>
                <c:pt idx="3952">
                  <c:v>719</c:v>
                </c:pt>
                <c:pt idx="3953">
                  <c:v>719</c:v>
                </c:pt>
                <c:pt idx="3954">
                  <c:v>719</c:v>
                </c:pt>
                <c:pt idx="3955">
                  <c:v>719</c:v>
                </c:pt>
                <c:pt idx="3956">
                  <c:v>719</c:v>
                </c:pt>
                <c:pt idx="3957">
                  <c:v>719</c:v>
                </c:pt>
                <c:pt idx="3958">
                  <c:v>720</c:v>
                </c:pt>
                <c:pt idx="3959">
                  <c:v>720</c:v>
                </c:pt>
                <c:pt idx="3960">
                  <c:v>720</c:v>
                </c:pt>
                <c:pt idx="3961">
                  <c:v>720</c:v>
                </c:pt>
                <c:pt idx="3962">
                  <c:v>720</c:v>
                </c:pt>
                <c:pt idx="3963">
                  <c:v>720</c:v>
                </c:pt>
                <c:pt idx="3964">
                  <c:v>720</c:v>
                </c:pt>
                <c:pt idx="3965">
                  <c:v>721</c:v>
                </c:pt>
                <c:pt idx="3966">
                  <c:v>721</c:v>
                </c:pt>
                <c:pt idx="3967">
                  <c:v>721</c:v>
                </c:pt>
                <c:pt idx="3968">
                  <c:v>721</c:v>
                </c:pt>
                <c:pt idx="3969">
                  <c:v>720</c:v>
                </c:pt>
                <c:pt idx="3970">
                  <c:v>720</c:v>
                </c:pt>
                <c:pt idx="3971">
                  <c:v>720</c:v>
                </c:pt>
                <c:pt idx="3972">
                  <c:v>720</c:v>
                </c:pt>
                <c:pt idx="3973">
                  <c:v>719</c:v>
                </c:pt>
                <c:pt idx="3974">
                  <c:v>719</c:v>
                </c:pt>
                <c:pt idx="3975">
                  <c:v>719</c:v>
                </c:pt>
                <c:pt idx="3976">
                  <c:v>719</c:v>
                </c:pt>
                <c:pt idx="3977">
                  <c:v>719</c:v>
                </c:pt>
                <c:pt idx="3978">
                  <c:v>719</c:v>
                </c:pt>
                <c:pt idx="3979">
                  <c:v>719</c:v>
                </c:pt>
                <c:pt idx="3980">
                  <c:v>719</c:v>
                </c:pt>
                <c:pt idx="3981">
                  <c:v>719</c:v>
                </c:pt>
                <c:pt idx="3982">
                  <c:v>719</c:v>
                </c:pt>
                <c:pt idx="3983">
                  <c:v>719</c:v>
                </c:pt>
                <c:pt idx="3984">
                  <c:v>719</c:v>
                </c:pt>
                <c:pt idx="3985">
                  <c:v>719</c:v>
                </c:pt>
                <c:pt idx="3986">
                  <c:v>719</c:v>
                </c:pt>
                <c:pt idx="3987">
                  <c:v>719</c:v>
                </c:pt>
                <c:pt idx="3988">
                  <c:v>720</c:v>
                </c:pt>
                <c:pt idx="3989">
                  <c:v>720</c:v>
                </c:pt>
                <c:pt idx="3990">
                  <c:v>719</c:v>
                </c:pt>
                <c:pt idx="3991">
                  <c:v>720</c:v>
                </c:pt>
                <c:pt idx="3992">
                  <c:v>720</c:v>
                </c:pt>
                <c:pt idx="3993">
                  <c:v>720</c:v>
                </c:pt>
                <c:pt idx="3994">
                  <c:v>720</c:v>
                </c:pt>
                <c:pt idx="3995">
                  <c:v>720</c:v>
                </c:pt>
                <c:pt idx="3996">
                  <c:v>719</c:v>
                </c:pt>
                <c:pt idx="3997">
                  <c:v>719</c:v>
                </c:pt>
                <c:pt idx="3998">
                  <c:v>719</c:v>
                </c:pt>
                <c:pt idx="3999">
                  <c:v>719</c:v>
                </c:pt>
                <c:pt idx="4000">
                  <c:v>718</c:v>
                </c:pt>
                <c:pt idx="4001">
                  <c:v>718</c:v>
                </c:pt>
                <c:pt idx="4002">
                  <c:v>718</c:v>
                </c:pt>
                <c:pt idx="4003">
                  <c:v>718</c:v>
                </c:pt>
                <c:pt idx="4004">
                  <c:v>718</c:v>
                </c:pt>
                <c:pt idx="4005">
                  <c:v>718</c:v>
                </c:pt>
                <c:pt idx="4006">
                  <c:v>717</c:v>
                </c:pt>
                <c:pt idx="4007">
                  <c:v>718</c:v>
                </c:pt>
                <c:pt idx="4008">
                  <c:v>718</c:v>
                </c:pt>
                <c:pt idx="4009">
                  <c:v>718</c:v>
                </c:pt>
                <c:pt idx="4010">
                  <c:v>718</c:v>
                </c:pt>
                <c:pt idx="4011">
                  <c:v>719</c:v>
                </c:pt>
                <c:pt idx="4012">
                  <c:v>719</c:v>
                </c:pt>
                <c:pt idx="4013">
                  <c:v>719</c:v>
                </c:pt>
                <c:pt idx="4014">
                  <c:v>719</c:v>
                </c:pt>
                <c:pt idx="4015">
                  <c:v>719</c:v>
                </c:pt>
                <c:pt idx="4016">
                  <c:v>719</c:v>
                </c:pt>
                <c:pt idx="4017">
                  <c:v>719</c:v>
                </c:pt>
                <c:pt idx="4018">
                  <c:v>719</c:v>
                </c:pt>
                <c:pt idx="4019">
                  <c:v>719</c:v>
                </c:pt>
                <c:pt idx="4020">
                  <c:v>719</c:v>
                </c:pt>
                <c:pt idx="4021">
                  <c:v>719</c:v>
                </c:pt>
                <c:pt idx="4022">
                  <c:v>718</c:v>
                </c:pt>
                <c:pt idx="4023">
                  <c:v>718</c:v>
                </c:pt>
                <c:pt idx="4024">
                  <c:v>717</c:v>
                </c:pt>
                <c:pt idx="4025">
                  <c:v>717</c:v>
                </c:pt>
                <c:pt idx="4026">
                  <c:v>717</c:v>
                </c:pt>
                <c:pt idx="4027">
                  <c:v>717</c:v>
                </c:pt>
                <c:pt idx="4028">
                  <c:v>717</c:v>
                </c:pt>
                <c:pt idx="4029">
                  <c:v>717</c:v>
                </c:pt>
                <c:pt idx="4030">
                  <c:v>717</c:v>
                </c:pt>
                <c:pt idx="4031">
                  <c:v>716</c:v>
                </c:pt>
                <c:pt idx="4032">
                  <c:v>717</c:v>
                </c:pt>
                <c:pt idx="4033">
                  <c:v>717</c:v>
                </c:pt>
                <c:pt idx="4034">
                  <c:v>717</c:v>
                </c:pt>
                <c:pt idx="4035">
                  <c:v>717</c:v>
                </c:pt>
                <c:pt idx="4036">
                  <c:v>718</c:v>
                </c:pt>
                <c:pt idx="4037">
                  <c:v>718</c:v>
                </c:pt>
                <c:pt idx="4038">
                  <c:v>718</c:v>
                </c:pt>
                <c:pt idx="4039">
                  <c:v>718</c:v>
                </c:pt>
                <c:pt idx="4040">
                  <c:v>717</c:v>
                </c:pt>
                <c:pt idx="4041">
                  <c:v>718</c:v>
                </c:pt>
                <c:pt idx="4042">
                  <c:v>718</c:v>
                </c:pt>
                <c:pt idx="4043">
                  <c:v>718</c:v>
                </c:pt>
                <c:pt idx="4044">
                  <c:v>717</c:v>
                </c:pt>
                <c:pt idx="4045">
                  <c:v>717</c:v>
                </c:pt>
                <c:pt idx="4046">
                  <c:v>717</c:v>
                </c:pt>
                <c:pt idx="4047">
                  <c:v>716</c:v>
                </c:pt>
                <c:pt idx="4048">
                  <c:v>716</c:v>
                </c:pt>
                <c:pt idx="4049">
                  <c:v>716</c:v>
                </c:pt>
                <c:pt idx="4050">
                  <c:v>716</c:v>
                </c:pt>
                <c:pt idx="4051">
                  <c:v>716</c:v>
                </c:pt>
                <c:pt idx="4052">
                  <c:v>716</c:v>
                </c:pt>
                <c:pt idx="4053">
                  <c:v>716</c:v>
                </c:pt>
                <c:pt idx="4054">
                  <c:v>716</c:v>
                </c:pt>
                <c:pt idx="4055">
                  <c:v>716</c:v>
                </c:pt>
                <c:pt idx="4056">
                  <c:v>716</c:v>
                </c:pt>
                <c:pt idx="4057">
                  <c:v>715</c:v>
                </c:pt>
                <c:pt idx="4058">
                  <c:v>716</c:v>
                </c:pt>
                <c:pt idx="4059">
                  <c:v>716</c:v>
                </c:pt>
                <c:pt idx="4060">
                  <c:v>716</c:v>
                </c:pt>
                <c:pt idx="4061">
                  <c:v>716</c:v>
                </c:pt>
                <c:pt idx="4062">
                  <c:v>716</c:v>
                </c:pt>
                <c:pt idx="4063">
                  <c:v>716</c:v>
                </c:pt>
                <c:pt idx="4064">
                  <c:v>716</c:v>
                </c:pt>
                <c:pt idx="4065">
                  <c:v>716</c:v>
                </c:pt>
                <c:pt idx="4066">
                  <c:v>716</c:v>
                </c:pt>
                <c:pt idx="4067">
                  <c:v>716</c:v>
                </c:pt>
                <c:pt idx="4068">
                  <c:v>716</c:v>
                </c:pt>
                <c:pt idx="4069">
                  <c:v>716</c:v>
                </c:pt>
                <c:pt idx="4070">
                  <c:v>715</c:v>
                </c:pt>
                <c:pt idx="4071">
                  <c:v>715</c:v>
                </c:pt>
                <c:pt idx="4072">
                  <c:v>715</c:v>
                </c:pt>
                <c:pt idx="4073">
                  <c:v>715</c:v>
                </c:pt>
                <c:pt idx="4074">
                  <c:v>715</c:v>
                </c:pt>
                <c:pt idx="4075">
                  <c:v>715</c:v>
                </c:pt>
                <c:pt idx="4076">
                  <c:v>715</c:v>
                </c:pt>
                <c:pt idx="4077">
                  <c:v>715</c:v>
                </c:pt>
                <c:pt idx="4078">
                  <c:v>715</c:v>
                </c:pt>
                <c:pt idx="4079">
                  <c:v>715</c:v>
                </c:pt>
                <c:pt idx="4080">
                  <c:v>715</c:v>
                </c:pt>
                <c:pt idx="4081">
                  <c:v>715</c:v>
                </c:pt>
                <c:pt idx="4082">
                  <c:v>715</c:v>
                </c:pt>
                <c:pt idx="4083">
                  <c:v>714</c:v>
                </c:pt>
                <c:pt idx="4084">
                  <c:v>714</c:v>
                </c:pt>
                <c:pt idx="4085">
                  <c:v>715</c:v>
                </c:pt>
                <c:pt idx="4086">
                  <c:v>715</c:v>
                </c:pt>
                <c:pt idx="4087">
                  <c:v>715</c:v>
                </c:pt>
                <c:pt idx="4088">
                  <c:v>715</c:v>
                </c:pt>
                <c:pt idx="4089">
                  <c:v>715</c:v>
                </c:pt>
                <c:pt idx="4090">
                  <c:v>713</c:v>
                </c:pt>
                <c:pt idx="4091">
                  <c:v>713</c:v>
                </c:pt>
                <c:pt idx="4092">
                  <c:v>714</c:v>
                </c:pt>
                <c:pt idx="4093">
                  <c:v>714</c:v>
                </c:pt>
                <c:pt idx="4094">
                  <c:v>714</c:v>
                </c:pt>
                <c:pt idx="4095">
                  <c:v>714</c:v>
                </c:pt>
                <c:pt idx="4096">
                  <c:v>714</c:v>
                </c:pt>
                <c:pt idx="4097">
                  <c:v>714</c:v>
                </c:pt>
                <c:pt idx="4098">
                  <c:v>714</c:v>
                </c:pt>
                <c:pt idx="4099">
                  <c:v>714</c:v>
                </c:pt>
                <c:pt idx="4100">
                  <c:v>714</c:v>
                </c:pt>
                <c:pt idx="4101">
                  <c:v>714</c:v>
                </c:pt>
                <c:pt idx="4102">
                  <c:v>715</c:v>
                </c:pt>
                <c:pt idx="4103">
                  <c:v>714</c:v>
                </c:pt>
                <c:pt idx="4104">
                  <c:v>714</c:v>
                </c:pt>
                <c:pt idx="4105">
                  <c:v>714</c:v>
                </c:pt>
                <c:pt idx="4106">
                  <c:v>714</c:v>
                </c:pt>
                <c:pt idx="4107">
                  <c:v>714</c:v>
                </c:pt>
                <c:pt idx="4108">
                  <c:v>714</c:v>
                </c:pt>
                <c:pt idx="4109">
                  <c:v>714</c:v>
                </c:pt>
                <c:pt idx="4110">
                  <c:v>714</c:v>
                </c:pt>
                <c:pt idx="4111">
                  <c:v>714</c:v>
                </c:pt>
                <c:pt idx="4112">
                  <c:v>714</c:v>
                </c:pt>
                <c:pt idx="4113">
                  <c:v>714</c:v>
                </c:pt>
                <c:pt idx="4114">
                  <c:v>714</c:v>
                </c:pt>
                <c:pt idx="4115">
                  <c:v>714</c:v>
                </c:pt>
                <c:pt idx="4116">
                  <c:v>714</c:v>
                </c:pt>
                <c:pt idx="4117">
                  <c:v>714</c:v>
                </c:pt>
                <c:pt idx="4118">
                  <c:v>714</c:v>
                </c:pt>
                <c:pt idx="4119">
                  <c:v>713</c:v>
                </c:pt>
                <c:pt idx="4120">
                  <c:v>713</c:v>
                </c:pt>
                <c:pt idx="4121">
                  <c:v>712</c:v>
                </c:pt>
                <c:pt idx="4122">
                  <c:v>712</c:v>
                </c:pt>
                <c:pt idx="4123">
                  <c:v>712</c:v>
                </c:pt>
                <c:pt idx="4124">
                  <c:v>713</c:v>
                </c:pt>
                <c:pt idx="4125">
                  <c:v>713</c:v>
                </c:pt>
                <c:pt idx="4126">
                  <c:v>712</c:v>
                </c:pt>
                <c:pt idx="4127">
                  <c:v>712</c:v>
                </c:pt>
                <c:pt idx="4128">
                  <c:v>712</c:v>
                </c:pt>
                <c:pt idx="4129">
                  <c:v>712</c:v>
                </c:pt>
                <c:pt idx="4130">
                  <c:v>712</c:v>
                </c:pt>
                <c:pt idx="4131">
                  <c:v>712</c:v>
                </c:pt>
                <c:pt idx="4132">
                  <c:v>712</c:v>
                </c:pt>
                <c:pt idx="4133">
                  <c:v>712</c:v>
                </c:pt>
                <c:pt idx="4134">
                  <c:v>712</c:v>
                </c:pt>
                <c:pt idx="4135">
                  <c:v>712</c:v>
                </c:pt>
                <c:pt idx="4136">
                  <c:v>712</c:v>
                </c:pt>
                <c:pt idx="4137">
                  <c:v>712</c:v>
                </c:pt>
                <c:pt idx="4138">
                  <c:v>712</c:v>
                </c:pt>
                <c:pt idx="4139">
                  <c:v>712</c:v>
                </c:pt>
                <c:pt idx="4140">
                  <c:v>712</c:v>
                </c:pt>
                <c:pt idx="4141">
                  <c:v>711</c:v>
                </c:pt>
                <c:pt idx="4142">
                  <c:v>711</c:v>
                </c:pt>
                <c:pt idx="4143">
                  <c:v>711</c:v>
                </c:pt>
                <c:pt idx="4144">
                  <c:v>711</c:v>
                </c:pt>
                <c:pt idx="4145">
                  <c:v>711</c:v>
                </c:pt>
                <c:pt idx="4146">
                  <c:v>711</c:v>
                </c:pt>
                <c:pt idx="4147">
                  <c:v>711</c:v>
                </c:pt>
                <c:pt idx="4148">
                  <c:v>711</c:v>
                </c:pt>
                <c:pt idx="4149">
                  <c:v>711</c:v>
                </c:pt>
                <c:pt idx="4150">
                  <c:v>712</c:v>
                </c:pt>
                <c:pt idx="4151">
                  <c:v>712</c:v>
                </c:pt>
                <c:pt idx="4152">
                  <c:v>712</c:v>
                </c:pt>
                <c:pt idx="4153">
                  <c:v>712</c:v>
                </c:pt>
                <c:pt idx="4154">
                  <c:v>712</c:v>
                </c:pt>
                <c:pt idx="4155">
                  <c:v>711</c:v>
                </c:pt>
                <c:pt idx="4156">
                  <c:v>711</c:v>
                </c:pt>
                <c:pt idx="4157">
                  <c:v>711</c:v>
                </c:pt>
                <c:pt idx="4158">
                  <c:v>711</c:v>
                </c:pt>
                <c:pt idx="4159">
                  <c:v>711</c:v>
                </c:pt>
                <c:pt idx="4160">
                  <c:v>711</c:v>
                </c:pt>
                <c:pt idx="4161">
                  <c:v>712</c:v>
                </c:pt>
                <c:pt idx="4162">
                  <c:v>712</c:v>
                </c:pt>
                <c:pt idx="4163">
                  <c:v>711</c:v>
                </c:pt>
                <c:pt idx="4164">
                  <c:v>711</c:v>
                </c:pt>
                <c:pt idx="4165">
                  <c:v>711</c:v>
                </c:pt>
                <c:pt idx="4166">
                  <c:v>711</c:v>
                </c:pt>
                <c:pt idx="4167">
                  <c:v>711</c:v>
                </c:pt>
                <c:pt idx="4168">
                  <c:v>711</c:v>
                </c:pt>
                <c:pt idx="4169">
                  <c:v>711</c:v>
                </c:pt>
                <c:pt idx="4170">
                  <c:v>712</c:v>
                </c:pt>
                <c:pt idx="4171">
                  <c:v>712</c:v>
                </c:pt>
                <c:pt idx="4172">
                  <c:v>712</c:v>
                </c:pt>
                <c:pt idx="4173">
                  <c:v>712</c:v>
                </c:pt>
                <c:pt idx="4174">
                  <c:v>712</c:v>
                </c:pt>
                <c:pt idx="4175">
                  <c:v>712</c:v>
                </c:pt>
                <c:pt idx="4176">
                  <c:v>712</c:v>
                </c:pt>
                <c:pt idx="4177">
                  <c:v>712</c:v>
                </c:pt>
                <c:pt idx="4178">
                  <c:v>712</c:v>
                </c:pt>
                <c:pt idx="4179">
                  <c:v>712</c:v>
                </c:pt>
                <c:pt idx="4180">
                  <c:v>712</c:v>
                </c:pt>
                <c:pt idx="4181">
                  <c:v>712</c:v>
                </c:pt>
                <c:pt idx="4182">
                  <c:v>711</c:v>
                </c:pt>
                <c:pt idx="4183">
                  <c:v>711</c:v>
                </c:pt>
                <c:pt idx="4184">
                  <c:v>711</c:v>
                </c:pt>
                <c:pt idx="4185">
                  <c:v>711</c:v>
                </c:pt>
                <c:pt idx="4186">
                  <c:v>710</c:v>
                </c:pt>
                <c:pt idx="4187">
                  <c:v>710</c:v>
                </c:pt>
                <c:pt idx="4188">
                  <c:v>710</c:v>
                </c:pt>
                <c:pt idx="4189">
                  <c:v>709</c:v>
                </c:pt>
                <c:pt idx="4190">
                  <c:v>709</c:v>
                </c:pt>
                <c:pt idx="4191">
                  <c:v>709</c:v>
                </c:pt>
                <c:pt idx="4192">
                  <c:v>709</c:v>
                </c:pt>
                <c:pt idx="4193">
                  <c:v>709</c:v>
                </c:pt>
                <c:pt idx="4194">
                  <c:v>709</c:v>
                </c:pt>
                <c:pt idx="4195">
                  <c:v>710</c:v>
                </c:pt>
                <c:pt idx="4196">
                  <c:v>710</c:v>
                </c:pt>
                <c:pt idx="4197">
                  <c:v>711</c:v>
                </c:pt>
                <c:pt idx="4198">
                  <c:v>710</c:v>
                </c:pt>
                <c:pt idx="4199">
                  <c:v>710</c:v>
                </c:pt>
                <c:pt idx="4200">
                  <c:v>710</c:v>
                </c:pt>
                <c:pt idx="4201">
                  <c:v>711</c:v>
                </c:pt>
                <c:pt idx="4202">
                  <c:v>711</c:v>
                </c:pt>
                <c:pt idx="4203">
                  <c:v>711</c:v>
                </c:pt>
                <c:pt idx="4204">
                  <c:v>711</c:v>
                </c:pt>
                <c:pt idx="4205">
                  <c:v>711</c:v>
                </c:pt>
                <c:pt idx="4206">
                  <c:v>711</c:v>
                </c:pt>
                <c:pt idx="4207">
                  <c:v>711</c:v>
                </c:pt>
                <c:pt idx="4208">
                  <c:v>711</c:v>
                </c:pt>
                <c:pt idx="4209">
                  <c:v>710</c:v>
                </c:pt>
                <c:pt idx="4210">
                  <c:v>710</c:v>
                </c:pt>
                <c:pt idx="4211">
                  <c:v>709</c:v>
                </c:pt>
                <c:pt idx="4212">
                  <c:v>709</c:v>
                </c:pt>
                <c:pt idx="4213">
                  <c:v>709</c:v>
                </c:pt>
                <c:pt idx="4214">
                  <c:v>709</c:v>
                </c:pt>
                <c:pt idx="4215">
                  <c:v>708</c:v>
                </c:pt>
                <c:pt idx="4216">
                  <c:v>708</c:v>
                </c:pt>
                <c:pt idx="4217">
                  <c:v>709</c:v>
                </c:pt>
                <c:pt idx="4218">
                  <c:v>709</c:v>
                </c:pt>
                <c:pt idx="4219">
                  <c:v>709</c:v>
                </c:pt>
                <c:pt idx="4220">
                  <c:v>710</c:v>
                </c:pt>
                <c:pt idx="4221">
                  <c:v>710</c:v>
                </c:pt>
                <c:pt idx="4222">
                  <c:v>711</c:v>
                </c:pt>
                <c:pt idx="4223">
                  <c:v>711</c:v>
                </c:pt>
                <c:pt idx="4224">
                  <c:v>711</c:v>
                </c:pt>
                <c:pt idx="4225">
                  <c:v>711</c:v>
                </c:pt>
                <c:pt idx="4226">
                  <c:v>711</c:v>
                </c:pt>
                <c:pt idx="4227">
                  <c:v>711</c:v>
                </c:pt>
                <c:pt idx="4228">
                  <c:v>711</c:v>
                </c:pt>
                <c:pt idx="4229">
                  <c:v>712</c:v>
                </c:pt>
                <c:pt idx="4230">
                  <c:v>712</c:v>
                </c:pt>
                <c:pt idx="4231">
                  <c:v>712</c:v>
                </c:pt>
                <c:pt idx="4232">
                  <c:v>712</c:v>
                </c:pt>
                <c:pt idx="4233">
                  <c:v>711</c:v>
                </c:pt>
                <c:pt idx="4234">
                  <c:v>711</c:v>
                </c:pt>
                <c:pt idx="4235">
                  <c:v>711</c:v>
                </c:pt>
                <c:pt idx="4236">
                  <c:v>710</c:v>
                </c:pt>
                <c:pt idx="4237">
                  <c:v>710</c:v>
                </c:pt>
                <c:pt idx="4238">
                  <c:v>710</c:v>
                </c:pt>
                <c:pt idx="4239">
                  <c:v>710</c:v>
                </c:pt>
                <c:pt idx="4240">
                  <c:v>709</c:v>
                </c:pt>
                <c:pt idx="4241">
                  <c:v>709</c:v>
                </c:pt>
                <c:pt idx="4242">
                  <c:v>709</c:v>
                </c:pt>
                <c:pt idx="4243">
                  <c:v>710</c:v>
                </c:pt>
                <c:pt idx="4244">
                  <c:v>710</c:v>
                </c:pt>
                <c:pt idx="4245">
                  <c:v>710</c:v>
                </c:pt>
                <c:pt idx="4246">
                  <c:v>710</c:v>
                </c:pt>
                <c:pt idx="4247">
                  <c:v>710</c:v>
                </c:pt>
                <c:pt idx="4248">
                  <c:v>711</c:v>
                </c:pt>
                <c:pt idx="4249">
                  <c:v>711</c:v>
                </c:pt>
                <c:pt idx="4250">
                  <c:v>711</c:v>
                </c:pt>
                <c:pt idx="4251">
                  <c:v>711</c:v>
                </c:pt>
                <c:pt idx="4252">
                  <c:v>711</c:v>
                </c:pt>
                <c:pt idx="4253">
                  <c:v>711</c:v>
                </c:pt>
                <c:pt idx="4254">
                  <c:v>711</c:v>
                </c:pt>
                <c:pt idx="4255">
                  <c:v>711</c:v>
                </c:pt>
                <c:pt idx="4256">
                  <c:v>711</c:v>
                </c:pt>
                <c:pt idx="4257">
                  <c:v>711</c:v>
                </c:pt>
                <c:pt idx="4258">
                  <c:v>711</c:v>
                </c:pt>
                <c:pt idx="4259">
                  <c:v>711</c:v>
                </c:pt>
                <c:pt idx="4260">
                  <c:v>710</c:v>
                </c:pt>
                <c:pt idx="4261">
                  <c:v>710</c:v>
                </c:pt>
                <c:pt idx="4262">
                  <c:v>709</c:v>
                </c:pt>
                <c:pt idx="4263">
                  <c:v>709</c:v>
                </c:pt>
                <c:pt idx="4264">
                  <c:v>708</c:v>
                </c:pt>
                <c:pt idx="4265">
                  <c:v>708</c:v>
                </c:pt>
                <c:pt idx="4266">
                  <c:v>709</c:v>
                </c:pt>
                <c:pt idx="4267">
                  <c:v>709</c:v>
                </c:pt>
                <c:pt idx="4268">
                  <c:v>709</c:v>
                </c:pt>
                <c:pt idx="4269">
                  <c:v>710</c:v>
                </c:pt>
                <c:pt idx="4270">
                  <c:v>709</c:v>
                </c:pt>
                <c:pt idx="4271">
                  <c:v>710</c:v>
                </c:pt>
                <c:pt idx="4272">
                  <c:v>710</c:v>
                </c:pt>
                <c:pt idx="4273">
                  <c:v>710</c:v>
                </c:pt>
                <c:pt idx="4274">
                  <c:v>710</c:v>
                </c:pt>
                <c:pt idx="4275">
                  <c:v>711</c:v>
                </c:pt>
                <c:pt idx="4276">
                  <c:v>711</c:v>
                </c:pt>
                <c:pt idx="4277">
                  <c:v>711</c:v>
                </c:pt>
                <c:pt idx="4278">
                  <c:v>711</c:v>
                </c:pt>
                <c:pt idx="4279">
                  <c:v>711</c:v>
                </c:pt>
                <c:pt idx="4280">
                  <c:v>711</c:v>
                </c:pt>
                <c:pt idx="4281">
                  <c:v>711</c:v>
                </c:pt>
                <c:pt idx="4282">
                  <c:v>711</c:v>
                </c:pt>
                <c:pt idx="4283">
                  <c:v>710</c:v>
                </c:pt>
                <c:pt idx="4284">
                  <c:v>710</c:v>
                </c:pt>
                <c:pt idx="4285">
                  <c:v>710</c:v>
                </c:pt>
                <c:pt idx="4286">
                  <c:v>709</c:v>
                </c:pt>
                <c:pt idx="4287">
                  <c:v>709</c:v>
                </c:pt>
                <c:pt idx="4288">
                  <c:v>708</c:v>
                </c:pt>
                <c:pt idx="4289">
                  <c:v>708</c:v>
                </c:pt>
                <c:pt idx="4290">
                  <c:v>708</c:v>
                </c:pt>
                <c:pt idx="4291">
                  <c:v>709</c:v>
                </c:pt>
                <c:pt idx="4292">
                  <c:v>709</c:v>
                </c:pt>
                <c:pt idx="4293">
                  <c:v>709</c:v>
                </c:pt>
                <c:pt idx="4294">
                  <c:v>709</c:v>
                </c:pt>
                <c:pt idx="4295">
                  <c:v>709</c:v>
                </c:pt>
                <c:pt idx="4296">
                  <c:v>709</c:v>
                </c:pt>
                <c:pt idx="4297">
                  <c:v>709</c:v>
                </c:pt>
                <c:pt idx="4298">
                  <c:v>710</c:v>
                </c:pt>
                <c:pt idx="4299">
                  <c:v>710</c:v>
                </c:pt>
                <c:pt idx="4300">
                  <c:v>711</c:v>
                </c:pt>
                <c:pt idx="4301">
                  <c:v>711</c:v>
                </c:pt>
                <c:pt idx="4302">
                  <c:v>711</c:v>
                </c:pt>
                <c:pt idx="4303">
                  <c:v>711</c:v>
                </c:pt>
                <c:pt idx="4304">
                  <c:v>711</c:v>
                </c:pt>
                <c:pt idx="4305">
                  <c:v>711</c:v>
                </c:pt>
                <c:pt idx="4306">
                  <c:v>711</c:v>
                </c:pt>
                <c:pt idx="4307">
                  <c:v>711</c:v>
                </c:pt>
                <c:pt idx="4308">
                  <c:v>710</c:v>
                </c:pt>
                <c:pt idx="4309">
                  <c:v>710</c:v>
                </c:pt>
                <c:pt idx="4310">
                  <c:v>709</c:v>
                </c:pt>
                <c:pt idx="4311">
                  <c:v>709</c:v>
                </c:pt>
                <c:pt idx="4312">
                  <c:v>709</c:v>
                </c:pt>
                <c:pt idx="4313">
                  <c:v>709</c:v>
                </c:pt>
                <c:pt idx="4314">
                  <c:v>709</c:v>
                </c:pt>
                <c:pt idx="4315">
                  <c:v>709</c:v>
                </c:pt>
                <c:pt idx="4316">
                  <c:v>710</c:v>
                </c:pt>
                <c:pt idx="4317">
                  <c:v>709</c:v>
                </c:pt>
                <c:pt idx="4318">
                  <c:v>709</c:v>
                </c:pt>
                <c:pt idx="4319">
                  <c:v>709</c:v>
                </c:pt>
                <c:pt idx="4320">
                  <c:v>710</c:v>
                </c:pt>
                <c:pt idx="4321">
                  <c:v>710</c:v>
                </c:pt>
                <c:pt idx="4322">
                  <c:v>710</c:v>
                </c:pt>
                <c:pt idx="4323">
                  <c:v>710</c:v>
                </c:pt>
                <c:pt idx="4324">
                  <c:v>711</c:v>
                </c:pt>
                <c:pt idx="4325">
                  <c:v>711</c:v>
                </c:pt>
                <c:pt idx="4326">
                  <c:v>711</c:v>
                </c:pt>
                <c:pt idx="4327">
                  <c:v>711</c:v>
                </c:pt>
                <c:pt idx="4328">
                  <c:v>711</c:v>
                </c:pt>
                <c:pt idx="4329">
                  <c:v>711</c:v>
                </c:pt>
                <c:pt idx="4330">
                  <c:v>710</c:v>
                </c:pt>
                <c:pt idx="4331">
                  <c:v>710</c:v>
                </c:pt>
                <c:pt idx="4332">
                  <c:v>709</c:v>
                </c:pt>
                <c:pt idx="4333">
                  <c:v>709</c:v>
                </c:pt>
                <c:pt idx="4334">
                  <c:v>709</c:v>
                </c:pt>
                <c:pt idx="4335">
                  <c:v>708</c:v>
                </c:pt>
                <c:pt idx="4336">
                  <c:v>708</c:v>
                </c:pt>
                <c:pt idx="4337">
                  <c:v>708</c:v>
                </c:pt>
                <c:pt idx="4338">
                  <c:v>709</c:v>
                </c:pt>
                <c:pt idx="4339">
                  <c:v>709</c:v>
                </c:pt>
                <c:pt idx="4340">
                  <c:v>709</c:v>
                </c:pt>
                <c:pt idx="4341">
                  <c:v>709</c:v>
                </c:pt>
                <c:pt idx="4342">
                  <c:v>710</c:v>
                </c:pt>
                <c:pt idx="4343">
                  <c:v>710</c:v>
                </c:pt>
                <c:pt idx="4344">
                  <c:v>710</c:v>
                </c:pt>
                <c:pt idx="4345">
                  <c:v>710</c:v>
                </c:pt>
                <c:pt idx="4346">
                  <c:v>711</c:v>
                </c:pt>
                <c:pt idx="4347">
                  <c:v>711</c:v>
                </c:pt>
                <c:pt idx="4348">
                  <c:v>711</c:v>
                </c:pt>
                <c:pt idx="4349">
                  <c:v>711</c:v>
                </c:pt>
                <c:pt idx="4350">
                  <c:v>711</c:v>
                </c:pt>
                <c:pt idx="4351">
                  <c:v>711</c:v>
                </c:pt>
                <c:pt idx="4352">
                  <c:v>711</c:v>
                </c:pt>
                <c:pt idx="4353">
                  <c:v>711</c:v>
                </c:pt>
                <c:pt idx="4354">
                  <c:v>710</c:v>
                </c:pt>
                <c:pt idx="4355">
                  <c:v>710</c:v>
                </c:pt>
                <c:pt idx="4356">
                  <c:v>710</c:v>
                </c:pt>
                <c:pt idx="4357">
                  <c:v>710</c:v>
                </c:pt>
                <c:pt idx="4358">
                  <c:v>710</c:v>
                </c:pt>
                <c:pt idx="4359">
                  <c:v>710</c:v>
                </c:pt>
                <c:pt idx="4360">
                  <c:v>710</c:v>
                </c:pt>
                <c:pt idx="4361">
                  <c:v>710</c:v>
                </c:pt>
                <c:pt idx="4362">
                  <c:v>710</c:v>
                </c:pt>
                <c:pt idx="4363">
                  <c:v>710</c:v>
                </c:pt>
                <c:pt idx="4364">
                  <c:v>710</c:v>
                </c:pt>
                <c:pt idx="4365">
                  <c:v>711</c:v>
                </c:pt>
                <c:pt idx="4366">
                  <c:v>711</c:v>
                </c:pt>
                <c:pt idx="4367">
                  <c:v>711</c:v>
                </c:pt>
                <c:pt idx="4368">
                  <c:v>711</c:v>
                </c:pt>
                <c:pt idx="4369">
                  <c:v>711</c:v>
                </c:pt>
                <c:pt idx="4370">
                  <c:v>711</c:v>
                </c:pt>
                <c:pt idx="4371">
                  <c:v>711</c:v>
                </c:pt>
                <c:pt idx="4372">
                  <c:v>711</c:v>
                </c:pt>
                <c:pt idx="4373">
                  <c:v>711</c:v>
                </c:pt>
                <c:pt idx="4374">
                  <c:v>711</c:v>
                </c:pt>
                <c:pt idx="4375">
                  <c:v>711</c:v>
                </c:pt>
                <c:pt idx="4376">
                  <c:v>711</c:v>
                </c:pt>
                <c:pt idx="4377">
                  <c:v>711</c:v>
                </c:pt>
                <c:pt idx="4378">
                  <c:v>711</c:v>
                </c:pt>
                <c:pt idx="4379">
                  <c:v>711</c:v>
                </c:pt>
                <c:pt idx="4380">
                  <c:v>711</c:v>
                </c:pt>
                <c:pt idx="4381">
                  <c:v>710</c:v>
                </c:pt>
                <c:pt idx="4382">
                  <c:v>710</c:v>
                </c:pt>
                <c:pt idx="4383">
                  <c:v>710</c:v>
                </c:pt>
                <c:pt idx="4384">
                  <c:v>710</c:v>
                </c:pt>
                <c:pt idx="4385">
                  <c:v>710</c:v>
                </c:pt>
                <c:pt idx="4386">
                  <c:v>710</c:v>
                </c:pt>
                <c:pt idx="4387">
                  <c:v>711</c:v>
                </c:pt>
                <c:pt idx="4388">
                  <c:v>711</c:v>
                </c:pt>
                <c:pt idx="4389">
                  <c:v>711</c:v>
                </c:pt>
                <c:pt idx="4390">
                  <c:v>711</c:v>
                </c:pt>
                <c:pt idx="4391">
                  <c:v>711</c:v>
                </c:pt>
                <c:pt idx="4392">
                  <c:v>711</c:v>
                </c:pt>
                <c:pt idx="4393">
                  <c:v>711</c:v>
                </c:pt>
                <c:pt idx="4394">
                  <c:v>712</c:v>
                </c:pt>
                <c:pt idx="4395">
                  <c:v>712</c:v>
                </c:pt>
                <c:pt idx="4396">
                  <c:v>712</c:v>
                </c:pt>
                <c:pt idx="4397">
                  <c:v>712</c:v>
                </c:pt>
                <c:pt idx="4398">
                  <c:v>712</c:v>
                </c:pt>
                <c:pt idx="4399">
                  <c:v>712</c:v>
                </c:pt>
                <c:pt idx="4400">
                  <c:v>712</c:v>
                </c:pt>
                <c:pt idx="4401">
                  <c:v>712</c:v>
                </c:pt>
                <c:pt idx="4402">
                  <c:v>711</c:v>
                </c:pt>
                <c:pt idx="4403">
                  <c:v>711</c:v>
                </c:pt>
                <c:pt idx="4404">
                  <c:v>711</c:v>
                </c:pt>
                <c:pt idx="4405">
                  <c:v>711</c:v>
                </c:pt>
                <c:pt idx="4406">
                  <c:v>710</c:v>
                </c:pt>
                <c:pt idx="4407">
                  <c:v>710</c:v>
                </c:pt>
                <c:pt idx="4408">
                  <c:v>710</c:v>
                </c:pt>
                <c:pt idx="4409">
                  <c:v>710</c:v>
                </c:pt>
                <c:pt idx="4410">
                  <c:v>710</c:v>
                </c:pt>
                <c:pt idx="4411">
                  <c:v>710</c:v>
                </c:pt>
                <c:pt idx="4412">
                  <c:v>710</c:v>
                </c:pt>
                <c:pt idx="4413">
                  <c:v>711</c:v>
                </c:pt>
                <c:pt idx="4414">
                  <c:v>711</c:v>
                </c:pt>
                <c:pt idx="4415">
                  <c:v>711</c:v>
                </c:pt>
                <c:pt idx="4416">
                  <c:v>711</c:v>
                </c:pt>
                <c:pt idx="4417">
                  <c:v>711</c:v>
                </c:pt>
                <c:pt idx="4418">
                  <c:v>711</c:v>
                </c:pt>
                <c:pt idx="4419">
                  <c:v>711</c:v>
                </c:pt>
                <c:pt idx="4420">
                  <c:v>712</c:v>
                </c:pt>
                <c:pt idx="4421">
                  <c:v>712</c:v>
                </c:pt>
                <c:pt idx="4422">
                  <c:v>712</c:v>
                </c:pt>
                <c:pt idx="4423">
                  <c:v>712</c:v>
                </c:pt>
                <c:pt idx="4424">
                  <c:v>712</c:v>
                </c:pt>
                <c:pt idx="4425">
                  <c:v>712</c:v>
                </c:pt>
                <c:pt idx="4426">
                  <c:v>712</c:v>
                </c:pt>
                <c:pt idx="4427">
                  <c:v>712</c:v>
                </c:pt>
                <c:pt idx="4428">
                  <c:v>712</c:v>
                </c:pt>
                <c:pt idx="4429">
                  <c:v>712</c:v>
                </c:pt>
                <c:pt idx="4430">
                  <c:v>712</c:v>
                </c:pt>
                <c:pt idx="4431">
                  <c:v>712</c:v>
                </c:pt>
                <c:pt idx="4432">
                  <c:v>713</c:v>
                </c:pt>
                <c:pt idx="4433">
                  <c:v>713</c:v>
                </c:pt>
                <c:pt idx="4434">
                  <c:v>713</c:v>
                </c:pt>
                <c:pt idx="4435">
                  <c:v>713</c:v>
                </c:pt>
                <c:pt idx="4436">
                  <c:v>713</c:v>
                </c:pt>
                <c:pt idx="4437">
                  <c:v>713</c:v>
                </c:pt>
                <c:pt idx="4438">
                  <c:v>713</c:v>
                </c:pt>
                <c:pt idx="4439">
                  <c:v>714</c:v>
                </c:pt>
                <c:pt idx="4440">
                  <c:v>713</c:v>
                </c:pt>
                <c:pt idx="4441">
                  <c:v>714</c:v>
                </c:pt>
                <c:pt idx="4442">
                  <c:v>714</c:v>
                </c:pt>
                <c:pt idx="4443">
                  <c:v>714</c:v>
                </c:pt>
                <c:pt idx="4444">
                  <c:v>714</c:v>
                </c:pt>
                <c:pt idx="4445">
                  <c:v>714</c:v>
                </c:pt>
                <c:pt idx="4446">
                  <c:v>714</c:v>
                </c:pt>
                <c:pt idx="4447">
                  <c:v>714</c:v>
                </c:pt>
                <c:pt idx="4448">
                  <c:v>715</c:v>
                </c:pt>
                <c:pt idx="4449">
                  <c:v>715</c:v>
                </c:pt>
                <c:pt idx="4450">
                  <c:v>715</c:v>
                </c:pt>
                <c:pt idx="4451">
                  <c:v>715</c:v>
                </c:pt>
                <c:pt idx="4452">
                  <c:v>715</c:v>
                </c:pt>
                <c:pt idx="4453">
                  <c:v>714</c:v>
                </c:pt>
                <c:pt idx="4454">
                  <c:v>714</c:v>
                </c:pt>
                <c:pt idx="4455">
                  <c:v>714</c:v>
                </c:pt>
                <c:pt idx="4456">
                  <c:v>714</c:v>
                </c:pt>
                <c:pt idx="4457">
                  <c:v>714</c:v>
                </c:pt>
                <c:pt idx="4458">
                  <c:v>714</c:v>
                </c:pt>
                <c:pt idx="4459">
                  <c:v>714</c:v>
                </c:pt>
                <c:pt idx="4460">
                  <c:v>714</c:v>
                </c:pt>
                <c:pt idx="4461">
                  <c:v>715</c:v>
                </c:pt>
                <c:pt idx="4462">
                  <c:v>715</c:v>
                </c:pt>
                <c:pt idx="4463">
                  <c:v>715</c:v>
                </c:pt>
                <c:pt idx="4464">
                  <c:v>715</c:v>
                </c:pt>
                <c:pt idx="4465">
                  <c:v>715</c:v>
                </c:pt>
                <c:pt idx="4466">
                  <c:v>715</c:v>
                </c:pt>
                <c:pt idx="4467">
                  <c:v>715</c:v>
                </c:pt>
                <c:pt idx="4468">
                  <c:v>715</c:v>
                </c:pt>
                <c:pt idx="4469">
                  <c:v>715</c:v>
                </c:pt>
                <c:pt idx="4470">
                  <c:v>715</c:v>
                </c:pt>
                <c:pt idx="4471">
                  <c:v>715</c:v>
                </c:pt>
                <c:pt idx="4472">
                  <c:v>715</c:v>
                </c:pt>
                <c:pt idx="4473">
                  <c:v>715</c:v>
                </c:pt>
                <c:pt idx="4474">
                  <c:v>715</c:v>
                </c:pt>
                <c:pt idx="4475">
                  <c:v>715</c:v>
                </c:pt>
                <c:pt idx="4476">
                  <c:v>715</c:v>
                </c:pt>
                <c:pt idx="4477">
                  <c:v>715</c:v>
                </c:pt>
                <c:pt idx="4478">
                  <c:v>714</c:v>
                </c:pt>
                <c:pt idx="4479">
                  <c:v>714</c:v>
                </c:pt>
                <c:pt idx="4480">
                  <c:v>714</c:v>
                </c:pt>
                <c:pt idx="4481">
                  <c:v>714</c:v>
                </c:pt>
                <c:pt idx="4482">
                  <c:v>714</c:v>
                </c:pt>
                <c:pt idx="4483">
                  <c:v>715</c:v>
                </c:pt>
                <c:pt idx="4484">
                  <c:v>715</c:v>
                </c:pt>
                <c:pt idx="4485">
                  <c:v>715</c:v>
                </c:pt>
                <c:pt idx="4486">
                  <c:v>715</c:v>
                </c:pt>
                <c:pt idx="4487">
                  <c:v>715</c:v>
                </c:pt>
                <c:pt idx="4488">
                  <c:v>715</c:v>
                </c:pt>
                <c:pt idx="4489">
                  <c:v>715</c:v>
                </c:pt>
                <c:pt idx="4490">
                  <c:v>716</c:v>
                </c:pt>
                <c:pt idx="4491">
                  <c:v>716</c:v>
                </c:pt>
                <c:pt idx="4492">
                  <c:v>716</c:v>
                </c:pt>
                <c:pt idx="4493">
                  <c:v>716</c:v>
                </c:pt>
                <c:pt idx="4494">
                  <c:v>716</c:v>
                </c:pt>
                <c:pt idx="4495">
                  <c:v>716</c:v>
                </c:pt>
                <c:pt idx="4496">
                  <c:v>716</c:v>
                </c:pt>
                <c:pt idx="4497">
                  <c:v>716</c:v>
                </c:pt>
                <c:pt idx="4498">
                  <c:v>716</c:v>
                </c:pt>
                <c:pt idx="4499">
                  <c:v>715</c:v>
                </c:pt>
                <c:pt idx="4500">
                  <c:v>715</c:v>
                </c:pt>
                <c:pt idx="4501">
                  <c:v>715</c:v>
                </c:pt>
                <c:pt idx="4502">
                  <c:v>715</c:v>
                </c:pt>
                <c:pt idx="4503">
                  <c:v>715</c:v>
                </c:pt>
                <c:pt idx="4504">
                  <c:v>714</c:v>
                </c:pt>
                <c:pt idx="4505">
                  <c:v>714</c:v>
                </c:pt>
                <c:pt idx="4506">
                  <c:v>714</c:v>
                </c:pt>
                <c:pt idx="4507">
                  <c:v>714</c:v>
                </c:pt>
                <c:pt idx="4508">
                  <c:v>714</c:v>
                </c:pt>
                <c:pt idx="4509">
                  <c:v>714</c:v>
                </c:pt>
                <c:pt idx="4510">
                  <c:v>714</c:v>
                </c:pt>
                <c:pt idx="4511">
                  <c:v>714</c:v>
                </c:pt>
                <c:pt idx="4512">
                  <c:v>714</c:v>
                </c:pt>
                <c:pt idx="4513">
                  <c:v>714</c:v>
                </c:pt>
                <c:pt idx="4514">
                  <c:v>714</c:v>
                </c:pt>
                <c:pt idx="4515">
                  <c:v>714</c:v>
                </c:pt>
                <c:pt idx="4516">
                  <c:v>714</c:v>
                </c:pt>
                <c:pt idx="4517">
                  <c:v>714</c:v>
                </c:pt>
                <c:pt idx="4518">
                  <c:v>713</c:v>
                </c:pt>
                <c:pt idx="4519">
                  <c:v>714</c:v>
                </c:pt>
                <c:pt idx="4520">
                  <c:v>713</c:v>
                </c:pt>
                <c:pt idx="4521">
                  <c:v>713</c:v>
                </c:pt>
                <c:pt idx="4522">
                  <c:v>713</c:v>
                </c:pt>
                <c:pt idx="4523">
                  <c:v>713</c:v>
                </c:pt>
                <c:pt idx="4524">
                  <c:v>713</c:v>
                </c:pt>
                <c:pt idx="4525">
                  <c:v>713</c:v>
                </c:pt>
                <c:pt idx="4526">
                  <c:v>712</c:v>
                </c:pt>
                <c:pt idx="4527">
                  <c:v>712</c:v>
                </c:pt>
                <c:pt idx="4528">
                  <c:v>713</c:v>
                </c:pt>
                <c:pt idx="4529">
                  <c:v>713</c:v>
                </c:pt>
                <c:pt idx="4530">
                  <c:v>713</c:v>
                </c:pt>
                <c:pt idx="4531">
                  <c:v>713</c:v>
                </c:pt>
                <c:pt idx="4532">
                  <c:v>713</c:v>
                </c:pt>
                <c:pt idx="4533">
                  <c:v>713</c:v>
                </c:pt>
                <c:pt idx="4534">
                  <c:v>713</c:v>
                </c:pt>
                <c:pt idx="4535">
                  <c:v>713</c:v>
                </c:pt>
                <c:pt idx="4536">
                  <c:v>713</c:v>
                </c:pt>
                <c:pt idx="4537">
                  <c:v>714</c:v>
                </c:pt>
                <c:pt idx="4538">
                  <c:v>714</c:v>
                </c:pt>
                <c:pt idx="4539">
                  <c:v>714</c:v>
                </c:pt>
                <c:pt idx="4540">
                  <c:v>714</c:v>
                </c:pt>
                <c:pt idx="4541">
                  <c:v>714</c:v>
                </c:pt>
                <c:pt idx="4542">
                  <c:v>713</c:v>
                </c:pt>
                <c:pt idx="4543">
                  <c:v>713</c:v>
                </c:pt>
                <c:pt idx="4544">
                  <c:v>713</c:v>
                </c:pt>
                <c:pt idx="4545">
                  <c:v>713</c:v>
                </c:pt>
                <c:pt idx="4546">
                  <c:v>713</c:v>
                </c:pt>
                <c:pt idx="4547">
                  <c:v>712</c:v>
                </c:pt>
                <c:pt idx="4548">
                  <c:v>712</c:v>
                </c:pt>
                <c:pt idx="4549">
                  <c:v>711</c:v>
                </c:pt>
                <c:pt idx="4550">
                  <c:v>711</c:v>
                </c:pt>
                <c:pt idx="4551">
                  <c:v>710</c:v>
                </c:pt>
                <c:pt idx="4552">
                  <c:v>710</c:v>
                </c:pt>
                <c:pt idx="4553">
                  <c:v>710</c:v>
                </c:pt>
                <c:pt idx="4554">
                  <c:v>710</c:v>
                </c:pt>
                <c:pt idx="4555">
                  <c:v>710</c:v>
                </c:pt>
                <c:pt idx="4556">
                  <c:v>710</c:v>
                </c:pt>
                <c:pt idx="4557">
                  <c:v>710</c:v>
                </c:pt>
                <c:pt idx="4558">
                  <c:v>711</c:v>
                </c:pt>
                <c:pt idx="4559">
                  <c:v>711</c:v>
                </c:pt>
                <c:pt idx="4560">
                  <c:v>711</c:v>
                </c:pt>
                <c:pt idx="4561">
                  <c:v>712</c:v>
                </c:pt>
                <c:pt idx="4562">
                  <c:v>712</c:v>
                </c:pt>
                <c:pt idx="4563">
                  <c:v>712</c:v>
                </c:pt>
                <c:pt idx="4564">
                  <c:v>712</c:v>
                </c:pt>
                <c:pt idx="4565">
                  <c:v>712</c:v>
                </c:pt>
                <c:pt idx="4566">
                  <c:v>712</c:v>
                </c:pt>
                <c:pt idx="4567">
                  <c:v>712</c:v>
                </c:pt>
                <c:pt idx="4568">
                  <c:v>712</c:v>
                </c:pt>
                <c:pt idx="4569">
                  <c:v>712</c:v>
                </c:pt>
                <c:pt idx="4570">
                  <c:v>711</c:v>
                </c:pt>
                <c:pt idx="4571">
                  <c:v>711</c:v>
                </c:pt>
                <c:pt idx="4572">
                  <c:v>710</c:v>
                </c:pt>
                <c:pt idx="4573">
                  <c:v>709</c:v>
                </c:pt>
                <c:pt idx="4574">
                  <c:v>709</c:v>
                </c:pt>
                <c:pt idx="4575">
                  <c:v>709</c:v>
                </c:pt>
                <c:pt idx="4576">
                  <c:v>709</c:v>
                </c:pt>
                <c:pt idx="4577">
                  <c:v>709</c:v>
                </c:pt>
                <c:pt idx="4578">
                  <c:v>709</c:v>
                </c:pt>
                <c:pt idx="4579">
                  <c:v>709</c:v>
                </c:pt>
                <c:pt idx="4580">
                  <c:v>710</c:v>
                </c:pt>
                <c:pt idx="4581">
                  <c:v>710</c:v>
                </c:pt>
                <c:pt idx="4582">
                  <c:v>710</c:v>
                </c:pt>
                <c:pt idx="4583">
                  <c:v>710</c:v>
                </c:pt>
                <c:pt idx="4584">
                  <c:v>710</c:v>
                </c:pt>
                <c:pt idx="4585">
                  <c:v>710</c:v>
                </c:pt>
                <c:pt idx="4586">
                  <c:v>710</c:v>
                </c:pt>
                <c:pt idx="4587">
                  <c:v>711</c:v>
                </c:pt>
                <c:pt idx="4588">
                  <c:v>711</c:v>
                </c:pt>
                <c:pt idx="4589">
                  <c:v>711</c:v>
                </c:pt>
                <c:pt idx="4590">
                  <c:v>711</c:v>
                </c:pt>
                <c:pt idx="4591">
                  <c:v>711</c:v>
                </c:pt>
                <c:pt idx="4592">
                  <c:v>710</c:v>
                </c:pt>
                <c:pt idx="4593">
                  <c:v>710</c:v>
                </c:pt>
                <c:pt idx="4594">
                  <c:v>708</c:v>
                </c:pt>
                <c:pt idx="4595">
                  <c:v>708</c:v>
                </c:pt>
                <c:pt idx="4596">
                  <c:v>707</c:v>
                </c:pt>
                <c:pt idx="4597">
                  <c:v>707</c:v>
                </c:pt>
                <c:pt idx="4598">
                  <c:v>707</c:v>
                </c:pt>
                <c:pt idx="4599">
                  <c:v>707</c:v>
                </c:pt>
                <c:pt idx="4600">
                  <c:v>707</c:v>
                </c:pt>
                <c:pt idx="4601">
                  <c:v>707</c:v>
                </c:pt>
                <c:pt idx="4602">
                  <c:v>706</c:v>
                </c:pt>
                <c:pt idx="4603">
                  <c:v>706</c:v>
                </c:pt>
                <c:pt idx="4604">
                  <c:v>706</c:v>
                </c:pt>
                <c:pt idx="4605">
                  <c:v>706</c:v>
                </c:pt>
                <c:pt idx="4606">
                  <c:v>706</c:v>
                </c:pt>
                <c:pt idx="4607">
                  <c:v>707</c:v>
                </c:pt>
                <c:pt idx="4608">
                  <c:v>707</c:v>
                </c:pt>
                <c:pt idx="4609">
                  <c:v>707</c:v>
                </c:pt>
                <c:pt idx="4610">
                  <c:v>707</c:v>
                </c:pt>
                <c:pt idx="4611">
                  <c:v>707</c:v>
                </c:pt>
                <c:pt idx="4612">
                  <c:v>707</c:v>
                </c:pt>
                <c:pt idx="4613">
                  <c:v>707</c:v>
                </c:pt>
                <c:pt idx="4614">
                  <c:v>707</c:v>
                </c:pt>
                <c:pt idx="4615">
                  <c:v>707</c:v>
                </c:pt>
                <c:pt idx="4616">
                  <c:v>707</c:v>
                </c:pt>
                <c:pt idx="4617">
                  <c:v>707</c:v>
                </c:pt>
                <c:pt idx="4618">
                  <c:v>706</c:v>
                </c:pt>
                <c:pt idx="4619">
                  <c:v>706</c:v>
                </c:pt>
                <c:pt idx="4620">
                  <c:v>706</c:v>
                </c:pt>
                <c:pt idx="4621">
                  <c:v>705</c:v>
                </c:pt>
                <c:pt idx="4622">
                  <c:v>705</c:v>
                </c:pt>
                <c:pt idx="4623">
                  <c:v>705</c:v>
                </c:pt>
                <c:pt idx="4624">
                  <c:v>705</c:v>
                </c:pt>
                <c:pt idx="4625">
                  <c:v>705</c:v>
                </c:pt>
                <c:pt idx="4626">
                  <c:v>705</c:v>
                </c:pt>
                <c:pt idx="4627">
                  <c:v>705</c:v>
                </c:pt>
                <c:pt idx="4628">
                  <c:v>706</c:v>
                </c:pt>
                <c:pt idx="4629">
                  <c:v>706</c:v>
                </c:pt>
                <c:pt idx="4630">
                  <c:v>706</c:v>
                </c:pt>
                <c:pt idx="4631">
                  <c:v>706</c:v>
                </c:pt>
                <c:pt idx="4632">
                  <c:v>706</c:v>
                </c:pt>
                <c:pt idx="4633">
                  <c:v>706</c:v>
                </c:pt>
                <c:pt idx="4634">
                  <c:v>706</c:v>
                </c:pt>
                <c:pt idx="4635">
                  <c:v>706</c:v>
                </c:pt>
                <c:pt idx="4636">
                  <c:v>706</c:v>
                </c:pt>
                <c:pt idx="4637">
                  <c:v>706</c:v>
                </c:pt>
                <c:pt idx="4638">
                  <c:v>706</c:v>
                </c:pt>
                <c:pt idx="4639">
                  <c:v>706</c:v>
                </c:pt>
                <c:pt idx="4640">
                  <c:v>706</c:v>
                </c:pt>
                <c:pt idx="4641">
                  <c:v>706</c:v>
                </c:pt>
                <c:pt idx="4642">
                  <c:v>706</c:v>
                </c:pt>
                <c:pt idx="4643">
                  <c:v>706</c:v>
                </c:pt>
                <c:pt idx="4644">
                  <c:v>705</c:v>
                </c:pt>
                <c:pt idx="4645">
                  <c:v>705</c:v>
                </c:pt>
                <c:pt idx="4646">
                  <c:v>704</c:v>
                </c:pt>
                <c:pt idx="4647">
                  <c:v>704</c:v>
                </c:pt>
                <c:pt idx="4648">
                  <c:v>704</c:v>
                </c:pt>
                <c:pt idx="4649">
                  <c:v>704</c:v>
                </c:pt>
                <c:pt idx="4650">
                  <c:v>705</c:v>
                </c:pt>
                <c:pt idx="4651">
                  <c:v>705</c:v>
                </c:pt>
                <c:pt idx="4652">
                  <c:v>705</c:v>
                </c:pt>
                <c:pt idx="4653">
                  <c:v>705</c:v>
                </c:pt>
                <c:pt idx="4654">
                  <c:v>705</c:v>
                </c:pt>
                <c:pt idx="4655">
                  <c:v>705</c:v>
                </c:pt>
                <c:pt idx="4656">
                  <c:v>705</c:v>
                </c:pt>
                <c:pt idx="4657">
                  <c:v>705</c:v>
                </c:pt>
                <c:pt idx="4658">
                  <c:v>705</c:v>
                </c:pt>
                <c:pt idx="4659">
                  <c:v>705</c:v>
                </c:pt>
                <c:pt idx="4660">
                  <c:v>706</c:v>
                </c:pt>
                <c:pt idx="4661">
                  <c:v>706</c:v>
                </c:pt>
                <c:pt idx="4662">
                  <c:v>706</c:v>
                </c:pt>
                <c:pt idx="4663">
                  <c:v>706</c:v>
                </c:pt>
                <c:pt idx="4664">
                  <c:v>706</c:v>
                </c:pt>
                <c:pt idx="4665">
                  <c:v>706</c:v>
                </c:pt>
                <c:pt idx="4666">
                  <c:v>705</c:v>
                </c:pt>
                <c:pt idx="4667">
                  <c:v>705</c:v>
                </c:pt>
                <c:pt idx="4668">
                  <c:v>705</c:v>
                </c:pt>
                <c:pt idx="4669">
                  <c:v>705</c:v>
                </c:pt>
                <c:pt idx="4670">
                  <c:v>705</c:v>
                </c:pt>
                <c:pt idx="4671">
                  <c:v>705</c:v>
                </c:pt>
                <c:pt idx="4672">
                  <c:v>705</c:v>
                </c:pt>
                <c:pt idx="4673">
                  <c:v>705</c:v>
                </c:pt>
                <c:pt idx="4674">
                  <c:v>705</c:v>
                </c:pt>
                <c:pt idx="4675">
                  <c:v>706</c:v>
                </c:pt>
                <c:pt idx="4676">
                  <c:v>706</c:v>
                </c:pt>
                <c:pt idx="4677">
                  <c:v>706</c:v>
                </c:pt>
                <c:pt idx="4678">
                  <c:v>706</c:v>
                </c:pt>
                <c:pt idx="4679">
                  <c:v>706</c:v>
                </c:pt>
                <c:pt idx="4680">
                  <c:v>706</c:v>
                </c:pt>
                <c:pt idx="4681">
                  <c:v>706</c:v>
                </c:pt>
                <c:pt idx="4682">
                  <c:v>706</c:v>
                </c:pt>
                <c:pt idx="4683">
                  <c:v>706</c:v>
                </c:pt>
                <c:pt idx="4684">
                  <c:v>707</c:v>
                </c:pt>
                <c:pt idx="4685">
                  <c:v>707</c:v>
                </c:pt>
                <c:pt idx="4686">
                  <c:v>707</c:v>
                </c:pt>
                <c:pt idx="4687">
                  <c:v>707</c:v>
                </c:pt>
                <c:pt idx="4688">
                  <c:v>708</c:v>
                </c:pt>
                <c:pt idx="4689">
                  <c:v>708</c:v>
                </c:pt>
                <c:pt idx="4690">
                  <c:v>708</c:v>
                </c:pt>
                <c:pt idx="4691">
                  <c:v>708</c:v>
                </c:pt>
                <c:pt idx="4692">
                  <c:v>708</c:v>
                </c:pt>
                <c:pt idx="4693">
                  <c:v>707</c:v>
                </c:pt>
                <c:pt idx="4694">
                  <c:v>707</c:v>
                </c:pt>
                <c:pt idx="4695">
                  <c:v>707</c:v>
                </c:pt>
                <c:pt idx="4696">
                  <c:v>707</c:v>
                </c:pt>
                <c:pt idx="4697">
                  <c:v>707</c:v>
                </c:pt>
                <c:pt idx="4698">
                  <c:v>708</c:v>
                </c:pt>
                <c:pt idx="4699">
                  <c:v>708</c:v>
                </c:pt>
                <c:pt idx="4700">
                  <c:v>708</c:v>
                </c:pt>
                <c:pt idx="4701">
                  <c:v>708</c:v>
                </c:pt>
                <c:pt idx="4702">
                  <c:v>708</c:v>
                </c:pt>
                <c:pt idx="4703">
                  <c:v>708</c:v>
                </c:pt>
                <c:pt idx="4704">
                  <c:v>709</c:v>
                </c:pt>
                <c:pt idx="4705">
                  <c:v>709</c:v>
                </c:pt>
                <c:pt idx="4706">
                  <c:v>709</c:v>
                </c:pt>
                <c:pt idx="4707">
                  <c:v>709</c:v>
                </c:pt>
                <c:pt idx="4708">
                  <c:v>709</c:v>
                </c:pt>
                <c:pt idx="4709">
                  <c:v>709</c:v>
                </c:pt>
                <c:pt idx="4710">
                  <c:v>709</c:v>
                </c:pt>
                <c:pt idx="4711">
                  <c:v>709</c:v>
                </c:pt>
                <c:pt idx="4712">
                  <c:v>709</c:v>
                </c:pt>
                <c:pt idx="4713">
                  <c:v>709</c:v>
                </c:pt>
                <c:pt idx="4714">
                  <c:v>709</c:v>
                </c:pt>
                <c:pt idx="4715">
                  <c:v>709</c:v>
                </c:pt>
                <c:pt idx="4716">
                  <c:v>709</c:v>
                </c:pt>
                <c:pt idx="4717">
                  <c:v>709</c:v>
                </c:pt>
                <c:pt idx="4718">
                  <c:v>709</c:v>
                </c:pt>
                <c:pt idx="4719">
                  <c:v>709</c:v>
                </c:pt>
                <c:pt idx="4720">
                  <c:v>709</c:v>
                </c:pt>
                <c:pt idx="4721">
                  <c:v>708</c:v>
                </c:pt>
                <c:pt idx="4722">
                  <c:v>709</c:v>
                </c:pt>
                <c:pt idx="4723">
                  <c:v>709</c:v>
                </c:pt>
                <c:pt idx="4724">
                  <c:v>709</c:v>
                </c:pt>
                <c:pt idx="4725">
                  <c:v>709</c:v>
                </c:pt>
                <c:pt idx="4726">
                  <c:v>709</c:v>
                </c:pt>
                <c:pt idx="4727">
                  <c:v>709</c:v>
                </c:pt>
                <c:pt idx="4728">
                  <c:v>710</c:v>
                </c:pt>
                <c:pt idx="4729">
                  <c:v>710</c:v>
                </c:pt>
                <c:pt idx="4730">
                  <c:v>710</c:v>
                </c:pt>
                <c:pt idx="4731">
                  <c:v>710</c:v>
                </c:pt>
                <c:pt idx="4732">
                  <c:v>710</c:v>
                </c:pt>
                <c:pt idx="4733">
                  <c:v>710</c:v>
                </c:pt>
                <c:pt idx="4734">
                  <c:v>710</c:v>
                </c:pt>
                <c:pt idx="4735">
                  <c:v>710</c:v>
                </c:pt>
                <c:pt idx="4736">
                  <c:v>710</c:v>
                </c:pt>
                <c:pt idx="4737">
                  <c:v>711</c:v>
                </c:pt>
                <c:pt idx="4738">
                  <c:v>711</c:v>
                </c:pt>
                <c:pt idx="4739">
                  <c:v>711</c:v>
                </c:pt>
                <c:pt idx="4740">
                  <c:v>711</c:v>
                </c:pt>
                <c:pt idx="4741">
                  <c:v>711</c:v>
                </c:pt>
                <c:pt idx="4742">
                  <c:v>710</c:v>
                </c:pt>
                <c:pt idx="4743">
                  <c:v>710</c:v>
                </c:pt>
                <c:pt idx="4744">
                  <c:v>710</c:v>
                </c:pt>
                <c:pt idx="4745">
                  <c:v>710</c:v>
                </c:pt>
                <c:pt idx="4746">
                  <c:v>710</c:v>
                </c:pt>
                <c:pt idx="4747">
                  <c:v>710</c:v>
                </c:pt>
                <c:pt idx="4748">
                  <c:v>711</c:v>
                </c:pt>
                <c:pt idx="4749">
                  <c:v>711</c:v>
                </c:pt>
                <c:pt idx="4750">
                  <c:v>711</c:v>
                </c:pt>
                <c:pt idx="4751">
                  <c:v>711</c:v>
                </c:pt>
                <c:pt idx="4752">
                  <c:v>711</c:v>
                </c:pt>
                <c:pt idx="4753">
                  <c:v>711</c:v>
                </c:pt>
                <c:pt idx="4754">
                  <c:v>711</c:v>
                </c:pt>
                <c:pt idx="4755">
                  <c:v>712</c:v>
                </c:pt>
                <c:pt idx="4756">
                  <c:v>712</c:v>
                </c:pt>
                <c:pt idx="4757">
                  <c:v>712</c:v>
                </c:pt>
                <c:pt idx="4758">
                  <c:v>712</c:v>
                </c:pt>
                <c:pt idx="4759">
                  <c:v>712</c:v>
                </c:pt>
                <c:pt idx="4760">
                  <c:v>712</c:v>
                </c:pt>
                <c:pt idx="4761">
                  <c:v>712</c:v>
                </c:pt>
                <c:pt idx="4762">
                  <c:v>712</c:v>
                </c:pt>
                <c:pt idx="4763">
                  <c:v>712</c:v>
                </c:pt>
                <c:pt idx="4764">
                  <c:v>712</c:v>
                </c:pt>
                <c:pt idx="4765">
                  <c:v>712</c:v>
                </c:pt>
                <c:pt idx="4766">
                  <c:v>712</c:v>
                </c:pt>
                <c:pt idx="4767">
                  <c:v>712</c:v>
                </c:pt>
                <c:pt idx="4768">
                  <c:v>712</c:v>
                </c:pt>
                <c:pt idx="4769">
                  <c:v>712</c:v>
                </c:pt>
                <c:pt idx="4770">
                  <c:v>712</c:v>
                </c:pt>
                <c:pt idx="4771">
                  <c:v>712</c:v>
                </c:pt>
                <c:pt idx="4772">
                  <c:v>713</c:v>
                </c:pt>
                <c:pt idx="4773">
                  <c:v>713</c:v>
                </c:pt>
                <c:pt idx="4774">
                  <c:v>713</c:v>
                </c:pt>
                <c:pt idx="4775">
                  <c:v>713</c:v>
                </c:pt>
                <c:pt idx="4776">
                  <c:v>714</c:v>
                </c:pt>
                <c:pt idx="4777">
                  <c:v>714</c:v>
                </c:pt>
                <c:pt idx="4778">
                  <c:v>714</c:v>
                </c:pt>
                <c:pt idx="4779">
                  <c:v>715</c:v>
                </c:pt>
                <c:pt idx="4780">
                  <c:v>715</c:v>
                </c:pt>
                <c:pt idx="4781">
                  <c:v>715</c:v>
                </c:pt>
                <c:pt idx="4782">
                  <c:v>715</c:v>
                </c:pt>
                <c:pt idx="4783">
                  <c:v>716</c:v>
                </c:pt>
                <c:pt idx="4784">
                  <c:v>716</c:v>
                </c:pt>
                <c:pt idx="4785">
                  <c:v>716</c:v>
                </c:pt>
                <c:pt idx="4786">
                  <c:v>716</c:v>
                </c:pt>
                <c:pt idx="4787">
                  <c:v>716</c:v>
                </c:pt>
                <c:pt idx="4788">
                  <c:v>716</c:v>
                </c:pt>
                <c:pt idx="4789">
                  <c:v>716</c:v>
                </c:pt>
                <c:pt idx="4790">
                  <c:v>716</c:v>
                </c:pt>
                <c:pt idx="4791">
                  <c:v>716</c:v>
                </c:pt>
                <c:pt idx="4792">
                  <c:v>715</c:v>
                </c:pt>
                <c:pt idx="4793">
                  <c:v>715</c:v>
                </c:pt>
                <c:pt idx="4794">
                  <c:v>715</c:v>
                </c:pt>
                <c:pt idx="4795">
                  <c:v>715</c:v>
                </c:pt>
                <c:pt idx="4796">
                  <c:v>715</c:v>
                </c:pt>
                <c:pt idx="4797">
                  <c:v>715</c:v>
                </c:pt>
                <c:pt idx="4798">
                  <c:v>715</c:v>
                </c:pt>
                <c:pt idx="4799">
                  <c:v>716</c:v>
                </c:pt>
                <c:pt idx="4800">
                  <c:v>716</c:v>
                </c:pt>
                <c:pt idx="4801">
                  <c:v>716</c:v>
                </c:pt>
                <c:pt idx="4802">
                  <c:v>716</c:v>
                </c:pt>
                <c:pt idx="4803">
                  <c:v>716</c:v>
                </c:pt>
                <c:pt idx="4804">
                  <c:v>716</c:v>
                </c:pt>
                <c:pt idx="4805">
                  <c:v>716</c:v>
                </c:pt>
                <c:pt idx="4806">
                  <c:v>716</c:v>
                </c:pt>
                <c:pt idx="4807">
                  <c:v>716</c:v>
                </c:pt>
                <c:pt idx="4808">
                  <c:v>716</c:v>
                </c:pt>
                <c:pt idx="4809">
                  <c:v>716</c:v>
                </c:pt>
                <c:pt idx="4810">
                  <c:v>716</c:v>
                </c:pt>
                <c:pt idx="4811">
                  <c:v>716</c:v>
                </c:pt>
                <c:pt idx="4812">
                  <c:v>716</c:v>
                </c:pt>
                <c:pt idx="4813">
                  <c:v>716</c:v>
                </c:pt>
                <c:pt idx="4814">
                  <c:v>716</c:v>
                </c:pt>
                <c:pt idx="4815">
                  <c:v>716</c:v>
                </c:pt>
                <c:pt idx="4816">
                  <c:v>715</c:v>
                </c:pt>
                <c:pt idx="4817">
                  <c:v>715</c:v>
                </c:pt>
                <c:pt idx="4818">
                  <c:v>716</c:v>
                </c:pt>
                <c:pt idx="4819">
                  <c:v>716</c:v>
                </c:pt>
                <c:pt idx="4820">
                  <c:v>716</c:v>
                </c:pt>
                <c:pt idx="4821">
                  <c:v>716</c:v>
                </c:pt>
                <c:pt idx="4822">
                  <c:v>716</c:v>
                </c:pt>
                <c:pt idx="4823">
                  <c:v>716</c:v>
                </c:pt>
                <c:pt idx="4824">
                  <c:v>716</c:v>
                </c:pt>
                <c:pt idx="4825">
                  <c:v>716</c:v>
                </c:pt>
                <c:pt idx="4826">
                  <c:v>716</c:v>
                </c:pt>
                <c:pt idx="4827">
                  <c:v>715</c:v>
                </c:pt>
                <c:pt idx="4828">
                  <c:v>715</c:v>
                </c:pt>
                <c:pt idx="4829">
                  <c:v>716</c:v>
                </c:pt>
                <c:pt idx="4830">
                  <c:v>716</c:v>
                </c:pt>
                <c:pt idx="4831">
                  <c:v>715</c:v>
                </c:pt>
                <c:pt idx="4832">
                  <c:v>715</c:v>
                </c:pt>
                <c:pt idx="4833">
                  <c:v>716</c:v>
                </c:pt>
                <c:pt idx="4834">
                  <c:v>716</c:v>
                </c:pt>
                <c:pt idx="4835">
                  <c:v>716</c:v>
                </c:pt>
                <c:pt idx="4836">
                  <c:v>716</c:v>
                </c:pt>
                <c:pt idx="4837">
                  <c:v>716</c:v>
                </c:pt>
                <c:pt idx="4838">
                  <c:v>716</c:v>
                </c:pt>
                <c:pt idx="4839">
                  <c:v>715</c:v>
                </c:pt>
                <c:pt idx="4840">
                  <c:v>716</c:v>
                </c:pt>
                <c:pt idx="4841">
                  <c:v>716</c:v>
                </c:pt>
                <c:pt idx="4842">
                  <c:v>716</c:v>
                </c:pt>
                <c:pt idx="4843">
                  <c:v>716</c:v>
                </c:pt>
                <c:pt idx="4844">
                  <c:v>716</c:v>
                </c:pt>
                <c:pt idx="4845">
                  <c:v>716</c:v>
                </c:pt>
                <c:pt idx="4846">
                  <c:v>716</c:v>
                </c:pt>
                <c:pt idx="4847">
                  <c:v>715</c:v>
                </c:pt>
                <c:pt idx="4848">
                  <c:v>715</c:v>
                </c:pt>
                <c:pt idx="4849">
                  <c:v>715</c:v>
                </c:pt>
                <c:pt idx="4850">
                  <c:v>715</c:v>
                </c:pt>
                <c:pt idx="4851">
                  <c:v>715</c:v>
                </c:pt>
                <c:pt idx="4852">
                  <c:v>715</c:v>
                </c:pt>
                <c:pt idx="4853">
                  <c:v>715</c:v>
                </c:pt>
                <c:pt idx="4854">
                  <c:v>716</c:v>
                </c:pt>
                <c:pt idx="4855">
                  <c:v>716</c:v>
                </c:pt>
                <c:pt idx="4856">
                  <c:v>716</c:v>
                </c:pt>
                <c:pt idx="4857">
                  <c:v>716</c:v>
                </c:pt>
                <c:pt idx="4858">
                  <c:v>715</c:v>
                </c:pt>
                <c:pt idx="4859">
                  <c:v>715</c:v>
                </c:pt>
                <c:pt idx="4860">
                  <c:v>715</c:v>
                </c:pt>
                <c:pt idx="4861">
                  <c:v>714</c:v>
                </c:pt>
                <c:pt idx="4862">
                  <c:v>714</c:v>
                </c:pt>
                <c:pt idx="4863">
                  <c:v>714</c:v>
                </c:pt>
                <c:pt idx="4864">
                  <c:v>714</c:v>
                </c:pt>
                <c:pt idx="4865">
                  <c:v>714</c:v>
                </c:pt>
                <c:pt idx="4866">
                  <c:v>713</c:v>
                </c:pt>
                <c:pt idx="4867">
                  <c:v>713</c:v>
                </c:pt>
                <c:pt idx="4868">
                  <c:v>713</c:v>
                </c:pt>
                <c:pt idx="4869">
                  <c:v>713</c:v>
                </c:pt>
                <c:pt idx="4870">
                  <c:v>713</c:v>
                </c:pt>
                <c:pt idx="4871">
                  <c:v>713</c:v>
                </c:pt>
                <c:pt idx="4872">
                  <c:v>713</c:v>
                </c:pt>
                <c:pt idx="4873">
                  <c:v>713</c:v>
                </c:pt>
                <c:pt idx="4874">
                  <c:v>713</c:v>
                </c:pt>
                <c:pt idx="4875">
                  <c:v>713</c:v>
                </c:pt>
                <c:pt idx="4876">
                  <c:v>713</c:v>
                </c:pt>
                <c:pt idx="4877">
                  <c:v>714</c:v>
                </c:pt>
                <c:pt idx="4878">
                  <c:v>714</c:v>
                </c:pt>
                <c:pt idx="4879">
                  <c:v>713</c:v>
                </c:pt>
                <c:pt idx="4880">
                  <c:v>713</c:v>
                </c:pt>
                <c:pt idx="4881">
                  <c:v>712</c:v>
                </c:pt>
                <c:pt idx="4882">
                  <c:v>712</c:v>
                </c:pt>
                <c:pt idx="4883">
                  <c:v>712</c:v>
                </c:pt>
                <c:pt idx="4884">
                  <c:v>711</c:v>
                </c:pt>
                <c:pt idx="4885">
                  <c:v>711</c:v>
                </c:pt>
                <c:pt idx="4886">
                  <c:v>712</c:v>
                </c:pt>
                <c:pt idx="4887">
                  <c:v>712</c:v>
                </c:pt>
                <c:pt idx="4888">
                  <c:v>711</c:v>
                </c:pt>
                <c:pt idx="4889">
                  <c:v>711</c:v>
                </c:pt>
                <c:pt idx="4890">
                  <c:v>711</c:v>
                </c:pt>
                <c:pt idx="4891">
                  <c:v>711</c:v>
                </c:pt>
                <c:pt idx="4892">
                  <c:v>712</c:v>
                </c:pt>
                <c:pt idx="4893">
                  <c:v>712</c:v>
                </c:pt>
                <c:pt idx="4894">
                  <c:v>712</c:v>
                </c:pt>
                <c:pt idx="4895">
                  <c:v>712</c:v>
                </c:pt>
                <c:pt idx="4896">
                  <c:v>712</c:v>
                </c:pt>
                <c:pt idx="4897">
                  <c:v>712</c:v>
                </c:pt>
                <c:pt idx="4898">
                  <c:v>712</c:v>
                </c:pt>
                <c:pt idx="4899">
                  <c:v>712</c:v>
                </c:pt>
                <c:pt idx="4900">
                  <c:v>712</c:v>
                </c:pt>
                <c:pt idx="4901">
                  <c:v>712</c:v>
                </c:pt>
                <c:pt idx="4902">
                  <c:v>711</c:v>
                </c:pt>
                <c:pt idx="4903">
                  <c:v>711</c:v>
                </c:pt>
                <c:pt idx="4904">
                  <c:v>711</c:v>
                </c:pt>
                <c:pt idx="4905">
                  <c:v>711</c:v>
                </c:pt>
                <c:pt idx="4906">
                  <c:v>711</c:v>
                </c:pt>
                <c:pt idx="4907">
                  <c:v>710</c:v>
                </c:pt>
                <c:pt idx="4908">
                  <c:v>710</c:v>
                </c:pt>
                <c:pt idx="4909">
                  <c:v>710</c:v>
                </c:pt>
                <c:pt idx="4910">
                  <c:v>709</c:v>
                </c:pt>
                <c:pt idx="4911">
                  <c:v>708</c:v>
                </c:pt>
                <c:pt idx="4912">
                  <c:v>708</c:v>
                </c:pt>
                <c:pt idx="4913">
                  <c:v>708</c:v>
                </c:pt>
                <c:pt idx="4914">
                  <c:v>708</c:v>
                </c:pt>
                <c:pt idx="4915">
                  <c:v>709</c:v>
                </c:pt>
                <c:pt idx="4916">
                  <c:v>710</c:v>
                </c:pt>
                <c:pt idx="4917">
                  <c:v>710</c:v>
                </c:pt>
                <c:pt idx="4918">
                  <c:v>710</c:v>
                </c:pt>
                <c:pt idx="4919">
                  <c:v>710</c:v>
                </c:pt>
                <c:pt idx="4920">
                  <c:v>710</c:v>
                </c:pt>
                <c:pt idx="4921">
                  <c:v>710</c:v>
                </c:pt>
                <c:pt idx="4922">
                  <c:v>710</c:v>
                </c:pt>
                <c:pt idx="4923">
                  <c:v>710</c:v>
                </c:pt>
                <c:pt idx="4924">
                  <c:v>709</c:v>
                </c:pt>
                <c:pt idx="4925">
                  <c:v>709</c:v>
                </c:pt>
                <c:pt idx="4926">
                  <c:v>709</c:v>
                </c:pt>
                <c:pt idx="4927">
                  <c:v>709</c:v>
                </c:pt>
                <c:pt idx="4928">
                  <c:v>709</c:v>
                </c:pt>
                <c:pt idx="4929">
                  <c:v>708</c:v>
                </c:pt>
                <c:pt idx="4930">
                  <c:v>708</c:v>
                </c:pt>
                <c:pt idx="4931">
                  <c:v>708</c:v>
                </c:pt>
                <c:pt idx="4932">
                  <c:v>708</c:v>
                </c:pt>
                <c:pt idx="4933">
                  <c:v>707</c:v>
                </c:pt>
                <c:pt idx="4934">
                  <c:v>707</c:v>
                </c:pt>
                <c:pt idx="4935">
                  <c:v>707</c:v>
                </c:pt>
                <c:pt idx="4936">
                  <c:v>707</c:v>
                </c:pt>
                <c:pt idx="4937">
                  <c:v>708</c:v>
                </c:pt>
                <c:pt idx="4938">
                  <c:v>708</c:v>
                </c:pt>
                <c:pt idx="4939">
                  <c:v>709</c:v>
                </c:pt>
                <c:pt idx="4940">
                  <c:v>709</c:v>
                </c:pt>
                <c:pt idx="4941">
                  <c:v>709</c:v>
                </c:pt>
                <c:pt idx="4942">
                  <c:v>709</c:v>
                </c:pt>
                <c:pt idx="4943">
                  <c:v>709</c:v>
                </c:pt>
                <c:pt idx="4944">
                  <c:v>709</c:v>
                </c:pt>
                <c:pt idx="4945">
                  <c:v>709</c:v>
                </c:pt>
                <c:pt idx="4946">
                  <c:v>708</c:v>
                </c:pt>
                <c:pt idx="4947">
                  <c:v>708</c:v>
                </c:pt>
                <c:pt idx="4948">
                  <c:v>708</c:v>
                </c:pt>
                <c:pt idx="4949">
                  <c:v>708</c:v>
                </c:pt>
                <c:pt idx="4950">
                  <c:v>709</c:v>
                </c:pt>
                <c:pt idx="4951">
                  <c:v>709</c:v>
                </c:pt>
                <c:pt idx="4952">
                  <c:v>709</c:v>
                </c:pt>
                <c:pt idx="4953">
                  <c:v>709</c:v>
                </c:pt>
                <c:pt idx="4954">
                  <c:v>708</c:v>
                </c:pt>
                <c:pt idx="4955">
                  <c:v>708</c:v>
                </c:pt>
                <c:pt idx="4956">
                  <c:v>708</c:v>
                </c:pt>
                <c:pt idx="4957">
                  <c:v>707</c:v>
                </c:pt>
                <c:pt idx="4958">
                  <c:v>707</c:v>
                </c:pt>
                <c:pt idx="4959">
                  <c:v>707</c:v>
                </c:pt>
                <c:pt idx="4960">
                  <c:v>707</c:v>
                </c:pt>
                <c:pt idx="4961">
                  <c:v>707</c:v>
                </c:pt>
                <c:pt idx="4962">
                  <c:v>707</c:v>
                </c:pt>
                <c:pt idx="4963">
                  <c:v>708</c:v>
                </c:pt>
                <c:pt idx="4964">
                  <c:v>708</c:v>
                </c:pt>
                <c:pt idx="4965">
                  <c:v>708</c:v>
                </c:pt>
                <c:pt idx="4966">
                  <c:v>709</c:v>
                </c:pt>
                <c:pt idx="4967">
                  <c:v>708</c:v>
                </c:pt>
                <c:pt idx="4968">
                  <c:v>708</c:v>
                </c:pt>
                <c:pt idx="4969">
                  <c:v>708</c:v>
                </c:pt>
                <c:pt idx="4970">
                  <c:v>708</c:v>
                </c:pt>
                <c:pt idx="4971">
                  <c:v>708</c:v>
                </c:pt>
                <c:pt idx="4972">
                  <c:v>708</c:v>
                </c:pt>
                <c:pt idx="4973">
                  <c:v>708</c:v>
                </c:pt>
                <c:pt idx="4974">
                  <c:v>708</c:v>
                </c:pt>
                <c:pt idx="4975">
                  <c:v>708</c:v>
                </c:pt>
                <c:pt idx="4976">
                  <c:v>708</c:v>
                </c:pt>
                <c:pt idx="4977">
                  <c:v>708</c:v>
                </c:pt>
                <c:pt idx="4978">
                  <c:v>708</c:v>
                </c:pt>
                <c:pt idx="4979">
                  <c:v>708</c:v>
                </c:pt>
                <c:pt idx="4980">
                  <c:v>708</c:v>
                </c:pt>
                <c:pt idx="4981">
                  <c:v>707</c:v>
                </c:pt>
                <c:pt idx="4982">
                  <c:v>707</c:v>
                </c:pt>
                <c:pt idx="4983">
                  <c:v>707</c:v>
                </c:pt>
                <c:pt idx="4984">
                  <c:v>707</c:v>
                </c:pt>
                <c:pt idx="4985">
                  <c:v>707</c:v>
                </c:pt>
                <c:pt idx="4986">
                  <c:v>707</c:v>
                </c:pt>
                <c:pt idx="4987">
                  <c:v>707</c:v>
                </c:pt>
                <c:pt idx="4988">
                  <c:v>707</c:v>
                </c:pt>
                <c:pt idx="4989">
                  <c:v>707</c:v>
                </c:pt>
                <c:pt idx="4990">
                  <c:v>708</c:v>
                </c:pt>
                <c:pt idx="4991">
                  <c:v>708</c:v>
                </c:pt>
                <c:pt idx="4992">
                  <c:v>708</c:v>
                </c:pt>
                <c:pt idx="4993">
                  <c:v>708</c:v>
                </c:pt>
                <c:pt idx="4994">
                  <c:v>708</c:v>
                </c:pt>
                <c:pt idx="4995">
                  <c:v>709</c:v>
                </c:pt>
                <c:pt idx="4996">
                  <c:v>709</c:v>
                </c:pt>
                <c:pt idx="4997">
                  <c:v>709</c:v>
                </c:pt>
                <c:pt idx="4998">
                  <c:v>709</c:v>
                </c:pt>
                <c:pt idx="4999">
                  <c:v>709</c:v>
                </c:pt>
                <c:pt idx="5000">
                  <c:v>708</c:v>
                </c:pt>
                <c:pt idx="5001">
                  <c:v>708</c:v>
                </c:pt>
                <c:pt idx="5002">
                  <c:v>708</c:v>
                </c:pt>
                <c:pt idx="5003">
                  <c:v>707</c:v>
                </c:pt>
                <c:pt idx="5004">
                  <c:v>707</c:v>
                </c:pt>
                <c:pt idx="5005">
                  <c:v>706</c:v>
                </c:pt>
                <c:pt idx="5006">
                  <c:v>705</c:v>
                </c:pt>
                <c:pt idx="5007">
                  <c:v>705</c:v>
                </c:pt>
                <c:pt idx="5008">
                  <c:v>705</c:v>
                </c:pt>
                <c:pt idx="5009">
                  <c:v>705</c:v>
                </c:pt>
                <c:pt idx="5010">
                  <c:v>706</c:v>
                </c:pt>
                <c:pt idx="5011">
                  <c:v>706</c:v>
                </c:pt>
                <c:pt idx="5012">
                  <c:v>707</c:v>
                </c:pt>
                <c:pt idx="5013">
                  <c:v>707</c:v>
                </c:pt>
                <c:pt idx="5014">
                  <c:v>707</c:v>
                </c:pt>
                <c:pt idx="5015">
                  <c:v>707</c:v>
                </c:pt>
                <c:pt idx="5016">
                  <c:v>707</c:v>
                </c:pt>
                <c:pt idx="5017">
                  <c:v>707</c:v>
                </c:pt>
                <c:pt idx="5018">
                  <c:v>707</c:v>
                </c:pt>
                <c:pt idx="5019">
                  <c:v>707</c:v>
                </c:pt>
                <c:pt idx="5020">
                  <c:v>707</c:v>
                </c:pt>
                <c:pt idx="5021">
                  <c:v>707</c:v>
                </c:pt>
                <c:pt idx="5022">
                  <c:v>707</c:v>
                </c:pt>
                <c:pt idx="5023">
                  <c:v>707</c:v>
                </c:pt>
                <c:pt idx="5024">
                  <c:v>707</c:v>
                </c:pt>
                <c:pt idx="5025">
                  <c:v>706</c:v>
                </c:pt>
                <c:pt idx="5026">
                  <c:v>706</c:v>
                </c:pt>
                <c:pt idx="5027">
                  <c:v>706</c:v>
                </c:pt>
                <c:pt idx="5028">
                  <c:v>706</c:v>
                </c:pt>
                <c:pt idx="5029">
                  <c:v>705</c:v>
                </c:pt>
                <c:pt idx="5030">
                  <c:v>705</c:v>
                </c:pt>
                <c:pt idx="5031">
                  <c:v>705</c:v>
                </c:pt>
                <c:pt idx="5032">
                  <c:v>705</c:v>
                </c:pt>
                <c:pt idx="5033">
                  <c:v>705</c:v>
                </c:pt>
                <c:pt idx="5034">
                  <c:v>705</c:v>
                </c:pt>
                <c:pt idx="5035">
                  <c:v>705</c:v>
                </c:pt>
                <c:pt idx="5036">
                  <c:v>705</c:v>
                </c:pt>
                <c:pt idx="5037">
                  <c:v>706</c:v>
                </c:pt>
                <c:pt idx="5038">
                  <c:v>706</c:v>
                </c:pt>
                <c:pt idx="5039">
                  <c:v>706</c:v>
                </c:pt>
                <c:pt idx="5040">
                  <c:v>707</c:v>
                </c:pt>
                <c:pt idx="5041">
                  <c:v>707</c:v>
                </c:pt>
                <c:pt idx="5042">
                  <c:v>707</c:v>
                </c:pt>
                <c:pt idx="5043">
                  <c:v>707</c:v>
                </c:pt>
                <c:pt idx="5044">
                  <c:v>707</c:v>
                </c:pt>
                <c:pt idx="5045">
                  <c:v>707</c:v>
                </c:pt>
                <c:pt idx="5046">
                  <c:v>706</c:v>
                </c:pt>
                <c:pt idx="5047">
                  <c:v>706</c:v>
                </c:pt>
                <c:pt idx="5048">
                  <c:v>706</c:v>
                </c:pt>
                <c:pt idx="5049">
                  <c:v>705</c:v>
                </c:pt>
                <c:pt idx="5050">
                  <c:v>705</c:v>
                </c:pt>
                <c:pt idx="5051">
                  <c:v>705</c:v>
                </c:pt>
                <c:pt idx="5052">
                  <c:v>705</c:v>
                </c:pt>
                <c:pt idx="5053">
                  <c:v>704</c:v>
                </c:pt>
                <c:pt idx="5054">
                  <c:v>704</c:v>
                </c:pt>
                <c:pt idx="5055">
                  <c:v>704</c:v>
                </c:pt>
                <c:pt idx="5056">
                  <c:v>703</c:v>
                </c:pt>
                <c:pt idx="5057">
                  <c:v>703</c:v>
                </c:pt>
                <c:pt idx="5058">
                  <c:v>704</c:v>
                </c:pt>
                <c:pt idx="5059">
                  <c:v>704</c:v>
                </c:pt>
                <c:pt idx="5060">
                  <c:v>705</c:v>
                </c:pt>
                <c:pt idx="5061">
                  <c:v>705</c:v>
                </c:pt>
                <c:pt idx="5062">
                  <c:v>706</c:v>
                </c:pt>
                <c:pt idx="5063">
                  <c:v>706</c:v>
                </c:pt>
                <c:pt idx="5064">
                  <c:v>706</c:v>
                </c:pt>
                <c:pt idx="5065">
                  <c:v>707</c:v>
                </c:pt>
                <c:pt idx="5066">
                  <c:v>706</c:v>
                </c:pt>
                <c:pt idx="5067">
                  <c:v>706</c:v>
                </c:pt>
                <c:pt idx="5068">
                  <c:v>706</c:v>
                </c:pt>
                <c:pt idx="5069">
                  <c:v>706</c:v>
                </c:pt>
                <c:pt idx="5070">
                  <c:v>706</c:v>
                </c:pt>
                <c:pt idx="5071">
                  <c:v>706</c:v>
                </c:pt>
                <c:pt idx="5072">
                  <c:v>705</c:v>
                </c:pt>
                <c:pt idx="5073">
                  <c:v>705</c:v>
                </c:pt>
                <c:pt idx="5074">
                  <c:v>705</c:v>
                </c:pt>
                <c:pt idx="5075">
                  <c:v>705</c:v>
                </c:pt>
                <c:pt idx="5076">
                  <c:v>705</c:v>
                </c:pt>
                <c:pt idx="5077">
                  <c:v>705</c:v>
                </c:pt>
                <c:pt idx="5078">
                  <c:v>704</c:v>
                </c:pt>
                <c:pt idx="5079">
                  <c:v>705</c:v>
                </c:pt>
                <c:pt idx="5080">
                  <c:v>705</c:v>
                </c:pt>
                <c:pt idx="5081">
                  <c:v>705</c:v>
                </c:pt>
                <c:pt idx="5082">
                  <c:v>705</c:v>
                </c:pt>
                <c:pt idx="5083">
                  <c:v>705</c:v>
                </c:pt>
                <c:pt idx="5084">
                  <c:v>706</c:v>
                </c:pt>
                <c:pt idx="5085">
                  <c:v>706</c:v>
                </c:pt>
                <c:pt idx="5086">
                  <c:v>706</c:v>
                </c:pt>
                <c:pt idx="5087">
                  <c:v>706</c:v>
                </c:pt>
                <c:pt idx="5088">
                  <c:v>706</c:v>
                </c:pt>
                <c:pt idx="5089">
                  <c:v>706</c:v>
                </c:pt>
                <c:pt idx="5090">
                  <c:v>707</c:v>
                </c:pt>
                <c:pt idx="5091">
                  <c:v>707</c:v>
                </c:pt>
                <c:pt idx="5092">
                  <c:v>707</c:v>
                </c:pt>
                <c:pt idx="5093">
                  <c:v>707</c:v>
                </c:pt>
                <c:pt idx="5094">
                  <c:v>706</c:v>
                </c:pt>
                <c:pt idx="5095">
                  <c:v>706</c:v>
                </c:pt>
                <c:pt idx="5096">
                  <c:v>706</c:v>
                </c:pt>
                <c:pt idx="5097">
                  <c:v>705</c:v>
                </c:pt>
                <c:pt idx="5098">
                  <c:v>705</c:v>
                </c:pt>
                <c:pt idx="5099">
                  <c:v>706</c:v>
                </c:pt>
                <c:pt idx="5100">
                  <c:v>706</c:v>
                </c:pt>
                <c:pt idx="5101">
                  <c:v>706</c:v>
                </c:pt>
                <c:pt idx="5102">
                  <c:v>705</c:v>
                </c:pt>
                <c:pt idx="5103">
                  <c:v>705</c:v>
                </c:pt>
                <c:pt idx="5104">
                  <c:v>705</c:v>
                </c:pt>
                <c:pt idx="5105">
                  <c:v>705</c:v>
                </c:pt>
                <c:pt idx="5106">
                  <c:v>706</c:v>
                </c:pt>
                <c:pt idx="5107">
                  <c:v>706</c:v>
                </c:pt>
                <c:pt idx="5108">
                  <c:v>706</c:v>
                </c:pt>
                <c:pt idx="5109">
                  <c:v>706</c:v>
                </c:pt>
                <c:pt idx="5110">
                  <c:v>706</c:v>
                </c:pt>
                <c:pt idx="5111">
                  <c:v>706</c:v>
                </c:pt>
                <c:pt idx="5112">
                  <c:v>706</c:v>
                </c:pt>
                <c:pt idx="5113">
                  <c:v>707</c:v>
                </c:pt>
                <c:pt idx="5114">
                  <c:v>707</c:v>
                </c:pt>
                <c:pt idx="5115">
                  <c:v>707</c:v>
                </c:pt>
                <c:pt idx="5116">
                  <c:v>707</c:v>
                </c:pt>
                <c:pt idx="5117">
                  <c:v>707</c:v>
                </c:pt>
                <c:pt idx="5118">
                  <c:v>707</c:v>
                </c:pt>
                <c:pt idx="5119">
                  <c:v>707</c:v>
                </c:pt>
                <c:pt idx="5120">
                  <c:v>707</c:v>
                </c:pt>
                <c:pt idx="5121">
                  <c:v>706</c:v>
                </c:pt>
                <c:pt idx="5122">
                  <c:v>706</c:v>
                </c:pt>
                <c:pt idx="5123">
                  <c:v>706</c:v>
                </c:pt>
                <c:pt idx="5124">
                  <c:v>707</c:v>
                </c:pt>
                <c:pt idx="5125">
                  <c:v>707</c:v>
                </c:pt>
                <c:pt idx="5126">
                  <c:v>706</c:v>
                </c:pt>
                <c:pt idx="5127">
                  <c:v>706</c:v>
                </c:pt>
                <c:pt idx="5128">
                  <c:v>706</c:v>
                </c:pt>
                <c:pt idx="5129">
                  <c:v>706</c:v>
                </c:pt>
                <c:pt idx="5130">
                  <c:v>707</c:v>
                </c:pt>
                <c:pt idx="5131">
                  <c:v>707</c:v>
                </c:pt>
                <c:pt idx="5132">
                  <c:v>707</c:v>
                </c:pt>
                <c:pt idx="5133">
                  <c:v>707</c:v>
                </c:pt>
                <c:pt idx="5134">
                  <c:v>707</c:v>
                </c:pt>
                <c:pt idx="5135">
                  <c:v>708</c:v>
                </c:pt>
                <c:pt idx="5136">
                  <c:v>708</c:v>
                </c:pt>
                <c:pt idx="5137">
                  <c:v>708</c:v>
                </c:pt>
                <c:pt idx="5138">
                  <c:v>708</c:v>
                </c:pt>
                <c:pt idx="5139">
                  <c:v>709</c:v>
                </c:pt>
                <c:pt idx="5140">
                  <c:v>709</c:v>
                </c:pt>
                <c:pt idx="5141">
                  <c:v>708</c:v>
                </c:pt>
                <c:pt idx="5142">
                  <c:v>708</c:v>
                </c:pt>
                <c:pt idx="5143">
                  <c:v>708</c:v>
                </c:pt>
                <c:pt idx="5144">
                  <c:v>708</c:v>
                </c:pt>
                <c:pt idx="5145">
                  <c:v>708</c:v>
                </c:pt>
                <c:pt idx="5146">
                  <c:v>708</c:v>
                </c:pt>
                <c:pt idx="5147">
                  <c:v>708</c:v>
                </c:pt>
                <c:pt idx="5148">
                  <c:v>708</c:v>
                </c:pt>
                <c:pt idx="5149">
                  <c:v>708</c:v>
                </c:pt>
                <c:pt idx="5150">
                  <c:v>708</c:v>
                </c:pt>
                <c:pt idx="5151">
                  <c:v>708</c:v>
                </c:pt>
                <c:pt idx="5152">
                  <c:v>708</c:v>
                </c:pt>
                <c:pt idx="5153">
                  <c:v>708</c:v>
                </c:pt>
                <c:pt idx="5154">
                  <c:v>709</c:v>
                </c:pt>
                <c:pt idx="5155">
                  <c:v>709</c:v>
                </c:pt>
                <c:pt idx="5156">
                  <c:v>710</c:v>
                </c:pt>
                <c:pt idx="5157">
                  <c:v>710</c:v>
                </c:pt>
                <c:pt idx="5158">
                  <c:v>710</c:v>
                </c:pt>
                <c:pt idx="5159">
                  <c:v>711</c:v>
                </c:pt>
                <c:pt idx="5160">
                  <c:v>711</c:v>
                </c:pt>
                <c:pt idx="5161">
                  <c:v>712</c:v>
                </c:pt>
                <c:pt idx="5162">
                  <c:v>713</c:v>
                </c:pt>
                <c:pt idx="5163">
                  <c:v>713</c:v>
                </c:pt>
                <c:pt idx="5164">
                  <c:v>713</c:v>
                </c:pt>
                <c:pt idx="5165">
                  <c:v>714</c:v>
                </c:pt>
                <c:pt idx="5166">
                  <c:v>714</c:v>
                </c:pt>
                <c:pt idx="5167">
                  <c:v>714</c:v>
                </c:pt>
                <c:pt idx="5168">
                  <c:v>713</c:v>
                </c:pt>
                <c:pt idx="5169">
                  <c:v>713</c:v>
                </c:pt>
                <c:pt idx="5170">
                  <c:v>713</c:v>
                </c:pt>
                <c:pt idx="5171">
                  <c:v>713</c:v>
                </c:pt>
                <c:pt idx="5172">
                  <c:v>713</c:v>
                </c:pt>
                <c:pt idx="5173">
                  <c:v>713</c:v>
                </c:pt>
                <c:pt idx="5174">
                  <c:v>713</c:v>
                </c:pt>
                <c:pt idx="5175">
                  <c:v>713</c:v>
                </c:pt>
                <c:pt idx="5176">
                  <c:v>713</c:v>
                </c:pt>
                <c:pt idx="5177">
                  <c:v>714</c:v>
                </c:pt>
                <c:pt idx="5178">
                  <c:v>714</c:v>
                </c:pt>
                <c:pt idx="5179">
                  <c:v>714</c:v>
                </c:pt>
                <c:pt idx="5180">
                  <c:v>714</c:v>
                </c:pt>
                <c:pt idx="5181">
                  <c:v>714</c:v>
                </c:pt>
                <c:pt idx="5182">
                  <c:v>714</c:v>
                </c:pt>
                <c:pt idx="5183">
                  <c:v>714</c:v>
                </c:pt>
                <c:pt idx="5184">
                  <c:v>714</c:v>
                </c:pt>
                <c:pt idx="5185">
                  <c:v>715</c:v>
                </c:pt>
                <c:pt idx="5186">
                  <c:v>715</c:v>
                </c:pt>
                <c:pt idx="5187">
                  <c:v>715</c:v>
                </c:pt>
                <c:pt idx="5188">
                  <c:v>714</c:v>
                </c:pt>
                <c:pt idx="5189">
                  <c:v>714</c:v>
                </c:pt>
                <c:pt idx="5190">
                  <c:v>715</c:v>
                </c:pt>
                <c:pt idx="5191">
                  <c:v>715</c:v>
                </c:pt>
                <c:pt idx="5192">
                  <c:v>715</c:v>
                </c:pt>
                <c:pt idx="5193">
                  <c:v>715</c:v>
                </c:pt>
                <c:pt idx="5194">
                  <c:v>715</c:v>
                </c:pt>
                <c:pt idx="5195">
                  <c:v>715</c:v>
                </c:pt>
                <c:pt idx="5196">
                  <c:v>715</c:v>
                </c:pt>
                <c:pt idx="5197">
                  <c:v>715</c:v>
                </c:pt>
                <c:pt idx="5198">
                  <c:v>715</c:v>
                </c:pt>
                <c:pt idx="5199">
                  <c:v>715</c:v>
                </c:pt>
                <c:pt idx="5200">
                  <c:v>715</c:v>
                </c:pt>
                <c:pt idx="5201">
                  <c:v>714</c:v>
                </c:pt>
                <c:pt idx="5202">
                  <c:v>715</c:v>
                </c:pt>
                <c:pt idx="5203">
                  <c:v>715</c:v>
                </c:pt>
                <c:pt idx="5204">
                  <c:v>715</c:v>
                </c:pt>
                <c:pt idx="5205">
                  <c:v>715</c:v>
                </c:pt>
                <c:pt idx="5206">
                  <c:v>715</c:v>
                </c:pt>
                <c:pt idx="5207">
                  <c:v>716</c:v>
                </c:pt>
                <c:pt idx="5208">
                  <c:v>716</c:v>
                </c:pt>
                <c:pt idx="5209">
                  <c:v>716</c:v>
                </c:pt>
                <c:pt idx="5210">
                  <c:v>716</c:v>
                </c:pt>
                <c:pt idx="5211">
                  <c:v>716</c:v>
                </c:pt>
                <c:pt idx="5212">
                  <c:v>716</c:v>
                </c:pt>
                <c:pt idx="5213">
                  <c:v>716</c:v>
                </c:pt>
                <c:pt idx="5214">
                  <c:v>716</c:v>
                </c:pt>
                <c:pt idx="5215">
                  <c:v>716</c:v>
                </c:pt>
                <c:pt idx="5216">
                  <c:v>716</c:v>
                </c:pt>
                <c:pt idx="5217">
                  <c:v>715</c:v>
                </c:pt>
                <c:pt idx="5218">
                  <c:v>715</c:v>
                </c:pt>
                <c:pt idx="5219">
                  <c:v>715</c:v>
                </c:pt>
                <c:pt idx="5220">
                  <c:v>715</c:v>
                </c:pt>
                <c:pt idx="5221">
                  <c:v>715</c:v>
                </c:pt>
                <c:pt idx="5222">
                  <c:v>715</c:v>
                </c:pt>
                <c:pt idx="5223">
                  <c:v>715</c:v>
                </c:pt>
                <c:pt idx="5224">
                  <c:v>715</c:v>
                </c:pt>
                <c:pt idx="5225">
                  <c:v>715</c:v>
                </c:pt>
                <c:pt idx="5226">
                  <c:v>715</c:v>
                </c:pt>
                <c:pt idx="5227">
                  <c:v>715</c:v>
                </c:pt>
                <c:pt idx="5228">
                  <c:v>716</c:v>
                </c:pt>
                <c:pt idx="5229">
                  <c:v>716</c:v>
                </c:pt>
                <c:pt idx="5230">
                  <c:v>716</c:v>
                </c:pt>
                <c:pt idx="5231">
                  <c:v>716</c:v>
                </c:pt>
                <c:pt idx="5232">
                  <c:v>716</c:v>
                </c:pt>
                <c:pt idx="5233">
                  <c:v>716</c:v>
                </c:pt>
                <c:pt idx="5234">
                  <c:v>717</c:v>
                </c:pt>
                <c:pt idx="5235">
                  <c:v>717</c:v>
                </c:pt>
                <c:pt idx="5236">
                  <c:v>717</c:v>
                </c:pt>
                <c:pt idx="5237">
                  <c:v>716</c:v>
                </c:pt>
                <c:pt idx="5238">
                  <c:v>716</c:v>
                </c:pt>
                <c:pt idx="5239">
                  <c:v>716</c:v>
                </c:pt>
                <c:pt idx="5240">
                  <c:v>716</c:v>
                </c:pt>
                <c:pt idx="5241">
                  <c:v>716</c:v>
                </c:pt>
                <c:pt idx="5242">
                  <c:v>716</c:v>
                </c:pt>
                <c:pt idx="5243">
                  <c:v>716</c:v>
                </c:pt>
                <c:pt idx="5244">
                  <c:v>715</c:v>
                </c:pt>
                <c:pt idx="5245">
                  <c:v>715</c:v>
                </c:pt>
                <c:pt idx="5246">
                  <c:v>715</c:v>
                </c:pt>
                <c:pt idx="5247">
                  <c:v>715</c:v>
                </c:pt>
                <c:pt idx="5248">
                  <c:v>715</c:v>
                </c:pt>
                <c:pt idx="5249">
                  <c:v>715</c:v>
                </c:pt>
                <c:pt idx="5250">
                  <c:v>715</c:v>
                </c:pt>
                <c:pt idx="5251">
                  <c:v>715</c:v>
                </c:pt>
                <c:pt idx="5252">
                  <c:v>716</c:v>
                </c:pt>
                <c:pt idx="5253">
                  <c:v>716</c:v>
                </c:pt>
                <c:pt idx="5254">
                  <c:v>716</c:v>
                </c:pt>
                <c:pt idx="5255">
                  <c:v>716</c:v>
                </c:pt>
                <c:pt idx="5256">
                  <c:v>716</c:v>
                </c:pt>
                <c:pt idx="5257">
                  <c:v>716</c:v>
                </c:pt>
                <c:pt idx="5258">
                  <c:v>716</c:v>
                </c:pt>
                <c:pt idx="5259">
                  <c:v>716</c:v>
                </c:pt>
                <c:pt idx="5260">
                  <c:v>716</c:v>
                </c:pt>
                <c:pt idx="5261">
                  <c:v>716</c:v>
                </c:pt>
                <c:pt idx="5262">
                  <c:v>716</c:v>
                </c:pt>
                <c:pt idx="5263">
                  <c:v>716</c:v>
                </c:pt>
                <c:pt idx="5264">
                  <c:v>716</c:v>
                </c:pt>
                <c:pt idx="5265">
                  <c:v>716</c:v>
                </c:pt>
                <c:pt idx="5266">
                  <c:v>715</c:v>
                </c:pt>
                <c:pt idx="5267">
                  <c:v>715</c:v>
                </c:pt>
                <c:pt idx="5268">
                  <c:v>715</c:v>
                </c:pt>
                <c:pt idx="5269">
                  <c:v>714</c:v>
                </c:pt>
                <c:pt idx="5270">
                  <c:v>714</c:v>
                </c:pt>
                <c:pt idx="5271">
                  <c:v>714</c:v>
                </c:pt>
                <c:pt idx="5272">
                  <c:v>714</c:v>
                </c:pt>
                <c:pt idx="5273">
                  <c:v>714</c:v>
                </c:pt>
                <c:pt idx="5274">
                  <c:v>714</c:v>
                </c:pt>
                <c:pt idx="5275">
                  <c:v>714</c:v>
                </c:pt>
                <c:pt idx="5276">
                  <c:v>715</c:v>
                </c:pt>
                <c:pt idx="5277">
                  <c:v>715</c:v>
                </c:pt>
                <c:pt idx="5278">
                  <c:v>715</c:v>
                </c:pt>
                <c:pt idx="5279">
                  <c:v>715</c:v>
                </c:pt>
                <c:pt idx="5280">
                  <c:v>715</c:v>
                </c:pt>
                <c:pt idx="5281">
                  <c:v>715</c:v>
                </c:pt>
                <c:pt idx="5282">
                  <c:v>715</c:v>
                </c:pt>
                <c:pt idx="5283">
                  <c:v>715</c:v>
                </c:pt>
                <c:pt idx="5284">
                  <c:v>715</c:v>
                </c:pt>
                <c:pt idx="5285">
                  <c:v>715</c:v>
                </c:pt>
                <c:pt idx="5286">
                  <c:v>716</c:v>
                </c:pt>
                <c:pt idx="5287">
                  <c:v>716</c:v>
                </c:pt>
                <c:pt idx="5288">
                  <c:v>715</c:v>
                </c:pt>
                <c:pt idx="5289">
                  <c:v>715</c:v>
                </c:pt>
                <c:pt idx="5290">
                  <c:v>715</c:v>
                </c:pt>
                <c:pt idx="5291">
                  <c:v>715</c:v>
                </c:pt>
                <c:pt idx="5292">
                  <c:v>715</c:v>
                </c:pt>
                <c:pt idx="5293">
                  <c:v>715</c:v>
                </c:pt>
                <c:pt idx="5294">
                  <c:v>714</c:v>
                </c:pt>
                <c:pt idx="5295">
                  <c:v>714</c:v>
                </c:pt>
                <c:pt idx="5296">
                  <c:v>714</c:v>
                </c:pt>
                <c:pt idx="5297">
                  <c:v>714</c:v>
                </c:pt>
                <c:pt idx="5298">
                  <c:v>714</c:v>
                </c:pt>
                <c:pt idx="5299">
                  <c:v>714</c:v>
                </c:pt>
                <c:pt idx="5300">
                  <c:v>714</c:v>
                </c:pt>
                <c:pt idx="5301">
                  <c:v>714</c:v>
                </c:pt>
                <c:pt idx="5302">
                  <c:v>714</c:v>
                </c:pt>
                <c:pt idx="5303">
                  <c:v>714</c:v>
                </c:pt>
                <c:pt idx="5304">
                  <c:v>714</c:v>
                </c:pt>
                <c:pt idx="5305">
                  <c:v>714</c:v>
                </c:pt>
                <c:pt idx="5306">
                  <c:v>714</c:v>
                </c:pt>
                <c:pt idx="5307">
                  <c:v>714</c:v>
                </c:pt>
                <c:pt idx="5308">
                  <c:v>714</c:v>
                </c:pt>
                <c:pt idx="5309">
                  <c:v>714</c:v>
                </c:pt>
                <c:pt idx="5310">
                  <c:v>714</c:v>
                </c:pt>
                <c:pt idx="5311">
                  <c:v>714</c:v>
                </c:pt>
                <c:pt idx="5312">
                  <c:v>714</c:v>
                </c:pt>
                <c:pt idx="5313">
                  <c:v>714</c:v>
                </c:pt>
                <c:pt idx="5314">
                  <c:v>714</c:v>
                </c:pt>
                <c:pt idx="5315">
                  <c:v>714</c:v>
                </c:pt>
                <c:pt idx="5316">
                  <c:v>714</c:v>
                </c:pt>
                <c:pt idx="5317">
                  <c:v>713</c:v>
                </c:pt>
                <c:pt idx="5318">
                  <c:v>713</c:v>
                </c:pt>
                <c:pt idx="5319">
                  <c:v>713</c:v>
                </c:pt>
                <c:pt idx="5320">
                  <c:v>713</c:v>
                </c:pt>
                <c:pt idx="5321">
                  <c:v>713</c:v>
                </c:pt>
                <c:pt idx="5322">
                  <c:v>713</c:v>
                </c:pt>
                <c:pt idx="5323">
                  <c:v>713</c:v>
                </c:pt>
                <c:pt idx="5324">
                  <c:v>713</c:v>
                </c:pt>
                <c:pt idx="5325">
                  <c:v>713</c:v>
                </c:pt>
                <c:pt idx="5326">
                  <c:v>713</c:v>
                </c:pt>
                <c:pt idx="5327">
                  <c:v>713</c:v>
                </c:pt>
                <c:pt idx="5328">
                  <c:v>713</c:v>
                </c:pt>
                <c:pt idx="5329">
                  <c:v>713</c:v>
                </c:pt>
                <c:pt idx="5330">
                  <c:v>713</c:v>
                </c:pt>
                <c:pt idx="5331">
                  <c:v>713</c:v>
                </c:pt>
                <c:pt idx="5332">
                  <c:v>713</c:v>
                </c:pt>
                <c:pt idx="5333">
                  <c:v>713</c:v>
                </c:pt>
                <c:pt idx="5334">
                  <c:v>713</c:v>
                </c:pt>
                <c:pt idx="5335">
                  <c:v>713</c:v>
                </c:pt>
                <c:pt idx="5336">
                  <c:v>712</c:v>
                </c:pt>
                <c:pt idx="5337">
                  <c:v>712</c:v>
                </c:pt>
                <c:pt idx="5338">
                  <c:v>712</c:v>
                </c:pt>
                <c:pt idx="5339">
                  <c:v>712</c:v>
                </c:pt>
                <c:pt idx="5340">
                  <c:v>712</c:v>
                </c:pt>
                <c:pt idx="5341">
                  <c:v>711</c:v>
                </c:pt>
                <c:pt idx="5342">
                  <c:v>712</c:v>
                </c:pt>
                <c:pt idx="5343">
                  <c:v>712</c:v>
                </c:pt>
                <c:pt idx="5344">
                  <c:v>712</c:v>
                </c:pt>
                <c:pt idx="5345">
                  <c:v>712</c:v>
                </c:pt>
                <c:pt idx="5346">
                  <c:v>712</c:v>
                </c:pt>
                <c:pt idx="5347">
                  <c:v>712</c:v>
                </c:pt>
                <c:pt idx="5348">
                  <c:v>712</c:v>
                </c:pt>
                <c:pt idx="5349">
                  <c:v>711</c:v>
                </c:pt>
                <c:pt idx="5350">
                  <c:v>711</c:v>
                </c:pt>
                <c:pt idx="5351">
                  <c:v>710</c:v>
                </c:pt>
                <c:pt idx="5352">
                  <c:v>710</c:v>
                </c:pt>
                <c:pt idx="5353">
                  <c:v>710</c:v>
                </c:pt>
                <c:pt idx="5354">
                  <c:v>710</c:v>
                </c:pt>
                <c:pt idx="5355">
                  <c:v>710</c:v>
                </c:pt>
                <c:pt idx="5356">
                  <c:v>710</c:v>
                </c:pt>
                <c:pt idx="5357">
                  <c:v>710</c:v>
                </c:pt>
                <c:pt idx="5358">
                  <c:v>710</c:v>
                </c:pt>
                <c:pt idx="5359">
                  <c:v>710</c:v>
                </c:pt>
                <c:pt idx="5360">
                  <c:v>710</c:v>
                </c:pt>
                <c:pt idx="5361">
                  <c:v>710</c:v>
                </c:pt>
                <c:pt idx="5362">
                  <c:v>709</c:v>
                </c:pt>
                <c:pt idx="5363">
                  <c:v>709</c:v>
                </c:pt>
                <c:pt idx="5364">
                  <c:v>709</c:v>
                </c:pt>
                <c:pt idx="5365">
                  <c:v>708</c:v>
                </c:pt>
                <c:pt idx="5366">
                  <c:v>708</c:v>
                </c:pt>
                <c:pt idx="5367">
                  <c:v>708</c:v>
                </c:pt>
                <c:pt idx="5368">
                  <c:v>708</c:v>
                </c:pt>
                <c:pt idx="5369">
                  <c:v>708</c:v>
                </c:pt>
                <c:pt idx="5370">
                  <c:v>708</c:v>
                </c:pt>
                <c:pt idx="5371">
                  <c:v>708</c:v>
                </c:pt>
                <c:pt idx="5372">
                  <c:v>708</c:v>
                </c:pt>
                <c:pt idx="5373">
                  <c:v>708</c:v>
                </c:pt>
                <c:pt idx="5374">
                  <c:v>709</c:v>
                </c:pt>
                <c:pt idx="5375">
                  <c:v>709</c:v>
                </c:pt>
                <c:pt idx="5376">
                  <c:v>709</c:v>
                </c:pt>
                <c:pt idx="5377">
                  <c:v>709</c:v>
                </c:pt>
                <c:pt idx="5378">
                  <c:v>709</c:v>
                </c:pt>
                <c:pt idx="5379">
                  <c:v>709</c:v>
                </c:pt>
                <c:pt idx="5380">
                  <c:v>709</c:v>
                </c:pt>
                <c:pt idx="5381">
                  <c:v>709</c:v>
                </c:pt>
                <c:pt idx="5382">
                  <c:v>709</c:v>
                </c:pt>
                <c:pt idx="5383">
                  <c:v>708</c:v>
                </c:pt>
                <c:pt idx="5384">
                  <c:v>709</c:v>
                </c:pt>
                <c:pt idx="5385">
                  <c:v>709</c:v>
                </c:pt>
                <c:pt idx="5386">
                  <c:v>709</c:v>
                </c:pt>
                <c:pt idx="5387">
                  <c:v>708</c:v>
                </c:pt>
                <c:pt idx="5388">
                  <c:v>708</c:v>
                </c:pt>
                <c:pt idx="5389">
                  <c:v>708</c:v>
                </c:pt>
                <c:pt idx="5390">
                  <c:v>708</c:v>
                </c:pt>
                <c:pt idx="5391">
                  <c:v>708</c:v>
                </c:pt>
                <c:pt idx="5392">
                  <c:v>707</c:v>
                </c:pt>
                <c:pt idx="5393">
                  <c:v>707</c:v>
                </c:pt>
                <c:pt idx="5394">
                  <c:v>707</c:v>
                </c:pt>
                <c:pt idx="5395">
                  <c:v>707</c:v>
                </c:pt>
                <c:pt idx="5396">
                  <c:v>708</c:v>
                </c:pt>
                <c:pt idx="5397">
                  <c:v>708</c:v>
                </c:pt>
                <c:pt idx="5398">
                  <c:v>708</c:v>
                </c:pt>
                <c:pt idx="5399">
                  <c:v>708</c:v>
                </c:pt>
                <c:pt idx="5400">
                  <c:v>709</c:v>
                </c:pt>
                <c:pt idx="5401">
                  <c:v>709</c:v>
                </c:pt>
                <c:pt idx="5402">
                  <c:v>709</c:v>
                </c:pt>
                <c:pt idx="5403">
                  <c:v>708</c:v>
                </c:pt>
                <c:pt idx="5404">
                  <c:v>708</c:v>
                </c:pt>
                <c:pt idx="5405">
                  <c:v>708</c:v>
                </c:pt>
                <c:pt idx="5406">
                  <c:v>708</c:v>
                </c:pt>
                <c:pt idx="5407">
                  <c:v>708</c:v>
                </c:pt>
                <c:pt idx="5408">
                  <c:v>708</c:v>
                </c:pt>
                <c:pt idx="5409">
                  <c:v>708</c:v>
                </c:pt>
                <c:pt idx="5410">
                  <c:v>708</c:v>
                </c:pt>
                <c:pt idx="5411">
                  <c:v>707</c:v>
                </c:pt>
                <c:pt idx="5412">
                  <c:v>707</c:v>
                </c:pt>
                <c:pt idx="5413">
                  <c:v>707</c:v>
                </c:pt>
                <c:pt idx="5414">
                  <c:v>706</c:v>
                </c:pt>
                <c:pt idx="5415">
                  <c:v>706</c:v>
                </c:pt>
                <c:pt idx="5416">
                  <c:v>706</c:v>
                </c:pt>
                <c:pt idx="5417">
                  <c:v>706</c:v>
                </c:pt>
                <c:pt idx="5418">
                  <c:v>706</c:v>
                </c:pt>
                <c:pt idx="5419">
                  <c:v>706</c:v>
                </c:pt>
                <c:pt idx="5420">
                  <c:v>707</c:v>
                </c:pt>
                <c:pt idx="5421">
                  <c:v>707</c:v>
                </c:pt>
                <c:pt idx="5422">
                  <c:v>707</c:v>
                </c:pt>
                <c:pt idx="5423">
                  <c:v>707</c:v>
                </c:pt>
                <c:pt idx="5424">
                  <c:v>707</c:v>
                </c:pt>
                <c:pt idx="5425">
                  <c:v>707</c:v>
                </c:pt>
                <c:pt idx="5426">
                  <c:v>707</c:v>
                </c:pt>
                <c:pt idx="5427">
                  <c:v>707</c:v>
                </c:pt>
                <c:pt idx="5428">
                  <c:v>706</c:v>
                </c:pt>
                <c:pt idx="5429">
                  <c:v>706</c:v>
                </c:pt>
                <c:pt idx="5430">
                  <c:v>706</c:v>
                </c:pt>
                <c:pt idx="5431">
                  <c:v>706</c:v>
                </c:pt>
                <c:pt idx="5432">
                  <c:v>706</c:v>
                </c:pt>
                <c:pt idx="5433">
                  <c:v>706</c:v>
                </c:pt>
                <c:pt idx="5434">
                  <c:v>706</c:v>
                </c:pt>
                <c:pt idx="5435">
                  <c:v>706</c:v>
                </c:pt>
                <c:pt idx="5436">
                  <c:v>706</c:v>
                </c:pt>
                <c:pt idx="5437">
                  <c:v>706</c:v>
                </c:pt>
                <c:pt idx="5438">
                  <c:v>705</c:v>
                </c:pt>
                <c:pt idx="5439">
                  <c:v>705</c:v>
                </c:pt>
                <c:pt idx="5440">
                  <c:v>705</c:v>
                </c:pt>
                <c:pt idx="5441">
                  <c:v>705</c:v>
                </c:pt>
                <c:pt idx="5442">
                  <c:v>706</c:v>
                </c:pt>
                <c:pt idx="5443">
                  <c:v>706</c:v>
                </c:pt>
                <c:pt idx="5444">
                  <c:v>706</c:v>
                </c:pt>
                <c:pt idx="5445">
                  <c:v>706</c:v>
                </c:pt>
                <c:pt idx="5446">
                  <c:v>706</c:v>
                </c:pt>
                <c:pt idx="5447">
                  <c:v>705</c:v>
                </c:pt>
                <c:pt idx="5448">
                  <c:v>705</c:v>
                </c:pt>
                <c:pt idx="5449">
                  <c:v>706</c:v>
                </c:pt>
                <c:pt idx="5450">
                  <c:v>706</c:v>
                </c:pt>
                <c:pt idx="5451">
                  <c:v>706</c:v>
                </c:pt>
                <c:pt idx="5452">
                  <c:v>706</c:v>
                </c:pt>
                <c:pt idx="5453">
                  <c:v>706</c:v>
                </c:pt>
                <c:pt idx="5454">
                  <c:v>706</c:v>
                </c:pt>
                <c:pt idx="5455">
                  <c:v>706</c:v>
                </c:pt>
                <c:pt idx="5456">
                  <c:v>706</c:v>
                </c:pt>
                <c:pt idx="5457">
                  <c:v>705</c:v>
                </c:pt>
                <c:pt idx="5458">
                  <c:v>705</c:v>
                </c:pt>
                <c:pt idx="5459">
                  <c:v>705</c:v>
                </c:pt>
                <c:pt idx="5460">
                  <c:v>705</c:v>
                </c:pt>
                <c:pt idx="5461">
                  <c:v>704</c:v>
                </c:pt>
                <c:pt idx="5462">
                  <c:v>704</c:v>
                </c:pt>
                <c:pt idx="5463">
                  <c:v>704</c:v>
                </c:pt>
                <c:pt idx="5464">
                  <c:v>704</c:v>
                </c:pt>
                <c:pt idx="5465">
                  <c:v>704</c:v>
                </c:pt>
                <c:pt idx="5466">
                  <c:v>704</c:v>
                </c:pt>
                <c:pt idx="5467">
                  <c:v>704</c:v>
                </c:pt>
                <c:pt idx="5468">
                  <c:v>705</c:v>
                </c:pt>
                <c:pt idx="5469">
                  <c:v>705</c:v>
                </c:pt>
                <c:pt idx="5470">
                  <c:v>705</c:v>
                </c:pt>
                <c:pt idx="5471">
                  <c:v>703</c:v>
                </c:pt>
                <c:pt idx="5472">
                  <c:v>703</c:v>
                </c:pt>
                <c:pt idx="5473">
                  <c:v>704</c:v>
                </c:pt>
                <c:pt idx="5474">
                  <c:v>704</c:v>
                </c:pt>
                <c:pt idx="5475">
                  <c:v>704</c:v>
                </c:pt>
                <c:pt idx="5476">
                  <c:v>704</c:v>
                </c:pt>
                <c:pt idx="5477">
                  <c:v>704</c:v>
                </c:pt>
                <c:pt idx="5478">
                  <c:v>704</c:v>
                </c:pt>
                <c:pt idx="5479">
                  <c:v>704</c:v>
                </c:pt>
                <c:pt idx="5480">
                  <c:v>704</c:v>
                </c:pt>
                <c:pt idx="5481">
                  <c:v>704</c:v>
                </c:pt>
                <c:pt idx="5482">
                  <c:v>705</c:v>
                </c:pt>
                <c:pt idx="5483">
                  <c:v>705</c:v>
                </c:pt>
                <c:pt idx="5484">
                  <c:v>705</c:v>
                </c:pt>
                <c:pt idx="5485">
                  <c:v>705</c:v>
                </c:pt>
                <c:pt idx="5486">
                  <c:v>705</c:v>
                </c:pt>
                <c:pt idx="5487">
                  <c:v>705</c:v>
                </c:pt>
                <c:pt idx="5488">
                  <c:v>704</c:v>
                </c:pt>
                <c:pt idx="5489">
                  <c:v>705</c:v>
                </c:pt>
                <c:pt idx="5490">
                  <c:v>707</c:v>
                </c:pt>
                <c:pt idx="5491">
                  <c:v>707</c:v>
                </c:pt>
                <c:pt idx="5492">
                  <c:v>707</c:v>
                </c:pt>
                <c:pt idx="5493">
                  <c:v>707</c:v>
                </c:pt>
                <c:pt idx="5494">
                  <c:v>708</c:v>
                </c:pt>
                <c:pt idx="5495">
                  <c:v>708</c:v>
                </c:pt>
                <c:pt idx="5496">
                  <c:v>708</c:v>
                </c:pt>
                <c:pt idx="5497">
                  <c:v>709</c:v>
                </c:pt>
                <c:pt idx="5498">
                  <c:v>709</c:v>
                </c:pt>
                <c:pt idx="5499">
                  <c:v>709</c:v>
                </c:pt>
                <c:pt idx="5500">
                  <c:v>709</c:v>
                </c:pt>
                <c:pt idx="5501">
                  <c:v>709</c:v>
                </c:pt>
                <c:pt idx="5502">
                  <c:v>709</c:v>
                </c:pt>
                <c:pt idx="5503">
                  <c:v>708</c:v>
                </c:pt>
                <c:pt idx="5504">
                  <c:v>708</c:v>
                </c:pt>
                <c:pt idx="5505">
                  <c:v>708</c:v>
                </c:pt>
                <c:pt idx="5506">
                  <c:v>708</c:v>
                </c:pt>
                <c:pt idx="5507">
                  <c:v>708</c:v>
                </c:pt>
                <c:pt idx="5508">
                  <c:v>707</c:v>
                </c:pt>
                <c:pt idx="5509">
                  <c:v>707</c:v>
                </c:pt>
                <c:pt idx="5510">
                  <c:v>706</c:v>
                </c:pt>
                <c:pt idx="5511">
                  <c:v>706</c:v>
                </c:pt>
                <c:pt idx="5512">
                  <c:v>706</c:v>
                </c:pt>
                <c:pt idx="5513">
                  <c:v>706</c:v>
                </c:pt>
                <c:pt idx="5514">
                  <c:v>706</c:v>
                </c:pt>
                <c:pt idx="5515">
                  <c:v>707</c:v>
                </c:pt>
                <c:pt idx="5516">
                  <c:v>707</c:v>
                </c:pt>
                <c:pt idx="5517">
                  <c:v>708</c:v>
                </c:pt>
                <c:pt idx="5518">
                  <c:v>708</c:v>
                </c:pt>
                <c:pt idx="5519">
                  <c:v>708</c:v>
                </c:pt>
                <c:pt idx="5520">
                  <c:v>708</c:v>
                </c:pt>
                <c:pt idx="5521">
                  <c:v>709</c:v>
                </c:pt>
                <c:pt idx="5522">
                  <c:v>709</c:v>
                </c:pt>
                <c:pt idx="5523">
                  <c:v>709</c:v>
                </c:pt>
                <c:pt idx="5524">
                  <c:v>709</c:v>
                </c:pt>
                <c:pt idx="5525">
                  <c:v>708</c:v>
                </c:pt>
                <c:pt idx="5526">
                  <c:v>708</c:v>
                </c:pt>
                <c:pt idx="5527">
                  <c:v>708</c:v>
                </c:pt>
                <c:pt idx="5528">
                  <c:v>708</c:v>
                </c:pt>
                <c:pt idx="5529">
                  <c:v>707</c:v>
                </c:pt>
                <c:pt idx="5530">
                  <c:v>707</c:v>
                </c:pt>
                <c:pt idx="5531">
                  <c:v>707</c:v>
                </c:pt>
                <c:pt idx="5532">
                  <c:v>707</c:v>
                </c:pt>
                <c:pt idx="5533">
                  <c:v>706</c:v>
                </c:pt>
                <c:pt idx="5534">
                  <c:v>706</c:v>
                </c:pt>
                <c:pt idx="5535">
                  <c:v>706</c:v>
                </c:pt>
                <c:pt idx="5536">
                  <c:v>706</c:v>
                </c:pt>
                <c:pt idx="5537">
                  <c:v>706</c:v>
                </c:pt>
                <c:pt idx="5538">
                  <c:v>706</c:v>
                </c:pt>
                <c:pt idx="5539">
                  <c:v>707</c:v>
                </c:pt>
                <c:pt idx="5540">
                  <c:v>707</c:v>
                </c:pt>
                <c:pt idx="5541">
                  <c:v>708</c:v>
                </c:pt>
                <c:pt idx="5542">
                  <c:v>708</c:v>
                </c:pt>
                <c:pt idx="5543">
                  <c:v>709</c:v>
                </c:pt>
                <c:pt idx="5544">
                  <c:v>709</c:v>
                </c:pt>
                <c:pt idx="5545">
                  <c:v>709</c:v>
                </c:pt>
                <c:pt idx="5546">
                  <c:v>709</c:v>
                </c:pt>
                <c:pt idx="5547">
                  <c:v>709</c:v>
                </c:pt>
                <c:pt idx="5548">
                  <c:v>709</c:v>
                </c:pt>
                <c:pt idx="5549">
                  <c:v>708</c:v>
                </c:pt>
                <c:pt idx="5550">
                  <c:v>708</c:v>
                </c:pt>
                <c:pt idx="5551">
                  <c:v>708</c:v>
                </c:pt>
                <c:pt idx="5552">
                  <c:v>707</c:v>
                </c:pt>
                <c:pt idx="5553">
                  <c:v>707</c:v>
                </c:pt>
                <c:pt idx="5554">
                  <c:v>707</c:v>
                </c:pt>
                <c:pt idx="5555">
                  <c:v>707</c:v>
                </c:pt>
                <c:pt idx="5556">
                  <c:v>707</c:v>
                </c:pt>
                <c:pt idx="5557">
                  <c:v>706</c:v>
                </c:pt>
                <c:pt idx="5558">
                  <c:v>706</c:v>
                </c:pt>
                <c:pt idx="5559">
                  <c:v>707</c:v>
                </c:pt>
                <c:pt idx="5560">
                  <c:v>706</c:v>
                </c:pt>
                <c:pt idx="5561">
                  <c:v>706</c:v>
                </c:pt>
                <c:pt idx="5562">
                  <c:v>706</c:v>
                </c:pt>
                <c:pt idx="5563">
                  <c:v>707</c:v>
                </c:pt>
                <c:pt idx="5564">
                  <c:v>707</c:v>
                </c:pt>
                <c:pt idx="5565">
                  <c:v>708</c:v>
                </c:pt>
                <c:pt idx="5566">
                  <c:v>708</c:v>
                </c:pt>
                <c:pt idx="5567">
                  <c:v>709</c:v>
                </c:pt>
                <c:pt idx="5568">
                  <c:v>709</c:v>
                </c:pt>
                <c:pt idx="5569">
                  <c:v>710</c:v>
                </c:pt>
                <c:pt idx="5570">
                  <c:v>710</c:v>
                </c:pt>
                <c:pt idx="5571">
                  <c:v>710</c:v>
                </c:pt>
                <c:pt idx="5572">
                  <c:v>710</c:v>
                </c:pt>
                <c:pt idx="5573">
                  <c:v>710</c:v>
                </c:pt>
                <c:pt idx="5574">
                  <c:v>710</c:v>
                </c:pt>
                <c:pt idx="5575">
                  <c:v>709</c:v>
                </c:pt>
                <c:pt idx="5576">
                  <c:v>709</c:v>
                </c:pt>
                <c:pt idx="5577">
                  <c:v>709</c:v>
                </c:pt>
                <c:pt idx="5578">
                  <c:v>708</c:v>
                </c:pt>
                <c:pt idx="5579">
                  <c:v>708</c:v>
                </c:pt>
                <c:pt idx="5580">
                  <c:v>708</c:v>
                </c:pt>
                <c:pt idx="5581">
                  <c:v>708</c:v>
                </c:pt>
                <c:pt idx="5582">
                  <c:v>708</c:v>
                </c:pt>
                <c:pt idx="5583">
                  <c:v>707</c:v>
                </c:pt>
                <c:pt idx="5584">
                  <c:v>707</c:v>
                </c:pt>
                <c:pt idx="5585">
                  <c:v>707</c:v>
                </c:pt>
                <c:pt idx="5586">
                  <c:v>707</c:v>
                </c:pt>
                <c:pt idx="5587">
                  <c:v>707</c:v>
                </c:pt>
                <c:pt idx="5588">
                  <c:v>708</c:v>
                </c:pt>
                <c:pt idx="5589">
                  <c:v>709</c:v>
                </c:pt>
                <c:pt idx="5590">
                  <c:v>709</c:v>
                </c:pt>
                <c:pt idx="5591">
                  <c:v>710</c:v>
                </c:pt>
                <c:pt idx="5592">
                  <c:v>711</c:v>
                </c:pt>
                <c:pt idx="5593">
                  <c:v>711</c:v>
                </c:pt>
                <c:pt idx="5594">
                  <c:v>711</c:v>
                </c:pt>
                <c:pt idx="5595">
                  <c:v>711</c:v>
                </c:pt>
                <c:pt idx="5596">
                  <c:v>711</c:v>
                </c:pt>
                <c:pt idx="5597">
                  <c:v>711</c:v>
                </c:pt>
                <c:pt idx="5598">
                  <c:v>711</c:v>
                </c:pt>
                <c:pt idx="5599">
                  <c:v>711</c:v>
                </c:pt>
                <c:pt idx="5600">
                  <c:v>710</c:v>
                </c:pt>
                <c:pt idx="5601">
                  <c:v>710</c:v>
                </c:pt>
                <c:pt idx="5602">
                  <c:v>710</c:v>
                </c:pt>
                <c:pt idx="5603">
                  <c:v>709</c:v>
                </c:pt>
                <c:pt idx="5604">
                  <c:v>708</c:v>
                </c:pt>
                <c:pt idx="5605">
                  <c:v>708</c:v>
                </c:pt>
                <c:pt idx="5606">
                  <c:v>708</c:v>
                </c:pt>
                <c:pt idx="5607">
                  <c:v>708</c:v>
                </c:pt>
                <c:pt idx="5608">
                  <c:v>708</c:v>
                </c:pt>
                <c:pt idx="5609">
                  <c:v>707</c:v>
                </c:pt>
                <c:pt idx="5610">
                  <c:v>707</c:v>
                </c:pt>
                <c:pt idx="5611">
                  <c:v>707</c:v>
                </c:pt>
                <c:pt idx="5612">
                  <c:v>708</c:v>
                </c:pt>
                <c:pt idx="5613">
                  <c:v>709</c:v>
                </c:pt>
                <c:pt idx="5614">
                  <c:v>709</c:v>
                </c:pt>
                <c:pt idx="5615">
                  <c:v>710</c:v>
                </c:pt>
                <c:pt idx="5616">
                  <c:v>710</c:v>
                </c:pt>
                <c:pt idx="5617">
                  <c:v>711</c:v>
                </c:pt>
                <c:pt idx="5618">
                  <c:v>711</c:v>
                </c:pt>
                <c:pt idx="5619">
                  <c:v>711</c:v>
                </c:pt>
                <c:pt idx="5620">
                  <c:v>710</c:v>
                </c:pt>
                <c:pt idx="5621">
                  <c:v>711</c:v>
                </c:pt>
                <c:pt idx="5622">
                  <c:v>711</c:v>
                </c:pt>
                <c:pt idx="5623">
                  <c:v>711</c:v>
                </c:pt>
                <c:pt idx="5624">
                  <c:v>711</c:v>
                </c:pt>
                <c:pt idx="5625">
                  <c:v>711</c:v>
                </c:pt>
                <c:pt idx="5626">
                  <c:v>711</c:v>
                </c:pt>
                <c:pt idx="5627">
                  <c:v>711</c:v>
                </c:pt>
                <c:pt idx="5628">
                  <c:v>711</c:v>
                </c:pt>
                <c:pt idx="5629">
                  <c:v>711</c:v>
                </c:pt>
                <c:pt idx="5630">
                  <c:v>711</c:v>
                </c:pt>
                <c:pt idx="5631">
                  <c:v>711</c:v>
                </c:pt>
                <c:pt idx="5632">
                  <c:v>712</c:v>
                </c:pt>
                <c:pt idx="5633">
                  <c:v>711</c:v>
                </c:pt>
                <c:pt idx="5634">
                  <c:v>711</c:v>
                </c:pt>
                <c:pt idx="5635">
                  <c:v>712</c:v>
                </c:pt>
                <c:pt idx="5636">
                  <c:v>711</c:v>
                </c:pt>
                <c:pt idx="5637">
                  <c:v>712</c:v>
                </c:pt>
                <c:pt idx="5638">
                  <c:v>713</c:v>
                </c:pt>
                <c:pt idx="5639">
                  <c:v>713</c:v>
                </c:pt>
                <c:pt idx="5640">
                  <c:v>713</c:v>
                </c:pt>
                <c:pt idx="5641">
                  <c:v>713</c:v>
                </c:pt>
                <c:pt idx="5642">
                  <c:v>713</c:v>
                </c:pt>
                <c:pt idx="5643">
                  <c:v>713</c:v>
                </c:pt>
                <c:pt idx="5644">
                  <c:v>713</c:v>
                </c:pt>
                <c:pt idx="5645">
                  <c:v>713</c:v>
                </c:pt>
                <c:pt idx="5646">
                  <c:v>713</c:v>
                </c:pt>
                <c:pt idx="5647">
                  <c:v>713</c:v>
                </c:pt>
                <c:pt idx="5648">
                  <c:v>713</c:v>
                </c:pt>
                <c:pt idx="5649">
                  <c:v>713</c:v>
                </c:pt>
                <c:pt idx="5650">
                  <c:v>713</c:v>
                </c:pt>
                <c:pt idx="5651">
                  <c:v>713</c:v>
                </c:pt>
                <c:pt idx="5652">
                  <c:v>712</c:v>
                </c:pt>
                <c:pt idx="5653">
                  <c:v>712</c:v>
                </c:pt>
                <c:pt idx="5654">
                  <c:v>711</c:v>
                </c:pt>
                <c:pt idx="5655">
                  <c:v>711</c:v>
                </c:pt>
                <c:pt idx="5656">
                  <c:v>712</c:v>
                </c:pt>
                <c:pt idx="5657">
                  <c:v>712</c:v>
                </c:pt>
                <c:pt idx="5658">
                  <c:v>712</c:v>
                </c:pt>
                <c:pt idx="5659">
                  <c:v>712</c:v>
                </c:pt>
                <c:pt idx="5660">
                  <c:v>713</c:v>
                </c:pt>
                <c:pt idx="5661">
                  <c:v>713</c:v>
                </c:pt>
                <c:pt idx="5662">
                  <c:v>712</c:v>
                </c:pt>
                <c:pt idx="5663">
                  <c:v>712</c:v>
                </c:pt>
                <c:pt idx="5664">
                  <c:v>712</c:v>
                </c:pt>
                <c:pt idx="5665">
                  <c:v>712</c:v>
                </c:pt>
                <c:pt idx="5666">
                  <c:v>713</c:v>
                </c:pt>
                <c:pt idx="5667">
                  <c:v>713</c:v>
                </c:pt>
                <c:pt idx="5668">
                  <c:v>713</c:v>
                </c:pt>
                <c:pt idx="5669">
                  <c:v>713</c:v>
                </c:pt>
                <c:pt idx="5670">
                  <c:v>713</c:v>
                </c:pt>
                <c:pt idx="5671">
                  <c:v>713</c:v>
                </c:pt>
                <c:pt idx="5672">
                  <c:v>713</c:v>
                </c:pt>
                <c:pt idx="5673">
                  <c:v>713</c:v>
                </c:pt>
                <c:pt idx="5674">
                  <c:v>713</c:v>
                </c:pt>
                <c:pt idx="5675">
                  <c:v>713</c:v>
                </c:pt>
                <c:pt idx="5676">
                  <c:v>713</c:v>
                </c:pt>
                <c:pt idx="5677">
                  <c:v>713</c:v>
                </c:pt>
                <c:pt idx="5678">
                  <c:v>713</c:v>
                </c:pt>
                <c:pt idx="5679">
                  <c:v>713</c:v>
                </c:pt>
                <c:pt idx="5680">
                  <c:v>713</c:v>
                </c:pt>
                <c:pt idx="5681">
                  <c:v>713</c:v>
                </c:pt>
                <c:pt idx="5682">
                  <c:v>713</c:v>
                </c:pt>
                <c:pt idx="5683">
                  <c:v>714</c:v>
                </c:pt>
                <c:pt idx="5684">
                  <c:v>714</c:v>
                </c:pt>
                <c:pt idx="5685">
                  <c:v>714</c:v>
                </c:pt>
                <c:pt idx="5686">
                  <c:v>714</c:v>
                </c:pt>
                <c:pt idx="5687">
                  <c:v>714</c:v>
                </c:pt>
                <c:pt idx="5688">
                  <c:v>714</c:v>
                </c:pt>
                <c:pt idx="5689">
                  <c:v>714</c:v>
                </c:pt>
                <c:pt idx="5690">
                  <c:v>714</c:v>
                </c:pt>
                <c:pt idx="5691">
                  <c:v>714</c:v>
                </c:pt>
                <c:pt idx="5692">
                  <c:v>714</c:v>
                </c:pt>
                <c:pt idx="5693">
                  <c:v>714</c:v>
                </c:pt>
                <c:pt idx="5694">
                  <c:v>714</c:v>
                </c:pt>
                <c:pt idx="5695">
                  <c:v>714</c:v>
                </c:pt>
                <c:pt idx="5696">
                  <c:v>714</c:v>
                </c:pt>
                <c:pt idx="5697">
                  <c:v>714</c:v>
                </c:pt>
                <c:pt idx="5698">
                  <c:v>714</c:v>
                </c:pt>
                <c:pt idx="5699">
                  <c:v>713</c:v>
                </c:pt>
                <c:pt idx="5700">
                  <c:v>713</c:v>
                </c:pt>
                <c:pt idx="5701">
                  <c:v>712</c:v>
                </c:pt>
                <c:pt idx="5702">
                  <c:v>713</c:v>
                </c:pt>
                <c:pt idx="5703">
                  <c:v>713</c:v>
                </c:pt>
                <c:pt idx="5704">
                  <c:v>713</c:v>
                </c:pt>
                <c:pt idx="5705">
                  <c:v>712</c:v>
                </c:pt>
                <c:pt idx="5706">
                  <c:v>713</c:v>
                </c:pt>
                <c:pt idx="5707">
                  <c:v>713</c:v>
                </c:pt>
                <c:pt idx="5708">
                  <c:v>713</c:v>
                </c:pt>
                <c:pt idx="5709">
                  <c:v>714</c:v>
                </c:pt>
                <c:pt idx="5710">
                  <c:v>714</c:v>
                </c:pt>
                <c:pt idx="5711">
                  <c:v>714</c:v>
                </c:pt>
                <c:pt idx="5712">
                  <c:v>714</c:v>
                </c:pt>
                <c:pt idx="5713">
                  <c:v>714</c:v>
                </c:pt>
                <c:pt idx="5714">
                  <c:v>714</c:v>
                </c:pt>
                <c:pt idx="5715">
                  <c:v>714</c:v>
                </c:pt>
                <c:pt idx="5716">
                  <c:v>714</c:v>
                </c:pt>
                <c:pt idx="5717">
                  <c:v>714</c:v>
                </c:pt>
                <c:pt idx="5718">
                  <c:v>714</c:v>
                </c:pt>
                <c:pt idx="5719">
                  <c:v>714</c:v>
                </c:pt>
                <c:pt idx="5720">
                  <c:v>714</c:v>
                </c:pt>
                <c:pt idx="5721">
                  <c:v>715</c:v>
                </c:pt>
                <c:pt idx="5722">
                  <c:v>714</c:v>
                </c:pt>
                <c:pt idx="5723">
                  <c:v>714</c:v>
                </c:pt>
                <c:pt idx="5724">
                  <c:v>714</c:v>
                </c:pt>
                <c:pt idx="5725">
                  <c:v>714</c:v>
                </c:pt>
                <c:pt idx="5726">
                  <c:v>714</c:v>
                </c:pt>
                <c:pt idx="5727">
                  <c:v>714</c:v>
                </c:pt>
                <c:pt idx="5728">
                  <c:v>714</c:v>
                </c:pt>
                <c:pt idx="5729">
                  <c:v>714</c:v>
                </c:pt>
                <c:pt idx="5730">
                  <c:v>715</c:v>
                </c:pt>
                <c:pt idx="5731">
                  <c:v>715</c:v>
                </c:pt>
                <c:pt idx="5732">
                  <c:v>716</c:v>
                </c:pt>
                <c:pt idx="5733">
                  <c:v>716</c:v>
                </c:pt>
                <c:pt idx="5734">
                  <c:v>716</c:v>
                </c:pt>
                <c:pt idx="5735">
                  <c:v>716</c:v>
                </c:pt>
                <c:pt idx="5736">
                  <c:v>716</c:v>
                </c:pt>
                <c:pt idx="5737">
                  <c:v>716</c:v>
                </c:pt>
                <c:pt idx="5738">
                  <c:v>717</c:v>
                </c:pt>
                <c:pt idx="5739">
                  <c:v>717</c:v>
                </c:pt>
                <c:pt idx="5740">
                  <c:v>716</c:v>
                </c:pt>
                <c:pt idx="5741">
                  <c:v>716</c:v>
                </c:pt>
                <c:pt idx="5742">
                  <c:v>716</c:v>
                </c:pt>
                <c:pt idx="5743">
                  <c:v>716</c:v>
                </c:pt>
                <c:pt idx="5744">
                  <c:v>716</c:v>
                </c:pt>
                <c:pt idx="5745">
                  <c:v>716</c:v>
                </c:pt>
                <c:pt idx="5746">
                  <c:v>716</c:v>
                </c:pt>
                <c:pt idx="5747">
                  <c:v>716</c:v>
                </c:pt>
                <c:pt idx="5748">
                  <c:v>716</c:v>
                </c:pt>
                <c:pt idx="5749">
                  <c:v>716</c:v>
                </c:pt>
                <c:pt idx="5750">
                  <c:v>716</c:v>
                </c:pt>
                <c:pt idx="5751">
                  <c:v>716</c:v>
                </c:pt>
                <c:pt idx="5752">
                  <c:v>716</c:v>
                </c:pt>
                <c:pt idx="5753">
                  <c:v>716</c:v>
                </c:pt>
                <c:pt idx="5754">
                  <c:v>716</c:v>
                </c:pt>
                <c:pt idx="5755">
                  <c:v>716</c:v>
                </c:pt>
                <c:pt idx="5756">
                  <c:v>716</c:v>
                </c:pt>
                <c:pt idx="5757">
                  <c:v>716</c:v>
                </c:pt>
                <c:pt idx="5758">
                  <c:v>716</c:v>
                </c:pt>
                <c:pt idx="5759">
                  <c:v>717</c:v>
                </c:pt>
                <c:pt idx="5760">
                  <c:v>717</c:v>
                </c:pt>
                <c:pt idx="5761">
                  <c:v>717</c:v>
                </c:pt>
                <c:pt idx="5762">
                  <c:v>717</c:v>
                </c:pt>
                <c:pt idx="5763">
                  <c:v>717</c:v>
                </c:pt>
                <c:pt idx="5764">
                  <c:v>717</c:v>
                </c:pt>
                <c:pt idx="5765">
                  <c:v>717</c:v>
                </c:pt>
                <c:pt idx="5766">
                  <c:v>717</c:v>
                </c:pt>
                <c:pt idx="5767">
                  <c:v>717</c:v>
                </c:pt>
                <c:pt idx="5768">
                  <c:v>717</c:v>
                </c:pt>
                <c:pt idx="5769">
                  <c:v>717</c:v>
                </c:pt>
                <c:pt idx="5770">
                  <c:v>716</c:v>
                </c:pt>
                <c:pt idx="5771">
                  <c:v>716</c:v>
                </c:pt>
                <c:pt idx="5772">
                  <c:v>716</c:v>
                </c:pt>
                <c:pt idx="5773">
                  <c:v>717</c:v>
                </c:pt>
                <c:pt idx="5774">
                  <c:v>717</c:v>
                </c:pt>
                <c:pt idx="5775">
                  <c:v>716</c:v>
                </c:pt>
                <c:pt idx="5776">
                  <c:v>716</c:v>
                </c:pt>
                <c:pt idx="5777">
                  <c:v>716</c:v>
                </c:pt>
                <c:pt idx="5778">
                  <c:v>716</c:v>
                </c:pt>
                <c:pt idx="5779">
                  <c:v>716</c:v>
                </c:pt>
                <c:pt idx="5780">
                  <c:v>716</c:v>
                </c:pt>
                <c:pt idx="5781">
                  <c:v>716</c:v>
                </c:pt>
                <c:pt idx="5782">
                  <c:v>716</c:v>
                </c:pt>
                <c:pt idx="5783">
                  <c:v>717</c:v>
                </c:pt>
                <c:pt idx="5784">
                  <c:v>717</c:v>
                </c:pt>
                <c:pt idx="5785">
                  <c:v>717</c:v>
                </c:pt>
                <c:pt idx="5786">
                  <c:v>717</c:v>
                </c:pt>
                <c:pt idx="5787">
                  <c:v>717</c:v>
                </c:pt>
                <c:pt idx="5788">
                  <c:v>717</c:v>
                </c:pt>
                <c:pt idx="5789">
                  <c:v>718</c:v>
                </c:pt>
                <c:pt idx="5790">
                  <c:v>718</c:v>
                </c:pt>
                <c:pt idx="5791">
                  <c:v>718</c:v>
                </c:pt>
                <c:pt idx="5792">
                  <c:v>717</c:v>
                </c:pt>
                <c:pt idx="5793">
                  <c:v>717</c:v>
                </c:pt>
                <c:pt idx="5794">
                  <c:v>717</c:v>
                </c:pt>
                <c:pt idx="5795">
                  <c:v>717</c:v>
                </c:pt>
                <c:pt idx="5796">
                  <c:v>716</c:v>
                </c:pt>
                <c:pt idx="5797">
                  <c:v>716</c:v>
                </c:pt>
                <c:pt idx="5798">
                  <c:v>716</c:v>
                </c:pt>
                <c:pt idx="5799">
                  <c:v>716</c:v>
                </c:pt>
                <c:pt idx="5800">
                  <c:v>716</c:v>
                </c:pt>
                <c:pt idx="5801">
                  <c:v>716</c:v>
                </c:pt>
                <c:pt idx="5802">
                  <c:v>716</c:v>
                </c:pt>
                <c:pt idx="5803">
                  <c:v>716</c:v>
                </c:pt>
                <c:pt idx="5804">
                  <c:v>717</c:v>
                </c:pt>
                <c:pt idx="5805">
                  <c:v>717</c:v>
                </c:pt>
                <c:pt idx="5806">
                  <c:v>717</c:v>
                </c:pt>
                <c:pt idx="5807">
                  <c:v>717</c:v>
                </c:pt>
                <c:pt idx="5808">
                  <c:v>717</c:v>
                </c:pt>
                <c:pt idx="5809">
                  <c:v>717</c:v>
                </c:pt>
                <c:pt idx="5810">
                  <c:v>717</c:v>
                </c:pt>
                <c:pt idx="5811">
                  <c:v>717</c:v>
                </c:pt>
                <c:pt idx="5812">
                  <c:v>717</c:v>
                </c:pt>
                <c:pt idx="5813">
                  <c:v>717</c:v>
                </c:pt>
                <c:pt idx="5814">
                  <c:v>717</c:v>
                </c:pt>
                <c:pt idx="5815">
                  <c:v>718</c:v>
                </c:pt>
                <c:pt idx="5816">
                  <c:v>718</c:v>
                </c:pt>
                <c:pt idx="5817">
                  <c:v>717</c:v>
                </c:pt>
                <c:pt idx="5818">
                  <c:v>717</c:v>
                </c:pt>
                <c:pt idx="5819">
                  <c:v>717</c:v>
                </c:pt>
                <c:pt idx="5820">
                  <c:v>717</c:v>
                </c:pt>
                <c:pt idx="5821">
                  <c:v>717</c:v>
                </c:pt>
                <c:pt idx="5822">
                  <c:v>716</c:v>
                </c:pt>
                <c:pt idx="5823">
                  <c:v>716</c:v>
                </c:pt>
                <c:pt idx="5824">
                  <c:v>716</c:v>
                </c:pt>
                <c:pt idx="5825">
                  <c:v>716</c:v>
                </c:pt>
                <c:pt idx="5826">
                  <c:v>716</c:v>
                </c:pt>
                <c:pt idx="5827">
                  <c:v>716</c:v>
                </c:pt>
                <c:pt idx="5828">
                  <c:v>716</c:v>
                </c:pt>
                <c:pt idx="5829">
                  <c:v>716</c:v>
                </c:pt>
                <c:pt idx="5830">
                  <c:v>716</c:v>
                </c:pt>
                <c:pt idx="5831">
                  <c:v>715</c:v>
                </c:pt>
                <c:pt idx="5832">
                  <c:v>714</c:v>
                </c:pt>
                <c:pt idx="5833">
                  <c:v>715</c:v>
                </c:pt>
                <c:pt idx="5834">
                  <c:v>715</c:v>
                </c:pt>
                <c:pt idx="5835">
                  <c:v>715</c:v>
                </c:pt>
                <c:pt idx="5836">
                  <c:v>715</c:v>
                </c:pt>
                <c:pt idx="5837">
                  <c:v>715</c:v>
                </c:pt>
                <c:pt idx="5838">
                  <c:v>715</c:v>
                </c:pt>
                <c:pt idx="5839">
                  <c:v>715</c:v>
                </c:pt>
                <c:pt idx="5840">
                  <c:v>715</c:v>
                </c:pt>
                <c:pt idx="5841">
                  <c:v>714</c:v>
                </c:pt>
                <c:pt idx="5842">
                  <c:v>714</c:v>
                </c:pt>
                <c:pt idx="5843">
                  <c:v>713</c:v>
                </c:pt>
                <c:pt idx="5844">
                  <c:v>713</c:v>
                </c:pt>
                <c:pt idx="5845">
                  <c:v>714</c:v>
                </c:pt>
                <c:pt idx="5846">
                  <c:v>714</c:v>
                </c:pt>
                <c:pt idx="5847">
                  <c:v>714</c:v>
                </c:pt>
                <c:pt idx="5848">
                  <c:v>714</c:v>
                </c:pt>
                <c:pt idx="5849">
                  <c:v>713</c:v>
                </c:pt>
                <c:pt idx="5850">
                  <c:v>713</c:v>
                </c:pt>
                <c:pt idx="5851">
                  <c:v>714</c:v>
                </c:pt>
                <c:pt idx="5852">
                  <c:v>714</c:v>
                </c:pt>
                <c:pt idx="5853">
                  <c:v>714</c:v>
                </c:pt>
                <c:pt idx="5854">
                  <c:v>715</c:v>
                </c:pt>
                <c:pt idx="5855">
                  <c:v>715</c:v>
                </c:pt>
                <c:pt idx="5856">
                  <c:v>715</c:v>
                </c:pt>
                <c:pt idx="5857">
                  <c:v>716</c:v>
                </c:pt>
                <c:pt idx="5858">
                  <c:v>716</c:v>
                </c:pt>
                <c:pt idx="5859">
                  <c:v>716</c:v>
                </c:pt>
                <c:pt idx="5860">
                  <c:v>716</c:v>
                </c:pt>
                <c:pt idx="5861">
                  <c:v>716</c:v>
                </c:pt>
                <c:pt idx="5862">
                  <c:v>716</c:v>
                </c:pt>
                <c:pt idx="5863">
                  <c:v>716</c:v>
                </c:pt>
                <c:pt idx="5864">
                  <c:v>715</c:v>
                </c:pt>
                <c:pt idx="5865">
                  <c:v>715</c:v>
                </c:pt>
                <c:pt idx="5866">
                  <c:v>715</c:v>
                </c:pt>
                <c:pt idx="5867">
                  <c:v>715</c:v>
                </c:pt>
                <c:pt idx="5868">
                  <c:v>714</c:v>
                </c:pt>
                <c:pt idx="5869">
                  <c:v>714</c:v>
                </c:pt>
                <c:pt idx="5870">
                  <c:v>714</c:v>
                </c:pt>
                <c:pt idx="5871">
                  <c:v>714</c:v>
                </c:pt>
                <c:pt idx="5872">
                  <c:v>714</c:v>
                </c:pt>
                <c:pt idx="5873">
                  <c:v>714</c:v>
                </c:pt>
                <c:pt idx="5874">
                  <c:v>714</c:v>
                </c:pt>
                <c:pt idx="5875">
                  <c:v>714</c:v>
                </c:pt>
                <c:pt idx="5876">
                  <c:v>714</c:v>
                </c:pt>
                <c:pt idx="5877">
                  <c:v>714</c:v>
                </c:pt>
                <c:pt idx="5878">
                  <c:v>715</c:v>
                </c:pt>
                <c:pt idx="5879">
                  <c:v>715</c:v>
                </c:pt>
                <c:pt idx="5880">
                  <c:v>715</c:v>
                </c:pt>
                <c:pt idx="5881">
                  <c:v>716</c:v>
                </c:pt>
                <c:pt idx="5882">
                  <c:v>716</c:v>
                </c:pt>
                <c:pt idx="5883">
                  <c:v>716</c:v>
                </c:pt>
                <c:pt idx="5884">
                  <c:v>717</c:v>
                </c:pt>
                <c:pt idx="5885">
                  <c:v>717</c:v>
                </c:pt>
                <c:pt idx="5886">
                  <c:v>717</c:v>
                </c:pt>
                <c:pt idx="5887">
                  <c:v>716</c:v>
                </c:pt>
                <c:pt idx="5888">
                  <c:v>716</c:v>
                </c:pt>
                <c:pt idx="5889">
                  <c:v>715</c:v>
                </c:pt>
                <c:pt idx="5890">
                  <c:v>715</c:v>
                </c:pt>
                <c:pt idx="5891">
                  <c:v>715</c:v>
                </c:pt>
                <c:pt idx="5892">
                  <c:v>715</c:v>
                </c:pt>
                <c:pt idx="5893">
                  <c:v>715</c:v>
                </c:pt>
                <c:pt idx="5894">
                  <c:v>715</c:v>
                </c:pt>
                <c:pt idx="5895">
                  <c:v>715</c:v>
                </c:pt>
                <c:pt idx="5896">
                  <c:v>714</c:v>
                </c:pt>
                <c:pt idx="5897">
                  <c:v>714</c:v>
                </c:pt>
                <c:pt idx="5898">
                  <c:v>714</c:v>
                </c:pt>
                <c:pt idx="5899">
                  <c:v>714</c:v>
                </c:pt>
                <c:pt idx="5900">
                  <c:v>714</c:v>
                </c:pt>
                <c:pt idx="5901">
                  <c:v>715</c:v>
                </c:pt>
                <c:pt idx="5902">
                  <c:v>715</c:v>
                </c:pt>
                <c:pt idx="5903">
                  <c:v>716</c:v>
                </c:pt>
                <c:pt idx="5904">
                  <c:v>716</c:v>
                </c:pt>
                <c:pt idx="5905">
                  <c:v>716</c:v>
                </c:pt>
                <c:pt idx="5906">
                  <c:v>717</c:v>
                </c:pt>
                <c:pt idx="5907">
                  <c:v>717</c:v>
                </c:pt>
                <c:pt idx="5908">
                  <c:v>717</c:v>
                </c:pt>
                <c:pt idx="5909">
                  <c:v>717</c:v>
                </c:pt>
                <c:pt idx="5910">
                  <c:v>717</c:v>
                </c:pt>
                <c:pt idx="5911">
                  <c:v>716</c:v>
                </c:pt>
                <c:pt idx="5912">
                  <c:v>716</c:v>
                </c:pt>
                <c:pt idx="5913">
                  <c:v>715</c:v>
                </c:pt>
                <c:pt idx="5914">
                  <c:v>715</c:v>
                </c:pt>
                <c:pt idx="5915">
                  <c:v>715</c:v>
                </c:pt>
                <c:pt idx="5916">
                  <c:v>714</c:v>
                </c:pt>
                <c:pt idx="5917">
                  <c:v>714</c:v>
                </c:pt>
                <c:pt idx="5918">
                  <c:v>714</c:v>
                </c:pt>
                <c:pt idx="5919">
                  <c:v>714</c:v>
                </c:pt>
                <c:pt idx="5920">
                  <c:v>714</c:v>
                </c:pt>
                <c:pt idx="5921">
                  <c:v>714</c:v>
                </c:pt>
                <c:pt idx="5922">
                  <c:v>713</c:v>
                </c:pt>
                <c:pt idx="5923">
                  <c:v>714</c:v>
                </c:pt>
                <c:pt idx="5924">
                  <c:v>714</c:v>
                </c:pt>
                <c:pt idx="5925">
                  <c:v>714</c:v>
                </c:pt>
                <c:pt idx="5926">
                  <c:v>715</c:v>
                </c:pt>
                <c:pt idx="5927">
                  <c:v>715</c:v>
                </c:pt>
                <c:pt idx="5928">
                  <c:v>716</c:v>
                </c:pt>
                <c:pt idx="5929">
                  <c:v>716</c:v>
                </c:pt>
                <c:pt idx="5930">
                  <c:v>716</c:v>
                </c:pt>
                <c:pt idx="5931">
                  <c:v>716</c:v>
                </c:pt>
                <c:pt idx="5932">
                  <c:v>716</c:v>
                </c:pt>
                <c:pt idx="5933">
                  <c:v>716</c:v>
                </c:pt>
                <c:pt idx="5934">
                  <c:v>716</c:v>
                </c:pt>
                <c:pt idx="5935">
                  <c:v>716</c:v>
                </c:pt>
                <c:pt idx="5936">
                  <c:v>715</c:v>
                </c:pt>
                <c:pt idx="5937">
                  <c:v>715</c:v>
                </c:pt>
                <c:pt idx="5938">
                  <c:v>714</c:v>
                </c:pt>
                <c:pt idx="5939">
                  <c:v>714</c:v>
                </c:pt>
                <c:pt idx="5940">
                  <c:v>714</c:v>
                </c:pt>
                <c:pt idx="5941">
                  <c:v>714</c:v>
                </c:pt>
                <c:pt idx="5942">
                  <c:v>714</c:v>
                </c:pt>
                <c:pt idx="5943">
                  <c:v>713</c:v>
                </c:pt>
                <c:pt idx="5944">
                  <c:v>713</c:v>
                </c:pt>
                <c:pt idx="5945">
                  <c:v>713</c:v>
                </c:pt>
                <c:pt idx="5946">
                  <c:v>713</c:v>
                </c:pt>
                <c:pt idx="5947">
                  <c:v>713</c:v>
                </c:pt>
                <c:pt idx="5948">
                  <c:v>714</c:v>
                </c:pt>
                <c:pt idx="5949">
                  <c:v>714</c:v>
                </c:pt>
                <c:pt idx="5950">
                  <c:v>715</c:v>
                </c:pt>
                <c:pt idx="5951">
                  <c:v>715</c:v>
                </c:pt>
                <c:pt idx="5952">
                  <c:v>715</c:v>
                </c:pt>
                <c:pt idx="5953">
                  <c:v>716</c:v>
                </c:pt>
                <c:pt idx="5954">
                  <c:v>716</c:v>
                </c:pt>
                <c:pt idx="5955">
                  <c:v>716</c:v>
                </c:pt>
                <c:pt idx="5956">
                  <c:v>716</c:v>
                </c:pt>
                <c:pt idx="5957">
                  <c:v>716</c:v>
                </c:pt>
                <c:pt idx="5958">
                  <c:v>716</c:v>
                </c:pt>
                <c:pt idx="5959">
                  <c:v>716</c:v>
                </c:pt>
                <c:pt idx="5960">
                  <c:v>716</c:v>
                </c:pt>
                <c:pt idx="5961">
                  <c:v>714</c:v>
                </c:pt>
                <c:pt idx="5962">
                  <c:v>714</c:v>
                </c:pt>
                <c:pt idx="5963">
                  <c:v>714</c:v>
                </c:pt>
                <c:pt idx="5964">
                  <c:v>713</c:v>
                </c:pt>
                <c:pt idx="5965">
                  <c:v>713</c:v>
                </c:pt>
                <c:pt idx="5966">
                  <c:v>713</c:v>
                </c:pt>
                <c:pt idx="5967">
                  <c:v>713</c:v>
                </c:pt>
                <c:pt idx="5968">
                  <c:v>713</c:v>
                </c:pt>
                <c:pt idx="5969">
                  <c:v>713</c:v>
                </c:pt>
                <c:pt idx="5970">
                  <c:v>713</c:v>
                </c:pt>
                <c:pt idx="5971">
                  <c:v>713</c:v>
                </c:pt>
                <c:pt idx="5972">
                  <c:v>714</c:v>
                </c:pt>
                <c:pt idx="5973">
                  <c:v>714</c:v>
                </c:pt>
                <c:pt idx="5974">
                  <c:v>714</c:v>
                </c:pt>
                <c:pt idx="5975">
                  <c:v>714</c:v>
                </c:pt>
                <c:pt idx="5976">
                  <c:v>715</c:v>
                </c:pt>
                <c:pt idx="5977">
                  <c:v>715</c:v>
                </c:pt>
                <c:pt idx="5978">
                  <c:v>716</c:v>
                </c:pt>
                <c:pt idx="5979">
                  <c:v>716</c:v>
                </c:pt>
                <c:pt idx="5980">
                  <c:v>716</c:v>
                </c:pt>
                <c:pt idx="5981">
                  <c:v>716</c:v>
                </c:pt>
                <c:pt idx="5982">
                  <c:v>716</c:v>
                </c:pt>
                <c:pt idx="5983">
                  <c:v>715</c:v>
                </c:pt>
                <c:pt idx="5984">
                  <c:v>715</c:v>
                </c:pt>
                <c:pt idx="5985">
                  <c:v>714</c:v>
                </c:pt>
                <c:pt idx="5986">
                  <c:v>713</c:v>
                </c:pt>
                <c:pt idx="5987">
                  <c:v>713</c:v>
                </c:pt>
                <c:pt idx="5988">
                  <c:v>713</c:v>
                </c:pt>
                <c:pt idx="5989">
                  <c:v>713</c:v>
                </c:pt>
                <c:pt idx="5990">
                  <c:v>713</c:v>
                </c:pt>
                <c:pt idx="5991">
                  <c:v>712</c:v>
                </c:pt>
                <c:pt idx="5992">
                  <c:v>712</c:v>
                </c:pt>
                <c:pt idx="5993">
                  <c:v>712</c:v>
                </c:pt>
                <c:pt idx="5994">
                  <c:v>712</c:v>
                </c:pt>
                <c:pt idx="5995">
                  <c:v>713</c:v>
                </c:pt>
                <c:pt idx="5996">
                  <c:v>713</c:v>
                </c:pt>
                <c:pt idx="5997">
                  <c:v>713</c:v>
                </c:pt>
                <c:pt idx="5998">
                  <c:v>714</c:v>
                </c:pt>
                <c:pt idx="5999">
                  <c:v>714</c:v>
                </c:pt>
                <c:pt idx="6000">
                  <c:v>714</c:v>
                </c:pt>
                <c:pt idx="6001">
                  <c:v>715</c:v>
                </c:pt>
                <c:pt idx="6002">
                  <c:v>715</c:v>
                </c:pt>
                <c:pt idx="6003">
                  <c:v>715</c:v>
                </c:pt>
                <c:pt idx="6004">
                  <c:v>715</c:v>
                </c:pt>
                <c:pt idx="6005">
                  <c:v>715</c:v>
                </c:pt>
                <c:pt idx="6006">
                  <c:v>715</c:v>
                </c:pt>
                <c:pt idx="6007">
                  <c:v>714</c:v>
                </c:pt>
                <c:pt idx="6008">
                  <c:v>714</c:v>
                </c:pt>
                <c:pt idx="6009">
                  <c:v>714</c:v>
                </c:pt>
                <c:pt idx="6010">
                  <c:v>713</c:v>
                </c:pt>
                <c:pt idx="6011">
                  <c:v>713</c:v>
                </c:pt>
                <c:pt idx="6012">
                  <c:v>713</c:v>
                </c:pt>
                <c:pt idx="6013">
                  <c:v>713</c:v>
                </c:pt>
                <c:pt idx="6014">
                  <c:v>713</c:v>
                </c:pt>
                <c:pt idx="6015">
                  <c:v>712</c:v>
                </c:pt>
                <c:pt idx="6016">
                  <c:v>713</c:v>
                </c:pt>
                <c:pt idx="6017">
                  <c:v>713</c:v>
                </c:pt>
                <c:pt idx="6018">
                  <c:v>713</c:v>
                </c:pt>
                <c:pt idx="6019">
                  <c:v>713</c:v>
                </c:pt>
                <c:pt idx="6020">
                  <c:v>713</c:v>
                </c:pt>
                <c:pt idx="6021">
                  <c:v>713</c:v>
                </c:pt>
                <c:pt idx="6022">
                  <c:v>714</c:v>
                </c:pt>
                <c:pt idx="6023">
                  <c:v>714</c:v>
                </c:pt>
                <c:pt idx="6024">
                  <c:v>714</c:v>
                </c:pt>
                <c:pt idx="6025">
                  <c:v>715</c:v>
                </c:pt>
                <c:pt idx="6026">
                  <c:v>715</c:v>
                </c:pt>
                <c:pt idx="6027">
                  <c:v>716</c:v>
                </c:pt>
                <c:pt idx="6028">
                  <c:v>716</c:v>
                </c:pt>
                <c:pt idx="6029">
                  <c:v>716</c:v>
                </c:pt>
                <c:pt idx="6030">
                  <c:v>715</c:v>
                </c:pt>
                <c:pt idx="6031">
                  <c:v>715</c:v>
                </c:pt>
                <c:pt idx="6032">
                  <c:v>715</c:v>
                </c:pt>
                <c:pt idx="6033">
                  <c:v>715</c:v>
                </c:pt>
                <c:pt idx="6034">
                  <c:v>714</c:v>
                </c:pt>
                <c:pt idx="6035">
                  <c:v>714</c:v>
                </c:pt>
                <c:pt idx="6036">
                  <c:v>713</c:v>
                </c:pt>
                <c:pt idx="6037">
                  <c:v>713</c:v>
                </c:pt>
                <c:pt idx="6038">
                  <c:v>713</c:v>
                </c:pt>
                <c:pt idx="6039">
                  <c:v>713</c:v>
                </c:pt>
                <c:pt idx="6040">
                  <c:v>713</c:v>
                </c:pt>
                <c:pt idx="6041">
                  <c:v>712</c:v>
                </c:pt>
                <c:pt idx="6042">
                  <c:v>712</c:v>
                </c:pt>
                <c:pt idx="6043">
                  <c:v>713</c:v>
                </c:pt>
                <c:pt idx="6044">
                  <c:v>713</c:v>
                </c:pt>
                <c:pt idx="6045">
                  <c:v>713</c:v>
                </c:pt>
                <c:pt idx="6046">
                  <c:v>714</c:v>
                </c:pt>
                <c:pt idx="6047">
                  <c:v>714</c:v>
                </c:pt>
                <c:pt idx="6048">
                  <c:v>714</c:v>
                </c:pt>
                <c:pt idx="6049">
                  <c:v>715</c:v>
                </c:pt>
                <c:pt idx="6050">
                  <c:v>715</c:v>
                </c:pt>
                <c:pt idx="6051">
                  <c:v>715</c:v>
                </c:pt>
                <c:pt idx="6052">
                  <c:v>715</c:v>
                </c:pt>
                <c:pt idx="6053">
                  <c:v>716</c:v>
                </c:pt>
                <c:pt idx="6054">
                  <c:v>716</c:v>
                </c:pt>
                <c:pt idx="6055">
                  <c:v>716</c:v>
                </c:pt>
                <c:pt idx="6056">
                  <c:v>715</c:v>
                </c:pt>
                <c:pt idx="6057">
                  <c:v>714</c:v>
                </c:pt>
                <c:pt idx="6058">
                  <c:v>714</c:v>
                </c:pt>
                <c:pt idx="6059">
                  <c:v>713</c:v>
                </c:pt>
                <c:pt idx="6060">
                  <c:v>713</c:v>
                </c:pt>
                <c:pt idx="6061">
                  <c:v>713</c:v>
                </c:pt>
                <c:pt idx="6062">
                  <c:v>713</c:v>
                </c:pt>
                <c:pt idx="6063">
                  <c:v>713</c:v>
                </c:pt>
                <c:pt idx="6064">
                  <c:v>712</c:v>
                </c:pt>
                <c:pt idx="6065">
                  <c:v>712</c:v>
                </c:pt>
                <c:pt idx="6066">
                  <c:v>712</c:v>
                </c:pt>
                <c:pt idx="6067">
                  <c:v>712</c:v>
                </c:pt>
                <c:pt idx="6068">
                  <c:v>713</c:v>
                </c:pt>
                <c:pt idx="6069">
                  <c:v>713</c:v>
                </c:pt>
                <c:pt idx="6070">
                  <c:v>713</c:v>
                </c:pt>
                <c:pt idx="6071">
                  <c:v>714</c:v>
                </c:pt>
                <c:pt idx="6072">
                  <c:v>715</c:v>
                </c:pt>
                <c:pt idx="6073">
                  <c:v>715</c:v>
                </c:pt>
                <c:pt idx="6074">
                  <c:v>715</c:v>
                </c:pt>
                <c:pt idx="6075">
                  <c:v>715</c:v>
                </c:pt>
                <c:pt idx="6076">
                  <c:v>715</c:v>
                </c:pt>
                <c:pt idx="6077">
                  <c:v>715</c:v>
                </c:pt>
                <c:pt idx="6078">
                  <c:v>715</c:v>
                </c:pt>
                <c:pt idx="6079">
                  <c:v>715</c:v>
                </c:pt>
                <c:pt idx="6080">
                  <c:v>715</c:v>
                </c:pt>
                <c:pt idx="6081">
                  <c:v>714</c:v>
                </c:pt>
                <c:pt idx="6082">
                  <c:v>713</c:v>
                </c:pt>
                <c:pt idx="6083">
                  <c:v>713</c:v>
                </c:pt>
                <c:pt idx="6084">
                  <c:v>713</c:v>
                </c:pt>
                <c:pt idx="6085">
                  <c:v>713</c:v>
                </c:pt>
                <c:pt idx="6086">
                  <c:v>713</c:v>
                </c:pt>
                <c:pt idx="6087">
                  <c:v>712</c:v>
                </c:pt>
                <c:pt idx="6088">
                  <c:v>712</c:v>
                </c:pt>
                <c:pt idx="6089">
                  <c:v>712</c:v>
                </c:pt>
                <c:pt idx="6090">
                  <c:v>712</c:v>
                </c:pt>
                <c:pt idx="6091">
                  <c:v>712</c:v>
                </c:pt>
                <c:pt idx="6092">
                  <c:v>713</c:v>
                </c:pt>
                <c:pt idx="6093">
                  <c:v>713</c:v>
                </c:pt>
                <c:pt idx="6094">
                  <c:v>713</c:v>
                </c:pt>
                <c:pt idx="6095">
                  <c:v>714</c:v>
                </c:pt>
                <c:pt idx="6096">
                  <c:v>714</c:v>
                </c:pt>
                <c:pt idx="6097">
                  <c:v>715</c:v>
                </c:pt>
                <c:pt idx="6098">
                  <c:v>715</c:v>
                </c:pt>
                <c:pt idx="6099">
                  <c:v>715</c:v>
                </c:pt>
                <c:pt idx="6100">
                  <c:v>715</c:v>
                </c:pt>
                <c:pt idx="6101">
                  <c:v>715</c:v>
                </c:pt>
                <c:pt idx="6102">
                  <c:v>715</c:v>
                </c:pt>
                <c:pt idx="6103">
                  <c:v>715</c:v>
                </c:pt>
                <c:pt idx="6104">
                  <c:v>714</c:v>
                </c:pt>
                <c:pt idx="6105">
                  <c:v>714</c:v>
                </c:pt>
                <c:pt idx="6106">
                  <c:v>713</c:v>
                </c:pt>
                <c:pt idx="6107">
                  <c:v>713</c:v>
                </c:pt>
                <c:pt idx="6108">
                  <c:v>713</c:v>
                </c:pt>
                <c:pt idx="6109">
                  <c:v>713</c:v>
                </c:pt>
                <c:pt idx="6110">
                  <c:v>713</c:v>
                </c:pt>
                <c:pt idx="6111">
                  <c:v>713</c:v>
                </c:pt>
                <c:pt idx="6112">
                  <c:v>713</c:v>
                </c:pt>
                <c:pt idx="6113">
                  <c:v>712</c:v>
                </c:pt>
                <c:pt idx="6114">
                  <c:v>712</c:v>
                </c:pt>
                <c:pt idx="6115">
                  <c:v>713</c:v>
                </c:pt>
                <c:pt idx="6116">
                  <c:v>713</c:v>
                </c:pt>
                <c:pt idx="6117">
                  <c:v>713</c:v>
                </c:pt>
                <c:pt idx="6118">
                  <c:v>714</c:v>
                </c:pt>
                <c:pt idx="6119">
                  <c:v>714</c:v>
                </c:pt>
                <c:pt idx="6120">
                  <c:v>714</c:v>
                </c:pt>
                <c:pt idx="6121">
                  <c:v>715</c:v>
                </c:pt>
                <c:pt idx="6122">
                  <c:v>715</c:v>
                </c:pt>
                <c:pt idx="6123">
                  <c:v>715</c:v>
                </c:pt>
                <c:pt idx="6124">
                  <c:v>715</c:v>
                </c:pt>
                <c:pt idx="6125">
                  <c:v>715</c:v>
                </c:pt>
                <c:pt idx="6126">
                  <c:v>715</c:v>
                </c:pt>
                <c:pt idx="6127">
                  <c:v>715</c:v>
                </c:pt>
                <c:pt idx="6128">
                  <c:v>714</c:v>
                </c:pt>
                <c:pt idx="6129">
                  <c:v>714</c:v>
                </c:pt>
                <c:pt idx="6130">
                  <c:v>713</c:v>
                </c:pt>
                <c:pt idx="6131">
                  <c:v>713</c:v>
                </c:pt>
                <c:pt idx="6132">
                  <c:v>713</c:v>
                </c:pt>
                <c:pt idx="6133">
                  <c:v>713</c:v>
                </c:pt>
                <c:pt idx="6134">
                  <c:v>713</c:v>
                </c:pt>
                <c:pt idx="6135">
                  <c:v>713</c:v>
                </c:pt>
                <c:pt idx="6136">
                  <c:v>712</c:v>
                </c:pt>
                <c:pt idx="6137">
                  <c:v>712</c:v>
                </c:pt>
                <c:pt idx="6138">
                  <c:v>712</c:v>
                </c:pt>
                <c:pt idx="6139">
                  <c:v>712</c:v>
                </c:pt>
                <c:pt idx="6140">
                  <c:v>713</c:v>
                </c:pt>
                <c:pt idx="6141">
                  <c:v>713</c:v>
                </c:pt>
                <c:pt idx="6142">
                  <c:v>714</c:v>
                </c:pt>
                <c:pt idx="6143">
                  <c:v>714</c:v>
                </c:pt>
                <c:pt idx="6144">
                  <c:v>714</c:v>
                </c:pt>
                <c:pt idx="6145">
                  <c:v>714</c:v>
                </c:pt>
                <c:pt idx="6146">
                  <c:v>715</c:v>
                </c:pt>
                <c:pt idx="6147">
                  <c:v>715</c:v>
                </c:pt>
                <c:pt idx="6148">
                  <c:v>715</c:v>
                </c:pt>
                <c:pt idx="6149">
                  <c:v>715</c:v>
                </c:pt>
                <c:pt idx="6150">
                  <c:v>715</c:v>
                </c:pt>
                <c:pt idx="6151">
                  <c:v>714</c:v>
                </c:pt>
                <c:pt idx="6152">
                  <c:v>714</c:v>
                </c:pt>
                <c:pt idx="6153">
                  <c:v>713</c:v>
                </c:pt>
                <c:pt idx="6154">
                  <c:v>713</c:v>
                </c:pt>
                <c:pt idx="6155">
                  <c:v>712</c:v>
                </c:pt>
                <c:pt idx="6156">
                  <c:v>712</c:v>
                </c:pt>
                <c:pt idx="6157">
                  <c:v>712</c:v>
                </c:pt>
                <c:pt idx="6158">
                  <c:v>712</c:v>
                </c:pt>
                <c:pt idx="6159">
                  <c:v>712</c:v>
                </c:pt>
                <c:pt idx="6160">
                  <c:v>712</c:v>
                </c:pt>
                <c:pt idx="6161">
                  <c:v>712</c:v>
                </c:pt>
                <c:pt idx="6162">
                  <c:v>712</c:v>
                </c:pt>
                <c:pt idx="6163">
                  <c:v>712</c:v>
                </c:pt>
                <c:pt idx="6164">
                  <c:v>712</c:v>
                </c:pt>
                <c:pt idx="6165">
                  <c:v>713</c:v>
                </c:pt>
                <c:pt idx="6166">
                  <c:v>714</c:v>
                </c:pt>
                <c:pt idx="6167">
                  <c:v>714</c:v>
                </c:pt>
                <c:pt idx="6168">
                  <c:v>714</c:v>
                </c:pt>
                <c:pt idx="6169">
                  <c:v>715</c:v>
                </c:pt>
                <c:pt idx="6170">
                  <c:v>715</c:v>
                </c:pt>
                <c:pt idx="6171">
                  <c:v>715</c:v>
                </c:pt>
                <c:pt idx="6172">
                  <c:v>715</c:v>
                </c:pt>
                <c:pt idx="6173">
                  <c:v>715</c:v>
                </c:pt>
                <c:pt idx="6174">
                  <c:v>715</c:v>
                </c:pt>
                <c:pt idx="6175">
                  <c:v>714</c:v>
                </c:pt>
                <c:pt idx="6176">
                  <c:v>714</c:v>
                </c:pt>
                <c:pt idx="6177">
                  <c:v>713</c:v>
                </c:pt>
                <c:pt idx="6178">
                  <c:v>713</c:v>
                </c:pt>
                <c:pt idx="6179">
                  <c:v>712</c:v>
                </c:pt>
                <c:pt idx="6180">
                  <c:v>711</c:v>
                </c:pt>
                <c:pt idx="6181">
                  <c:v>711</c:v>
                </c:pt>
                <c:pt idx="6182">
                  <c:v>712</c:v>
                </c:pt>
                <c:pt idx="6183">
                  <c:v>712</c:v>
                </c:pt>
                <c:pt idx="6184">
                  <c:v>712</c:v>
                </c:pt>
                <c:pt idx="6185">
                  <c:v>712</c:v>
                </c:pt>
                <c:pt idx="6186">
                  <c:v>712</c:v>
                </c:pt>
                <c:pt idx="6187">
                  <c:v>712</c:v>
                </c:pt>
                <c:pt idx="6188">
                  <c:v>712</c:v>
                </c:pt>
                <c:pt idx="6189">
                  <c:v>712</c:v>
                </c:pt>
                <c:pt idx="6190">
                  <c:v>713</c:v>
                </c:pt>
                <c:pt idx="6191">
                  <c:v>713</c:v>
                </c:pt>
                <c:pt idx="6192">
                  <c:v>713</c:v>
                </c:pt>
                <c:pt idx="6193">
                  <c:v>713</c:v>
                </c:pt>
                <c:pt idx="6194">
                  <c:v>713</c:v>
                </c:pt>
                <c:pt idx="6195">
                  <c:v>713</c:v>
                </c:pt>
                <c:pt idx="6196">
                  <c:v>713</c:v>
                </c:pt>
                <c:pt idx="6197">
                  <c:v>713</c:v>
                </c:pt>
                <c:pt idx="6198">
                  <c:v>713</c:v>
                </c:pt>
                <c:pt idx="6199">
                  <c:v>713</c:v>
                </c:pt>
                <c:pt idx="6200">
                  <c:v>713</c:v>
                </c:pt>
                <c:pt idx="6201">
                  <c:v>712</c:v>
                </c:pt>
                <c:pt idx="6202">
                  <c:v>712</c:v>
                </c:pt>
                <c:pt idx="6203">
                  <c:v>712</c:v>
                </c:pt>
                <c:pt idx="6204">
                  <c:v>712</c:v>
                </c:pt>
                <c:pt idx="6205">
                  <c:v>712</c:v>
                </c:pt>
                <c:pt idx="6206">
                  <c:v>712</c:v>
                </c:pt>
                <c:pt idx="6207">
                  <c:v>712</c:v>
                </c:pt>
                <c:pt idx="6208">
                  <c:v>712</c:v>
                </c:pt>
                <c:pt idx="6209">
                  <c:v>712</c:v>
                </c:pt>
                <c:pt idx="6210">
                  <c:v>711</c:v>
                </c:pt>
                <c:pt idx="6211">
                  <c:v>712</c:v>
                </c:pt>
                <c:pt idx="6212">
                  <c:v>711</c:v>
                </c:pt>
                <c:pt idx="6213">
                  <c:v>712</c:v>
                </c:pt>
                <c:pt idx="6214">
                  <c:v>712</c:v>
                </c:pt>
                <c:pt idx="6215">
                  <c:v>712</c:v>
                </c:pt>
                <c:pt idx="6216">
                  <c:v>712</c:v>
                </c:pt>
                <c:pt idx="6217">
                  <c:v>712</c:v>
                </c:pt>
                <c:pt idx="6218">
                  <c:v>712</c:v>
                </c:pt>
                <c:pt idx="6219">
                  <c:v>712</c:v>
                </c:pt>
                <c:pt idx="6220">
                  <c:v>712</c:v>
                </c:pt>
                <c:pt idx="6221">
                  <c:v>712</c:v>
                </c:pt>
                <c:pt idx="6222">
                  <c:v>713</c:v>
                </c:pt>
                <c:pt idx="6223">
                  <c:v>712</c:v>
                </c:pt>
                <c:pt idx="6224">
                  <c:v>713</c:v>
                </c:pt>
                <c:pt idx="6225">
                  <c:v>712</c:v>
                </c:pt>
                <c:pt idx="6226">
                  <c:v>712</c:v>
                </c:pt>
                <c:pt idx="6227">
                  <c:v>712</c:v>
                </c:pt>
                <c:pt idx="6228">
                  <c:v>713</c:v>
                </c:pt>
                <c:pt idx="6229">
                  <c:v>713</c:v>
                </c:pt>
                <c:pt idx="6230">
                  <c:v>713</c:v>
                </c:pt>
                <c:pt idx="6231">
                  <c:v>713</c:v>
                </c:pt>
                <c:pt idx="6232">
                  <c:v>713</c:v>
                </c:pt>
                <c:pt idx="6233">
                  <c:v>714</c:v>
                </c:pt>
                <c:pt idx="6234">
                  <c:v>714</c:v>
                </c:pt>
                <c:pt idx="6235">
                  <c:v>714</c:v>
                </c:pt>
                <c:pt idx="6236">
                  <c:v>714</c:v>
                </c:pt>
                <c:pt idx="6237">
                  <c:v>714</c:v>
                </c:pt>
                <c:pt idx="6238">
                  <c:v>714</c:v>
                </c:pt>
                <c:pt idx="6239">
                  <c:v>714</c:v>
                </c:pt>
                <c:pt idx="6240">
                  <c:v>714</c:v>
                </c:pt>
                <c:pt idx="6241">
                  <c:v>715</c:v>
                </c:pt>
                <c:pt idx="6242">
                  <c:v>715</c:v>
                </c:pt>
                <c:pt idx="6243">
                  <c:v>715</c:v>
                </c:pt>
                <c:pt idx="6244">
                  <c:v>715</c:v>
                </c:pt>
                <c:pt idx="6245">
                  <c:v>715</c:v>
                </c:pt>
                <c:pt idx="6246">
                  <c:v>715</c:v>
                </c:pt>
                <c:pt idx="6247">
                  <c:v>715</c:v>
                </c:pt>
                <c:pt idx="6248">
                  <c:v>715</c:v>
                </c:pt>
                <c:pt idx="6249">
                  <c:v>715</c:v>
                </c:pt>
                <c:pt idx="6250">
                  <c:v>715</c:v>
                </c:pt>
                <c:pt idx="6251">
                  <c:v>715</c:v>
                </c:pt>
                <c:pt idx="6252">
                  <c:v>715</c:v>
                </c:pt>
                <c:pt idx="6253">
                  <c:v>714</c:v>
                </c:pt>
                <c:pt idx="6254">
                  <c:v>714</c:v>
                </c:pt>
                <c:pt idx="6255">
                  <c:v>715</c:v>
                </c:pt>
                <c:pt idx="6256">
                  <c:v>716</c:v>
                </c:pt>
                <c:pt idx="6257">
                  <c:v>716</c:v>
                </c:pt>
                <c:pt idx="6258">
                  <c:v>716</c:v>
                </c:pt>
                <c:pt idx="6259">
                  <c:v>716</c:v>
                </c:pt>
                <c:pt idx="6260">
                  <c:v>717</c:v>
                </c:pt>
                <c:pt idx="6261">
                  <c:v>717</c:v>
                </c:pt>
                <c:pt idx="6262">
                  <c:v>717</c:v>
                </c:pt>
                <c:pt idx="6263">
                  <c:v>717</c:v>
                </c:pt>
                <c:pt idx="6264">
                  <c:v>717</c:v>
                </c:pt>
                <c:pt idx="6265">
                  <c:v>717</c:v>
                </c:pt>
                <c:pt idx="6266">
                  <c:v>717</c:v>
                </c:pt>
                <c:pt idx="6267">
                  <c:v>717</c:v>
                </c:pt>
                <c:pt idx="6268">
                  <c:v>717</c:v>
                </c:pt>
                <c:pt idx="6269">
                  <c:v>717</c:v>
                </c:pt>
                <c:pt idx="6270">
                  <c:v>717</c:v>
                </c:pt>
                <c:pt idx="6271">
                  <c:v>717</c:v>
                </c:pt>
                <c:pt idx="6272">
                  <c:v>717</c:v>
                </c:pt>
                <c:pt idx="6273">
                  <c:v>717</c:v>
                </c:pt>
                <c:pt idx="6274">
                  <c:v>717</c:v>
                </c:pt>
                <c:pt idx="6275">
                  <c:v>717</c:v>
                </c:pt>
                <c:pt idx="6276">
                  <c:v>716</c:v>
                </c:pt>
                <c:pt idx="6277">
                  <c:v>716</c:v>
                </c:pt>
                <c:pt idx="6278">
                  <c:v>716</c:v>
                </c:pt>
                <c:pt idx="6279">
                  <c:v>716</c:v>
                </c:pt>
                <c:pt idx="6280">
                  <c:v>716</c:v>
                </c:pt>
                <c:pt idx="6281">
                  <c:v>716</c:v>
                </c:pt>
                <c:pt idx="6282">
                  <c:v>716</c:v>
                </c:pt>
                <c:pt idx="6283">
                  <c:v>716</c:v>
                </c:pt>
                <c:pt idx="6284">
                  <c:v>716</c:v>
                </c:pt>
                <c:pt idx="6285">
                  <c:v>716</c:v>
                </c:pt>
                <c:pt idx="6286">
                  <c:v>717</c:v>
                </c:pt>
                <c:pt idx="6287">
                  <c:v>717</c:v>
                </c:pt>
                <c:pt idx="6288">
                  <c:v>717</c:v>
                </c:pt>
                <c:pt idx="6289">
                  <c:v>717</c:v>
                </c:pt>
                <c:pt idx="6290">
                  <c:v>717</c:v>
                </c:pt>
                <c:pt idx="6291">
                  <c:v>717</c:v>
                </c:pt>
                <c:pt idx="6292">
                  <c:v>717</c:v>
                </c:pt>
                <c:pt idx="6293">
                  <c:v>717</c:v>
                </c:pt>
                <c:pt idx="6294">
                  <c:v>717</c:v>
                </c:pt>
                <c:pt idx="6295">
                  <c:v>717</c:v>
                </c:pt>
                <c:pt idx="6296">
                  <c:v>718</c:v>
                </c:pt>
                <c:pt idx="6297">
                  <c:v>718</c:v>
                </c:pt>
                <c:pt idx="6298">
                  <c:v>718</c:v>
                </c:pt>
                <c:pt idx="6299">
                  <c:v>718</c:v>
                </c:pt>
                <c:pt idx="6300">
                  <c:v>717</c:v>
                </c:pt>
                <c:pt idx="6301">
                  <c:v>717</c:v>
                </c:pt>
                <c:pt idx="6302">
                  <c:v>717</c:v>
                </c:pt>
                <c:pt idx="6303">
                  <c:v>717</c:v>
                </c:pt>
                <c:pt idx="6304">
                  <c:v>717</c:v>
                </c:pt>
                <c:pt idx="6305">
                  <c:v>718</c:v>
                </c:pt>
                <c:pt idx="6306">
                  <c:v>717</c:v>
                </c:pt>
                <c:pt idx="6307">
                  <c:v>718</c:v>
                </c:pt>
                <c:pt idx="6308">
                  <c:v>718</c:v>
                </c:pt>
                <c:pt idx="6309">
                  <c:v>718</c:v>
                </c:pt>
                <c:pt idx="6310">
                  <c:v>718</c:v>
                </c:pt>
                <c:pt idx="6311">
                  <c:v>718</c:v>
                </c:pt>
                <c:pt idx="6312">
                  <c:v>718</c:v>
                </c:pt>
                <c:pt idx="6313">
                  <c:v>719</c:v>
                </c:pt>
                <c:pt idx="6314">
                  <c:v>719</c:v>
                </c:pt>
                <c:pt idx="6315">
                  <c:v>719</c:v>
                </c:pt>
                <c:pt idx="6316">
                  <c:v>719</c:v>
                </c:pt>
                <c:pt idx="6317">
                  <c:v>718</c:v>
                </c:pt>
                <c:pt idx="6318">
                  <c:v>718</c:v>
                </c:pt>
                <c:pt idx="6319">
                  <c:v>718</c:v>
                </c:pt>
                <c:pt idx="6320">
                  <c:v>718</c:v>
                </c:pt>
                <c:pt idx="6321">
                  <c:v>718</c:v>
                </c:pt>
                <c:pt idx="6322">
                  <c:v>718</c:v>
                </c:pt>
                <c:pt idx="6323">
                  <c:v>718</c:v>
                </c:pt>
                <c:pt idx="6324">
                  <c:v>719</c:v>
                </c:pt>
                <c:pt idx="6325">
                  <c:v>719</c:v>
                </c:pt>
                <c:pt idx="6326">
                  <c:v>719</c:v>
                </c:pt>
                <c:pt idx="6327">
                  <c:v>719</c:v>
                </c:pt>
                <c:pt idx="6328">
                  <c:v>719</c:v>
                </c:pt>
                <c:pt idx="6329">
                  <c:v>719</c:v>
                </c:pt>
                <c:pt idx="6330">
                  <c:v>719</c:v>
                </c:pt>
                <c:pt idx="6331">
                  <c:v>719</c:v>
                </c:pt>
                <c:pt idx="6332">
                  <c:v>719</c:v>
                </c:pt>
                <c:pt idx="6333">
                  <c:v>720</c:v>
                </c:pt>
                <c:pt idx="6334">
                  <c:v>720</c:v>
                </c:pt>
                <c:pt idx="6335">
                  <c:v>720</c:v>
                </c:pt>
                <c:pt idx="6336">
                  <c:v>720</c:v>
                </c:pt>
                <c:pt idx="6337">
                  <c:v>720</c:v>
                </c:pt>
                <c:pt idx="6338">
                  <c:v>720</c:v>
                </c:pt>
                <c:pt idx="6339">
                  <c:v>720</c:v>
                </c:pt>
                <c:pt idx="6340">
                  <c:v>720</c:v>
                </c:pt>
                <c:pt idx="6341">
                  <c:v>720</c:v>
                </c:pt>
                <c:pt idx="6342">
                  <c:v>720</c:v>
                </c:pt>
                <c:pt idx="6343">
                  <c:v>720</c:v>
                </c:pt>
                <c:pt idx="6344">
                  <c:v>720</c:v>
                </c:pt>
                <c:pt idx="6345">
                  <c:v>720</c:v>
                </c:pt>
                <c:pt idx="6346">
                  <c:v>720</c:v>
                </c:pt>
                <c:pt idx="6347">
                  <c:v>720</c:v>
                </c:pt>
                <c:pt idx="6348">
                  <c:v>720</c:v>
                </c:pt>
                <c:pt idx="6349">
                  <c:v>720</c:v>
                </c:pt>
                <c:pt idx="6350">
                  <c:v>720</c:v>
                </c:pt>
                <c:pt idx="6351">
                  <c:v>720</c:v>
                </c:pt>
                <c:pt idx="6352">
                  <c:v>720</c:v>
                </c:pt>
                <c:pt idx="6353">
                  <c:v>720</c:v>
                </c:pt>
                <c:pt idx="6354">
                  <c:v>720</c:v>
                </c:pt>
                <c:pt idx="6355">
                  <c:v>720</c:v>
                </c:pt>
                <c:pt idx="6356">
                  <c:v>721</c:v>
                </c:pt>
                <c:pt idx="6357">
                  <c:v>721</c:v>
                </c:pt>
                <c:pt idx="6358">
                  <c:v>721</c:v>
                </c:pt>
                <c:pt idx="6359">
                  <c:v>721</c:v>
                </c:pt>
                <c:pt idx="6360">
                  <c:v>720</c:v>
                </c:pt>
                <c:pt idx="6361">
                  <c:v>720</c:v>
                </c:pt>
                <c:pt idx="6362">
                  <c:v>721</c:v>
                </c:pt>
                <c:pt idx="6363">
                  <c:v>721</c:v>
                </c:pt>
                <c:pt idx="6364">
                  <c:v>721</c:v>
                </c:pt>
                <c:pt idx="6365">
                  <c:v>720</c:v>
                </c:pt>
                <c:pt idx="6366">
                  <c:v>720</c:v>
                </c:pt>
                <c:pt idx="6367">
                  <c:v>719</c:v>
                </c:pt>
                <c:pt idx="6368">
                  <c:v>720</c:v>
                </c:pt>
                <c:pt idx="6369">
                  <c:v>720</c:v>
                </c:pt>
                <c:pt idx="6370">
                  <c:v>719</c:v>
                </c:pt>
                <c:pt idx="6371">
                  <c:v>720</c:v>
                </c:pt>
                <c:pt idx="6372">
                  <c:v>719</c:v>
                </c:pt>
                <c:pt idx="6373">
                  <c:v>720</c:v>
                </c:pt>
                <c:pt idx="6374">
                  <c:v>720</c:v>
                </c:pt>
                <c:pt idx="6375">
                  <c:v>719</c:v>
                </c:pt>
                <c:pt idx="6376">
                  <c:v>719</c:v>
                </c:pt>
                <c:pt idx="6377">
                  <c:v>719</c:v>
                </c:pt>
                <c:pt idx="6378">
                  <c:v>719</c:v>
                </c:pt>
                <c:pt idx="6379">
                  <c:v>720</c:v>
                </c:pt>
                <c:pt idx="6380">
                  <c:v>720</c:v>
                </c:pt>
                <c:pt idx="6381">
                  <c:v>720</c:v>
                </c:pt>
                <c:pt idx="6382">
                  <c:v>721</c:v>
                </c:pt>
                <c:pt idx="6383">
                  <c:v>719</c:v>
                </c:pt>
                <c:pt idx="6384">
                  <c:v>718</c:v>
                </c:pt>
                <c:pt idx="6385">
                  <c:v>718</c:v>
                </c:pt>
                <c:pt idx="6386">
                  <c:v>718</c:v>
                </c:pt>
                <c:pt idx="6387">
                  <c:v>718</c:v>
                </c:pt>
                <c:pt idx="6388">
                  <c:v>718</c:v>
                </c:pt>
                <c:pt idx="6389">
                  <c:v>718</c:v>
                </c:pt>
                <c:pt idx="6390">
                  <c:v>718</c:v>
                </c:pt>
                <c:pt idx="6391">
                  <c:v>719</c:v>
                </c:pt>
                <c:pt idx="6392">
                  <c:v>719</c:v>
                </c:pt>
                <c:pt idx="6393">
                  <c:v>719</c:v>
                </c:pt>
                <c:pt idx="6394">
                  <c:v>719</c:v>
                </c:pt>
                <c:pt idx="6395">
                  <c:v>719</c:v>
                </c:pt>
                <c:pt idx="6396">
                  <c:v>719</c:v>
                </c:pt>
                <c:pt idx="6397">
                  <c:v>718</c:v>
                </c:pt>
                <c:pt idx="6398">
                  <c:v>718</c:v>
                </c:pt>
                <c:pt idx="6399">
                  <c:v>718</c:v>
                </c:pt>
                <c:pt idx="6400">
                  <c:v>718</c:v>
                </c:pt>
                <c:pt idx="6401">
                  <c:v>718</c:v>
                </c:pt>
                <c:pt idx="6402">
                  <c:v>718</c:v>
                </c:pt>
                <c:pt idx="6403">
                  <c:v>718</c:v>
                </c:pt>
                <c:pt idx="6404">
                  <c:v>718</c:v>
                </c:pt>
                <c:pt idx="6405">
                  <c:v>718</c:v>
                </c:pt>
                <c:pt idx="6406">
                  <c:v>719</c:v>
                </c:pt>
                <c:pt idx="6407">
                  <c:v>719</c:v>
                </c:pt>
                <c:pt idx="6408">
                  <c:v>719</c:v>
                </c:pt>
                <c:pt idx="6409">
                  <c:v>719</c:v>
                </c:pt>
                <c:pt idx="6410">
                  <c:v>719</c:v>
                </c:pt>
                <c:pt idx="6411">
                  <c:v>720</c:v>
                </c:pt>
                <c:pt idx="6412">
                  <c:v>720</c:v>
                </c:pt>
                <c:pt idx="6413">
                  <c:v>720</c:v>
                </c:pt>
                <c:pt idx="6414">
                  <c:v>720</c:v>
                </c:pt>
                <c:pt idx="6415">
                  <c:v>720</c:v>
                </c:pt>
                <c:pt idx="6416">
                  <c:v>720</c:v>
                </c:pt>
                <c:pt idx="6417">
                  <c:v>720</c:v>
                </c:pt>
                <c:pt idx="6418">
                  <c:v>719</c:v>
                </c:pt>
                <c:pt idx="6419">
                  <c:v>719</c:v>
                </c:pt>
                <c:pt idx="6420">
                  <c:v>719</c:v>
                </c:pt>
                <c:pt idx="6421">
                  <c:v>719</c:v>
                </c:pt>
                <c:pt idx="6422">
                  <c:v>718</c:v>
                </c:pt>
                <c:pt idx="6423">
                  <c:v>718</c:v>
                </c:pt>
                <c:pt idx="6424">
                  <c:v>718</c:v>
                </c:pt>
                <c:pt idx="6425">
                  <c:v>718</c:v>
                </c:pt>
                <c:pt idx="6426">
                  <c:v>718</c:v>
                </c:pt>
                <c:pt idx="6427">
                  <c:v>718</c:v>
                </c:pt>
                <c:pt idx="6428">
                  <c:v>719</c:v>
                </c:pt>
                <c:pt idx="6429">
                  <c:v>718</c:v>
                </c:pt>
                <c:pt idx="6430">
                  <c:v>719</c:v>
                </c:pt>
                <c:pt idx="6431">
                  <c:v>719</c:v>
                </c:pt>
                <c:pt idx="6432">
                  <c:v>719</c:v>
                </c:pt>
                <c:pt idx="6433">
                  <c:v>719</c:v>
                </c:pt>
                <c:pt idx="6434">
                  <c:v>719</c:v>
                </c:pt>
                <c:pt idx="6435">
                  <c:v>719</c:v>
                </c:pt>
                <c:pt idx="6436">
                  <c:v>719</c:v>
                </c:pt>
                <c:pt idx="6437">
                  <c:v>719</c:v>
                </c:pt>
                <c:pt idx="6438">
                  <c:v>719</c:v>
                </c:pt>
                <c:pt idx="6439">
                  <c:v>719</c:v>
                </c:pt>
                <c:pt idx="6440">
                  <c:v>719</c:v>
                </c:pt>
                <c:pt idx="6441">
                  <c:v>718</c:v>
                </c:pt>
                <c:pt idx="6442">
                  <c:v>718</c:v>
                </c:pt>
                <c:pt idx="6443">
                  <c:v>718</c:v>
                </c:pt>
                <c:pt idx="6444">
                  <c:v>718</c:v>
                </c:pt>
                <c:pt idx="6445">
                  <c:v>718</c:v>
                </c:pt>
                <c:pt idx="6446">
                  <c:v>718</c:v>
                </c:pt>
                <c:pt idx="6447">
                  <c:v>718</c:v>
                </c:pt>
                <c:pt idx="6448">
                  <c:v>717</c:v>
                </c:pt>
                <c:pt idx="6449">
                  <c:v>717</c:v>
                </c:pt>
                <c:pt idx="6450">
                  <c:v>717</c:v>
                </c:pt>
                <c:pt idx="6451">
                  <c:v>717</c:v>
                </c:pt>
                <c:pt idx="6452">
                  <c:v>717</c:v>
                </c:pt>
                <c:pt idx="6453">
                  <c:v>717</c:v>
                </c:pt>
                <c:pt idx="6454">
                  <c:v>717</c:v>
                </c:pt>
                <c:pt idx="6455">
                  <c:v>718</c:v>
                </c:pt>
                <c:pt idx="6456">
                  <c:v>718</c:v>
                </c:pt>
                <c:pt idx="6457">
                  <c:v>718</c:v>
                </c:pt>
                <c:pt idx="6458">
                  <c:v>718</c:v>
                </c:pt>
                <c:pt idx="6459">
                  <c:v>718</c:v>
                </c:pt>
                <c:pt idx="6460">
                  <c:v>719</c:v>
                </c:pt>
                <c:pt idx="6461">
                  <c:v>719</c:v>
                </c:pt>
                <c:pt idx="6462">
                  <c:v>719</c:v>
                </c:pt>
                <c:pt idx="6463">
                  <c:v>718</c:v>
                </c:pt>
                <c:pt idx="6464">
                  <c:v>718</c:v>
                </c:pt>
                <c:pt idx="6465">
                  <c:v>718</c:v>
                </c:pt>
                <c:pt idx="6466">
                  <c:v>718</c:v>
                </c:pt>
                <c:pt idx="6467">
                  <c:v>717</c:v>
                </c:pt>
                <c:pt idx="6468">
                  <c:v>717</c:v>
                </c:pt>
                <c:pt idx="6469">
                  <c:v>718</c:v>
                </c:pt>
                <c:pt idx="6470">
                  <c:v>718</c:v>
                </c:pt>
                <c:pt idx="6471">
                  <c:v>718</c:v>
                </c:pt>
                <c:pt idx="6472">
                  <c:v>718</c:v>
                </c:pt>
                <c:pt idx="6473">
                  <c:v>717</c:v>
                </c:pt>
                <c:pt idx="6474">
                  <c:v>717</c:v>
                </c:pt>
                <c:pt idx="6475">
                  <c:v>718</c:v>
                </c:pt>
                <c:pt idx="6476">
                  <c:v>718</c:v>
                </c:pt>
                <c:pt idx="6477">
                  <c:v>718</c:v>
                </c:pt>
                <c:pt idx="6478">
                  <c:v>718</c:v>
                </c:pt>
                <c:pt idx="6479">
                  <c:v>719</c:v>
                </c:pt>
                <c:pt idx="6480">
                  <c:v>719</c:v>
                </c:pt>
                <c:pt idx="6481">
                  <c:v>719</c:v>
                </c:pt>
                <c:pt idx="6482">
                  <c:v>719</c:v>
                </c:pt>
                <c:pt idx="6483">
                  <c:v>719</c:v>
                </c:pt>
                <c:pt idx="6484">
                  <c:v>719</c:v>
                </c:pt>
                <c:pt idx="6485">
                  <c:v>719</c:v>
                </c:pt>
                <c:pt idx="6486">
                  <c:v>719</c:v>
                </c:pt>
                <c:pt idx="6487">
                  <c:v>719</c:v>
                </c:pt>
                <c:pt idx="6488">
                  <c:v>719</c:v>
                </c:pt>
                <c:pt idx="6489">
                  <c:v>719</c:v>
                </c:pt>
                <c:pt idx="6490">
                  <c:v>718</c:v>
                </c:pt>
                <c:pt idx="6491">
                  <c:v>718</c:v>
                </c:pt>
                <c:pt idx="6492">
                  <c:v>718</c:v>
                </c:pt>
                <c:pt idx="6493">
                  <c:v>718</c:v>
                </c:pt>
                <c:pt idx="6494">
                  <c:v>718</c:v>
                </c:pt>
                <c:pt idx="6495">
                  <c:v>718</c:v>
                </c:pt>
                <c:pt idx="6496">
                  <c:v>718</c:v>
                </c:pt>
                <c:pt idx="6497">
                  <c:v>717</c:v>
                </c:pt>
                <c:pt idx="6498">
                  <c:v>717</c:v>
                </c:pt>
                <c:pt idx="6499">
                  <c:v>717</c:v>
                </c:pt>
                <c:pt idx="6500">
                  <c:v>718</c:v>
                </c:pt>
                <c:pt idx="6501">
                  <c:v>718</c:v>
                </c:pt>
                <c:pt idx="6502">
                  <c:v>718</c:v>
                </c:pt>
                <c:pt idx="6503">
                  <c:v>719</c:v>
                </c:pt>
                <c:pt idx="6504">
                  <c:v>719</c:v>
                </c:pt>
                <c:pt idx="6505">
                  <c:v>719</c:v>
                </c:pt>
                <c:pt idx="6506">
                  <c:v>719</c:v>
                </c:pt>
                <c:pt idx="6507">
                  <c:v>719</c:v>
                </c:pt>
                <c:pt idx="6508">
                  <c:v>719</c:v>
                </c:pt>
                <c:pt idx="6509">
                  <c:v>719</c:v>
                </c:pt>
                <c:pt idx="6510">
                  <c:v>718</c:v>
                </c:pt>
                <c:pt idx="6511">
                  <c:v>719</c:v>
                </c:pt>
                <c:pt idx="6512">
                  <c:v>719</c:v>
                </c:pt>
                <c:pt idx="6513">
                  <c:v>718</c:v>
                </c:pt>
                <c:pt idx="6514">
                  <c:v>718</c:v>
                </c:pt>
                <c:pt idx="6515">
                  <c:v>718</c:v>
                </c:pt>
                <c:pt idx="6516">
                  <c:v>717</c:v>
                </c:pt>
                <c:pt idx="6517">
                  <c:v>717</c:v>
                </c:pt>
                <c:pt idx="6518">
                  <c:v>717</c:v>
                </c:pt>
                <c:pt idx="6519">
                  <c:v>717</c:v>
                </c:pt>
                <c:pt idx="6520">
                  <c:v>717</c:v>
                </c:pt>
                <c:pt idx="6521">
                  <c:v>717</c:v>
                </c:pt>
                <c:pt idx="6522">
                  <c:v>717</c:v>
                </c:pt>
                <c:pt idx="6523">
                  <c:v>717</c:v>
                </c:pt>
                <c:pt idx="6524">
                  <c:v>717</c:v>
                </c:pt>
                <c:pt idx="6525">
                  <c:v>718</c:v>
                </c:pt>
                <c:pt idx="6526">
                  <c:v>718</c:v>
                </c:pt>
                <c:pt idx="6527">
                  <c:v>718</c:v>
                </c:pt>
                <c:pt idx="6528">
                  <c:v>718</c:v>
                </c:pt>
                <c:pt idx="6529">
                  <c:v>718</c:v>
                </c:pt>
                <c:pt idx="6530">
                  <c:v>718</c:v>
                </c:pt>
                <c:pt idx="6531">
                  <c:v>718</c:v>
                </c:pt>
                <c:pt idx="6532">
                  <c:v>718</c:v>
                </c:pt>
                <c:pt idx="6533">
                  <c:v>718</c:v>
                </c:pt>
                <c:pt idx="6534">
                  <c:v>719</c:v>
                </c:pt>
                <c:pt idx="6535">
                  <c:v>721</c:v>
                </c:pt>
                <c:pt idx="6536">
                  <c:v>721</c:v>
                </c:pt>
                <c:pt idx="6537">
                  <c:v>721</c:v>
                </c:pt>
                <c:pt idx="6538">
                  <c:v>720</c:v>
                </c:pt>
                <c:pt idx="6539">
                  <c:v>721</c:v>
                </c:pt>
                <c:pt idx="6540">
                  <c:v>720</c:v>
                </c:pt>
                <c:pt idx="6541">
                  <c:v>720</c:v>
                </c:pt>
                <c:pt idx="6542">
                  <c:v>720</c:v>
                </c:pt>
                <c:pt idx="6543">
                  <c:v>720</c:v>
                </c:pt>
                <c:pt idx="6544">
                  <c:v>720</c:v>
                </c:pt>
                <c:pt idx="6545">
                  <c:v>720</c:v>
                </c:pt>
                <c:pt idx="6546">
                  <c:v>721</c:v>
                </c:pt>
                <c:pt idx="6547">
                  <c:v>721</c:v>
                </c:pt>
                <c:pt idx="6548">
                  <c:v>721</c:v>
                </c:pt>
                <c:pt idx="6549">
                  <c:v>721</c:v>
                </c:pt>
                <c:pt idx="6550">
                  <c:v>721</c:v>
                </c:pt>
                <c:pt idx="6551">
                  <c:v>721</c:v>
                </c:pt>
                <c:pt idx="6552">
                  <c:v>721</c:v>
                </c:pt>
                <c:pt idx="6553">
                  <c:v>721</c:v>
                </c:pt>
                <c:pt idx="6554">
                  <c:v>721</c:v>
                </c:pt>
                <c:pt idx="6555">
                  <c:v>721</c:v>
                </c:pt>
                <c:pt idx="6556">
                  <c:v>721</c:v>
                </c:pt>
                <c:pt idx="6557">
                  <c:v>720</c:v>
                </c:pt>
                <c:pt idx="6558">
                  <c:v>720</c:v>
                </c:pt>
                <c:pt idx="6559">
                  <c:v>720</c:v>
                </c:pt>
                <c:pt idx="6560">
                  <c:v>720</c:v>
                </c:pt>
                <c:pt idx="6561">
                  <c:v>720</c:v>
                </c:pt>
                <c:pt idx="6562">
                  <c:v>720</c:v>
                </c:pt>
                <c:pt idx="6563">
                  <c:v>720</c:v>
                </c:pt>
                <c:pt idx="6564">
                  <c:v>720</c:v>
                </c:pt>
                <c:pt idx="6565">
                  <c:v>720</c:v>
                </c:pt>
                <c:pt idx="6566">
                  <c:v>720</c:v>
                </c:pt>
                <c:pt idx="6567">
                  <c:v>719</c:v>
                </c:pt>
                <c:pt idx="6568">
                  <c:v>720</c:v>
                </c:pt>
                <c:pt idx="6569">
                  <c:v>720</c:v>
                </c:pt>
                <c:pt idx="6570">
                  <c:v>720</c:v>
                </c:pt>
                <c:pt idx="6571">
                  <c:v>720</c:v>
                </c:pt>
                <c:pt idx="6572">
                  <c:v>720</c:v>
                </c:pt>
                <c:pt idx="6573">
                  <c:v>720</c:v>
                </c:pt>
                <c:pt idx="6574">
                  <c:v>720</c:v>
                </c:pt>
                <c:pt idx="6575">
                  <c:v>720</c:v>
                </c:pt>
                <c:pt idx="6576">
                  <c:v>720</c:v>
                </c:pt>
                <c:pt idx="6577">
                  <c:v>720</c:v>
                </c:pt>
                <c:pt idx="6578">
                  <c:v>720</c:v>
                </c:pt>
                <c:pt idx="6579">
                  <c:v>720</c:v>
                </c:pt>
                <c:pt idx="6580">
                  <c:v>720</c:v>
                </c:pt>
                <c:pt idx="6581">
                  <c:v>720</c:v>
                </c:pt>
                <c:pt idx="6582">
                  <c:v>720</c:v>
                </c:pt>
                <c:pt idx="6583">
                  <c:v>719</c:v>
                </c:pt>
                <c:pt idx="6584">
                  <c:v>719</c:v>
                </c:pt>
                <c:pt idx="6585">
                  <c:v>719</c:v>
                </c:pt>
                <c:pt idx="6586">
                  <c:v>719</c:v>
                </c:pt>
                <c:pt idx="6587">
                  <c:v>719</c:v>
                </c:pt>
                <c:pt idx="6588">
                  <c:v>719</c:v>
                </c:pt>
                <c:pt idx="6589">
                  <c:v>719</c:v>
                </c:pt>
                <c:pt idx="6590">
                  <c:v>719</c:v>
                </c:pt>
                <c:pt idx="6591">
                  <c:v>719</c:v>
                </c:pt>
                <c:pt idx="6592">
                  <c:v>719</c:v>
                </c:pt>
                <c:pt idx="6593">
                  <c:v>719</c:v>
                </c:pt>
                <c:pt idx="6594">
                  <c:v>719</c:v>
                </c:pt>
                <c:pt idx="6595">
                  <c:v>719</c:v>
                </c:pt>
                <c:pt idx="6596">
                  <c:v>720</c:v>
                </c:pt>
                <c:pt idx="6597">
                  <c:v>720</c:v>
                </c:pt>
                <c:pt idx="6598">
                  <c:v>720</c:v>
                </c:pt>
                <c:pt idx="6599">
                  <c:v>720</c:v>
                </c:pt>
                <c:pt idx="6600">
                  <c:v>720</c:v>
                </c:pt>
                <c:pt idx="6601">
                  <c:v>720</c:v>
                </c:pt>
                <c:pt idx="6602">
                  <c:v>720</c:v>
                </c:pt>
                <c:pt idx="6603">
                  <c:v>721</c:v>
                </c:pt>
                <c:pt idx="6604">
                  <c:v>720</c:v>
                </c:pt>
                <c:pt idx="6605">
                  <c:v>720</c:v>
                </c:pt>
                <c:pt idx="6606">
                  <c:v>720</c:v>
                </c:pt>
                <c:pt idx="6607">
                  <c:v>721</c:v>
                </c:pt>
                <c:pt idx="6608">
                  <c:v>721</c:v>
                </c:pt>
                <c:pt idx="6609">
                  <c:v>720</c:v>
                </c:pt>
                <c:pt idx="6610">
                  <c:v>720</c:v>
                </c:pt>
                <c:pt idx="6611">
                  <c:v>720</c:v>
                </c:pt>
                <c:pt idx="6612">
                  <c:v>720</c:v>
                </c:pt>
                <c:pt idx="6613">
                  <c:v>719</c:v>
                </c:pt>
                <c:pt idx="6614">
                  <c:v>719</c:v>
                </c:pt>
                <c:pt idx="6615">
                  <c:v>719</c:v>
                </c:pt>
                <c:pt idx="6616">
                  <c:v>719</c:v>
                </c:pt>
                <c:pt idx="6617">
                  <c:v>719</c:v>
                </c:pt>
                <c:pt idx="6618">
                  <c:v>719</c:v>
                </c:pt>
                <c:pt idx="6619">
                  <c:v>720</c:v>
                </c:pt>
                <c:pt idx="6620">
                  <c:v>720</c:v>
                </c:pt>
                <c:pt idx="6621">
                  <c:v>720</c:v>
                </c:pt>
                <c:pt idx="6622">
                  <c:v>720</c:v>
                </c:pt>
                <c:pt idx="6623">
                  <c:v>720</c:v>
                </c:pt>
                <c:pt idx="6624">
                  <c:v>720</c:v>
                </c:pt>
                <c:pt idx="6625">
                  <c:v>720</c:v>
                </c:pt>
                <c:pt idx="6626">
                  <c:v>720</c:v>
                </c:pt>
                <c:pt idx="6627">
                  <c:v>721</c:v>
                </c:pt>
                <c:pt idx="6628">
                  <c:v>721</c:v>
                </c:pt>
                <c:pt idx="6629">
                  <c:v>720</c:v>
                </c:pt>
                <c:pt idx="6630">
                  <c:v>720</c:v>
                </c:pt>
                <c:pt idx="6631">
                  <c:v>721</c:v>
                </c:pt>
                <c:pt idx="6632">
                  <c:v>720</c:v>
                </c:pt>
                <c:pt idx="6633">
                  <c:v>720</c:v>
                </c:pt>
                <c:pt idx="6634">
                  <c:v>720</c:v>
                </c:pt>
                <c:pt idx="6635">
                  <c:v>720</c:v>
                </c:pt>
                <c:pt idx="6636">
                  <c:v>720</c:v>
                </c:pt>
                <c:pt idx="6637">
                  <c:v>719</c:v>
                </c:pt>
                <c:pt idx="6638">
                  <c:v>719</c:v>
                </c:pt>
                <c:pt idx="6639">
                  <c:v>719</c:v>
                </c:pt>
                <c:pt idx="6640">
                  <c:v>719</c:v>
                </c:pt>
                <c:pt idx="6641">
                  <c:v>719</c:v>
                </c:pt>
                <c:pt idx="6642">
                  <c:v>719</c:v>
                </c:pt>
                <c:pt idx="6643">
                  <c:v>719</c:v>
                </c:pt>
                <c:pt idx="6644">
                  <c:v>720</c:v>
                </c:pt>
                <c:pt idx="6645">
                  <c:v>720</c:v>
                </c:pt>
                <c:pt idx="6646">
                  <c:v>720</c:v>
                </c:pt>
                <c:pt idx="6647">
                  <c:v>718</c:v>
                </c:pt>
                <c:pt idx="6648">
                  <c:v>718</c:v>
                </c:pt>
                <c:pt idx="6649">
                  <c:v>718</c:v>
                </c:pt>
                <c:pt idx="6650">
                  <c:v>718</c:v>
                </c:pt>
                <c:pt idx="6651">
                  <c:v>718</c:v>
                </c:pt>
                <c:pt idx="6652">
                  <c:v>719</c:v>
                </c:pt>
                <c:pt idx="6653">
                  <c:v>718</c:v>
                </c:pt>
                <c:pt idx="6654">
                  <c:v>718</c:v>
                </c:pt>
                <c:pt idx="6655">
                  <c:v>718</c:v>
                </c:pt>
                <c:pt idx="6656">
                  <c:v>718</c:v>
                </c:pt>
                <c:pt idx="6657">
                  <c:v>718</c:v>
                </c:pt>
                <c:pt idx="6658">
                  <c:v>717</c:v>
                </c:pt>
                <c:pt idx="6659">
                  <c:v>717</c:v>
                </c:pt>
                <c:pt idx="6660">
                  <c:v>717</c:v>
                </c:pt>
                <c:pt idx="6661">
                  <c:v>717</c:v>
                </c:pt>
                <c:pt idx="6662">
                  <c:v>717</c:v>
                </c:pt>
                <c:pt idx="6663">
                  <c:v>717</c:v>
                </c:pt>
                <c:pt idx="6664">
                  <c:v>717</c:v>
                </c:pt>
                <c:pt idx="6665">
                  <c:v>717</c:v>
                </c:pt>
                <c:pt idx="6666">
                  <c:v>717</c:v>
                </c:pt>
                <c:pt idx="6667">
                  <c:v>717</c:v>
                </c:pt>
                <c:pt idx="6668">
                  <c:v>717</c:v>
                </c:pt>
                <c:pt idx="6669">
                  <c:v>718</c:v>
                </c:pt>
                <c:pt idx="6670">
                  <c:v>718</c:v>
                </c:pt>
                <c:pt idx="6671">
                  <c:v>718</c:v>
                </c:pt>
                <c:pt idx="6672">
                  <c:v>718</c:v>
                </c:pt>
                <c:pt idx="6673">
                  <c:v>718</c:v>
                </c:pt>
                <c:pt idx="6674">
                  <c:v>719</c:v>
                </c:pt>
                <c:pt idx="6675">
                  <c:v>719</c:v>
                </c:pt>
                <c:pt idx="6676">
                  <c:v>719</c:v>
                </c:pt>
                <c:pt idx="6677">
                  <c:v>719</c:v>
                </c:pt>
                <c:pt idx="6678">
                  <c:v>719</c:v>
                </c:pt>
                <c:pt idx="6679">
                  <c:v>719</c:v>
                </c:pt>
                <c:pt idx="6680">
                  <c:v>718</c:v>
                </c:pt>
                <c:pt idx="6681">
                  <c:v>718</c:v>
                </c:pt>
                <c:pt idx="6682">
                  <c:v>718</c:v>
                </c:pt>
                <c:pt idx="6683">
                  <c:v>718</c:v>
                </c:pt>
                <c:pt idx="6684">
                  <c:v>718</c:v>
                </c:pt>
                <c:pt idx="6685">
                  <c:v>718</c:v>
                </c:pt>
                <c:pt idx="6686">
                  <c:v>718</c:v>
                </c:pt>
                <c:pt idx="6687">
                  <c:v>718</c:v>
                </c:pt>
                <c:pt idx="6688">
                  <c:v>718</c:v>
                </c:pt>
                <c:pt idx="6689">
                  <c:v>719</c:v>
                </c:pt>
                <c:pt idx="6690">
                  <c:v>719</c:v>
                </c:pt>
                <c:pt idx="6691">
                  <c:v>719</c:v>
                </c:pt>
                <c:pt idx="6692">
                  <c:v>719</c:v>
                </c:pt>
                <c:pt idx="6693">
                  <c:v>719</c:v>
                </c:pt>
                <c:pt idx="6694">
                  <c:v>720</c:v>
                </c:pt>
                <c:pt idx="6695">
                  <c:v>722</c:v>
                </c:pt>
                <c:pt idx="6696">
                  <c:v>722</c:v>
                </c:pt>
                <c:pt idx="6697">
                  <c:v>722</c:v>
                </c:pt>
                <c:pt idx="6698">
                  <c:v>722</c:v>
                </c:pt>
                <c:pt idx="6699">
                  <c:v>722</c:v>
                </c:pt>
                <c:pt idx="6700">
                  <c:v>722</c:v>
                </c:pt>
                <c:pt idx="6701">
                  <c:v>722</c:v>
                </c:pt>
                <c:pt idx="6702">
                  <c:v>722</c:v>
                </c:pt>
                <c:pt idx="6703">
                  <c:v>722</c:v>
                </c:pt>
                <c:pt idx="6704">
                  <c:v>722</c:v>
                </c:pt>
                <c:pt idx="6705">
                  <c:v>722</c:v>
                </c:pt>
                <c:pt idx="6706">
                  <c:v>722</c:v>
                </c:pt>
                <c:pt idx="6707">
                  <c:v>722</c:v>
                </c:pt>
                <c:pt idx="6708">
                  <c:v>722</c:v>
                </c:pt>
                <c:pt idx="6709">
                  <c:v>722</c:v>
                </c:pt>
                <c:pt idx="6710">
                  <c:v>722</c:v>
                </c:pt>
                <c:pt idx="6711">
                  <c:v>723</c:v>
                </c:pt>
                <c:pt idx="6712">
                  <c:v>723</c:v>
                </c:pt>
                <c:pt idx="6713">
                  <c:v>723</c:v>
                </c:pt>
                <c:pt idx="6714">
                  <c:v>723</c:v>
                </c:pt>
                <c:pt idx="6715">
                  <c:v>723</c:v>
                </c:pt>
                <c:pt idx="6716">
                  <c:v>723</c:v>
                </c:pt>
                <c:pt idx="6717">
                  <c:v>723</c:v>
                </c:pt>
                <c:pt idx="6718">
                  <c:v>723</c:v>
                </c:pt>
                <c:pt idx="6719">
                  <c:v>723</c:v>
                </c:pt>
                <c:pt idx="6720">
                  <c:v>723</c:v>
                </c:pt>
                <c:pt idx="6721">
                  <c:v>723</c:v>
                </c:pt>
                <c:pt idx="6722">
                  <c:v>723</c:v>
                </c:pt>
                <c:pt idx="6723">
                  <c:v>723</c:v>
                </c:pt>
                <c:pt idx="6724">
                  <c:v>723</c:v>
                </c:pt>
                <c:pt idx="6725">
                  <c:v>723</c:v>
                </c:pt>
                <c:pt idx="6726">
                  <c:v>723</c:v>
                </c:pt>
                <c:pt idx="6727">
                  <c:v>723</c:v>
                </c:pt>
                <c:pt idx="6728">
                  <c:v>724</c:v>
                </c:pt>
                <c:pt idx="6729">
                  <c:v>724</c:v>
                </c:pt>
                <c:pt idx="6730">
                  <c:v>723</c:v>
                </c:pt>
                <c:pt idx="6731">
                  <c:v>724</c:v>
                </c:pt>
                <c:pt idx="6732">
                  <c:v>724</c:v>
                </c:pt>
                <c:pt idx="6733">
                  <c:v>724</c:v>
                </c:pt>
                <c:pt idx="6734">
                  <c:v>724</c:v>
                </c:pt>
                <c:pt idx="6735">
                  <c:v>724</c:v>
                </c:pt>
                <c:pt idx="6736">
                  <c:v>725</c:v>
                </c:pt>
                <c:pt idx="6737">
                  <c:v>725</c:v>
                </c:pt>
                <c:pt idx="6738">
                  <c:v>725</c:v>
                </c:pt>
                <c:pt idx="6739">
                  <c:v>725</c:v>
                </c:pt>
                <c:pt idx="6740">
                  <c:v>725</c:v>
                </c:pt>
                <c:pt idx="6741">
                  <c:v>725</c:v>
                </c:pt>
                <c:pt idx="6742">
                  <c:v>725</c:v>
                </c:pt>
                <c:pt idx="6743">
                  <c:v>725</c:v>
                </c:pt>
                <c:pt idx="6744">
                  <c:v>725</c:v>
                </c:pt>
                <c:pt idx="6745">
                  <c:v>725</c:v>
                </c:pt>
                <c:pt idx="6746">
                  <c:v>725</c:v>
                </c:pt>
                <c:pt idx="6747">
                  <c:v>725</c:v>
                </c:pt>
                <c:pt idx="6748">
                  <c:v>725</c:v>
                </c:pt>
                <c:pt idx="6749">
                  <c:v>725</c:v>
                </c:pt>
                <c:pt idx="6750">
                  <c:v>725</c:v>
                </c:pt>
                <c:pt idx="6751">
                  <c:v>725</c:v>
                </c:pt>
                <c:pt idx="6752">
                  <c:v>725</c:v>
                </c:pt>
                <c:pt idx="6753">
                  <c:v>725</c:v>
                </c:pt>
                <c:pt idx="6754">
                  <c:v>725</c:v>
                </c:pt>
                <c:pt idx="6755">
                  <c:v>725</c:v>
                </c:pt>
                <c:pt idx="6756">
                  <c:v>725</c:v>
                </c:pt>
                <c:pt idx="6757">
                  <c:v>725</c:v>
                </c:pt>
                <c:pt idx="6758">
                  <c:v>725</c:v>
                </c:pt>
                <c:pt idx="6759">
                  <c:v>725</c:v>
                </c:pt>
                <c:pt idx="6760">
                  <c:v>726</c:v>
                </c:pt>
                <c:pt idx="6761">
                  <c:v>725</c:v>
                </c:pt>
                <c:pt idx="6762">
                  <c:v>725</c:v>
                </c:pt>
                <c:pt idx="6763">
                  <c:v>725</c:v>
                </c:pt>
                <c:pt idx="6764">
                  <c:v>726</c:v>
                </c:pt>
                <c:pt idx="6765">
                  <c:v>726</c:v>
                </c:pt>
                <c:pt idx="6766">
                  <c:v>725</c:v>
                </c:pt>
                <c:pt idx="6767">
                  <c:v>725</c:v>
                </c:pt>
                <c:pt idx="6768">
                  <c:v>726</c:v>
                </c:pt>
                <c:pt idx="6769">
                  <c:v>726</c:v>
                </c:pt>
                <c:pt idx="6770">
                  <c:v>726</c:v>
                </c:pt>
                <c:pt idx="6771">
                  <c:v>726</c:v>
                </c:pt>
                <c:pt idx="6772">
                  <c:v>726</c:v>
                </c:pt>
                <c:pt idx="6773">
                  <c:v>726</c:v>
                </c:pt>
                <c:pt idx="6774">
                  <c:v>726</c:v>
                </c:pt>
                <c:pt idx="6775">
                  <c:v>726</c:v>
                </c:pt>
                <c:pt idx="6776">
                  <c:v>726</c:v>
                </c:pt>
                <c:pt idx="6777">
                  <c:v>726</c:v>
                </c:pt>
                <c:pt idx="6778">
                  <c:v>726</c:v>
                </c:pt>
                <c:pt idx="6779">
                  <c:v>726</c:v>
                </c:pt>
                <c:pt idx="6780">
                  <c:v>726</c:v>
                </c:pt>
                <c:pt idx="6781">
                  <c:v>726</c:v>
                </c:pt>
                <c:pt idx="6782">
                  <c:v>726</c:v>
                </c:pt>
                <c:pt idx="6783">
                  <c:v>726</c:v>
                </c:pt>
                <c:pt idx="6784">
                  <c:v>726</c:v>
                </c:pt>
                <c:pt idx="6785">
                  <c:v>726</c:v>
                </c:pt>
                <c:pt idx="6786">
                  <c:v>726</c:v>
                </c:pt>
                <c:pt idx="6787">
                  <c:v>726</c:v>
                </c:pt>
                <c:pt idx="6788">
                  <c:v>726</c:v>
                </c:pt>
                <c:pt idx="6789">
                  <c:v>726</c:v>
                </c:pt>
                <c:pt idx="6790">
                  <c:v>726</c:v>
                </c:pt>
                <c:pt idx="6791">
                  <c:v>726</c:v>
                </c:pt>
                <c:pt idx="6792">
                  <c:v>726</c:v>
                </c:pt>
                <c:pt idx="6793">
                  <c:v>726</c:v>
                </c:pt>
                <c:pt idx="6794">
                  <c:v>726</c:v>
                </c:pt>
                <c:pt idx="6795">
                  <c:v>726</c:v>
                </c:pt>
                <c:pt idx="6796">
                  <c:v>726</c:v>
                </c:pt>
                <c:pt idx="6797">
                  <c:v>726</c:v>
                </c:pt>
                <c:pt idx="6798">
                  <c:v>726</c:v>
                </c:pt>
                <c:pt idx="6799">
                  <c:v>726</c:v>
                </c:pt>
                <c:pt idx="6800">
                  <c:v>726</c:v>
                </c:pt>
                <c:pt idx="6801">
                  <c:v>726</c:v>
                </c:pt>
                <c:pt idx="6802">
                  <c:v>726</c:v>
                </c:pt>
                <c:pt idx="6803">
                  <c:v>726</c:v>
                </c:pt>
                <c:pt idx="6804">
                  <c:v>726</c:v>
                </c:pt>
                <c:pt idx="6805">
                  <c:v>726</c:v>
                </c:pt>
                <c:pt idx="6806">
                  <c:v>726</c:v>
                </c:pt>
                <c:pt idx="6807">
                  <c:v>726</c:v>
                </c:pt>
                <c:pt idx="6808">
                  <c:v>727</c:v>
                </c:pt>
                <c:pt idx="6809">
                  <c:v>726</c:v>
                </c:pt>
                <c:pt idx="6810">
                  <c:v>726</c:v>
                </c:pt>
                <c:pt idx="6811">
                  <c:v>726</c:v>
                </c:pt>
                <c:pt idx="6812">
                  <c:v>727</c:v>
                </c:pt>
                <c:pt idx="6813">
                  <c:v>726</c:v>
                </c:pt>
                <c:pt idx="6814">
                  <c:v>726</c:v>
                </c:pt>
                <c:pt idx="6815">
                  <c:v>727</c:v>
                </c:pt>
                <c:pt idx="6816">
                  <c:v>727</c:v>
                </c:pt>
                <c:pt idx="6817">
                  <c:v>727</c:v>
                </c:pt>
                <c:pt idx="6818">
                  <c:v>727</c:v>
                </c:pt>
                <c:pt idx="6819">
                  <c:v>727</c:v>
                </c:pt>
                <c:pt idx="6820">
                  <c:v>727</c:v>
                </c:pt>
                <c:pt idx="6821">
                  <c:v>726</c:v>
                </c:pt>
                <c:pt idx="6822">
                  <c:v>726</c:v>
                </c:pt>
                <c:pt idx="6823">
                  <c:v>726</c:v>
                </c:pt>
                <c:pt idx="6824">
                  <c:v>726</c:v>
                </c:pt>
                <c:pt idx="6825">
                  <c:v>726</c:v>
                </c:pt>
                <c:pt idx="6826">
                  <c:v>726</c:v>
                </c:pt>
                <c:pt idx="6827">
                  <c:v>726</c:v>
                </c:pt>
                <c:pt idx="6828">
                  <c:v>726</c:v>
                </c:pt>
                <c:pt idx="6829">
                  <c:v>726</c:v>
                </c:pt>
                <c:pt idx="6830">
                  <c:v>726</c:v>
                </c:pt>
                <c:pt idx="6831">
                  <c:v>726</c:v>
                </c:pt>
                <c:pt idx="6832">
                  <c:v>726</c:v>
                </c:pt>
                <c:pt idx="6833">
                  <c:v>726</c:v>
                </c:pt>
                <c:pt idx="6834">
                  <c:v>726</c:v>
                </c:pt>
                <c:pt idx="6835">
                  <c:v>726</c:v>
                </c:pt>
                <c:pt idx="6836">
                  <c:v>727</c:v>
                </c:pt>
                <c:pt idx="6837">
                  <c:v>726</c:v>
                </c:pt>
                <c:pt idx="6838">
                  <c:v>726</c:v>
                </c:pt>
                <c:pt idx="6839">
                  <c:v>726</c:v>
                </c:pt>
                <c:pt idx="6840">
                  <c:v>726</c:v>
                </c:pt>
                <c:pt idx="6841">
                  <c:v>727</c:v>
                </c:pt>
                <c:pt idx="6842">
                  <c:v>727</c:v>
                </c:pt>
                <c:pt idx="6843">
                  <c:v>727</c:v>
                </c:pt>
                <c:pt idx="6844">
                  <c:v>727</c:v>
                </c:pt>
                <c:pt idx="6845">
                  <c:v>726</c:v>
                </c:pt>
                <c:pt idx="6846">
                  <c:v>726</c:v>
                </c:pt>
                <c:pt idx="6847">
                  <c:v>724</c:v>
                </c:pt>
                <c:pt idx="6848">
                  <c:v>726</c:v>
                </c:pt>
                <c:pt idx="6849">
                  <c:v>726</c:v>
                </c:pt>
                <c:pt idx="6850">
                  <c:v>726</c:v>
                </c:pt>
                <c:pt idx="6851">
                  <c:v>726</c:v>
                </c:pt>
                <c:pt idx="6852">
                  <c:v>726</c:v>
                </c:pt>
                <c:pt idx="6853">
                  <c:v>726</c:v>
                </c:pt>
                <c:pt idx="6854">
                  <c:v>726</c:v>
                </c:pt>
                <c:pt idx="6855">
                  <c:v>726</c:v>
                </c:pt>
                <c:pt idx="6856">
                  <c:v>727</c:v>
                </c:pt>
                <c:pt idx="6857">
                  <c:v>726</c:v>
                </c:pt>
                <c:pt idx="6858">
                  <c:v>727</c:v>
                </c:pt>
                <c:pt idx="6859">
                  <c:v>727</c:v>
                </c:pt>
                <c:pt idx="6860">
                  <c:v>727</c:v>
                </c:pt>
                <c:pt idx="6861">
                  <c:v>727</c:v>
                </c:pt>
                <c:pt idx="6862">
                  <c:v>726</c:v>
                </c:pt>
                <c:pt idx="6863">
                  <c:v>727</c:v>
                </c:pt>
                <c:pt idx="6864">
                  <c:v>727</c:v>
                </c:pt>
                <c:pt idx="6865">
                  <c:v>727</c:v>
                </c:pt>
                <c:pt idx="6866">
                  <c:v>726</c:v>
                </c:pt>
                <c:pt idx="6867">
                  <c:v>727</c:v>
                </c:pt>
                <c:pt idx="6868">
                  <c:v>727</c:v>
                </c:pt>
                <c:pt idx="6869">
                  <c:v>726</c:v>
                </c:pt>
                <c:pt idx="6870">
                  <c:v>726</c:v>
                </c:pt>
                <c:pt idx="6871">
                  <c:v>726</c:v>
                </c:pt>
                <c:pt idx="6872">
                  <c:v>726</c:v>
                </c:pt>
                <c:pt idx="6873">
                  <c:v>726</c:v>
                </c:pt>
                <c:pt idx="6874">
                  <c:v>727</c:v>
                </c:pt>
                <c:pt idx="6875">
                  <c:v>727</c:v>
                </c:pt>
                <c:pt idx="6876">
                  <c:v>727</c:v>
                </c:pt>
                <c:pt idx="6877">
                  <c:v>727</c:v>
                </c:pt>
                <c:pt idx="6878">
                  <c:v>727</c:v>
                </c:pt>
                <c:pt idx="6879">
                  <c:v>727</c:v>
                </c:pt>
                <c:pt idx="6880">
                  <c:v>727</c:v>
                </c:pt>
                <c:pt idx="6881">
                  <c:v>726</c:v>
                </c:pt>
                <c:pt idx="6882">
                  <c:v>727</c:v>
                </c:pt>
                <c:pt idx="6883">
                  <c:v>727</c:v>
                </c:pt>
                <c:pt idx="6884">
                  <c:v>727</c:v>
                </c:pt>
                <c:pt idx="6885">
                  <c:v>727</c:v>
                </c:pt>
                <c:pt idx="6886">
                  <c:v>727</c:v>
                </c:pt>
                <c:pt idx="6887">
                  <c:v>726</c:v>
                </c:pt>
                <c:pt idx="6888">
                  <c:v>726</c:v>
                </c:pt>
                <c:pt idx="6889">
                  <c:v>726</c:v>
                </c:pt>
                <c:pt idx="6890">
                  <c:v>727</c:v>
                </c:pt>
                <c:pt idx="6891">
                  <c:v>726</c:v>
                </c:pt>
                <c:pt idx="6892">
                  <c:v>726</c:v>
                </c:pt>
                <c:pt idx="6893">
                  <c:v>726</c:v>
                </c:pt>
                <c:pt idx="6894">
                  <c:v>726</c:v>
                </c:pt>
                <c:pt idx="6895">
                  <c:v>726</c:v>
                </c:pt>
                <c:pt idx="6896">
                  <c:v>726</c:v>
                </c:pt>
                <c:pt idx="6897">
                  <c:v>726</c:v>
                </c:pt>
                <c:pt idx="6898">
                  <c:v>726</c:v>
                </c:pt>
                <c:pt idx="6899">
                  <c:v>726</c:v>
                </c:pt>
                <c:pt idx="6900">
                  <c:v>726</c:v>
                </c:pt>
                <c:pt idx="6901">
                  <c:v>726</c:v>
                </c:pt>
                <c:pt idx="6902">
                  <c:v>726</c:v>
                </c:pt>
                <c:pt idx="6903">
                  <c:v>726</c:v>
                </c:pt>
                <c:pt idx="6904">
                  <c:v>726</c:v>
                </c:pt>
                <c:pt idx="6905">
                  <c:v>726</c:v>
                </c:pt>
                <c:pt idx="6906">
                  <c:v>726</c:v>
                </c:pt>
                <c:pt idx="6907">
                  <c:v>726</c:v>
                </c:pt>
                <c:pt idx="6908">
                  <c:v>726</c:v>
                </c:pt>
                <c:pt idx="6909">
                  <c:v>726</c:v>
                </c:pt>
                <c:pt idx="6910">
                  <c:v>726</c:v>
                </c:pt>
                <c:pt idx="6911">
                  <c:v>726</c:v>
                </c:pt>
                <c:pt idx="6912">
                  <c:v>725</c:v>
                </c:pt>
                <c:pt idx="6913">
                  <c:v>725</c:v>
                </c:pt>
                <c:pt idx="6914">
                  <c:v>725</c:v>
                </c:pt>
                <c:pt idx="6915">
                  <c:v>725</c:v>
                </c:pt>
                <c:pt idx="6916">
                  <c:v>725</c:v>
                </c:pt>
                <c:pt idx="6917">
                  <c:v>725</c:v>
                </c:pt>
                <c:pt idx="6918">
                  <c:v>724</c:v>
                </c:pt>
                <c:pt idx="6919">
                  <c:v>725</c:v>
                </c:pt>
                <c:pt idx="6920">
                  <c:v>725</c:v>
                </c:pt>
                <c:pt idx="6921">
                  <c:v>725</c:v>
                </c:pt>
                <c:pt idx="6922">
                  <c:v>725</c:v>
                </c:pt>
                <c:pt idx="6923">
                  <c:v>725</c:v>
                </c:pt>
                <c:pt idx="6924">
                  <c:v>725</c:v>
                </c:pt>
                <c:pt idx="6925">
                  <c:v>725</c:v>
                </c:pt>
                <c:pt idx="6926">
                  <c:v>724</c:v>
                </c:pt>
                <c:pt idx="6927">
                  <c:v>725</c:v>
                </c:pt>
                <c:pt idx="6928">
                  <c:v>724</c:v>
                </c:pt>
                <c:pt idx="6929">
                  <c:v>724</c:v>
                </c:pt>
                <c:pt idx="6930">
                  <c:v>724</c:v>
                </c:pt>
                <c:pt idx="6931">
                  <c:v>725</c:v>
                </c:pt>
                <c:pt idx="6932">
                  <c:v>725</c:v>
                </c:pt>
                <c:pt idx="6933">
                  <c:v>725</c:v>
                </c:pt>
                <c:pt idx="6934">
                  <c:v>725</c:v>
                </c:pt>
                <c:pt idx="6935">
                  <c:v>725</c:v>
                </c:pt>
                <c:pt idx="6936">
                  <c:v>696</c:v>
                </c:pt>
                <c:pt idx="6937">
                  <c:v>689</c:v>
                </c:pt>
                <c:pt idx="6938">
                  <c:v>617</c:v>
                </c:pt>
                <c:pt idx="6939">
                  <c:v>578</c:v>
                </c:pt>
                <c:pt idx="6940">
                  <c:v>579</c:v>
                </c:pt>
                <c:pt idx="6941">
                  <c:v>579</c:v>
                </c:pt>
                <c:pt idx="6942">
                  <c:v>580</c:v>
                </c:pt>
                <c:pt idx="6943">
                  <c:v>580</c:v>
                </c:pt>
                <c:pt idx="6944">
                  <c:v>580</c:v>
                </c:pt>
                <c:pt idx="6945">
                  <c:v>580</c:v>
                </c:pt>
                <c:pt idx="6946">
                  <c:v>580</c:v>
                </c:pt>
                <c:pt idx="6947">
                  <c:v>580</c:v>
                </c:pt>
                <c:pt idx="6948">
                  <c:v>580</c:v>
                </c:pt>
                <c:pt idx="6949">
                  <c:v>584</c:v>
                </c:pt>
                <c:pt idx="6950">
                  <c:v>579</c:v>
                </c:pt>
                <c:pt idx="6951">
                  <c:v>578</c:v>
                </c:pt>
                <c:pt idx="6952">
                  <c:v>578</c:v>
                </c:pt>
                <c:pt idx="6953">
                  <c:v>578</c:v>
                </c:pt>
                <c:pt idx="6954">
                  <c:v>578</c:v>
                </c:pt>
                <c:pt idx="6955">
                  <c:v>578</c:v>
                </c:pt>
                <c:pt idx="6956">
                  <c:v>585</c:v>
                </c:pt>
                <c:pt idx="6957">
                  <c:v>587</c:v>
                </c:pt>
                <c:pt idx="6958">
                  <c:v>608</c:v>
                </c:pt>
                <c:pt idx="6959">
                  <c:v>655</c:v>
                </c:pt>
                <c:pt idx="6960">
                  <c:v>707</c:v>
                </c:pt>
                <c:pt idx="6961">
                  <c:v>726</c:v>
                </c:pt>
                <c:pt idx="6962">
                  <c:v>724</c:v>
                </c:pt>
                <c:pt idx="6963">
                  <c:v>724</c:v>
                </c:pt>
                <c:pt idx="6964">
                  <c:v>724</c:v>
                </c:pt>
                <c:pt idx="6965">
                  <c:v>723</c:v>
                </c:pt>
                <c:pt idx="6966">
                  <c:v>722</c:v>
                </c:pt>
                <c:pt idx="6967">
                  <c:v>723</c:v>
                </c:pt>
                <c:pt idx="6968">
                  <c:v>723</c:v>
                </c:pt>
                <c:pt idx="6969">
                  <c:v>722</c:v>
                </c:pt>
                <c:pt idx="6970">
                  <c:v>723</c:v>
                </c:pt>
                <c:pt idx="6971">
                  <c:v>723</c:v>
                </c:pt>
                <c:pt idx="6972">
                  <c:v>723</c:v>
                </c:pt>
                <c:pt idx="6973">
                  <c:v>723</c:v>
                </c:pt>
                <c:pt idx="6974">
                  <c:v>723</c:v>
                </c:pt>
                <c:pt idx="6975">
                  <c:v>722</c:v>
                </c:pt>
                <c:pt idx="6976">
                  <c:v>722</c:v>
                </c:pt>
                <c:pt idx="6977">
                  <c:v>721</c:v>
                </c:pt>
                <c:pt idx="6978">
                  <c:v>721</c:v>
                </c:pt>
                <c:pt idx="6979">
                  <c:v>721</c:v>
                </c:pt>
                <c:pt idx="6980">
                  <c:v>722</c:v>
                </c:pt>
                <c:pt idx="6981">
                  <c:v>723</c:v>
                </c:pt>
                <c:pt idx="6982">
                  <c:v>724</c:v>
                </c:pt>
                <c:pt idx="6983">
                  <c:v>724</c:v>
                </c:pt>
                <c:pt idx="6984">
                  <c:v>724</c:v>
                </c:pt>
                <c:pt idx="6985">
                  <c:v>724</c:v>
                </c:pt>
                <c:pt idx="6986">
                  <c:v>724</c:v>
                </c:pt>
                <c:pt idx="6987">
                  <c:v>725</c:v>
                </c:pt>
                <c:pt idx="6988">
                  <c:v>725</c:v>
                </c:pt>
                <c:pt idx="6989">
                  <c:v>724</c:v>
                </c:pt>
                <c:pt idx="6990">
                  <c:v>724</c:v>
                </c:pt>
                <c:pt idx="6991">
                  <c:v>724</c:v>
                </c:pt>
                <c:pt idx="6992">
                  <c:v>725</c:v>
                </c:pt>
                <c:pt idx="6993">
                  <c:v>725</c:v>
                </c:pt>
                <c:pt idx="6994">
                  <c:v>725</c:v>
                </c:pt>
                <c:pt idx="6995">
                  <c:v>725</c:v>
                </c:pt>
                <c:pt idx="6996">
                  <c:v>724</c:v>
                </c:pt>
                <c:pt idx="6997">
                  <c:v>724</c:v>
                </c:pt>
                <c:pt idx="6998">
                  <c:v>724</c:v>
                </c:pt>
                <c:pt idx="6999">
                  <c:v>724</c:v>
                </c:pt>
                <c:pt idx="7000">
                  <c:v>724</c:v>
                </c:pt>
                <c:pt idx="7001">
                  <c:v>724</c:v>
                </c:pt>
                <c:pt idx="7002">
                  <c:v>724</c:v>
                </c:pt>
                <c:pt idx="7003">
                  <c:v>724</c:v>
                </c:pt>
                <c:pt idx="7004">
                  <c:v>725</c:v>
                </c:pt>
                <c:pt idx="7005">
                  <c:v>724</c:v>
                </c:pt>
                <c:pt idx="7006">
                  <c:v>724</c:v>
                </c:pt>
                <c:pt idx="7007">
                  <c:v>725</c:v>
                </c:pt>
                <c:pt idx="7008">
                  <c:v>725</c:v>
                </c:pt>
                <c:pt idx="7009">
                  <c:v>725</c:v>
                </c:pt>
                <c:pt idx="7010">
                  <c:v>725</c:v>
                </c:pt>
                <c:pt idx="7011">
                  <c:v>725</c:v>
                </c:pt>
                <c:pt idx="7012">
                  <c:v>725</c:v>
                </c:pt>
                <c:pt idx="7013">
                  <c:v>725</c:v>
                </c:pt>
                <c:pt idx="7014">
                  <c:v>725</c:v>
                </c:pt>
                <c:pt idx="7015">
                  <c:v>725</c:v>
                </c:pt>
                <c:pt idx="7016">
                  <c:v>724</c:v>
                </c:pt>
                <c:pt idx="7017">
                  <c:v>724</c:v>
                </c:pt>
                <c:pt idx="7018">
                  <c:v>724</c:v>
                </c:pt>
                <c:pt idx="7019">
                  <c:v>724</c:v>
                </c:pt>
                <c:pt idx="7020">
                  <c:v>724</c:v>
                </c:pt>
                <c:pt idx="7021">
                  <c:v>723</c:v>
                </c:pt>
                <c:pt idx="7022">
                  <c:v>724</c:v>
                </c:pt>
                <c:pt idx="7023">
                  <c:v>724</c:v>
                </c:pt>
                <c:pt idx="7024">
                  <c:v>724</c:v>
                </c:pt>
                <c:pt idx="7025">
                  <c:v>724</c:v>
                </c:pt>
                <c:pt idx="7026">
                  <c:v>724</c:v>
                </c:pt>
                <c:pt idx="7027">
                  <c:v>724</c:v>
                </c:pt>
                <c:pt idx="7028">
                  <c:v>724</c:v>
                </c:pt>
                <c:pt idx="7029">
                  <c:v>724</c:v>
                </c:pt>
                <c:pt idx="7030">
                  <c:v>725</c:v>
                </c:pt>
                <c:pt idx="7031">
                  <c:v>725</c:v>
                </c:pt>
                <c:pt idx="7032">
                  <c:v>725</c:v>
                </c:pt>
                <c:pt idx="7033">
                  <c:v>725</c:v>
                </c:pt>
                <c:pt idx="7034">
                  <c:v>725</c:v>
                </c:pt>
                <c:pt idx="7035">
                  <c:v>725</c:v>
                </c:pt>
                <c:pt idx="7036">
                  <c:v>725</c:v>
                </c:pt>
                <c:pt idx="7037">
                  <c:v>725</c:v>
                </c:pt>
                <c:pt idx="7038">
                  <c:v>725</c:v>
                </c:pt>
                <c:pt idx="7039">
                  <c:v>724</c:v>
                </c:pt>
                <c:pt idx="7040">
                  <c:v>724</c:v>
                </c:pt>
                <c:pt idx="7041">
                  <c:v>724</c:v>
                </c:pt>
                <c:pt idx="7042">
                  <c:v>725</c:v>
                </c:pt>
                <c:pt idx="7043">
                  <c:v>725</c:v>
                </c:pt>
                <c:pt idx="7044">
                  <c:v>724</c:v>
                </c:pt>
                <c:pt idx="7045">
                  <c:v>724</c:v>
                </c:pt>
                <c:pt idx="7046">
                  <c:v>724</c:v>
                </c:pt>
                <c:pt idx="7047">
                  <c:v>724</c:v>
                </c:pt>
                <c:pt idx="7048">
                  <c:v>724</c:v>
                </c:pt>
                <c:pt idx="7049">
                  <c:v>724</c:v>
                </c:pt>
                <c:pt idx="7050">
                  <c:v>724</c:v>
                </c:pt>
                <c:pt idx="7051">
                  <c:v>724</c:v>
                </c:pt>
                <c:pt idx="7052">
                  <c:v>724</c:v>
                </c:pt>
                <c:pt idx="7053">
                  <c:v>724</c:v>
                </c:pt>
                <c:pt idx="7054">
                  <c:v>724</c:v>
                </c:pt>
                <c:pt idx="7055">
                  <c:v>724</c:v>
                </c:pt>
                <c:pt idx="7056">
                  <c:v>724</c:v>
                </c:pt>
                <c:pt idx="7057">
                  <c:v>724</c:v>
                </c:pt>
                <c:pt idx="7058">
                  <c:v>724</c:v>
                </c:pt>
                <c:pt idx="7059">
                  <c:v>724</c:v>
                </c:pt>
                <c:pt idx="7060">
                  <c:v>725</c:v>
                </c:pt>
                <c:pt idx="7061">
                  <c:v>724</c:v>
                </c:pt>
                <c:pt idx="7062">
                  <c:v>724</c:v>
                </c:pt>
                <c:pt idx="7063">
                  <c:v>724</c:v>
                </c:pt>
                <c:pt idx="7064">
                  <c:v>724</c:v>
                </c:pt>
                <c:pt idx="7065">
                  <c:v>724</c:v>
                </c:pt>
                <c:pt idx="7066">
                  <c:v>724</c:v>
                </c:pt>
                <c:pt idx="7067">
                  <c:v>724</c:v>
                </c:pt>
                <c:pt idx="7068">
                  <c:v>724</c:v>
                </c:pt>
                <c:pt idx="7069">
                  <c:v>724</c:v>
                </c:pt>
                <c:pt idx="7070">
                  <c:v>724</c:v>
                </c:pt>
                <c:pt idx="7071">
                  <c:v>724</c:v>
                </c:pt>
                <c:pt idx="7072">
                  <c:v>726</c:v>
                </c:pt>
                <c:pt idx="7073">
                  <c:v>726</c:v>
                </c:pt>
                <c:pt idx="7074">
                  <c:v>726</c:v>
                </c:pt>
                <c:pt idx="7075">
                  <c:v>726</c:v>
                </c:pt>
                <c:pt idx="7076">
                  <c:v>726</c:v>
                </c:pt>
                <c:pt idx="7077">
                  <c:v>726</c:v>
                </c:pt>
                <c:pt idx="7078">
                  <c:v>726</c:v>
                </c:pt>
                <c:pt idx="7079">
                  <c:v>726</c:v>
                </c:pt>
                <c:pt idx="7080">
                  <c:v>726</c:v>
                </c:pt>
                <c:pt idx="7081">
                  <c:v>726</c:v>
                </c:pt>
                <c:pt idx="7082">
                  <c:v>726</c:v>
                </c:pt>
                <c:pt idx="7083">
                  <c:v>726</c:v>
                </c:pt>
                <c:pt idx="7084">
                  <c:v>726</c:v>
                </c:pt>
                <c:pt idx="7085">
                  <c:v>726</c:v>
                </c:pt>
                <c:pt idx="7086">
                  <c:v>726</c:v>
                </c:pt>
                <c:pt idx="7087">
                  <c:v>726</c:v>
                </c:pt>
                <c:pt idx="7088">
                  <c:v>726</c:v>
                </c:pt>
                <c:pt idx="7089">
                  <c:v>726</c:v>
                </c:pt>
                <c:pt idx="7090">
                  <c:v>726</c:v>
                </c:pt>
                <c:pt idx="7091">
                  <c:v>726</c:v>
                </c:pt>
                <c:pt idx="7092">
                  <c:v>726</c:v>
                </c:pt>
                <c:pt idx="7093">
                  <c:v>726</c:v>
                </c:pt>
                <c:pt idx="7094">
                  <c:v>726</c:v>
                </c:pt>
                <c:pt idx="7095">
                  <c:v>726</c:v>
                </c:pt>
                <c:pt idx="7096">
                  <c:v>726</c:v>
                </c:pt>
                <c:pt idx="7097">
                  <c:v>726</c:v>
                </c:pt>
                <c:pt idx="7098">
                  <c:v>726</c:v>
                </c:pt>
                <c:pt idx="7099">
                  <c:v>726</c:v>
                </c:pt>
                <c:pt idx="7100">
                  <c:v>726</c:v>
                </c:pt>
                <c:pt idx="7101">
                  <c:v>726</c:v>
                </c:pt>
                <c:pt idx="7102">
                  <c:v>726</c:v>
                </c:pt>
                <c:pt idx="7103">
                  <c:v>726</c:v>
                </c:pt>
                <c:pt idx="7104">
                  <c:v>726</c:v>
                </c:pt>
                <c:pt idx="7105">
                  <c:v>726</c:v>
                </c:pt>
                <c:pt idx="7106">
                  <c:v>727</c:v>
                </c:pt>
                <c:pt idx="7107">
                  <c:v>727</c:v>
                </c:pt>
                <c:pt idx="7108">
                  <c:v>726</c:v>
                </c:pt>
                <c:pt idx="7109">
                  <c:v>726</c:v>
                </c:pt>
                <c:pt idx="7110">
                  <c:v>726</c:v>
                </c:pt>
                <c:pt idx="7111">
                  <c:v>726</c:v>
                </c:pt>
                <c:pt idx="7112">
                  <c:v>726</c:v>
                </c:pt>
                <c:pt idx="7113">
                  <c:v>726</c:v>
                </c:pt>
                <c:pt idx="7114">
                  <c:v>726</c:v>
                </c:pt>
                <c:pt idx="7115">
                  <c:v>726</c:v>
                </c:pt>
                <c:pt idx="7116">
                  <c:v>727</c:v>
                </c:pt>
                <c:pt idx="7117">
                  <c:v>726</c:v>
                </c:pt>
                <c:pt idx="7118">
                  <c:v>726</c:v>
                </c:pt>
                <c:pt idx="7119">
                  <c:v>726</c:v>
                </c:pt>
                <c:pt idx="7120">
                  <c:v>726</c:v>
                </c:pt>
                <c:pt idx="7121">
                  <c:v>726</c:v>
                </c:pt>
                <c:pt idx="7122">
                  <c:v>726</c:v>
                </c:pt>
                <c:pt idx="7123">
                  <c:v>726</c:v>
                </c:pt>
                <c:pt idx="7124">
                  <c:v>726</c:v>
                </c:pt>
                <c:pt idx="7125">
                  <c:v>726</c:v>
                </c:pt>
                <c:pt idx="7126">
                  <c:v>726</c:v>
                </c:pt>
                <c:pt idx="7127">
                  <c:v>726</c:v>
                </c:pt>
                <c:pt idx="7128">
                  <c:v>726</c:v>
                </c:pt>
                <c:pt idx="7129">
                  <c:v>726</c:v>
                </c:pt>
                <c:pt idx="7130">
                  <c:v>726</c:v>
                </c:pt>
                <c:pt idx="7131">
                  <c:v>726</c:v>
                </c:pt>
                <c:pt idx="7132">
                  <c:v>726</c:v>
                </c:pt>
                <c:pt idx="7133">
                  <c:v>726</c:v>
                </c:pt>
                <c:pt idx="7134">
                  <c:v>726</c:v>
                </c:pt>
                <c:pt idx="7135">
                  <c:v>726</c:v>
                </c:pt>
                <c:pt idx="7136">
                  <c:v>726</c:v>
                </c:pt>
                <c:pt idx="7137">
                  <c:v>726</c:v>
                </c:pt>
                <c:pt idx="7138">
                  <c:v>726</c:v>
                </c:pt>
                <c:pt idx="7139">
                  <c:v>726</c:v>
                </c:pt>
                <c:pt idx="7140">
                  <c:v>726</c:v>
                </c:pt>
                <c:pt idx="7141">
                  <c:v>726</c:v>
                </c:pt>
                <c:pt idx="7142">
                  <c:v>726</c:v>
                </c:pt>
                <c:pt idx="7143">
                  <c:v>726</c:v>
                </c:pt>
                <c:pt idx="7144">
                  <c:v>726</c:v>
                </c:pt>
                <c:pt idx="7145">
                  <c:v>726</c:v>
                </c:pt>
                <c:pt idx="7146">
                  <c:v>726</c:v>
                </c:pt>
                <c:pt idx="7147">
                  <c:v>726</c:v>
                </c:pt>
                <c:pt idx="7148">
                  <c:v>726</c:v>
                </c:pt>
                <c:pt idx="7149">
                  <c:v>726</c:v>
                </c:pt>
                <c:pt idx="7150">
                  <c:v>726</c:v>
                </c:pt>
                <c:pt idx="7151">
                  <c:v>726</c:v>
                </c:pt>
                <c:pt idx="7152">
                  <c:v>726</c:v>
                </c:pt>
                <c:pt idx="7153">
                  <c:v>726</c:v>
                </c:pt>
                <c:pt idx="7154">
                  <c:v>726</c:v>
                </c:pt>
                <c:pt idx="7155">
                  <c:v>726</c:v>
                </c:pt>
                <c:pt idx="7156">
                  <c:v>726</c:v>
                </c:pt>
                <c:pt idx="7157">
                  <c:v>726</c:v>
                </c:pt>
                <c:pt idx="7158">
                  <c:v>726</c:v>
                </c:pt>
                <c:pt idx="7159">
                  <c:v>726</c:v>
                </c:pt>
                <c:pt idx="7160">
                  <c:v>726</c:v>
                </c:pt>
                <c:pt idx="7161">
                  <c:v>726</c:v>
                </c:pt>
                <c:pt idx="7162">
                  <c:v>726</c:v>
                </c:pt>
                <c:pt idx="7163">
                  <c:v>726</c:v>
                </c:pt>
                <c:pt idx="7164">
                  <c:v>726</c:v>
                </c:pt>
                <c:pt idx="7165">
                  <c:v>726</c:v>
                </c:pt>
                <c:pt idx="7166">
                  <c:v>726</c:v>
                </c:pt>
                <c:pt idx="7167">
                  <c:v>726</c:v>
                </c:pt>
                <c:pt idx="7168">
                  <c:v>726</c:v>
                </c:pt>
                <c:pt idx="7169">
                  <c:v>726</c:v>
                </c:pt>
                <c:pt idx="7170">
                  <c:v>726</c:v>
                </c:pt>
                <c:pt idx="7171">
                  <c:v>726</c:v>
                </c:pt>
                <c:pt idx="7172">
                  <c:v>726</c:v>
                </c:pt>
                <c:pt idx="7173">
                  <c:v>726</c:v>
                </c:pt>
                <c:pt idx="7174">
                  <c:v>726</c:v>
                </c:pt>
                <c:pt idx="7175">
                  <c:v>726</c:v>
                </c:pt>
                <c:pt idx="7176">
                  <c:v>726</c:v>
                </c:pt>
                <c:pt idx="7177">
                  <c:v>726</c:v>
                </c:pt>
                <c:pt idx="7178">
                  <c:v>726</c:v>
                </c:pt>
                <c:pt idx="7179">
                  <c:v>726</c:v>
                </c:pt>
                <c:pt idx="7180">
                  <c:v>726</c:v>
                </c:pt>
                <c:pt idx="7181">
                  <c:v>726</c:v>
                </c:pt>
                <c:pt idx="7182">
                  <c:v>726</c:v>
                </c:pt>
                <c:pt idx="7183">
                  <c:v>726</c:v>
                </c:pt>
                <c:pt idx="7184">
                  <c:v>726</c:v>
                </c:pt>
                <c:pt idx="7185">
                  <c:v>726</c:v>
                </c:pt>
                <c:pt idx="7186">
                  <c:v>726</c:v>
                </c:pt>
                <c:pt idx="7187">
                  <c:v>726</c:v>
                </c:pt>
                <c:pt idx="7188">
                  <c:v>726</c:v>
                </c:pt>
                <c:pt idx="7189">
                  <c:v>726</c:v>
                </c:pt>
                <c:pt idx="7190">
                  <c:v>726</c:v>
                </c:pt>
                <c:pt idx="7191">
                  <c:v>726</c:v>
                </c:pt>
                <c:pt idx="7192">
                  <c:v>726</c:v>
                </c:pt>
                <c:pt idx="7193">
                  <c:v>726</c:v>
                </c:pt>
                <c:pt idx="7194">
                  <c:v>726</c:v>
                </c:pt>
                <c:pt idx="7195">
                  <c:v>726</c:v>
                </c:pt>
                <c:pt idx="7196">
                  <c:v>726</c:v>
                </c:pt>
                <c:pt idx="7197">
                  <c:v>726</c:v>
                </c:pt>
                <c:pt idx="7198">
                  <c:v>726</c:v>
                </c:pt>
                <c:pt idx="7199">
                  <c:v>726</c:v>
                </c:pt>
                <c:pt idx="7200">
                  <c:v>726</c:v>
                </c:pt>
                <c:pt idx="7201">
                  <c:v>726</c:v>
                </c:pt>
                <c:pt idx="7202">
                  <c:v>726</c:v>
                </c:pt>
                <c:pt idx="7203">
                  <c:v>726</c:v>
                </c:pt>
                <c:pt idx="7204">
                  <c:v>726</c:v>
                </c:pt>
                <c:pt idx="7205">
                  <c:v>726</c:v>
                </c:pt>
                <c:pt idx="7206">
                  <c:v>726</c:v>
                </c:pt>
                <c:pt idx="7207">
                  <c:v>726</c:v>
                </c:pt>
                <c:pt idx="7208">
                  <c:v>726</c:v>
                </c:pt>
                <c:pt idx="7209">
                  <c:v>726</c:v>
                </c:pt>
                <c:pt idx="7210">
                  <c:v>726</c:v>
                </c:pt>
                <c:pt idx="7211">
                  <c:v>726</c:v>
                </c:pt>
                <c:pt idx="7212">
                  <c:v>726</c:v>
                </c:pt>
                <c:pt idx="7213">
                  <c:v>726</c:v>
                </c:pt>
                <c:pt idx="7214">
                  <c:v>726</c:v>
                </c:pt>
                <c:pt idx="7215">
                  <c:v>726</c:v>
                </c:pt>
                <c:pt idx="7216">
                  <c:v>726</c:v>
                </c:pt>
                <c:pt idx="7217">
                  <c:v>726</c:v>
                </c:pt>
                <c:pt idx="7218">
                  <c:v>726</c:v>
                </c:pt>
                <c:pt idx="7219">
                  <c:v>726</c:v>
                </c:pt>
                <c:pt idx="7220">
                  <c:v>727</c:v>
                </c:pt>
                <c:pt idx="7221">
                  <c:v>727</c:v>
                </c:pt>
                <c:pt idx="7222">
                  <c:v>726</c:v>
                </c:pt>
                <c:pt idx="7223">
                  <c:v>726</c:v>
                </c:pt>
                <c:pt idx="7224">
                  <c:v>726</c:v>
                </c:pt>
                <c:pt idx="7225">
                  <c:v>726</c:v>
                </c:pt>
                <c:pt idx="7226">
                  <c:v>726</c:v>
                </c:pt>
                <c:pt idx="7227">
                  <c:v>726</c:v>
                </c:pt>
                <c:pt idx="7228">
                  <c:v>726</c:v>
                </c:pt>
                <c:pt idx="7229">
                  <c:v>726</c:v>
                </c:pt>
                <c:pt idx="7230">
                  <c:v>726</c:v>
                </c:pt>
                <c:pt idx="7231">
                  <c:v>726</c:v>
                </c:pt>
                <c:pt idx="7232">
                  <c:v>726</c:v>
                </c:pt>
                <c:pt idx="7233">
                  <c:v>726</c:v>
                </c:pt>
                <c:pt idx="7234">
                  <c:v>726</c:v>
                </c:pt>
                <c:pt idx="7235">
                  <c:v>726</c:v>
                </c:pt>
                <c:pt idx="7236">
                  <c:v>726</c:v>
                </c:pt>
                <c:pt idx="7237">
                  <c:v>726</c:v>
                </c:pt>
                <c:pt idx="7238">
                  <c:v>726</c:v>
                </c:pt>
                <c:pt idx="7239">
                  <c:v>726</c:v>
                </c:pt>
                <c:pt idx="7240">
                  <c:v>726</c:v>
                </c:pt>
                <c:pt idx="7241">
                  <c:v>725</c:v>
                </c:pt>
                <c:pt idx="7242">
                  <c:v>725</c:v>
                </c:pt>
                <c:pt idx="7243">
                  <c:v>725</c:v>
                </c:pt>
                <c:pt idx="7244">
                  <c:v>725</c:v>
                </c:pt>
                <c:pt idx="7245">
                  <c:v>726</c:v>
                </c:pt>
                <c:pt idx="7246">
                  <c:v>726</c:v>
                </c:pt>
                <c:pt idx="7247">
                  <c:v>726</c:v>
                </c:pt>
                <c:pt idx="7248">
                  <c:v>726</c:v>
                </c:pt>
                <c:pt idx="7249">
                  <c:v>726</c:v>
                </c:pt>
                <c:pt idx="7250">
                  <c:v>726</c:v>
                </c:pt>
                <c:pt idx="7251">
                  <c:v>726</c:v>
                </c:pt>
                <c:pt idx="7252">
                  <c:v>726</c:v>
                </c:pt>
                <c:pt idx="7253">
                  <c:v>726</c:v>
                </c:pt>
                <c:pt idx="7254">
                  <c:v>726</c:v>
                </c:pt>
                <c:pt idx="7255">
                  <c:v>726</c:v>
                </c:pt>
                <c:pt idx="7256">
                  <c:v>726</c:v>
                </c:pt>
                <c:pt idx="7257">
                  <c:v>726</c:v>
                </c:pt>
                <c:pt idx="7258">
                  <c:v>726</c:v>
                </c:pt>
                <c:pt idx="7259">
                  <c:v>726</c:v>
                </c:pt>
                <c:pt idx="7260">
                  <c:v>726</c:v>
                </c:pt>
                <c:pt idx="7261">
                  <c:v>726</c:v>
                </c:pt>
                <c:pt idx="7262">
                  <c:v>726</c:v>
                </c:pt>
                <c:pt idx="7263">
                  <c:v>726</c:v>
                </c:pt>
                <c:pt idx="7264">
                  <c:v>726</c:v>
                </c:pt>
                <c:pt idx="7265">
                  <c:v>726</c:v>
                </c:pt>
                <c:pt idx="7266">
                  <c:v>726</c:v>
                </c:pt>
                <c:pt idx="7267">
                  <c:v>726</c:v>
                </c:pt>
                <c:pt idx="7268">
                  <c:v>726</c:v>
                </c:pt>
                <c:pt idx="7269">
                  <c:v>726</c:v>
                </c:pt>
                <c:pt idx="7270">
                  <c:v>726</c:v>
                </c:pt>
                <c:pt idx="7271">
                  <c:v>726</c:v>
                </c:pt>
                <c:pt idx="7272">
                  <c:v>726</c:v>
                </c:pt>
                <c:pt idx="7273">
                  <c:v>726</c:v>
                </c:pt>
                <c:pt idx="7274">
                  <c:v>726</c:v>
                </c:pt>
                <c:pt idx="7275">
                  <c:v>726</c:v>
                </c:pt>
                <c:pt idx="7276">
                  <c:v>726</c:v>
                </c:pt>
                <c:pt idx="7277">
                  <c:v>726</c:v>
                </c:pt>
                <c:pt idx="7278">
                  <c:v>726</c:v>
                </c:pt>
                <c:pt idx="7279">
                  <c:v>726</c:v>
                </c:pt>
                <c:pt idx="7280">
                  <c:v>726</c:v>
                </c:pt>
                <c:pt idx="7281">
                  <c:v>726</c:v>
                </c:pt>
                <c:pt idx="7282">
                  <c:v>726</c:v>
                </c:pt>
                <c:pt idx="7283">
                  <c:v>726</c:v>
                </c:pt>
                <c:pt idx="7284">
                  <c:v>726</c:v>
                </c:pt>
                <c:pt idx="7285">
                  <c:v>726</c:v>
                </c:pt>
                <c:pt idx="7286">
                  <c:v>726</c:v>
                </c:pt>
                <c:pt idx="7287">
                  <c:v>726</c:v>
                </c:pt>
                <c:pt idx="7288">
                  <c:v>726</c:v>
                </c:pt>
                <c:pt idx="7289">
                  <c:v>726</c:v>
                </c:pt>
                <c:pt idx="7290">
                  <c:v>726</c:v>
                </c:pt>
                <c:pt idx="7291">
                  <c:v>726</c:v>
                </c:pt>
                <c:pt idx="7292">
                  <c:v>726</c:v>
                </c:pt>
                <c:pt idx="7293">
                  <c:v>726</c:v>
                </c:pt>
                <c:pt idx="7294">
                  <c:v>726</c:v>
                </c:pt>
                <c:pt idx="7295">
                  <c:v>726</c:v>
                </c:pt>
                <c:pt idx="7296">
                  <c:v>726</c:v>
                </c:pt>
                <c:pt idx="7297">
                  <c:v>726</c:v>
                </c:pt>
                <c:pt idx="7298">
                  <c:v>726</c:v>
                </c:pt>
                <c:pt idx="7299">
                  <c:v>726</c:v>
                </c:pt>
                <c:pt idx="7300">
                  <c:v>726</c:v>
                </c:pt>
                <c:pt idx="7301">
                  <c:v>726</c:v>
                </c:pt>
                <c:pt idx="7302">
                  <c:v>726</c:v>
                </c:pt>
                <c:pt idx="7303">
                  <c:v>726</c:v>
                </c:pt>
                <c:pt idx="7304">
                  <c:v>726</c:v>
                </c:pt>
                <c:pt idx="7305">
                  <c:v>726</c:v>
                </c:pt>
                <c:pt idx="7306">
                  <c:v>726</c:v>
                </c:pt>
                <c:pt idx="7307">
                  <c:v>726</c:v>
                </c:pt>
                <c:pt idx="7308">
                  <c:v>726</c:v>
                </c:pt>
                <c:pt idx="7309">
                  <c:v>726</c:v>
                </c:pt>
                <c:pt idx="7310">
                  <c:v>726</c:v>
                </c:pt>
                <c:pt idx="7311">
                  <c:v>726</c:v>
                </c:pt>
                <c:pt idx="7312">
                  <c:v>726</c:v>
                </c:pt>
                <c:pt idx="7313">
                  <c:v>726</c:v>
                </c:pt>
                <c:pt idx="7314">
                  <c:v>726</c:v>
                </c:pt>
                <c:pt idx="7315">
                  <c:v>726</c:v>
                </c:pt>
                <c:pt idx="7316">
                  <c:v>726</c:v>
                </c:pt>
                <c:pt idx="7317">
                  <c:v>726</c:v>
                </c:pt>
                <c:pt idx="7318">
                  <c:v>726</c:v>
                </c:pt>
                <c:pt idx="7319">
                  <c:v>726</c:v>
                </c:pt>
                <c:pt idx="7320">
                  <c:v>727</c:v>
                </c:pt>
                <c:pt idx="7321">
                  <c:v>727</c:v>
                </c:pt>
                <c:pt idx="7322">
                  <c:v>727</c:v>
                </c:pt>
                <c:pt idx="7323">
                  <c:v>727</c:v>
                </c:pt>
                <c:pt idx="7324">
                  <c:v>727</c:v>
                </c:pt>
                <c:pt idx="7325">
                  <c:v>727</c:v>
                </c:pt>
                <c:pt idx="7326">
                  <c:v>727</c:v>
                </c:pt>
                <c:pt idx="7327">
                  <c:v>727</c:v>
                </c:pt>
                <c:pt idx="7328">
                  <c:v>727</c:v>
                </c:pt>
                <c:pt idx="7329">
                  <c:v>727</c:v>
                </c:pt>
                <c:pt idx="7330">
                  <c:v>727</c:v>
                </c:pt>
                <c:pt idx="7331">
                  <c:v>727</c:v>
                </c:pt>
                <c:pt idx="7332">
                  <c:v>727</c:v>
                </c:pt>
                <c:pt idx="7333">
                  <c:v>727</c:v>
                </c:pt>
                <c:pt idx="7334">
                  <c:v>727</c:v>
                </c:pt>
                <c:pt idx="7335">
                  <c:v>727</c:v>
                </c:pt>
                <c:pt idx="7336">
                  <c:v>727</c:v>
                </c:pt>
                <c:pt idx="7337">
                  <c:v>727</c:v>
                </c:pt>
                <c:pt idx="7338">
                  <c:v>727</c:v>
                </c:pt>
                <c:pt idx="7339">
                  <c:v>727</c:v>
                </c:pt>
                <c:pt idx="7340">
                  <c:v>727</c:v>
                </c:pt>
                <c:pt idx="7341">
                  <c:v>727</c:v>
                </c:pt>
                <c:pt idx="7342">
                  <c:v>727</c:v>
                </c:pt>
                <c:pt idx="7343">
                  <c:v>727</c:v>
                </c:pt>
                <c:pt idx="7344">
                  <c:v>727</c:v>
                </c:pt>
                <c:pt idx="7345">
                  <c:v>727</c:v>
                </c:pt>
                <c:pt idx="7346">
                  <c:v>727</c:v>
                </c:pt>
                <c:pt idx="7347">
                  <c:v>727</c:v>
                </c:pt>
                <c:pt idx="7348">
                  <c:v>727</c:v>
                </c:pt>
                <c:pt idx="7349">
                  <c:v>727</c:v>
                </c:pt>
                <c:pt idx="7350">
                  <c:v>727</c:v>
                </c:pt>
                <c:pt idx="7351">
                  <c:v>727</c:v>
                </c:pt>
                <c:pt idx="7352">
                  <c:v>727</c:v>
                </c:pt>
                <c:pt idx="7353">
                  <c:v>727</c:v>
                </c:pt>
                <c:pt idx="7354">
                  <c:v>727</c:v>
                </c:pt>
                <c:pt idx="7355">
                  <c:v>727</c:v>
                </c:pt>
                <c:pt idx="7356">
                  <c:v>727</c:v>
                </c:pt>
                <c:pt idx="7357">
                  <c:v>727</c:v>
                </c:pt>
                <c:pt idx="7358">
                  <c:v>727</c:v>
                </c:pt>
                <c:pt idx="7359">
                  <c:v>727</c:v>
                </c:pt>
                <c:pt idx="7360">
                  <c:v>727</c:v>
                </c:pt>
                <c:pt idx="7361">
                  <c:v>727</c:v>
                </c:pt>
                <c:pt idx="7362">
                  <c:v>727</c:v>
                </c:pt>
                <c:pt idx="7363">
                  <c:v>727</c:v>
                </c:pt>
                <c:pt idx="7364">
                  <c:v>727</c:v>
                </c:pt>
                <c:pt idx="7365">
                  <c:v>727</c:v>
                </c:pt>
                <c:pt idx="7366">
                  <c:v>727</c:v>
                </c:pt>
                <c:pt idx="7367">
                  <c:v>727</c:v>
                </c:pt>
                <c:pt idx="7368">
                  <c:v>727</c:v>
                </c:pt>
                <c:pt idx="7369">
                  <c:v>727</c:v>
                </c:pt>
                <c:pt idx="7370">
                  <c:v>727</c:v>
                </c:pt>
                <c:pt idx="7371">
                  <c:v>727</c:v>
                </c:pt>
                <c:pt idx="7372">
                  <c:v>727</c:v>
                </c:pt>
                <c:pt idx="7373">
                  <c:v>727</c:v>
                </c:pt>
                <c:pt idx="7374">
                  <c:v>727</c:v>
                </c:pt>
                <c:pt idx="7375">
                  <c:v>727</c:v>
                </c:pt>
                <c:pt idx="7376">
                  <c:v>727</c:v>
                </c:pt>
                <c:pt idx="7377">
                  <c:v>727</c:v>
                </c:pt>
                <c:pt idx="7378">
                  <c:v>727</c:v>
                </c:pt>
                <c:pt idx="7379">
                  <c:v>727</c:v>
                </c:pt>
                <c:pt idx="7380">
                  <c:v>727</c:v>
                </c:pt>
                <c:pt idx="7381">
                  <c:v>727</c:v>
                </c:pt>
                <c:pt idx="7382">
                  <c:v>727</c:v>
                </c:pt>
                <c:pt idx="7383">
                  <c:v>727</c:v>
                </c:pt>
                <c:pt idx="7384">
                  <c:v>727</c:v>
                </c:pt>
                <c:pt idx="7385">
                  <c:v>727</c:v>
                </c:pt>
                <c:pt idx="7386">
                  <c:v>727</c:v>
                </c:pt>
                <c:pt idx="7387">
                  <c:v>727</c:v>
                </c:pt>
                <c:pt idx="7388">
                  <c:v>727</c:v>
                </c:pt>
                <c:pt idx="7389">
                  <c:v>727</c:v>
                </c:pt>
                <c:pt idx="7390">
                  <c:v>727</c:v>
                </c:pt>
                <c:pt idx="7391">
                  <c:v>727</c:v>
                </c:pt>
                <c:pt idx="7392">
                  <c:v>727</c:v>
                </c:pt>
                <c:pt idx="7393">
                  <c:v>727</c:v>
                </c:pt>
                <c:pt idx="7394">
                  <c:v>727</c:v>
                </c:pt>
                <c:pt idx="7395">
                  <c:v>727</c:v>
                </c:pt>
                <c:pt idx="7396">
                  <c:v>727</c:v>
                </c:pt>
                <c:pt idx="7397">
                  <c:v>727</c:v>
                </c:pt>
                <c:pt idx="7398">
                  <c:v>727</c:v>
                </c:pt>
                <c:pt idx="7399">
                  <c:v>727</c:v>
                </c:pt>
                <c:pt idx="7400">
                  <c:v>727</c:v>
                </c:pt>
                <c:pt idx="7401">
                  <c:v>727</c:v>
                </c:pt>
                <c:pt idx="7402">
                  <c:v>727</c:v>
                </c:pt>
                <c:pt idx="7403">
                  <c:v>727</c:v>
                </c:pt>
                <c:pt idx="7404">
                  <c:v>727</c:v>
                </c:pt>
                <c:pt idx="7405">
                  <c:v>726</c:v>
                </c:pt>
                <c:pt idx="7406">
                  <c:v>727</c:v>
                </c:pt>
                <c:pt idx="7407">
                  <c:v>727</c:v>
                </c:pt>
                <c:pt idx="7408">
                  <c:v>727</c:v>
                </c:pt>
                <c:pt idx="7409">
                  <c:v>727</c:v>
                </c:pt>
                <c:pt idx="7410">
                  <c:v>727</c:v>
                </c:pt>
                <c:pt idx="7411">
                  <c:v>727</c:v>
                </c:pt>
                <c:pt idx="7412">
                  <c:v>727</c:v>
                </c:pt>
                <c:pt idx="7413">
                  <c:v>727</c:v>
                </c:pt>
                <c:pt idx="7414">
                  <c:v>727</c:v>
                </c:pt>
                <c:pt idx="7415">
                  <c:v>727</c:v>
                </c:pt>
                <c:pt idx="7416">
                  <c:v>727</c:v>
                </c:pt>
                <c:pt idx="7417">
                  <c:v>727</c:v>
                </c:pt>
                <c:pt idx="7418">
                  <c:v>727</c:v>
                </c:pt>
                <c:pt idx="7419">
                  <c:v>727</c:v>
                </c:pt>
                <c:pt idx="7420">
                  <c:v>727</c:v>
                </c:pt>
                <c:pt idx="7421">
                  <c:v>727</c:v>
                </c:pt>
                <c:pt idx="7422">
                  <c:v>727</c:v>
                </c:pt>
                <c:pt idx="7423">
                  <c:v>727</c:v>
                </c:pt>
                <c:pt idx="7424">
                  <c:v>727</c:v>
                </c:pt>
                <c:pt idx="7425">
                  <c:v>727</c:v>
                </c:pt>
                <c:pt idx="7426">
                  <c:v>727</c:v>
                </c:pt>
                <c:pt idx="7427">
                  <c:v>727</c:v>
                </c:pt>
                <c:pt idx="7428">
                  <c:v>727</c:v>
                </c:pt>
                <c:pt idx="7429">
                  <c:v>727</c:v>
                </c:pt>
                <c:pt idx="7430">
                  <c:v>727</c:v>
                </c:pt>
                <c:pt idx="7431">
                  <c:v>727</c:v>
                </c:pt>
                <c:pt idx="7432">
                  <c:v>727</c:v>
                </c:pt>
                <c:pt idx="7433">
                  <c:v>727</c:v>
                </c:pt>
                <c:pt idx="7434">
                  <c:v>727</c:v>
                </c:pt>
                <c:pt idx="7435">
                  <c:v>727</c:v>
                </c:pt>
                <c:pt idx="7436">
                  <c:v>727</c:v>
                </c:pt>
                <c:pt idx="7437">
                  <c:v>727</c:v>
                </c:pt>
                <c:pt idx="7438">
                  <c:v>727</c:v>
                </c:pt>
                <c:pt idx="7439">
                  <c:v>727</c:v>
                </c:pt>
                <c:pt idx="7440">
                  <c:v>727</c:v>
                </c:pt>
                <c:pt idx="7441">
                  <c:v>727</c:v>
                </c:pt>
                <c:pt idx="7442">
                  <c:v>727</c:v>
                </c:pt>
                <c:pt idx="7443">
                  <c:v>727</c:v>
                </c:pt>
                <c:pt idx="7444">
                  <c:v>727</c:v>
                </c:pt>
                <c:pt idx="7445">
                  <c:v>727</c:v>
                </c:pt>
                <c:pt idx="7446">
                  <c:v>727</c:v>
                </c:pt>
                <c:pt idx="7447">
                  <c:v>727</c:v>
                </c:pt>
                <c:pt idx="7448">
                  <c:v>727</c:v>
                </c:pt>
                <c:pt idx="7449">
                  <c:v>727</c:v>
                </c:pt>
                <c:pt idx="7450">
                  <c:v>728</c:v>
                </c:pt>
                <c:pt idx="7451">
                  <c:v>727</c:v>
                </c:pt>
                <c:pt idx="7452">
                  <c:v>727</c:v>
                </c:pt>
                <c:pt idx="7453">
                  <c:v>727</c:v>
                </c:pt>
                <c:pt idx="7454">
                  <c:v>727</c:v>
                </c:pt>
                <c:pt idx="7455">
                  <c:v>727</c:v>
                </c:pt>
                <c:pt idx="7456">
                  <c:v>727</c:v>
                </c:pt>
                <c:pt idx="7457">
                  <c:v>727</c:v>
                </c:pt>
                <c:pt idx="7458">
                  <c:v>727</c:v>
                </c:pt>
                <c:pt idx="7459">
                  <c:v>727</c:v>
                </c:pt>
                <c:pt idx="7460">
                  <c:v>727</c:v>
                </c:pt>
                <c:pt idx="7461">
                  <c:v>727</c:v>
                </c:pt>
                <c:pt idx="7462">
                  <c:v>727</c:v>
                </c:pt>
                <c:pt idx="7463">
                  <c:v>727</c:v>
                </c:pt>
                <c:pt idx="7464">
                  <c:v>728</c:v>
                </c:pt>
                <c:pt idx="7465">
                  <c:v>727</c:v>
                </c:pt>
                <c:pt idx="7466">
                  <c:v>727</c:v>
                </c:pt>
                <c:pt idx="7467">
                  <c:v>727</c:v>
                </c:pt>
                <c:pt idx="7468">
                  <c:v>727</c:v>
                </c:pt>
                <c:pt idx="7469">
                  <c:v>727</c:v>
                </c:pt>
                <c:pt idx="7470">
                  <c:v>727</c:v>
                </c:pt>
                <c:pt idx="7471">
                  <c:v>727</c:v>
                </c:pt>
                <c:pt idx="7472">
                  <c:v>727</c:v>
                </c:pt>
                <c:pt idx="7473">
                  <c:v>727</c:v>
                </c:pt>
                <c:pt idx="7474">
                  <c:v>727</c:v>
                </c:pt>
                <c:pt idx="7475">
                  <c:v>727</c:v>
                </c:pt>
                <c:pt idx="7476">
                  <c:v>727</c:v>
                </c:pt>
                <c:pt idx="7477">
                  <c:v>727</c:v>
                </c:pt>
                <c:pt idx="7478">
                  <c:v>727</c:v>
                </c:pt>
                <c:pt idx="7479">
                  <c:v>727</c:v>
                </c:pt>
                <c:pt idx="7480">
                  <c:v>727</c:v>
                </c:pt>
                <c:pt idx="7481">
                  <c:v>727</c:v>
                </c:pt>
                <c:pt idx="7482">
                  <c:v>727</c:v>
                </c:pt>
                <c:pt idx="7483">
                  <c:v>727</c:v>
                </c:pt>
                <c:pt idx="7484">
                  <c:v>727</c:v>
                </c:pt>
                <c:pt idx="7485">
                  <c:v>727</c:v>
                </c:pt>
                <c:pt idx="7486">
                  <c:v>727</c:v>
                </c:pt>
                <c:pt idx="7487">
                  <c:v>727</c:v>
                </c:pt>
                <c:pt idx="7488">
                  <c:v>727</c:v>
                </c:pt>
                <c:pt idx="7489">
                  <c:v>727</c:v>
                </c:pt>
                <c:pt idx="7490">
                  <c:v>727</c:v>
                </c:pt>
                <c:pt idx="7491">
                  <c:v>727</c:v>
                </c:pt>
                <c:pt idx="7492">
                  <c:v>727</c:v>
                </c:pt>
                <c:pt idx="7493">
                  <c:v>727</c:v>
                </c:pt>
                <c:pt idx="7494">
                  <c:v>727</c:v>
                </c:pt>
                <c:pt idx="7495">
                  <c:v>727</c:v>
                </c:pt>
                <c:pt idx="7496">
                  <c:v>727</c:v>
                </c:pt>
                <c:pt idx="7497">
                  <c:v>727</c:v>
                </c:pt>
                <c:pt idx="7498">
                  <c:v>727</c:v>
                </c:pt>
                <c:pt idx="7499">
                  <c:v>727</c:v>
                </c:pt>
                <c:pt idx="7500">
                  <c:v>727</c:v>
                </c:pt>
                <c:pt idx="7501">
                  <c:v>727</c:v>
                </c:pt>
                <c:pt idx="7502">
                  <c:v>727</c:v>
                </c:pt>
                <c:pt idx="7503">
                  <c:v>727</c:v>
                </c:pt>
                <c:pt idx="7504">
                  <c:v>727</c:v>
                </c:pt>
                <c:pt idx="7505">
                  <c:v>727</c:v>
                </c:pt>
                <c:pt idx="7506">
                  <c:v>727</c:v>
                </c:pt>
                <c:pt idx="7507">
                  <c:v>727</c:v>
                </c:pt>
                <c:pt idx="7508">
                  <c:v>727</c:v>
                </c:pt>
                <c:pt idx="7509">
                  <c:v>727</c:v>
                </c:pt>
                <c:pt idx="7510">
                  <c:v>727</c:v>
                </c:pt>
                <c:pt idx="7511">
                  <c:v>727</c:v>
                </c:pt>
                <c:pt idx="7512">
                  <c:v>727</c:v>
                </c:pt>
                <c:pt idx="7513">
                  <c:v>727</c:v>
                </c:pt>
                <c:pt idx="7514">
                  <c:v>727</c:v>
                </c:pt>
                <c:pt idx="7515">
                  <c:v>727</c:v>
                </c:pt>
                <c:pt idx="7516">
                  <c:v>727</c:v>
                </c:pt>
                <c:pt idx="7517">
                  <c:v>727</c:v>
                </c:pt>
                <c:pt idx="7518">
                  <c:v>727</c:v>
                </c:pt>
                <c:pt idx="7519">
                  <c:v>727</c:v>
                </c:pt>
                <c:pt idx="7520">
                  <c:v>727</c:v>
                </c:pt>
                <c:pt idx="7521">
                  <c:v>727</c:v>
                </c:pt>
                <c:pt idx="7522">
                  <c:v>727</c:v>
                </c:pt>
                <c:pt idx="7523">
                  <c:v>727</c:v>
                </c:pt>
                <c:pt idx="7524">
                  <c:v>727</c:v>
                </c:pt>
                <c:pt idx="7525">
                  <c:v>727</c:v>
                </c:pt>
                <c:pt idx="7526">
                  <c:v>727</c:v>
                </c:pt>
                <c:pt idx="7527">
                  <c:v>727</c:v>
                </c:pt>
                <c:pt idx="7528">
                  <c:v>727</c:v>
                </c:pt>
                <c:pt idx="7529">
                  <c:v>727</c:v>
                </c:pt>
                <c:pt idx="7530">
                  <c:v>727</c:v>
                </c:pt>
                <c:pt idx="7531">
                  <c:v>727</c:v>
                </c:pt>
                <c:pt idx="7532">
                  <c:v>727</c:v>
                </c:pt>
                <c:pt idx="7533">
                  <c:v>727</c:v>
                </c:pt>
                <c:pt idx="7534">
                  <c:v>727</c:v>
                </c:pt>
                <c:pt idx="7535">
                  <c:v>727</c:v>
                </c:pt>
                <c:pt idx="7536">
                  <c:v>727</c:v>
                </c:pt>
                <c:pt idx="7537">
                  <c:v>727</c:v>
                </c:pt>
                <c:pt idx="7538">
                  <c:v>727</c:v>
                </c:pt>
                <c:pt idx="7539">
                  <c:v>727</c:v>
                </c:pt>
                <c:pt idx="7540">
                  <c:v>727</c:v>
                </c:pt>
                <c:pt idx="7541">
                  <c:v>727</c:v>
                </c:pt>
                <c:pt idx="7542">
                  <c:v>727</c:v>
                </c:pt>
                <c:pt idx="7543">
                  <c:v>727</c:v>
                </c:pt>
                <c:pt idx="7544">
                  <c:v>727</c:v>
                </c:pt>
                <c:pt idx="7545">
                  <c:v>727</c:v>
                </c:pt>
                <c:pt idx="7546">
                  <c:v>727</c:v>
                </c:pt>
                <c:pt idx="7547">
                  <c:v>727</c:v>
                </c:pt>
                <c:pt idx="7548">
                  <c:v>727</c:v>
                </c:pt>
                <c:pt idx="7549">
                  <c:v>727</c:v>
                </c:pt>
                <c:pt idx="7550">
                  <c:v>727</c:v>
                </c:pt>
                <c:pt idx="7551">
                  <c:v>728</c:v>
                </c:pt>
                <c:pt idx="7552">
                  <c:v>728</c:v>
                </c:pt>
                <c:pt idx="7553">
                  <c:v>727</c:v>
                </c:pt>
                <c:pt idx="7554">
                  <c:v>727</c:v>
                </c:pt>
                <c:pt idx="7555">
                  <c:v>727</c:v>
                </c:pt>
                <c:pt idx="7556">
                  <c:v>727</c:v>
                </c:pt>
                <c:pt idx="7557">
                  <c:v>728</c:v>
                </c:pt>
                <c:pt idx="7558">
                  <c:v>727</c:v>
                </c:pt>
                <c:pt idx="7559">
                  <c:v>727</c:v>
                </c:pt>
                <c:pt idx="7560">
                  <c:v>727</c:v>
                </c:pt>
                <c:pt idx="7561">
                  <c:v>728</c:v>
                </c:pt>
                <c:pt idx="7562">
                  <c:v>727</c:v>
                </c:pt>
                <c:pt idx="7563">
                  <c:v>727</c:v>
                </c:pt>
                <c:pt idx="7564">
                  <c:v>727</c:v>
                </c:pt>
                <c:pt idx="7565">
                  <c:v>728</c:v>
                </c:pt>
                <c:pt idx="7566">
                  <c:v>728</c:v>
                </c:pt>
                <c:pt idx="7567">
                  <c:v>727</c:v>
                </c:pt>
                <c:pt idx="7568">
                  <c:v>727</c:v>
                </c:pt>
                <c:pt idx="7569">
                  <c:v>727</c:v>
                </c:pt>
                <c:pt idx="7570">
                  <c:v>727</c:v>
                </c:pt>
                <c:pt idx="7571">
                  <c:v>728</c:v>
                </c:pt>
                <c:pt idx="7572">
                  <c:v>728</c:v>
                </c:pt>
                <c:pt idx="7573">
                  <c:v>727</c:v>
                </c:pt>
                <c:pt idx="7574">
                  <c:v>727</c:v>
                </c:pt>
                <c:pt idx="7575">
                  <c:v>728</c:v>
                </c:pt>
                <c:pt idx="7576">
                  <c:v>728</c:v>
                </c:pt>
                <c:pt idx="7577">
                  <c:v>728</c:v>
                </c:pt>
                <c:pt idx="7578">
                  <c:v>727</c:v>
                </c:pt>
                <c:pt idx="7579">
                  <c:v>728</c:v>
                </c:pt>
                <c:pt idx="7580">
                  <c:v>728</c:v>
                </c:pt>
                <c:pt idx="7581">
                  <c:v>728</c:v>
                </c:pt>
                <c:pt idx="7582">
                  <c:v>727</c:v>
                </c:pt>
                <c:pt idx="7583">
                  <c:v>727</c:v>
                </c:pt>
                <c:pt idx="7584">
                  <c:v>728</c:v>
                </c:pt>
                <c:pt idx="7585">
                  <c:v>727</c:v>
                </c:pt>
                <c:pt idx="7586">
                  <c:v>727</c:v>
                </c:pt>
                <c:pt idx="7587">
                  <c:v>727</c:v>
                </c:pt>
                <c:pt idx="7588">
                  <c:v>727</c:v>
                </c:pt>
                <c:pt idx="7589">
                  <c:v>727</c:v>
                </c:pt>
                <c:pt idx="7590">
                  <c:v>727</c:v>
                </c:pt>
                <c:pt idx="7591">
                  <c:v>727</c:v>
                </c:pt>
                <c:pt idx="7592">
                  <c:v>727</c:v>
                </c:pt>
                <c:pt idx="7593">
                  <c:v>727</c:v>
                </c:pt>
                <c:pt idx="7594">
                  <c:v>727</c:v>
                </c:pt>
                <c:pt idx="7595">
                  <c:v>727</c:v>
                </c:pt>
                <c:pt idx="7596">
                  <c:v>727</c:v>
                </c:pt>
                <c:pt idx="7597">
                  <c:v>728</c:v>
                </c:pt>
                <c:pt idx="7598">
                  <c:v>728</c:v>
                </c:pt>
                <c:pt idx="7599">
                  <c:v>728</c:v>
                </c:pt>
                <c:pt idx="7600">
                  <c:v>727</c:v>
                </c:pt>
                <c:pt idx="7601">
                  <c:v>728</c:v>
                </c:pt>
                <c:pt idx="7602">
                  <c:v>728</c:v>
                </c:pt>
                <c:pt idx="7603">
                  <c:v>728</c:v>
                </c:pt>
                <c:pt idx="7604">
                  <c:v>728</c:v>
                </c:pt>
                <c:pt idx="7605">
                  <c:v>727</c:v>
                </c:pt>
                <c:pt idx="7606">
                  <c:v>728</c:v>
                </c:pt>
                <c:pt idx="7607">
                  <c:v>728</c:v>
                </c:pt>
                <c:pt idx="7608">
                  <c:v>728</c:v>
                </c:pt>
                <c:pt idx="7609">
                  <c:v>728</c:v>
                </c:pt>
                <c:pt idx="7610">
                  <c:v>728</c:v>
                </c:pt>
                <c:pt idx="7611">
                  <c:v>728</c:v>
                </c:pt>
                <c:pt idx="7612">
                  <c:v>728</c:v>
                </c:pt>
                <c:pt idx="7613">
                  <c:v>727</c:v>
                </c:pt>
                <c:pt idx="7614">
                  <c:v>727</c:v>
                </c:pt>
                <c:pt idx="7615">
                  <c:v>727</c:v>
                </c:pt>
                <c:pt idx="7616">
                  <c:v>728</c:v>
                </c:pt>
                <c:pt idx="7617">
                  <c:v>728</c:v>
                </c:pt>
                <c:pt idx="7618">
                  <c:v>727</c:v>
                </c:pt>
                <c:pt idx="7619">
                  <c:v>728</c:v>
                </c:pt>
                <c:pt idx="7620">
                  <c:v>728</c:v>
                </c:pt>
                <c:pt idx="7621">
                  <c:v>728</c:v>
                </c:pt>
                <c:pt idx="7622">
                  <c:v>728</c:v>
                </c:pt>
                <c:pt idx="7623">
                  <c:v>727</c:v>
                </c:pt>
                <c:pt idx="7624">
                  <c:v>728</c:v>
                </c:pt>
                <c:pt idx="7625">
                  <c:v>728</c:v>
                </c:pt>
                <c:pt idx="7626">
                  <c:v>728</c:v>
                </c:pt>
                <c:pt idx="7627">
                  <c:v>728</c:v>
                </c:pt>
                <c:pt idx="7628">
                  <c:v>728</c:v>
                </c:pt>
                <c:pt idx="7629">
                  <c:v>728</c:v>
                </c:pt>
                <c:pt idx="7630">
                  <c:v>728</c:v>
                </c:pt>
                <c:pt idx="7631">
                  <c:v>728</c:v>
                </c:pt>
                <c:pt idx="7632">
                  <c:v>727</c:v>
                </c:pt>
                <c:pt idx="7633">
                  <c:v>728</c:v>
                </c:pt>
                <c:pt idx="7634">
                  <c:v>728</c:v>
                </c:pt>
                <c:pt idx="7635">
                  <c:v>728</c:v>
                </c:pt>
                <c:pt idx="7636">
                  <c:v>727</c:v>
                </c:pt>
                <c:pt idx="7637">
                  <c:v>727</c:v>
                </c:pt>
                <c:pt idx="7638">
                  <c:v>727</c:v>
                </c:pt>
                <c:pt idx="7639">
                  <c:v>728</c:v>
                </c:pt>
                <c:pt idx="7640">
                  <c:v>727</c:v>
                </c:pt>
                <c:pt idx="7641">
                  <c:v>727</c:v>
                </c:pt>
                <c:pt idx="7642">
                  <c:v>728</c:v>
                </c:pt>
                <c:pt idx="7643">
                  <c:v>728</c:v>
                </c:pt>
                <c:pt idx="7644">
                  <c:v>728</c:v>
                </c:pt>
                <c:pt idx="7645">
                  <c:v>728</c:v>
                </c:pt>
                <c:pt idx="7646">
                  <c:v>727</c:v>
                </c:pt>
                <c:pt idx="7647">
                  <c:v>728</c:v>
                </c:pt>
                <c:pt idx="7648">
                  <c:v>728</c:v>
                </c:pt>
                <c:pt idx="7649">
                  <c:v>728</c:v>
                </c:pt>
                <c:pt idx="7650">
                  <c:v>727</c:v>
                </c:pt>
                <c:pt idx="7651">
                  <c:v>728</c:v>
                </c:pt>
                <c:pt idx="7652">
                  <c:v>728</c:v>
                </c:pt>
                <c:pt idx="7653">
                  <c:v>728</c:v>
                </c:pt>
                <c:pt idx="7654">
                  <c:v>728</c:v>
                </c:pt>
                <c:pt idx="7655">
                  <c:v>727</c:v>
                </c:pt>
                <c:pt idx="7656">
                  <c:v>728</c:v>
                </c:pt>
                <c:pt idx="7657">
                  <c:v>728</c:v>
                </c:pt>
                <c:pt idx="7658">
                  <c:v>727</c:v>
                </c:pt>
                <c:pt idx="7659">
                  <c:v>727</c:v>
                </c:pt>
                <c:pt idx="7660">
                  <c:v>727</c:v>
                </c:pt>
                <c:pt idx="7661">
                  <c:v>728</c:v>
                </c:pt>
                <c:pt idx="7662">
                  <c:v>728</c:v>
                </c:pt>
                <c:pt idx="7663">
                  <c:v>727</c:v>
                </c:pt>
                <c:pt idx="7664">
                  <c:v>728</c:v>
                </c:pt>
                <c:pt idx="7665">
                  <c:v>728</c:v>
                </c:pt>
                <c:pt idx="7666">
                  <c:v>728</c:v>
                </c:pt>
                <c:pt idx="7667">
                  <c:v>728</c:v>
                </c:pt>
                <c:pt idx="7668">
                  <c:v>728</c:v>
                </c:pt>
                <c:pt idx="7669">
                  <c:v>728</c:v>
                </c:pt>
                <c:pt idx="7670">
                  <c:v>728</c:v>
                </c:pt>
                <c:pt idx="7671">
                  <c:v>727</c:v>
                </c:pt>
                <c:pt idx="7672">
                  <c:v>727</c:v>
                </c:pt>
                <c:pt idx="7673">
                  <c:v>727</c:v>
                </c:pt>
                <c:pt idx="7674">
                  <c:v>727</c:v>
                </c:pt>
                <c:pt idx="7675">
                  <c:v>728</c:v>
                </c:pt>
                <c:pt idx="7676">
                  <c:v>728</c:v>
                </c:pt>
                <c:pt idx="7677">
                  <c:v>727</c:v>
                </c:pt>
                <c:pt idx="7678">
                  <c:v>727</c:v>
                </c:pt>
                <c:pt idx="7679">
                  <c:v>727</c:v>
                </c:pt>
                <c:pt idx="7680">
                  <c:v>727</c:v>
                </c:pt>
                <c:pt idx="7681">
                  <c:v>727</c:v>
                </c:pt>
                <c:pt idx="7682">
                  <c:v>727</c:v>
                </c:pt>
                <c:pt idx="7683">
                  <c:v>727</c:v>
                </c:pt>
                <c:pt idx="7684">
                  <c:v>727</c:v>
                </c:pt>
                <c:pt idx="7685">
                  <c:v>727</c:v>
                </c:pt>
                <c:pt idx="7686">
                  <c:v>727</c:v>
                </c:pt>
                <c:pt idx="7687">
                  <c:v>727</c:v>
                </c:pt>
                <c:pt idx="7688">
                  <c:v>727</c:v>
                </c:pt>
                <c:pt idx="7689">
                  <c:v>727</c:v>
                </c:pt>
                <c:pt idx="7690">
                  <c:v>727</c:v>
                </c:pt>
                <c:pt idx="7691">
                  <c:v>727</c:v>
                </c:pt>
                <c:pt idx="7692">
                  <c:v>727</c:v>
                </c:pt>
                <c:pt idx="7693">
                  <c:v>727</c:v>
                </c:pt>
                <c:pt idx="7694">
                  <c:v>727</c:v>
                </c:pt>
                <c:pt idx="7695">
                  <c:v>727</c:v>
                </c:pt>
                <c:pt idx="7696">
                  <c:v>727</c:v>
                </c:pt>
                <c:pt idx="7697">
                  <c:v>728</c:v>
                </c:pt>
                <c:pt idx="7698">
                  <c:v>727</c:v>
                </c:pt>
                <c:pt idx="7699">
                  <c:v>727</c:v>
                </c:pt>
                <c:pt idx="7700">
                  <c:v>727</c:v>
                </c:pt>
                <c:pt idx="7701">
                  <c:v>728</c:v>
                </c:pt>
                <c:pt idx="7702">
                  <c:v>727</c:v>
                </c:pt>
                <c:pt idx="7703">
                  <c:v>727</c:v>
                </c:pt>
                <c:pt idx="7704">
                  <c:v>727</c:v>
                </c:pt>
                <c:pt idx="7705">
                  <c:v>727</c:v>
                </c:pt>
                <c:pt idx="7706">
                  <c:v>727</c:v>
                </c:pt>
                <c:pt idx="7707">
                  <c:v>727</c:v>
                </c:pt>
                <c:pt idx="7708">
                  <c:v>727</c:v>
                </c:pt>
                <c:pt idx="7709">
                  <c:v>727</c:v>
                </c:pt>
                <c:pt idx="7710">
                  <c:v>728</c:v>
                </c:pt>
                <c:pt idx="7711">
                  <c:v>727</c:v>
                </c:pt>
                <c:pt idx="7712">
                  <c:v>728</c:v>
                </c:pt>
                <c:pt idx="7713">
                  <c:v>727</c:v>
                </c:pt>
                <c:pt idx="7714">
                  <c:v>727</c:v>
                </c:pt>
                <c:pt idx="7715">
                  <c:v>727</c:v>
                </c:pt>
                <c:pt idx="7716">
                  <c:v>727</c:v>
                </c:pt>
                <c:pt idx="7717">
                  <c:v>727</c:v>
                </c:pt>
                <c:pt idx="7718">
                  <c:v>727</c:v>
                </c:pt>
                <c:pt idx="7719">
                  <c:v>727</c:v>
                </c:pt>
                <c:pt idx="7720">
                  <c:v>727</c:v>
                </c:pt>
                <c:pt idx="7721">
                  <c:v>727</c:v>
                </c:pt>
                <c:pt idx="7722">
                  <c:v>727</c:v>
                </c:pt>
                <c:pt idx="7723">
                  <c:v>728</c:v>
                </c:pt>
                <c:pt idx="7724">
                  <c:v>727</c:v>
                </c:pt>
                <c:pt idx="7725">
                  <c:v>727</c:v>
                </c:pt>
                <c:pt idx="7726">
                  <c:v>727</c:v>
                </c:pt>
                <c:pt idx="7727">
                  <c:v>727</c:v>
                </c:pt>
                <c:pt idx="7728">
                  <c:v>727</c:v>
                </c:pt>
                <c:pt idx="7729">
                  <c:v>727</c:v>
                </c:pt>
                <c:pt idx="7730">
                  <c:v>727</c:v>
                </c:pt>
                <c:pt idx="7731">
                  <c:v>727</c:v>
                </c:pt>
                <c:pt idx="7732">
                  <c:v>727</c:v>
                </c:pt>
                <c:pt idx="7733">
                  <c:v>727</c:v>
                </c:pt>
                <c:pt idx="7734">
                  <c:v>727</c:v>
                </c:pt>
                <c:pt idx="7735">
                  <c:v>727</c:v>
                </c:pt>
                <c:pt idx="7736">
                  <c:v>727</c:v>
                </c:pt>
                <c:pt idx="7737">
                  <c:v>727</c:v>
                </c:pt>
                <c:pt idx="7738">
                  <c:v>727</c:v>
                </c:pt>
                <c:pt idx="7739">
                  <c:v>727</c:v>
                </c:pt>
                <c:pt idx="7740">
                  <c:v>727</c:v>
                </c:pt>
                <c:pt idx="7741">
                  <c:v>728</c:v>
                </c:pt>
                <c:pt idx="7742">
                  <c:v>727</c:v>
                </c:pt>
                <c:pt idx="7743">
                  <c:v>727</c:v>
                </c:pt>
                <c:pt idx="7744">
                  <c:v>728</c:v>
                </c:pt>
                <c:pt idx="7745">
                  <c:v>728</c:v>
                </c:pt>
                <c:pt idx="7746">
                  <c:v>727</c:v>
                </c:pt>
                <c:pt idx="7747">
                  <c:v>727</c:v>
                </c:pt>
                <c:pt idx="7748">
                  <c:v>727</c:v>
                </c:pt>
                <c:pt idx="7749">
                  <c:v>727</c:v>
                </c:pt>
                <c:pt idx="7750">
                  <c:v>727</c:v>
                </c:pt>
                <c:pt idx="7751">
                  <c:v>727</c:v>
                </c:pt>
                <c:pt idx="7752">
                  <c:v>727</c:v>
                </c:pt>
                <c:pt idx="7753">
                  <c:v>727</c:v>
                </c:pt>
                <c:pt idx="7754">
                  <c:v>727</c:v>
                </c:pt>
                <c:pt idx="7755">
                  <c:v>727</c:v>
                </c:pt>
                <c:pt idx="7756">
                  <c:v>727</c:v>
                </c:pt>
                <c:pt idx="7757">
                  <c:v>727</c:v>
                </c:pt>
                <c:pt idx="7758">
                  <c:v>727</c:v>
                </c:pt>
                <c:pt idx="7759">
                  <c:v>727</c:v>
                </c:pt>
                <c:pt idx="7760">
                  <c:v>727</c:v>
                </c:pt>
                <c:pt idx="7761">
                  <c:v>727</c:v>
                </c:pt>
                <c:pt idx="7762">
                  <c:v>727</c:v>
                </c:pt>
                <c:pt idx="7763">
                  <c:v>727</c:v>
                </c:pt>
                <c:pt idx="7764">
                  <c:v>727</c:v>
                </c:pt>
                <c:pt idx="7765">
                  <c:v>727</c:v>
                </c:pt>
                <c:pt idx="7766">
                  <c:v>727</c:v>
                </c:pt>
                <c:pt idx="7767">
                  <c:v>727</c:v>
                </c:pt>
                <c:pt idx="7768">
                  <c:v>727</c:v>
                </c:pt>
                <c:pt idx="7769">
                  <c:v>727</c:v>
                </c:pt>
                <c:pt idx="7770">
                  <c:v>727</c:v>
                </c:pt>
                <c:pt idx="7771">
                  <c:v>727</c:v>
                </c:pt>
                <c:pt idx="7772">
                  <c:v>727</c:v>
                </c:pt>
                <c:pt idx="7773">
                  <c:v>727</c:v>
                </c:pt>
                <c:pt idx="7774">
                  <c:v>727</c:v>
                </c:pt>
                <c:pt idx="7775">
                  <c:v>727</c:v>
                </c:pt>
                <c:pt idx="7776">
                  <c:v>727</c:v>
                </c:pt>
                <c:pt idx="7777">
                  <c:v>727</c:v>
                </c:pt>
                <c:pt idx="7778">
                  <c:v>727</c:v>
                </c:pt>
                <c:pt idx="7779">
                  <c:v>727</c:v>
                </c:pt>
                <c:pt idx="7780">
                  <c:v>728</c:v>
                </c:pt>
                <c:pt idx="7781">
                  <c:v>728</c:v>
                </c:pt>
                <c:pt idx="7782">
                  <c:v>727</c:v>
                </c:pt>
                <c:pt idx="7783">
                  <c:v>727</c:v>
                </c:pt>
                <c:pt idx="7784">
                  <c:v>727</c:v>
                </c:pt>
                <c:pt idx="7785">
                  <c:v>727</c:v>
                </c:pt>
                <c:pt idx="7786">
                  <c:v>727</c:v>
                </c:pt>
                <c:pt idx="7787">
                  <c:v>727</c:v>
                </c:pt>
                <c:pt idx="7788">
                  <c:v>727</c:v>
                </c:pt>
                <c:pt idx="7789">
                  <c:v>727</c:v>
                </c:pt>
                <c:pt idx="7790">
                  <c:v>727</c:v>
                </c:pt>
                <c:pt idx="7791">
                  <c:v>727</c:v>
                </c:pt>
                <c:pt idx="7792">
                  <c:v>727</c:v>
                </c:pt>
                <c:pt idx="7793">
                  <c:v>727</c:v>
                </c:pt>
                <c:pt idx="7794">
                  <c:v>727</c:v>
                </c:pt>
                <c:pt idx="7795">
                  <c:v>727</c:v>
                </c:pt>
                <c:pt idx="7796">
                  <c:v>727</c:v>
                </c:pt>
                <c:pt idx="7797">
                  <c:v>727</c:v>
                </c:pt>
                <c:pt idx="7798">
                  <c:v>727</c:v>
                </c:pt>
                <c:pt idx="7799">
                  <c:v>728</c:v>
                </c:pt>
                <c:pt idx="7800">
                  <c:v>727</c:v>
                </c:pt>
                <c:pt idx="7801">
                  <c:v>727</c:v>
                </c:pt>
                <c:pt idx="7802">
                  <c:v>728</c:v>
                </c:pt>
                <c:pt idx="7803">
                  <c:v>728</c:v>
                </c:pt>
                <c:pt idx="7804">
                  <c:v>727</c:v>
                </c:pt>
                <c:pt idx="7805">
                  <c:v>728</c:v>
                </c:pt>
                <c:pt idx="7806">
                  <c:v>728</c:v>
                </c:pt>
                <c:pt idx="7807">
                  <c:v>727</c:v>
                </c:pt>
                <c:pt idx="7808">
                  <c:v>727</c:v>
                </c:pt>
                <c:pt idx="7809">
                  <c:v>727</c:v>
                </c:pt>
                <c:pt idx="7810">
                  <c:v>727</c:v>
                </c:pt>
                <c:pt idx="7811">
                  <c:v>727</c:v>
                </c:pt>
                <c:pt idx="7812">
                  <c:v>727</c:v>
                </c:pt>
                <c:pt idx="7813">
                  <c:v>727</c:v>
                </c:pt>
                <c:pt idx="7814">
                  <c:v>727</c:v>
                </c:pt>
                <c:pt idx="7815">
                  <c:v>727</c:v>
                </c:pt>
                <c:pt idx="7816">
                  <c:v>727</c:v>
                </c:pt>
                <c:pt idx="7817">
                  <c:v>727</c:v>
                </c:pt>
                <c:pt idx="7818">
                  <c:v>728</c:v>
                </c:pt>
                <c:pt idx="7819">
                  <c:v>728</c:v>
                </c:pt>
                <c:pt idx="7820">
                  <c:v>727</c:v>
                </c:pt>
                <c:pt idx="7821">
                  <c:v>727</c:v>
                </c:pt>
                <c:pt idx="7822">
                  <c:v>727</c:v>
                </c:pt>
                <c:pt idx="7823">
                  <c:v>728</c:v>
                </c:pt>
                <c:pt idx="7824">
                  <c:v>727</c:v>
                </c:pt>
                <c:pt idx="7825">
                  <c:v>727</c:v>
                </c:pt>
                <c:pt idx="7826">
                  <c:v>728</c:v>
                </c:pt>
                <c:pt idx="7827">
                  <c:v>728</c:v>
                </c:pt>
                <c:pt idx="7828">
                  <c:v>728</c:v>
                </c:pt>
                <c:pt idx="7829">
                  <c:v>727</c:v>
                </c:pt>
                <c:pt idx="7830">
                  <c:v>728</c:v>
                </c:pt>
                <c:pt idx="7831">
                  <c:v>728</c:v>
                </c:pt>
                <c:pt idx="7832">
                  <c:v>728</c:v>
                </c:pt>
                <c:pt idx="7833">
                  <c:v>727</c:v>
                </c:pt>
                <c:pt idx="7834">
                  <c:v>728</c:v>
                </c:pt>
                <c:pt idx="7835">
                  <c:v>728</c:v>
                </c:pt>
                <c:pt idx="7836">
                  <c:v>728</c:v>
                </c:pt>
                <c:pt idx="7837">
                  <c:v>727</c:v>
                </c:pt>
                <c:pt idx="7838">
                  <c:v>727</c:v>
                </c:pt>
                <c:pt idx="7839">
                  <c:v>728</c:v>
                </c:pt>
                <c:pt idx="7840">
                  <c:v>728</c:v>
                </c:pt>
                <c:pt idx="7841">
                  <c:v>727</c:v>
                </c:pt>
                <c:pt idx="7842">
                  <c:v>727</c:v>
                </c:pt>
                <c:pt idx="7843">
                  <c:v>727</c:v>
                </c:pt>
                <c:pt idx="7844">
                  <c:v>728</c:v>
                </c:pt>
                <c:pt idx="7845">
                  <c:v>728</c:v>
                </c:pt>
                <c:pt idx="7846">
                  <c:v>727</c:v>
                </c:pt>
                <c:pt idx="7847">
                  <c:v>728</c:v>
                </c:pt>
                <c:pt idx="7848">
                  <c:v>728</c:v>
                </c:pt>
                <c:pt idx="7849">
                  <c:v>728</c:v>
                </c:pt>
                <c:pt idx="7850">
                  <c:v>728</c:v>
                </c:pt>
                <c:pt idx="7851">
                  <c:v>727</c:v>
                </c:pt>
                <c:pt idx="7852">
                  <c:v>727</c:v>
                </c:pt>
                <c:pt idx="7853">
                  <c:v>728</c:v>
                </c:pt>
                <c:pt idx="7854">
                  <c:v>727</c:v>
                </c:pt>
                <c:pt idx="7855">
                  <c:v>727</c:v>
                </c:pt>
                <c:pt idx="7856">
                  <c:v>728</c:v>
                </c:pt>
                <c:pt idx="7857">
                  <c:v>727</c:v>
                </c:pt>
                <c:pt idx="7858">
                  <c:v>727</c:v>
                </c:pt>
                <c:pt idx="7859">
                  <c:v>727</c:v>
                </c:pt>
                <c:pt idx="7860">
                  <c:v>727</c:v>
                </c:pt>
                <c:pt idx="7861">
                  <c:v>727</c:v>
                </c:pt>
                <c:pt idx="7862">
                  <c:v>727</c:v>
                </c:pt>
                <c:pt idx="7863">
                  <c:v>727</c:v>
                </c:pt>
                <c:pt idx="7864">
                  <c:v>727</c:v>
                </c:pt>
                <c:pt idx="7865">
                  <c:v>727</c:v>
                </c:pt>
                <c:pt idx="7866">
                  <c:v>728</c:v>
                </c:pt>
                <c:pt idx="7867">
                  <c:v>727</c:v>
                </c:pt>
                <c:pt idx="7868">
                  <c:v>727</c:v>
                </c:pt>
                <c:pt idx="7869">
                  <c:v>727</c:v>
                </c:pt>
                <c:pt idx="7870">
                  <c:v>727</c:v>
                </c:pt>
                <c:pt idx="7871">
                  <c:v>728</c:v>
                </c:pt>
                <c:pt idx="7872">
                  <c:v>727</c:v>
                </c:pt>
                <c:pt idx="7873">
                  <c:v>727</c:v>
                </c:pt>
                <c:pt idx="7874">
                  <c:v>727</c:v>
                </c:pt>
                <c:pt idx="7875">
                  <c:v>727</c:v>
                </c:pt>
                <c:pt idx="7876">
                  <c:v>727</c:v>
                </c:pt>
                <c:pt idx="7877">
                  <c:v>727</c:v>
                </c:pt>
                <c:pt idx="7878">
                  <c:v>727</c:v>
                </c:pt>
                <c:pt idx="7879">
                  <c:v>727</c:v>
                </c:pt>
                <c:pt idx="7880">
                  <c:v>727</c:v>
                </c:pt>
                <c:pt idx="7881">
                  <c:v>727</c:v>
                </c:pt>
                <c:pt idx="7882">
                  <c:v>727</c:v>
                </c:pt>
                <c:pt idx="7883">
                  <c:v>728</c:v>
                </c:pt>
                <c:pt idx="7884">
                  <c:v>728</c:v>
                </c:pt>
                <c:pt idx="7885">
                  <c:v>727</c:v>
                </c:pt>
                <c:pt idx="7886">
                  <c:v>727</c:v>
                </c:pt>
                <c:pt idx="7887">
                  <c:v>728</c:v>
                </c:pt>
                <c:pt idx="7888">
                  <c:v>728</c:v>
                </c:pt>
                <c:pt idx="7889">
                  <c:v>728</c:v>
                </c:pt>
                <c:pt idx="7890">
                  <c:v>727</c:v>
                </c:pt>
                <c:pt idx="7891">
                  <c:v>728</c:v>
                </c:pt>
                <c:pt idx="7892">
                  <c:v>728</c:v>
                </c:pt>
                <c:pt idx="7893">
                  <c:v>728</c:v>
                </c:pt>
                <c:pt idx="7894">
                  <c:v>727</c:v>
                </c:pt>
                <c:pt idx="7895">
                  <c:v>727</c:v>
                </c:pt>
                <c:pt idx="7896">
                  <c:v>727</c:v>
                </c:pt>
                <c:pt idx="7897">
                  <c:v>728</c:v>
                </c:pt>
                <c:pt idx="7898">
                  <c:v>727</c:v>
                </c:pt>
                <c:pt idx="7899">
                  <c:v>727</c:v>
                </c:pt>
                <c:pt idx="7900">
                  <c:v>727</c:v>
                </c:pt>
                <c:pt idx="7901">
                  <c:v>727</c:v>
                </c:pt>
                <c:pt idx="7902">
                  <c:v>727</c:v>
                </c:pt>
                <c:pt idx="7903">
                  <c:v>728</c:v>
                </c:pt>
                <c:pt idx="7904">
                  <c:v>728</c:v>
                </c:pt>
                <c:pt idx="7905">
                  <c:v>728</c:v>
                </c:pt>
                <c:pt idx="7906">
                  <c:v>728</c:v>
                </c:pt>
                <c:pt idx="7907">
                  <c:v>728</c:v>
                </c:pt>
                <c:pt idx="7908">
                  <c:v>728</c:v>
                </c:pt>
                <c:pt idx="7909">
                  <c:v>728</c:v>
                </c:pt>
                <c:pt idx="7910">
                  <c:v>728</c:v>
                </c:pt>
                <c:pt idx="7911">
                  <c:v>728</c:v>
                </c:pt>
                <c:pt idx="7912">
                  <c:v>728</c:v>
                </c:pt>
                <c:pt idx="7913">
                  <c:v>728</c:v>
                </c:pt>
                <c:pt idx="7914">
                  <c:v>728</c:v>
                </c:pt>
                <c:pt idx="7915">
                  <c:v>728</c:v>
                </c:pt>
                <c:pt idx="7916">
                  <c:v>728</c:v>
                </c:pt>
                <c:pt idx="7917">
                  <c:v>728</c:v>
                </c:pt>
                <c:pt idx="7918">
                  <c:v>728</c:v>
                </c:pt>
                <c:pt idx="7919">
                  <c:v>728</c:v>
                </c:pt>
                <c:pt idx="7920">
                  <c:v>727</c:v>
                </c:pt>
                <c:pt idx="7921">
                  <c:v>728</c:v>
                </c:pt>
                <c:pt idx="7922">
                  <c:v>728</c:v>
                </c:pt>
                <c:pt idx="7923">
                  <c:v>728</c:v>
                </c:pt>
                <c:pt idx="7924">
                  <c:v>727</c:v>
                </c:pt>
                <c:pt idx="7925">
                  <c:v>727</c:v>
                </c:pt>
                <c:pt idx="7926">
                  <c:v>728</c:v>
                </c:pt>
                <c:pt idx="7927">
                  <c:v>728</c:v>
                </c:pt>
                <c:pt idx="7928">
                  <c:v>728</c:v>
                </c:pt>
                <c:pt idx="7929">
                  <c:v>727</c:v>
                </c:pt>
                <c:pt idx="7930">
                  <c:v>728</c:v>
                </c:pt>
                <c:pt idx="7931">
                  <c:v>728</c:v>
                </c:pt>
                <c:pt idx="7932">
                  <c:v>728</c:v>
                </c:pt>
                <c:pt idx="7933">
                  <c:v>728</c:v>
                </c:pt>
                <c:pt idx="7934">
                  <c:v>728</c:v>
                </c:pt>
                <c:pt idx="7935">
                  <c:v>728</c:v>
                </c:pt>
                <c:pt idx="7936">
                  <c:v>728</c:v>
                </c:pt>
                <c:pt idx="7937">
                  <c:v>728</c:v>
                </c:pt>
                <c:pt idx="7938">
                  <c:v>728</c:v>
                </c:pt>
                <c:pt idx="7939">
                  <c:v>728</c:v>
                </c:pt>
                <c:pt idx="7940">
                  <c:v>728</c:v>
                </c:pt>
                <c:pt idx="7941">
                  <c:v>728</c:v>
                </c:pt>
                <c:pt idx="7942">
                  <c:v>728</c:v>
                </c:pt>
                <c:pt idx="7943">
                  <c:v>728</c:v>
                </c:pt>
                <c:pt idx="7944">
                  <c:v>728</c:v>
                </c:pt>
                <c:pt idx="7945">
                  <c:v>728</c:v>
                </c:pt>
                <c:pt idx="7946">
                  <c:v>728</c:v>
                </c:pt>
                <c:pt idx="7947">
                  <c:v>728</c:v>
                </c:pt>
                <c:pt idx="7948">
                  <c:v>728</c:v>
                </c:pt>
                <c:pt idx="7949">
                  <c:v>728</c:v>
                </c:pt>
                <c:pt idx="7950">
                  <c:v>728</c:v>
                </c:pt>
                <c:pt idx="7951">
                  <c:v>728</c:v>
                </c:pt>
                <c:pt idx="7952">
                  <c:v>728</c:v>
                </c:pt>
                <c:pt idx="7953">
                  <c:v>728</c:v>
                </c:pt>
                <c:pt idx="7954">
                  <c:v>728</c:v>
                </c:pt>
                <c:pt idx="7955">
                  <c:v>728</c:v>
                </c:pt>
                <c:pt idx="7956">
                  <c:v>728</c:v>
                </c:pt>
                <c:pt idx="7957">
                  <c:v>728</c:v>
                </c:pt>
                <c:pt idx="7958">
                  <c:v>728</c:v>
                </c:pt>
                <c:pt idx="7959">
                  <c:v>728</c:v>
                </c:pt>
                <c:pt idx="7960">
                  <c:v>728</c:v>
                </c:pt>
                <c:pt idx="7961">
                  <c:v>728</c:v>
                </c:pt>
                <c:pt idx="7962">
                  <c:v>728</c:v>
                </c:pt>
                <c:pt idx="7963">
                  <c:v>728</c:v>
                </c:pt>
                <c:pt idx="7964">
                  <c:v>728</c:v>
                </c:pt>
                <c:pt idx="7965">
                  <c:v>728</c:v>
                </c:pt>
                <c:pt idx="7966">
                  <c:v>728</c:v>
                </c:pt>
                <c:pt idx="7967">
                  <c:v>728</c:v>
                </c:pt>
                <c:pt idx="7968">
                  <c:v>728</c:v>
                </c:pt>
                <c:pt idx="7969">
                  <c:v>728</c:v>
                </c:pt>
                <c:pt idx="7970">
                  <c:v>728</c:v>
                </c:pt>
                <c:pt idx="7971">
                  <c:v>728</c:v>
                </c:pt>
                <c:pt idx="7972">
                  <c:v>728</c:v>
                </c:pt>
                <c:pt idx="7973">
                  <c:v>728</c:v>
                </c:pt>
                <c:pt idx="7974">
                  <c:v>727</c:v>
                </c:pt>
                <c:pt idx="7975">
                  <c:v>727</c:v>
                </c:pt>
                <c:pt idx="7976">
                  <c:v>728</c:v>
                </c:pt>
                <c:pt idx="7977">
                  <c:v>728</c:v>
                </c:pt>
                <c:pt idx="7978">
                  <c:v>727</c:v>
                </c:pt>
                <c:pt idx="7979">
                  <c:v>728</c:v>
                </c:pt>
                <c:pt idx="7980">
                  <c:v>728</c:v>
                </c:pt>
                <c:pt idx="7981">
                  <c:v>728</c:v>
                </c:pt>
                <c:pt idx="7982">
                  <c:v>728</c:v>
                </c:pt>
                <c:pt idx="7983">
                  <c:v>728</c:v>
                </c:pt>
                <c:pt idx="7984">
                  <c:v>728</c:v>
                </c:pt>
                <c:pt idx="7985">
                  <c:v>728</c:v>
                </c:pt>
                <c:pt idx="7986">
                  <c:v>728</c:v>
                </c:pt>
                <c:pt idx="7987">
                  <c:v>728</c:v>
                </c:pt>
                <c:pt idx="7988">
                  <c:v>728</c:v>
                </c:pt>
                <c:pt idx="7989">
                  <c:v>728</c:v>
                </c:pt>
                <c:pt idx="7990">
                  <c:v>728</c:v>
                </c:pt>
                <c:pt idx="7991">
                  <c:v>728</c:v>
                </c:pt>
                <c:pt idx="7992">
                  <c:v>727</c:v>
                </c:pt>
                <c:pt idx="7993">
                  <c:v>727</c:v>
                </c:pt>
                <c:pt idx="7994">
                  <c:v>728</c:v>
                </c:pt>
                <c:pt idx="7995">
                  <c:v>728</c:v>
                </c:pt>
                <c:pt idx="7996">
                  <c:v>728</c:v>
                </c:pt>
                <c:pt idx="7997">
                  <c:v>727</c:v>
                </c:pt>
                <c:pt idx="7998">
                  <c:v>727</c:v>
                </c:pt>
                <c:pt idx="7999">
                  <c:v>727</c:v>
                </c:pt>
                <c:pt idx="8000">
                  <c:v>727</c:v>
                </c:pt>
                <c:pt idx="8001">
                  <c:v>727</c:v>
                </c:pt>
                <c:pt idx="8002">
                  <c:v>727</c:v>
                </c:pt>
                <c:pt idx="8003">
                  <c:v>727</c:v>
                </c:pt>
                <c:pt idx="8004">
                  <c:v>728</c:v>
                </c:pt>
                <c:pt idx="8005">
                  <c:v>728</c:v>
                </c:pt>
                <c:pt idx="8006">
                  <c:v>728</c:v>
                </c:pt>
                <c:pt idx="8007">
                  <c:v>728</c:v>
                </c:pt>
                <c:pt idx="8008">
                  <c:v>728</c:v>
                </c:pt>
                <c:pt idx="8009">
                  <c:v>728</c:v>
                </c:pt>
                <c:pt idx="8010">
                  <c:v>728</c:v>
                </c:pt>
                <c:pt idx="8011">
                  <c:v>728</c:v>
                </c:pt>
                <c:pt idx="8012">
                  <c:v>728</c:v>
                </c:pt>
                <c:pt idx="8013">
                  <c:v>728</c:v>
                </c:pt>
                <c:pt idx="8014">
                  <c:v>727</c:v>
                </c:pt>
                <c:pt idx="8015">
                  <c:v>728</c:v>
                </c:pt>
                <c:pt idx="8016">
                  <c:v>728</c:v>
                </c:pt>
                <c:pt idx="8017">
                  <c:v>728</c:v>
                </c:pt>
                <c:pt idx="8018">
                  <c:v>728</c:v>
                </c:pt>
                <c:pt idx="8019">
                  <c:v>728</c:v>
                </c:pt>
                <c:pt idx="8020">
                  <c:v>728</c:v>
                </c:pt>
                <c:pt idx="8021">
                  <c:v>728</c:v>
                </c:pt>
                <c:pt idx="8022">
                  <c:v>728</c:v>
                </c:pt>
                <c:pt idx="8023">
                  <c:v>728</c:v>
                </c:pt>
                <c:pt idx="8024">
                  <c:v>728</c:v>
                </c:pt>
                <c:pt idx="8025">
                  <c:v>728</c:v>
                </c:pt>
                <c:pt idx="8026">
                  <c:v>728</c:v>
                </c:pt>
                <c:pt idx="8027">
                  <c:v>728</c:v>
                </c:pt>
                <c:pt idx="8028">
                  <c:v>728</c:v>
                </c:pt>
                <c:pt idx="8029">
                  <c:v>728</c:v>
                </c:pt>
                <c:pt idx="8030">
                  <c:v>728</c:v>
                </c:pt>
                <c:pt idx="8031">
                  <c:v>728</c:v>
                </c:pt>
                <c:pt idx="8032">
                  <c:v>728</c:v>
                </c:pt>
                <c:pt idx="8033">
                  <c:v>728</c:v>
                </c:pt>
                <c:pt idx="8034">
                  <c:v>728</c:v>
                </c:pt>
                <c:pt idx="8035">
                  <c:v>728</c:v>
                </c:pt>
                <c:pt idx="8036">
                  <c:v>728</c:v>
                </c:pt>
                <c:pt idx="8037">
                  <c:v>728</c:v>
                </c:pt>
                <c:pt idx="8038">
                  <c:v>728</c:v>
                </c:pt>
                <c:pt idx="8039">
                  <c:v>728</c:v>
                </c:pt>
                <c:pt idx="8040">
                  <c:v>728</c:v>
                </c:pt>
                <c:pt idx="8041">
                  <c:v>728</c:v>
                </c:pt>
                <c:pt idx="8042">
                  <c:v>728</c:v>
                </c:pt>
                <c:pt idx="8043">
                  <c:v>728</c:v>
                </c:pt>
                <c:pt idx="8044">
                  <c:v>728</c:v>
                </c:pt>
                <c:pt idx="8045">
                  <c:v>728</c:v>
                </c:pt>
                <c:pt idx="8046">
                  <c:v>728</c:v>
                </c:pt>
                <c:pt idx="8047">
                  <c:v>728</c:v>
                </c:pt>
                <c:pt idx="8048">
                  <c:v>728</c:v>
                </c:pt>
                <c:pt idx="8049">
                  <c:v>728</c:v>
                </c:pt>
                <c:pt idx="8050">
                  <c:v>727</c:v>
                </c:pt>
                <c:pt idx="8051">
                  <c:v>728</c:v>
                </c:pt>
                <c:pt idx="8052">
                  <c:v>728</c:v>
                </c:pt>
                <c:pt idx="8053">
                  <c:v>728</c:v>
                </c:pt>
                <c:pt idx="8054">
                  <c:v>727</c:v>
                </c:pt>
                <c:pt idx="8055">
                  <c:v>728</c:v>
                </c:pt>
                <c:pt idx="8056">
                  <c:v>728</c:v>
                </c:pt>
                <c:pt idx="8057">
                  <c:v>728</c:v>
                </c:pt>
                <c:pt idx="8058">
                  <c:v>728</c:v>
                </c:pt>
                <c:pt idx="8059">
                  <c:v>728</c:v>
                </c:pt>
                <c:pt idx="8060">
                  <c:v>727</c:v>
                </c:pt>
                <c:pt idx="8061">
                  <c:v>728</c:v>
                </c:pt>
                <c:pt idx="8062">
                  <c:v>728</c:v>
                </c:pt>
                <c:pt idx="8063">
                  <c:v>728</c:v>
                </c:pt>
                <c:pt idx="8064">
                  <c:v>727</c:v>
                </c:pt>
                <c:pt idx="8065">
                  <c:v>727</c:v>
                </c:pt>
                <c:pt idx="8066">
                  <c:v>728</c:v>
                </c:pt>
                <c:pt idx="8067">
                  <c:v>727</c:v>
                </c:pt>
                <c:pt idx="8068">
                  <c:v>727</c:v>
                </c:pt>
                <c:pt idx="8069">
                  <c:v>727</c:v>
                </c:pt>
                <c:pt idx="8070">
                  <c:v>727</c:v>
                </c:pt>
                <c:pt idx="8071">
                  <c:v>727</c:v>
                </c:pt>
                <c:pt idx="8072">
                  <c:v>727</c:v>
                </c:pt>
                <c:pt idx="8073">
                  <c:v>727</c:v>
                </c:pt>
                <c:pt idx="8074">
                  <c:v>727</c:v>
                </c:pt>
                <c:pt idx="8075">
                  <c:v>727</c:v>
                </c:pt>
                <c:pt idx="8076">
                  <c:v>727</c:v>
                </c:pt>
                <c:pt idx="8077">
                  <c:v>727</c:v>
                </c:pt>
                <c:pt idx="8078">
                  <c:v>727</c:v>
                </c:pt>
                <c:pt idx="8079">
                  <c:v>727</c:v>
                </c:pt>
                <c:pt idx="8080">
                  <c:v>728</c:v>
                </c:pt>
                <c:pt idx="8081">
                  <c:v>727</c:v>
                </c:pt>
                <c:pt idx="8082">
                  <c:v>727</c:v>
                </c:pt>
                <c:pt idx="8083">
                  <c:v>727</c:v>
                </c:pt>
                <c:pt idx="8084">
                  <c:v>728</c:v>
                </c:pt>
                <c:pt idx="8085">
                  <c:v>728</c:v>
                </c:pt>
                <c:pt idx="8086">
                  <c:v>728</c:v>
                </c:pt>
                <c:pt idx="8087">
                  <c:v>727</c:v>
                </c:pt>
                <c:pt idx="8088">
                  <c:v>727</c:v>
                </c:pt>
                <c:pt idx="8089">
                  <c:v>727</c:v>
                </c:pt>
                <c:pt idx="8090">
                  <c:v>727</c:v>
                </c:pt>
                <c:pt idx="8091">
                  <c:v>727</c:v>
                </c:pt>
                <c:pt idx="8092">
                  <c:v>727</c:v>
                </c:pt>
                <c:pt idx="8093">
                  <c:v>727</c:v>
                </c:pt>
                <c:pt idx="8094">
                  <c:v>727</c:v>
                </c:pt>
                <c:pt idx="8095">
                  <c:v>728</c:v>
                </c:pt>
                <c:pt idx="8096">
                  <c:v>727</c:v>
                </c:pt>
                <c:pt idx="8097">
                  <c:v>727</c:v>
                </c:pt>
                <c:pt idx="8098">
                  <c:v>727</c:v>
                </c:pt>
                <c:pt idx="8099">
                  <c:v>728</c:v>
                </c:pt>
                <c:pt idx="8100">
                  <c:v>728</c:v>
                </c:pt>
                <c:pt idx="8101">
                  <c:v>728</c:v>
                </c:pt>
                <c:pt idx="8102">
                  <c:v>728</c:v>
                </c:pt>
                <c:pt idx="8103">
                  <c:v>728</c:v>
                </c:pt>
                <c:pt idx="8104">
                  <c:v>728</c:v>
                </c:pt>
                <c:pt idx="8105">
                  <c:v>728</c:v>
                </c:pt>
                <c:pt idx="8106">
                  <c:v>727</c:v>
                </c:pt>
                <c:pt idx="8107">
                  <c:v>728</c:v>
                </c:pt>
                <c:pt idx="8108">
                  <c:v>728</c:v>
                </c:pt>
                <c:pt idx="8109">
                  <c:v>728</c:v>
                </c:pt>
                <c:pt idx="8110">
                  <c:v>727</c:v>
                </c:pt>
                <c:pt idx="8111">
                  <c:v>727</c:v>
                </c:pt>
                <c:pt idx="8112">
                  <c:v>728</c:v>
                </c:pt>
                <c:pt idx="8113">
                  <c:v>728</c:v>
                </c:pt>
                <c:pt idx="8114">
                  <c:v>728</c:v>
                </c:pt>
                <c:pt idx="8115">
                  <c:v>727</c:v>
                </c:pt>
                <c:pt idx="8116">
                  <c:v>727</c:v>
                </c:pt>
                <c:pt idx="8117">
                  <c:v>728</c:v>
                </c:pt>
                <c:pt idx="8118">
                  <c:v>728</c:v>
                </c:pt>
                <c:pt idx="8119">
                  <c:v>727</c:v>
                </c:pt>
                <c:pt idx="8120">
                  <c:v>727</c:v>
                </c:pt>
                <c:pt idx="8121">
                  <c:v>728</c:v>
                </c:pt>
                <c:pt idx="8122">
                  <c:v>728</c:v>
                </c:pt>
                <c:pt idx="8123">
                  <c:v>728</c:v>
                </c:pt>
                <c:pt idx="8124">
                  <c:v>728</c:v>
                </c:pt>
                <c:pt idx="8125">
                  <c:v>728</c:v>
                </c:pt>
                <c:pt idx="8126">
                  <c:v>728</c:v>
                </c:pt>
                <c:pt idx="8127">
                  <c:v>728</c:v>
                </c:pt>
                <c:pt idx="8128">
                  <c:v>728</c:v>
                </c:pt>
                <c:pt idx="8129">
                  <c:v>728</c:v>
                </c:pt>
                <c:pt idx="8130">
                  <c:v>728</c:v>
                </c:pt>
                <c:pt idx="8131">
                  <c:v>728</c:v>
                </c:pt>
                <c:pt idx="8132">
                  <c:v>728</c:v>
                </c:pt>
                <c:pt idx="8133">
                  <c:v>728</c:v>
                </c:pt>
                <c:pt idx="8134">
                  <c:v>728</c:v>
                </c:pt>
                <c:pt idx="8135">
                  <c:v>728</c:v>
                </c:pt>
                <c:pt idx="8136">
                  <c:v>727</c:v>
                </c:pt>
                <c:pt idx="8137">
                  <c:v>727</c:v>
                </c:pt>
                <c:pt idx="8138">
                  <c:v>727</c:v>
                </c:pt>
                <c:pt idx="8139">
                  <c:v>727</c:v>
                </c:pt>
                <c:pt idx="8140">
                  <c:v>727</c:v>
                </c:pt>
                <c:pt idx="8141">
                  <c:v>728</c:v>
                </c:pt>
                <c:pt idx="8142">
                  <c:v>728</c:v>
                </c:pt>
                <c:pt idx="8143">
                  <c:v>727</c:v>
                </c:pt>
                <c:pt idx="8144">
                  <c:v>728</c:v>
                </c:pt>
                <c:pt idx="8145">
                  <c:v>728</c:v>
                </c:pt>
                <c:pt idx="8146">
                  <c:v>727</c:v>
                </c:pt>
                <c:pt idx="8147">
                  <c:v>727</c:v>
                </c:pt>
                <c:pt idx="8148">
                  <c:v>728</c:v>
                </c:pt>
                <c:pt idx="8149">
                  <c:v>728</c:v>
                </c:pt>
                <c:pt idx="8150">
                  <c:v>728</c:v>
                </c:pt>
                <c:pt idx="8151">
                  <c:v>728</c:v>
                </c:pt>
                <c:pt idx="8152">
                  <c:v>728</c:v>
                </c:pt>
                <c:pt idx="8153">
                  <c:v>728</c:v>
                </c:pt>
                <c:pt idx="8154">
                  <c:v>728</c:v>
                </c:pt>
                <c:pt idx="8155">
                  <c:v>728</c:v>
                </c:pt>
                <c:pt idx="8156">
                  <c:v>727</c:v>
                </c:pt>
                <c:pt idx="8157">
                  <c:v>727</c:v>
                </c:pt>
                <c:pt idx="8158">
                  <c:v>728</c:v>
                </c:pt>
                <c:pt idx="8159">
                  <c:v>728</c:v>
                </c:pt>
                <c:pt idx="8160">
                  <c:v>727</c:v>
                </c:pt>
                <c:pt idx="8161">
                  <c:v>727</c:v>
                </c:pt>
                <c:pt idx="8162">
                  <c:v>727</c:v>
                </c:pt>
                <c:pt idx="8163">
                  <c:v>728</c:v>
                </c:pt>
                <c:pt idx="8164">
                  <c:v>728</c:v>
                </c:pt>
                <c:pt idx="8165">
                  <c:v>728</c:v>
                </c:pt>
                <c:pt idx="8166">
                  <c:v>727</c:v>
                </c:pt>
                <c:pt idx="8167">
                  <c:v>727</c:v>
                </c:pt>
                <c:pt idx="8168">
                  <c:v>727</c:v>
                </c:pt>
                <c:pt idx="8169">
                  <c:v>727</c:v>
                </c:pt>
                <c:pt idx="8170">
                  <c:v>727</c:v>
                </c:pt>
                <c:pt idx="8171">
                  <c:v>727</c:v>
                </c:pt>
                <c:pt idx="8172">
                  <c:v>728</c:v>
                </c:pt>
                <c:pt idx="8173">
                  <c:v>727</c:v>
                </c:pt>
                <c:pt idx="8174">
                  <c:v>727</c:v>
                </c:pt>
                <c:pt idx="8175">
                  <c:v>727</c:v>
                </c:pt>
                <c:pt idx="8176">
                  <c:v>727</c:v>
                </c:pt>
                <c:pt idx="8177">
                  <c:v>728</c:v>
                </c:pt>
                <c:pt idx="8178">
                  <c:v>727</c:v>
                </c:pt>
                <c:pt idx="8179">
                  <c:v>727</c:v>
                </c:pt>
                <c:pt idx="8180">
                  <c:v>727</c:v>
                </c:pt>
                <c:pt idx="8181">
                  <c:v>727</c:v>
                </c:pt>
                <c:pt idx="8182">
                  <c:v>728</c:v>
                </c:pt>
                <c:pt idx="8183">
                  <c:v>728</c:v>
                </c:pt>
                <c:pt idx="8184">
                  <c:v>727</c:v>
                </c:pt>
                <c:pt idx="8185">
                  <c:v>727</c:v>
                </c:pt>
                <c:pt idx="8186">
                  <c:v>728</c:v>
                </c:pt>
                <c:pt idx="8187">
                  <c:v>728</c:v>
                </c:pt>
                <c:pt idx="8188">
                  <c:v>727</c:v>
                </c:pt>
                <c:pt idx="8189">
                  <c:v>727</c:v>
                </c:pt>
                <c:pt idx="8190">
                  <c:v>727</c:v>
                </c:pt>
                <c:pt idx="8191">
                  <c:v>727</c:v>
                </c:pt>
                <c:pt idx="8192">
                  <c:v>727</c:v>
                </c:pt>
                <c:pt idx="8193">
                  <c:v>727</c:v>
                </c:pt>
                <c:pt idx="8194">
                  <c:v>727</c:v>
                </c:pt>
                <c:pt idx="8195">
                  <c:v>727</c:v>
                </c:pt>
                <c:pt idx="8196">
                  <c:v>727</c:v>
                </c:pt>
                <c:pt idx="8197">
                  <c:v>727</c:v>
                </c:pt>
                <c:pt idx="8198">
                  <c:v>727</c:v>
                </c:pt>
                <c:pt idx="8199">
                  <c:v>727</c:v>
                </c:pt>
                <c:pt idx="8200">
                  <c:v>727</c:v>
                </c:pt>
                <c:pt idx="8201">
                  <c:v>727</c:v>
                </c:pt>
                <c:pt idx="8202">
                  <c:v>727</c:v>
                </c:pt>
                <c:pt idx="8203">
                  <c:v>727</c:v>
                </c:pt>
                <c:pt idx="8204">
                  <c:v>728</c:v>
                </c:pt>
                <c:pt idx="8205">
                  <c:v>728</c:v>
                </c:pt>
                <c:pt idx="8206">
                  <c:v>728</c:v>
                </c:pt>
                <c:pt idx="8207">
                  <c:v>728</c:v>
                </c:pt>
                <c:pt idx="8208">
                  <c:v>728</c:v>
                </c:pt>
                <c:pt idx="8209">
                  <c:v>728</c:v>
                </c:pt>
                <c:pt idx="8210">
                  <c:v>728</c:v>
                </c:pt>
                <c:pt idx="8211">
                  <c:v>728</c:v>
                </c:pt>
                <c:pt idx="8212">
                  <c:v>728</c:v>
                </c:pt>
                <c:pt idx="8213">
                  <c:v>728</c:v>
                </c:pt>
                <c:pt idx="8214">
                  <c:v>728</c:v>
                </c:pt>
                <c:pt idx="8215">
                  <c:v>727</c:v>
                </c:pt>
                <c:pt idx="8216">
                  <c:v>727</c:v>
                </c:pt>
                <c:pt idx="8217">
                  <c:v>727</c:v>
                </c:pt>
                <c:pt idx="8218">
                  <c:v>727</c:v>
                </c:pt>
                <c:pt idx="8219">
                  <c:v>727</c:v>
                </c:pt>
                <c:pt idx="8220">
                  <c:v>727</c:v>
                </c:pt>
                <c:pt idx="8221">
                  <c:v>727</c:v>
                </c:pt>
                <c:pt idx="8222">
                  <c:v>728</c:v>
                </c:pt>
                <c:pt idx="8223">
                  <c:v>728</c:v>
                </c:pt>
                <c:pt idx="8224">
                  <c:v>728</c:v>
                </c:pt>
                <c:pt idx="8225">
                  <c:v>728</c:v>
                </c:pt>
                <c:pt idx="8226">
                  <c:v>728</c:v>
                </c:pt>
                <c:pt idx="8227">
                  <c:v>728</c:v>
                </c:pt>
                <c:pt idx="8228">
                  <c:v>728</c:v>
                </c:pt>
                <c:pt idx="8229">
                  <c:v>728</c:v>
                </c:pt>
                <c:pt idx="8230">
                  <c:v>728</c:v>
                </c:pt>
                <c:pt idx="8231">
                  <c:v>728</c:v>
                </c:pt>
                <c:pt idx="8232">
                  <c:v>728</c:v>
                </c:pt>
                <c:pt idx="8233">
                  <c:v>728</c:v>
                </c:pt>
                <c:pt idx="8234">
                  <c:v>728</c:v>
                </c:pt>
                <c:pt idx="8235">
                  <c:v>727</c:v>
                </c:pt>
                <c:pt idx="8236">
                  <c:v>728</c:v>
                </c:pt>
                <c:pt idx="8237">
                  <c:v>728</c:v>
                </c:pt>
                <c:pt idx="8238">
                  <c:v>728</c:v>
                </c:pt>
                <c:pt idx="8239">
                  <c:v>727</c:v>
                </c:pt>
                <c:pt idx="8240">
                  <c:v>728</c:v>
                </c:pt>
                <c:pt idx="8241">
                  <c:v>728</c:v>
                </c:pt>
                <c:pt idx="8242">
                  <c:v>727</c:v>
                </c:pt>
                <c:pt idx="8243">
                  <c:v>727</c:v>
                </c:pt>
                <c:pt idx="8244">
                  <c:v>728</c:v>
                </c:pt>
                <c:pt idx="8245">
                  <c:v>728</c:v>
                </c:pt>
                <c:pt idx="8246">
                  <c:v>728</c:v>
                </c:pt>
                <c:pt idx="8247">
                  <c:v>728</c:v>
                </c:pt>
                <c:pt idx="8248">
                  <c:v>728</c:v>
                </c:pt>
                <c:pt idx="8249">
                  <c:v>728</c:v>
                </c:pt>
                <c:pt idx="8250">
                  <c:v>728</c:v>
                </c:pt>
                <c:pt idx="8251">
                  <c:v>728</c:v>
                </c:pt>
                <c:pt idx="8252">
                  <c:v>728</c:v>
                </c:pt>
                <c:pt idx="8253">
                  <c:v>728</c:v>
                </c:pt>
                <c:pt idx="8254">
                  <c:v>728</c:v>
                </c:pt>
                <c:pt idx="8255">
                  <c:v>728</c:v>
                </c:pt>
                <c:pt idx="8256">
                  <c:v>728</c:v>
                </c:pt>
                <c:pt idx="8257">
                  <c:v>728</c:v>
                </c:pt>
                <c:pt idx="8258">
                  <c:v>728</c:v>
                </c:pt>
                <c:pt idx="8259">
                  <c:v>728</c:v>
                </c:pt>
                <c:pt idx="8260">
                  <c:v>728</c:v>
                </c:pt>
                <c:pt idx="8261">
                  <c:v>728</c:v>
                </c:pt>
                <c:pt idx="8262">
                  <c:v>728</c:v>
                </c:pt>
                <c:pt idx="8263">
                  <c:v>728</c:v>
                </c:pt>
                <c:pt idx="8264">
                  <c:v>728</c:v>
                </c:pt>
                <c:pt idx="8265">
                  <c:v>728</c:v>
                </c:pt>
                <c:pt idx="8266">
                  <c:v>728</c:v>
                </c:pt>
                <c:pt idx="8267">
                  <c:v>728</c:v>
                </c:pt>
                <c:pt idx="8268">
                  <c:v>728</c:v>
                </c:pt>
                <c:pt idx="8269">
                  <c:v>728</c:v>
                </c:pt>
                <c:pt idx="8270">
                  <c:v>728</c:v>
                </c:pt>
                <c:pt idx="8271">
                  <c:v>728</c:v>
                </c:pt>
                <c:pt idx="8272">
                  <c:v>728</c:v>
                </c:pt>
                <c:pt idx="8273">
                  <c:v>728</c:v>
                </c:pt>
                <c:pt idx="8274">
                  <c:v>728</c:v>
                </c:pt>
                <c:pt idx="8275">
                  <c:v>728</c:v>
                </c:pt>
                <c:pt idx="8276">
                  <c:v>728</c:v>
                </c:pt>
                <c:pt idx="8277">
                  <c:v>728</c:v>
                </c:pt>
                <c:pt idx="8278">
                  <c:v>728</c:v>
                </c:pt>
                <c:pt idx="8279">
                  <c:v>728</c:v>
                </c:pt>
                <c:pt idx="8280">
                  <c:v>728</c:v>
                </c:pt>
                <c:pt idx="8281">
                  <c:v>728</c:v>
                </c:pt>
                <c:pt idx="8282">
                  <c:v>728</c:v>
                </c:pt>
                <c:pt idx="8283">
                  <c:v>728</c:v>
                </c:pt>
                <c:pt idx="8284">
                  <c:v>728</c:v>
                </c:pt>
                <c:pt idx="8285">
                  <c:v>728</c:v>
                </c:pt>
                <c:pt idx="8286">
                  <c:v>728</c:v>
                </c:pt>
                <c:pt idx="8287">
                  <c:v>728</c:v>
                </c:pt>
                <c:pt idx="8288">
                  <c:v>728</c:v>
                </c:pt>
                <c:pt idx="8289">
                  <c:v>728</c:v>
                </c:pt>
                <c:pt idx="8290">
                  <c:v>728</c:v>
                </c:pt>
                <c:pt idx="8291">
                  <c:v>728</c:v>
                </c:pt>
                <c:pt idx="8292">
                  <c:v>728</c:v>
                </c:pt>
                <c:pt idx="8293">
                  <c:v>728</c:v>
                </c:pt>
                <c:pt idx="8294">
                  <c:v>728</c:v>
                </c:pt>
                <c:pt idx="8295">
                  <c:v>728</c:v>
                </c:pt>
                <c:pt idx="8296">
                  <c:v>728</c:v>
                </c:pt>
                <c:pt idx="8297">
                  <c:v>728</c:v>
                </c:pt>
                <c:pt idx="8298">
                  <c:v>728</c:v>
                </c:pt>
                <c:pt idx="8299">
                  <c:v>728</c:v>
                </c:pt>
                <c:pt idx="8300">
                  <c:v>728</c:v>
                </c:pt>
                <c:pt idx="8301">
                  <c:v>728</c:v>
                </c:pt>
                <c:pt idx="8302">
                  <c:v>728</c:v>
                </c:pt>
                <c:pt idx="8303">
                  <c:v>728</c:v>
                </c:pt>
                <c:pt idx="8304">
                  <c:v>728</c:v>
                </c:pt>
                <c:pt idx="8305">
                  <c:v>728</c:v>
                </c:pt>
                <c:pt idx="8306">
                  <c:v>728</c:v>
                </c:pt>
                <c:pt idx="8307">
                  <c:v>728</c:v>
                </c:pt>
                <c:pt idx="8308">
                  <c:v>728</c:v>
                </c:pt>
                <c:pt idx="8309">
                  <c:v>728</c:v>
                </c:pt>
                <c:pt idx="8310">
                  <c:v>727</c:v>
                </c:pt>
                <c:pt idx="8311">
                  <c:v>727</c:v>
                </c:pt>
                <c:pt idx="8312">
                  <c:v>727</c:v>
                </c:pt>
                <c:pt idx="8313">
                  <c:v>727</c:v>
                </c:pt>
                <c:pt idx="8314">
                  <c:v>727</c:v>
                </c:pt>
                <c:pt idx="8315">
                  <c:v>727</c:v>
                </c:pt>
                <c:pt idx="8316">
                  <c:v>728</c:v>
                </c:pt>
                <c:pt idx="8317">
                  <c:v>727</c:v>
                </c:pt>
                <c:pt idx="8318">
                  <c:v>727</c:v>
                </c:pt>
                <c:pt idx="8319">
                  <c:v>728</c:v>
                </c:pt>
                <c:pt idx="8320">
                  <c:v>728</c:v>
                </c:pt>
                <c:pt idx="8321">
                  <c:v>728</c:v>
                </c:pt>
                <c:pt idx="8322">
                  <c:v>728</c:v>
                </c:pt>
                <c:pt idx="8323">
                  <c:v>728</c:v>
                </c:pt>
                <c:pt idx="8324">
                  <c:v>728</c:v>
                </c:pt>
                <c:pt idx="8325">
                  <c:v>728</c:v>
                </c:pt>
                <c:pt idx="8326">
                  <c:v>728</c:v>
                </c:pt>
                <c:pt idx="8327">
                  <c:v>728</c:v>
                </c:pt>
                <c:pt idx="8328">
                  <c:v>728</c:v>
                </c:pt>
                <c:pt idx="8329">
                  <c:v>728</c:v>
                </c:pt>
                <c:pt idx="8330">
                  <c:v>728</c:v>
                </c:pt>
                <c:pt idx="8331">
                  <c:v>728</c:v>
                </c:pt>
                <c:pt idx="8332">
                  <c:v>728</c:v>
                </c:pt>
                <c:pt idx="8333">
                  <c:v>728</c:v>
                </c:pt>
                <c:pt idx="8334">
                  <c:v>728</c:v>
                </c:pt>
                <c:pt idx="8335">
                  <c:v>727</c:v>
                </c:pt>
                <c:pt idx="8336">
                  <c:v>728</c:v>
                </c:pt>
                <c:pt idx="8337">
                  <c:v>728</c:v>
                </c:pt>
                <c:pt idx="8338">
                  <c:v>728</c:v>
                </c:pt>
                <c:pt idx="8339">
                  <c:v>728</c:v>
                </c:pt>
                <c:pt idx="8340">
                  <c:v>728</c:v>
                </c:pt>
                <c:pt idx="8341">
                  <c:v>728</c:v>
                </c:pt>
                <c:pt idx="8342">
                  <c:v>728</c:v>
                </c:pt>
                <c:pt idx="8343">
                  <c:v>728</c:v>
                </c:pt>
                <c:pt idx="8344">
                  <c:v>728</c:v>
                </c:pt>
                <c:pt idx="8345">
                  <c:v>728</c:v>
                </c:pt>
                <c:pt idx="8346">
                  <c:v>728</c:v>
                </c:pt>
                <c:pt idx="8347">
                  <c:v>728</c:v>
                </c:pt>
                <c:pt idx="8348">
                  <c:v>728</c:v>
                </c:pt>
                <c:pt idx="8349">
                  <c:v>728</c:v>
                </c:pt>
                <c:pt idx="8350">
                  <c:v>728</c:v>
                </c:pt>
                <c:pt idx="8351">
                  <c:v>728</c:v>
                </c:pt>
                <c:pt idx="8352">
                  <c:v>728</c:v>
                </c:pt>
                <c:pt idx="8353">
                  <c:v>728</c:v>
                </c:pt>
                <c:pt idx="8354">
                  <c:v>728</c:v>
                </c:pt>
                <c:pt idx="8355">
                  <c:v>728</c:v>
                </c:pt>
                <c:pt idx="8356">
                  <c:v>728</c:v>
                </c:pt>
                <c:pt idx="8357">
                  <c:v>728</c:v>
                </c:pt>
                <c:pt idx="8358">
                  <c:v>728</c:v>
                </c:pt>
                <c:pt idx="8359">
                  <c:v>728</c:v>
                </c:pt>
                <c:pt idx="8360">
                  <c:v>728</c:v>
                </c:pt>
                <c:pt idx="8361">
                  <c:v>728</c:v>
                </c:pt>
                <c:pt idx="8362">
                  <c:v>728</c:v>
                </c:pt>
                <c:pt idx="8363">
                  <c:v>728</c:v>
                </c:pt>
                <c:pt idx="8364">
                  <c:v>728</c:v>
                </c:pt>
                <c:pt idx="8365">
                  <c:v>728</c:v>
                </c:pt>
                <c:pt idx="8366">
                  <c:v>728</c:v>
                </c:pt>
                <c:pt idx="8367">
                  <c:v>728</c:v>
                </c:pt>
                <c:pt idx="8368">
                  <c:v>728</c:v>
                </c:pt>
                <c:pt idx="8369">
                  <c:v>728</c:v>
                </c:pt>
                <c:pt idx="8370">
                  <c:v>728</c:v>
                </c:pt>
                <c:pt idx="8371">
                  <c:v>728</c:v>
                </c:pt>
                <c:pt idx="8372">
                  <c:v>728</c:v>
                </c:pt>
                <c:pt idx="8373">
                  <c:v>728</c:v>
                </c:pt>
                <c:pt idx="8374">
                  <c:v>728</c:v>
                </c:pt>
                <c:pt idx="8375">
                  <c:v>728</c:v>
                </c:pt>
                <c:pt idx="8376">
                  <c:v>728</c:v>
                </c:pt>
                <c:pt idx="8377">
                  <c:v>728</c:v>
                </c:pt>
                <c:pt idx="8378">
                  <c:v>728</c:v>
                </c:pt>
                <c:pt idx="8379">
                  <c:v>728</c:v>
                </c:pt>
                <c:pt idx="8380">
                  <c:v>728</c:v>
                </c:pt>
                <c:pt idx="8381">
                  <c:v>728</c:v>
                </c:pt>
                <c:pt idx="8382">
                  <c:v>728</c:v>
                </c:pt>
                <c:pt idx="8383">
                  <c:v>728</c:v>
                </c:pt>
                <c:pt idx="8384">
                  <c:v>728</c:v>
                </c:pt>
                <c:pt idx="8385">
                  <c:v>728</c:v>
                </c:pt>
                <c:pt idx="8386">
                  <c:v>728</c:v>
                </c:pt>
                <c:pt idx="8387">
                  <c:v>728</c:v>
                </c:pt>
                <c:pt idx="8388">
                  <c:v>728</c:v>
                </c:pt>
                <c:pt idx="8389">
                  <c:v>728</c:v>
                </c:pt>
                <c:pt idx="8390">
                  <c:v>728</c:v>
                </c:pt>
                <c:pt idx="8391">
                  <c:v>728</c:v>
                </c:pt>
                <c:pt idx="8392">
                  <c:v>728</c:v>
                </c:pt>
                <c:pt idx="8393">
                  <c:v>728</c:v>
                </c:pt>
                <c:pt idx="8394">
                  <c:v>728</c:v>
                </c:pt>
                <c:pt idx="8395">
                  <c:v>728</c:v>
                </c:pt>
                <c:pt idx="8396">
                  <c:v>728</c:v>
                </c:pt>
                <c:pt idx="8397">
                  <c:v>728</c:v>
                </c:pt>
                <c:pt idx="8398">
                  <c:v>728</c:v>
                </c:pt>
                <c:pt idx="8399">
                  <c:v>728</c:v>
                </c:pt>
                <c:pt idx="8400">
                  <c:v>728</c:v>
                </c:pt>
                <c:pt idx="8401">
                  <c:v>728</c:v>
                </c:pt>
                <c:pt idx="8402">
                  <c:v>728</c:v>
                </c:pt>
                <c:pt idx="8403">
                  <c:v>728</c:v>
                </c:pt>
                <c:pt idx="8404">
                  <c:v>728</c:v>
                </c:pt>
                <c:pt idx="8405">
                  <c:v>728</c:v>
                </c:pt>
                <c:pt idx="8406">
                  <c:v>728</c:v>
                </c:pt>
                <c:pt idx="8407">
                  <c:v>728</c:v>
                </c:pt>
                <c:pt idx="8408">
                  <c:v>728</c:v>
                </c:pt>
                <c:pt idx="8409">
                  <c:v>727</c:v>
                </c:pt>
                <c:pt idx="8410">
                  <c:v>728</c:v>
                </c:pt>
                <c:pt idx="8411">
                  <c:v>728</c:v>
                </c:pt>
                <c:pt idx="8412">
                  <c:v>728</c:v>
                </c:pt>
                <c:pt idx="8413">
                  <c:v>728</c:v>
                </c:pt>
                <c:pt idx="8414">
                  <c:v>728</c:v>
                </c:pt>
                <c:pt idx="8415">
                  <c:v>728</c:v>
                </c:pt>
                <c:pt idx="8416">
                  <c:v>728</c:v>
                </c:pt>
                <c:pt idx="8417">
                  <c:v>728</c:v>
                </c:pt>
                <c:pt idx="8418">
                  <c:v>728</c:v>
                </c:pt>
                <c:pt idx="8419">
                  <c:v>728</c:v>
                </c:pt>
                <c:pt idx="8420">
                  <c:v>728</c:v>
                </c:pt>
                <c:pt idx="8421">
                  <c:v>727</c:v>
                </c:pt>
                <c:pt idx="8422">
                  <c:v>727</c:v>
                </c:pt>
                <c:pt idx="8423">
                  <c:v>728</c:v>
                </c:pt>
                <c:pt idx="8424">
                  <c:v>728</c:v>
                </c:pt>
                <c:pt idx="8425">
                  <c:v>728</c:v>
                </c:pt>
                <c:pt idx="8426">
                  <c:v>728</c:v>
                </c:pt>
                <c:pt idx="8427">
                  <c:v>728</c:v>
                </c:pt>
                <c:pt idx="8428">
                  <c:v>728</c:v>
                </c:pt>
                <c:pt idx="8429">
                  <c:v>728</c:v>
                </c:pt>
                <c:pt idx="8430">
                  <c:v>727</c:v>
                </c:pt>
                <c:pt idx="8431">
                  <c:v>728</c:v>
                </c:pt>
                <c:pt idx="8432">
                  <c:v>728</c:v>
                </c:pt>
                <c:pt idx="8433">
                  <c:v>728</c:v>
                </c:pt>
                <c:pt idx="8434">
                  <c:v>727</c:v>
                </c:pt>
                <c:pt idx="8435">
                  <c:v>728</c:v>
                </c:pt>
                <c:pt idx="8436">
                  <c:v>728</c:v>
                </c:pt>
                <c:pt idx="8437">
                  <c:v>728</c:v>
                </c:pt>
                <c:pt idx="8438">
                  <c:v>728</c:v>
                </c:pt>
                <c:pt idx="8439">
                  <c:v>728</c:v>
                </c:pt>
                <c:pt idx="8440">
                  <c:v>728</c:v>
                </c:pt>
                <c:pt idx="8441">
                  <c:v>728</c:v>
                </c:pt>
                <c:pt idx="8442">
                  <c:v>728</c:v>
                </c:pt>
                <c:pt idx="8443">
                  <c:v>728</c:v>
                </c:pt>
                <c:pt idx="8444">
                  <c:v>728</c:v>
                </c:pt>
                <c:pt idx="8445">
                  <c:v>728</c:v>
                </c:pt>
                <c:pt idx="8446">
                  <c:v>728</c:v>
                </c:pt>
                <c:pt idx="8447">
                  <c:v>728</c:v>
                </c:pt>
                <c:pt idx="8448">
                  <c:v>728</c:v>
                </c:pt>
                <c:pt idx="8449">
                  <c:v>728</c:v>
                </c:pt>
                <c:pt idx="8450">
                  <c:v>728</c:v>
                </c:pt>
                <c:pt idx="8451">
                  <c:v>728</c:v>
                </c:pt>
                <c:pt idx="8452">
                  <c:v>728</c:v>
                </c:pt>
                <c:pt idx="8453">
                  <c:v>728</c:v>
                </c:pt>
                <c:pt idx="8454">
                  <c:v>728</c:v>
                </c:pt>
                <c:pt idx="8455">
                  <c:v>728</c:v>
                </c:pt>
                <c:pt idx="8456">
                  <c:v>728</c:v>
                </c:pt>
                <c:pt idx="8457">
                  <c:v>728</c:v>
                </c:pt>
                <c:pt idx="8458">
                  <c:v>728</c:v>
                </c:pt>
                <c:pt idx="8459">
                  <c:v>728</c:v>
                </c:pt>
                <c:pt idx="8460">
                  <c:v>728</c:v>
                </c:pt>
                <c:pt idx="8461">
                  <c:v>728</c:v>
                </c:pt>
                <c:pt idx="8462">
                  <c:v>728</c:v>
                </c:pt>
                <c:pt idx="8463">
                  <c:v>728</c:v>
                </c:pt>
                <c:pt idx="8464">
                  <c:v>728</c:v>
                </c:pt>
                <c:pt idx="8465">
                  <c:v>728</c:v>
                </c:pt>
                <c:pt idx="8466">
                  <c:v>728</c:v>
                </c:pt>
                <c:pt idx="8467">
                  <c:v>728</c:v>
                </c:pt>
                <c:pt idx="8468">
                  <c:v>728</c:v>
                </c:pt>
                <c:pt idx="8469">
                  <c:v>728</c:v>
                </c:pt>
                <c:pt idx="8470">
                  <c:v>728</c:v>
                </c:pt>
                <c:pt idx="8471">
                  <c:v>728</c:v>
                </c:pt>
                <c:pt idx="8472">
                  <c:v>728</c:v>
                </c:pt>
                <c:pt idx="8473">
                  <c:v>728</c:v>
                </c:pt>
                <c:pt idx="8474">
                  <c:v>728</c:v>
                </c:pt>
                <c:pt idx="8475">
                  <c:v>728</c:v>
                </c:pt>
                <c:pt idx="8476">
                  <c:v>728</c:v>
                </c:pt>
                <c:pt idx="8477">
                  <c:v>728</c:v>
                </c:pt>
                <c:pt idx="8478">
                  <c:v>728</c:v>
                </c:pt>
                <c:pt idx="8479">
                  <c:v>728</c:v>
                </c:pt>
                <c:pt idx="8480">
                  <c:v>728</c:v>
                </c:pt>
                <c:pt idx="8481">
                  <c:v>727</c:v>
                </c:pt>
                <c:pt idx="8482">
                  <c:v>728</c:v>
                </c:pt>
                <c:pt idx="8483">
                  <c:v>728</c:v>
                </c:pt>
                <c:pt idx="8484">
                  <c:v>728</c:v>
                </c:pt>
                <c:pt idx="8485">
                  <c:v>728</c:v>
                </c:pt>
                <c:pt idx="8486">
                  <c:v>728</c:v>
                </c:pt>
                <c:pt idx="8487">
                  <c:v>728</c:v>
                </c:pt>
                <c:pt idx="8488">
                  <c:v>728</c:v>
                </c:pt>
                <c:pt idx="8489">
                  <c:v>728</c:v>
                </c:pt>
                <c:pt idx="8490">
                  <c:v>728</c:v>
                </c:pt>
                <c:pt idx="8491">
                  <c:v>728</c:v>
                </c:pt>
                <c:pt idx="8492">
                  <c:v>728</c:v>
                </c:pt>
                <c:pt idx="8493">
                  <c:v>728</c:v>
                </c:pt>
                <c:pt idx="8494">
                  <c:v>728</c:v>
                </c:pt>
                <c:pt idx="8495">
                  <c:v>728</c:v>
                </c:pt>
                <c:pt idx="8496">
                  <c:v>728</c:v>
                </c:pt>
                <c:pt idx="8497">
                  <c:v>728</c:v>
                </c:pt>
                <c:pt idx="8498">
                  <c:v>728</c:v>
                </c:pt>
                <c:pt idx="8499">
                  <c:v>728</c:v>
                </c:pt>
                <c:pt idx="8500">
                  <c:v>728</c:v>
                </c:pt>
                <c:pt idx="8501">
                  <c:v>728</c:v>
                </c:pt>
                <c:pt idx="8502">
                  <c:v>727</c:v>
                </c:pt>
                <c:pt idx="8503">
                  <c:v>727</c:v>
                </c:pt>
                <c:pt idx="8504">
                  <c:v>727</c:v>
                </c:pt>
                <c:pt idx="8505">
                  <c:v>728</c:v>
                </c:pt>
                <c:pt idx="8506">
                  <c:v>727</c:v>
                </c:pt>
                <c:pt idx="8507">
                  <c:v>728</c:v>
                </c:pt>
                <c:pt idx="8508">
                  <c:v>728</c:v>
                </c:pt>
                <c:pt idx="8509">
                  <c:v>728</c:v>
                </c:pt>
                <c:pt idx="8510">
                  <c:v>728</c:v>
                </c:pt>
                <c:pt idx="8511">
                  <c:v>728</c:v>
                </c:pt>
                <c:pt idx="8512">
                  <c:v>728</c:v>
                </c:pt>
                <c:pt idx="8513">
                  <c:v>728</c:v>
                </c:pt>
                <c:pt idx="8514">
                  <c:v>728</c:v>
                </c:pt>
                <c:pt idx="8515">
                  <c:v>728</c:v>
                </c:pt>
                <c:pt idx="8516">
                  <c:v>728</c:v>
                </c:pt>
                <c:pt idx="8517">
                  <c:v>728</c:v>
                </c:pt>
                <c:pt idx="8518">
                  <c:v>728</c:v>
                </c:pt>
                <c:pt idx="8519">
                  <c:v>728</c:v>
                </c:pt>
                <c:pt idx="8520">
                  <c:v>728</c:v>
                </c:pt>
                <c:pt idx="8521">
                  <c:v>728</c:v>
                </c:pt>
                <c:pt idx="8522">
                  <c:v>728</c:v>
                </c:pt>
                <c:pt idx="8523">
                  <c:v>728</c:v>
                </c:pt>
                <c:pt idx="8524">
                  <c:v>728</c:v>
                </c:pt>
                <c:pt idx="8525">
                  <c:v>728</c:v>
                </c:pt>
                <c:pt idx="8526">
                  <c:v>728</c:v>
                </c:pt>
                <c:pt idx="8527">
                  <c:v>728</c:v>
                </c:pt>
                <c:pt idx="8528">
                  <c:v>728</c:v>
                </c:pt>
                <c:pt idx="8529">
                  <c:v>728</c:v>
                </c:pt>
                <c:pt idx="8530">
                  <c:v>728</c:v>
                </c:pt>
                <c:pt idx="8531">
                  <c:v>727</c:v>
                </c:pt>
                <c:pt idx="8532">
                  <c:v>728</c:v>
                </c:pt>
                <c:pt idx="8533">
                  <c:v>728</c:v>
                </c:pt>
                <c:pt idx="8534">
                  <c:v>728</c:v>
                </c:pt>
                <c:pt idx="8535">
                  <c:v>728</c:v>
                </c:pt>
                <c:pt idx="8536">
                  <c:v>728</c:v>
                </c:pt>
                <c:pt idx="8537">
                  <c:v>728</c:v>
                </c:pt>
                <c:pt idx="8538">
                  <c:v>728</c:v>
                </c:pt>
                <c:pt idx="8539">
                  <c:v>728</c:v>
                </c:pt>
                <c:pt idx="8540">
                  <c:v>728</c:v>
                </c:pt>
                <c:pt idx="8541">
                  <c:v>728</c:v>
                </c:pt>
                <c:pt idx="8542">
                  <c:v>728</c:v>
                </c:pt>
                <c:pt idx="8543">
                  <c:v>728</c:v>
                </c:pt>
                <c:pt idx="8544">
                  <c:v>728</c:v>
                </c:pt>
                <c:pt idx="8545">
                  <c:v>728</c:v>
                </c:pt>
                <c:pt idx="8546">
                  <c:v>728</c:v>
                </c:pt>
                <c:pt idx="8547">
                  <c:v>728</c:v>
                </c:pt>
                <c:pt idx="8548">
                  <c:v>728</c:v>
                </c:pt>
                <c:pt idx="8549">
                  <c:v>728</c:v>
                </c:pt>
                <c:pt idx="8550">
                  <c:v>728</c:v>
                </c:pt>
                <c:pt idx="8551">
                  <c:v>728</c:v>
                </c:pt>
                <c:pt idx="8552">
                  <c:v>728</c:v>
                </c:pt>
                <c:pt idx="8553">
                  <c:v>728</c:v>
                </c:pt>
                <c:pt idx="8554">
                  <c:v>728</c:v>
                </c:pt>
                <c:pt idx="8555">
                  <c:v>728</c:v>
                </c:pt>
                <c:pt idx="8556">
                  <c:v>728</c:v>
                </c:pt>
                <c:pt idx="8557">
                  <c:v>728</c:v>
                </c:pt>
                <c:pt idx="8558">
                  <c:v>728</c:v>
                </c:pt>
                <c:pt idx="8559">
                  <c:v>728</c:v>
                </c:pt>
                <c:pt idx="8560">
                  <c:v>729</c:v>
                </c:pt>
                <c:pt idx="8561">
                  <c:v>728</c:v>
                </c:pt>
                <c:pt idx="8562">
                  <c:v>728</c:v>
                </c:pt>
                <c:pt idx="8563">
                  <c:v>728</c:v>
                </c:pt>
                <c:pt idx="8564">
                  <c:v>728</c:v>
                </c:pt>
                <c:pt idx="8565">
                  <c:v>728</c:v>
                </c:pt>
                <c:pt idx="8566">
                  <c:v>729</c:v>
                </c:pt>
                <c:pt idx="8567">
                  <c:v>728</c:v>
                </c:pt>
                <c:pt idx="8568">
                  <c:v>729</c:v>
                </c:pt>
                <c:pt idx="8569">
                  <c:v>729</c:v>
                </c:pt>
                <c:pt idx="8570">
                  <c:v>729</c:v>
                </c:pt>
                <c:pt idx="8571">
                  <c:v>729</c:v>
                </c:pt>
                <c:pt idx="8572">
                  <c:v>729</c:v>
                </c:pt>
                <c:pt idx="8573">
                  <c:v>729</c:v>
                </c:pt>
                <c:pt idx="8574">
                  <c:v>728</c:v>
                </c:pt>
                <c:pt idx="8575">
                  <c:v>728</c:v>
                </c:pt>
                <c:pt idx="8576">
                  <c:v>728</c:v>
                </c:pt>
                <c:pt idx="8577">
                  <c:v>729</c:v>
                </c:pt>
                <c:pt idx="8578">
                  <c:v>729</c:v>
                </c:pt>
                <c:pt idx="8579">
                  <c:v>728</c:v>
                </c:pt>
                <c:pt idx="8580">
                  <c:v>728</c:v>
                </c:pt>
                <c:pt idx="8581">
                  <c:v>729</c:v>
                </c:pt>
                <c:pt idx="8582">
                  <c:v>729</c:v>
                </c:pt>
                <c:pt idx="8583">
                  <c:v>729</c:v>
                </c:pt>
                <c:pt idx="8584">
                  <c:v>729</c:v>
                </c:pt>
                <c:pt idx="8585">
                  <c:v>729</c:v>
                </c:pt>
                <c:pt idx="8586">
                  <c:v>729</c:v>
                </c:pt>
                <c:pt idx="8587">
                  <c:v>729</c:v>
                </c:pt>
                <c:pt idx="8588">
                  <c:v>728</c:v>
                </c:pt>
                <c:pt idx="8589">
                  <c:v>729</c:v>
                </c:pt>
                <c:pt idx="8590">
                  <c:v>729</c:v>
                </c:pt>
                <c:pt idx="8591">
                  <c:v>729</c:v>
                </c:pt>
                <c:pt idx="8592">
                  <c:v>729</c:v>
                </c:pt>
                <c:pt idx="8593">
                  <c:v>729</c:v>
                </c:pt>
                <c:pt idx="8594">
                  <c:v>729</c:v>
                </c:pt>
                <c:pt idx="8595">
                  <c:v>729</c:v>
                </c:pt>
                <c:pt idx="8596">
                  <c:v>729</c:v>
                </c:pt>
                <c:pt idx="8597">
                  <c:v>729</c:v>
                </c:pt>
                <c:pt idx="8598">
                  <c:v>729</c:v>
                </c:pt>
                <c:pt idx="8599">
                  <c:v>729</c:v>
                </c:pt>
                <c:pt idx="8600">
                  <c:v>728</c:v>
                </c:pt>
                <c:pt idx="8601">
                  <c:v>729</c:v>
                </c:pt>
                <c:pt idx="8602">
                  <c:v>729</c:v>
                </c:pt>
                <c:pt idx="8603">
                  <c:v>728</c:v>
                </c:pt>
                <c:pt idx="8604">
                  <c:v>729</c:v>
                </c:pt>
                <c:pt idx="8605">
                  <c:v>729</c:v>
                </c:pt>
                <c:pt idx="8606">
                  <c:v>729</c:v>
                </c:pt>
                <c:pt idx="8607">
                  <c:v>729</c:v>
                </c:pt>
                <c:pt idx="8608">
                  <c:v>729</c:v>
                </c:pt>
                <c:pt idx="8609">
                  <c:v>729</c:v>
                </c:pt>
                <c:pt idx="8610">
                  <c:v>729</c:v>
                </c:pt>
                <c:pt idx="8611">
                  <c:v>729</c:v>
                </c:pt>
                <c:pt idx="8612">
                  <c:v>728</c:v>
                </c:pt>
                <c:pt idx="8613">
                  <c:v>729</c:v>
                </c:pt>
                <c:pt idx="8614">
                  <c:v>729</c:v>
                </c:pt>
                <c:pt idx="8615">
                  <c:v>729</c:v>
                </c:pt>
                <c:pt idx="8616">
                  <c:v>728</c:v>
                </c:pt>
                <c:pt idx="8617">
                  <c:v>729</c:v>
                </c:pt>
                <c:pt idx="8618">
                  <c:v>729</c:v>
                </c:pt>
                <c:pt idx="8619">
                  <c:v>728</c:v>
                </c:pt>
                <c:pt idx="8620">
                  <c:v>729</c:v>
                </c:pt>
                <c:pt idx="8621">
                  <c:v>728</c:v>
                </c:pt>
                <c:pt idx="8622">
                  <c:v>728</c:v>
                </c:pt>
                <c:pt idx="8623">
                  <c:v>728</c:v>
                </c:pt>
                <c:pt idx="8624">
                  <c:v>728</c:v>
                </c:pt>
                <c:pt idx="8625">
                  <c:v>728</c:v>
                </c:pt>
                <c:pt idx="8626">
                  <c:v>728</c:v>
                </c:pt>
                <c:pt idx="8627">
                  <c:v>728</c:v>
                </c:pt>
                <c:pt idx="8628">
                  <c:v>728</c:v>
                </c:pt>
                <c:pt idx="8629">
                  <c:v>728</c:v>
                </c:pt>
                <c:pt idx="8630">
                  <c:v>728</c:v>
                </c:pt>
                <c:pt idx="8631">
                  <c:v>728</c:v>
                </c:pt>
                <c:pt idx="8632">
                  <c:v>728</c:v>
                </c:pt>
                <c:pt idx="8633">
                  <c:v>728</c:v>
                </c:pt>
                <c:pt idx="8634">
                  <c:v>728</c:v>
                </c:pt>
                <c:pt idx="8635">
                  <c:v>728</c:v>
                </c:pt>
                <c:pt idx="8636">
                  <c:v>728</c:v>
                </c:pt>
                <c:pt idx="8637">
                  <c:v>728</c:v>
                </c:pt>
                <c:pt idx="8638">
                  <c:v>728</c:v>
                </c:pt>
                <c:pt idx="8639">
                  <c:v>728</c:v>
                </c:pt>
                <c:pt idx="8640">
                  <c:v>728</c:v>
                </c:pt>
                <c:pt idx="8641">
                  <c:v>728</c:v>
                </c:pt>
                <c:pt idx="8642">
                  <c:v>728</c:v>
                </c:pt>
                <c:pt idx="8643">
                  <c:v>728</c:v>
                </c:pt>
                <c:pt idx="8644">
                  <c:v>728</c:v>
                </c:pt>
                <c:pt idx="8645">
                  <c:v>728</c:v>
                </c:pt>
                <c:pt idx="8646">
                  <c:v>728</c:v>
                </c:pt>
                <c:pt idx="8647">
                  <c:v>728</c:v>
                </c:pt>
                <c:pt idx="8648">
                  <c:v>728</c:v>
                </c:pt>
                <c:pt idx="8649">
                  <c:v>728</c:v>
                </c:pt>
                <c:pt idx="8650">
                  <c:v>728</c:v>
                </c:pt>
                <c:pt idx="8651">
                  <c:v>728</c:v>
                </c:pt>
                <c:pt idx="8652">
                  <c:v>728</c:v>
                </c:pt>
                <c:pt idx="8653">
                  <c:v>728</c:v>
                </c:pt>
                <c:pt idx="8654">
                  <c:v>728</c:v>
                </c:pt>
                <c:pt idx="8655">
                  <c:v>728</c:v>
                </c:pt>
                <c:pt idx="8656">
                  <c:v>728</c:v>
                </c:pt>
                <c:pt idx="8657">
                  <c:v>728</c:v>
                </c:pt>
                <c:pt idx="8658">
                  <c:v>728</c:v>
                </c:pt>
                <c:pt idx="8659">
                  <c:v>728</c:v>
                </c:pt>
                <c:pt idx="8660">
                  <c:v>728</c:v>
                </c:pt>
                <c:pt idx="8661">
                  <c:v>728</c:v>
                </c:pt>
                <c:pt idx="8662">
                  <c:v>728</c:v>
                </c:pt>
                <c:pt idx="8663">
                  <c:v>728</c:v>
                </c:pt>
                <c:pt idx="8664">
                  <c:v>728</c:v>
                </c:pt>
                <c:pt idx="8665">
                  <c:v>728</c:v>
                </c:pt>
                <c:pt idx="8666">
                  <c:v>728</c:v>
                </c:pt>
                <c:pt idx="8667">
                  <c:v>728</c:v>
                </c:pt>
                <c:pt idx="8668">
                  <c:v>728</c:v>
                </c:pt>
                <c:pt idx="8669">
                  <c:v>728</c:v>
                </c:pt>
                <c:pt idx="8670">
                  <c:v>728</c:v>
                </c:pt>
                <c:pt idx="8671">
                  <c:v>728</c:v>
                </c:pt>
                <c:pt idx="8672">
                  <c:v>728</c:v>
                </c:pt>
                <c:pt idx="8673">
                  <c:v>728</c:v>
                </c:pt>
                <c:pt idx="8674">
                  <c:v>728</c:v>
                </c:pt>
                <c:pt idx="8675">
                  <c:v>728</c:v>
                </c:pt>
                <c:pt idx="8676">
                  <c:v>728</c:v>
                </c:pt>
                <c:pt idx="8677">
                  <c:v>728</c:v>
                </c:pt>
                <c:pt idx="8678">
                  <c:v>728</c:v>
                </c:pt>
                <c:pt idx="8679">
                  <c:v>728</c:v>
                </c:pt>
                <c:pt idx="8680">
                  <c:v>728</c:v>
                </c:pt>
                <c:pt idx="8681">
                  <c:v>728</c:v>
                </c:pt>
                <c:pt idx="8682">
                  <c:v>728</c:v>
                </c:pt>
                <c:pt idx="8683">
                  <c:v>728</c:v>
                </c:pt>
                <c:pt idx="8684">
                  <c:v>728</c:v>
                </c:pt>
                <c:pt idx="8685">
                  <c:v>728</c:v>
                </c:pt>
                <c:pt idx="8686">
                  <c:v>728</c:v>
                </c:pt>
                <c:pt idx="8687">
                  <c:v>728</c:v>
                </c:pt>
                <c:pt idx="8688">
                  <c:v>728</c:v>
                </c:pt>
                <c:pt idx="8689">
                  <c:v>728</c:v>
                </c:pt>
                <c:pt idx="8690">
                  <c:v>728</c:v>
                </c:pt>
                <c:pt idx="8691">
                  <c:v>728</c:v>
                </c:pt>
                <c:pt idx="8692">
                  <c:v>728</c:v>
                </c:pt>
                <c:pt idx="8693">
                  <c:v>728</c:v>
                </c:pt>
                <c:pt idx="8694">
                  <c:v>728</c:v>
                </c:pt>
                <c:pt idx="8695">
                  <c:v>727</c:v>
                </c:pt>
                <c:pt idx="8696">
                  <c:v>728</c:v>
                </c:pt>
                <c:pt idx="8697">
                  <c:v>727</c:v>
                </c:pt>
                <c:pt idx="8698">
                  <c:v>727</c:v>
                </c:pt>
                <c:pt idx="8699">
                  <c:v>727</c:v>
                </c:pt>
                <c:pt idx="8700">
                  <c:v>727</c:v>
                </c:pt>
                <c:pt idx="8701">
                  <c:v>728</c:v>
                </c:pt>
                <c:pt idx="8702">
                  <c:v>728</c:v>
                </c:pt>
                <c:pt idx="8703">
                  <c:v>728</c:v>
                </c:pt>
                <c:pt idx="8704">
                  <c:v>728</c:v>
                </c:pt>
                <c:pt idx="8705">
                  <c:v>728</c:v>
                </c:pt>
                <c:pt idx="8706">
                  <c:v>728</c:v>
                </c:pt>
                <c:pt idx="8707">
                  <c:v>728</c:v>
                </c:pt>
                <c:pt idx="8708">
                  <c:v>728</c:v>
                </c:pt>
                <c:pt idx="8709">
                  <c:v>728</c:v>
                </c:pt>
                <c:pt idx="8710">
                  <c:v>728</c:v>
                </c:pt>
                <c:pt idx="8711">
                  <c:v>728</c:v>
                </c:pt>
                <c:pt idx="8712">
                  <c:v>728</c:v>
                </c:pt>
                <c:pt idx="8713">
                  <c:v>728</c:v>
                </c:pt>
                <c:pt idx="8714">
                  <c:v>728</c:v>
                </c:pt>
                <c:pt idx="8715">
                  <c:v>728</c:v>
                </c:pt>
                <c:pt idx="8716">
                  <c:v>728</c:v>
                </c:pt>
                <c:pt idx="8717">
                  <c:v>728</c:v>
                </c:pt>
                <c:pt idx="8718">
                  <c:v>728</c:v>
                </c:pt>
                <c:pt idx="8719">
                  <c:v>728</c:v>
                </c:pt>
                <c:pt idx="8720">
                  <c:v>728</c:v>
                </c:pt>
                <c:pt idx="8721">
                  <c:v>727</c:v>
                </c:pt>
                <c:pt idx="8722">
                  <c:v>728</c:v>
                </c:pt>
                <c:pt idx="8723">
                  <c:v>728</c:v>
                </c:pt>
                <c:pt idx="8724">
                  <c:v>728</c:v>
                </c:pt>
                <c:pt idx="8725">
                  <c:v>728</c:v>
                </c:pt>
                <c:pt idx="8726">
                  <c:v>728</c:v>
                </c:pt>
                <c:pt idx="8727">
                  <c:v>728</c:v>
                </c:pt>
                <c:pt idx="8728">
                  <c:v>728</c:v>
                </c:pt>
                <c:pt idx="8729">
                  <c:v>728</c:v>
                </c:pt>
                <c:pt idx="8730">
                  <c:v>728</c:v>
                </c:pt>
                <c:pt idx="8731">
                  <c:v>728</c:v>
                </c:pt>
                <c:pt idx="8732">
                  <c:v>728</c:v>
                </c:pt>
                <c:pt idx="8733">
                  <c:v>728</c:v>
                </c:pt>
                <c:pt idx="8734">
                  <c:v>728</c:v>
                </c:pt>
                <c:pt idx="8735">
                  <c:v>728</c:v>
                </c:pt>
                <c:pt idx="8736">
                  <c:v>728</c:v>
                </c:pt>
                <c:pt idx="8737">
                  <c:v>728</c:v>
                </c:pt>
                <c:pt idx="8738">
                  <c:v>728</c:v>
                </c:pt>
                <c:pt idx="8739">
                  <c:v>728</c:v>
                </c:pt>
                <c:pt idx="8740">
                  <c:v>728</c:v>
                </c:pt>
                <c:pt idx="8741">
                  <c:v>728</c:v>
                </c:pt>
                <c:pt idx="8742">
                  <c:v>728</c:v>
                </c:pt>
                <c:pt idx="8743">
                  <c:v>728</c:v>
                </c:pt>
                <c:pt idx="8744">
                  <c:v>728</c:v>
                </c:pt>
                <c:pt idx="8745">
                  <c:v>728</c:v>
                </c:pt>
                <c:pt idx="8746">
                  <c:v>728</c:v>
                </c:pt>
                <c:pt idx="8747">
                  <c:v>728</c:v>
                </c:pt>
                <c:pt idx="8748">
                  <c:v>728</c:v>
                </c:pt>
                <c:pt idx="8749">
                  <c:v>728</c:v>
                </c:pt>
                <c:pt idx="8750">
                  <c:v>728</c:v>
                </c:pt>
                <c:pt idx="8751">
                  <c:v>728</c:v>
                </c:pt>
                <c:pt idx="8752">
                  <c:v>728</c:v>
                </c:pt>
                <c:pt idx="8753">
                  <c:v>728</c:v>
                </c:pt>
                <c:pt idx="8754">
                  <c:v>728</c:v>
                </c:pt>
                <c:pt idx="8755">
                  <c:v>728</c:v>
                </c:pt>
                <c:pt idx="8756">
                  <c:v>728</c:v>
                </c:pt>
                <c:pt idx="8757">
                  <c:v>728</c:v>
                </c:pt>
                <c:pt idx="8758">
                  <c:v>728</c:v>
                </c:pt>
                <c:pt idx="8759">
                  <c:v>728</c:v>
                </c:pt>
              </c:numCache>
            </c:numRef>
          </c:val>
          <c:smooth val="0"/>
          <c:extLst>
            <c:ext xmlns:c16="http://schemas.microsoft.com/office/drawing/2014/chart" uri="{C3380CC4-5D6E-409C-BE32-E72D297353CC}">
              <c16:uniqueId val="{00000000-5383-43F3-BC04-7B3E17D7A814}"/>
            </c:ext>
          </c:extLst>
        </c:ser>
        <c:dLbls>
          <c:showLegendKey val="0"/>
          <c:showVal val="0"/>
          <c:showCatName val="0"/>
          <c:showSerName val="0"/>
          <c:showPercent val="0"/>
          <c:showBubbleSize val="0"/>
        </c:dLbls>
        <c:smooth val="0"/>
        <c:axId val="1898344735"/>
        <c:axId val="1"/>
      </c:lineChart>
      <c:catAx>
        <c:axId val="1898344735"/>
        <c:scaling>
          <c:orientation val="minMax"/>
        </c:scaling>
        <c:delete val="0"/>
        <c:axPos val="b"/>
        <c:minorGridlines>
          <c:spPr>
            <a:ln w="3175">
              <a:solidFill>
                <a:srgbClr val="000000"/>
              </a:solidFill>
              <a:prstDash val="sysDash"/>
            </a:ln>
          </c:spPr>
        </c:minorGridlines>
        <c:title>
          <c:tx>
            <c:rich>
              <a:bodyPr/>
              <a:lstStyle/>
              <a:p>
                <a:pPr>
                  <a:defRPr sz="1200"/>
                </a:pPr>
                <a:r>
                  <a:rPr lang="sl-SI" sz="1200"/>
                  <a:t>Month</a:t>
                </a:r>
              </a:p>
            </c:rich>
          </c:tx>
          <c:layout>
            <c:manualLayout>
              <c:xMode val="edge"/>
              <c:yMode val="edge"/>
              <c:x val="0.48213058419243987"/>
              <c:y val="0.94932426869912767"/>
            </c:manualLayout>
          </c:layout>
          <c:overlay val="0"/>
          <c:spPr>
            <a:noFill/>
            <a:ln w="25400">
              <a:noFill/>
            </a:ln>
          </c:spPr>
        </c:title>
        <c:numFmt formatCode="General" sourceLinked="1"/>
        <c:majorTickMark val="in"/>
        <c:minorTickMark val="none"/>
        <c:tickLblPos val="low"/>
        <c:spPr>
          <a:ln w="6350">
            <a:noFill/>
          </a:ln>
        </c:spPr>
        <c:txPr>
          <a:bodyPr rot="0" vert="horz"/>
          <a:lstStyle/>
          <a:p>
            <a:pPr>
              <a:defRPr sz="1200"/>
            </a:pPr>
            <a:endParaRPr lang="sl-SI"/>
          </a:p>
        </c:txPr>
        <c:crossAx val="1"/>
        <c:crossesAt val="24"/>
        <c:auto val="0"/>
        <c:lblAlgn val="ctr"/>
        <c:lblOffset val="100"/>
        <c:tickLblSkip val="360"/>
        <c:tickMarkSkip val="360"/>
        <c:noMultiLvlLbl val="0"/>
      </c:catAx>
      <c:valAx>
        <c:axId val="1"/>
        <c:scaling>
          <c:orientation val="minMax"/>
          <c:max val="750"/>
          <c:min val="0"/>
        </c:scaling>
        <c:delete val="0"/>
        <c:axPos val="l"/>
        <c:majorGridlines>
          <c:spPr>
            <a:ln w="3175">
              <a:solidFill>
                <a:srgbClr val="000000"/>
              </a:solidFill>
              <a:prstDash val="sysDash"/>
            </a:ln>
          </c:spPr>
        </c:majorGridlines>
        <c:title>
          <c:tx>
            <c:rich>
              <a:bodyPr/>
              <a:lstStyle/>
              <a:p>
                <a:pPr>
                  <a:defRPr sz="1200"/>
                </a:pPr>
                <a:r>
                  <a:rPr lang="sl-SI" sz="1200"/>
                  <a:t>Power [ MW ]</a:t>
                </a:r>
              </a:p>
            </c:rich>
          </c:tx>
          <c:layout>
            <c:manualLayout>
              <c:xMode val="edge"/>
              <c:yMode val="edge"/>
              <c:x val="5.1546391752577319E-3"/>
              <c:y val="0.41554054054054052"/>
            </c:manualLayout>
          </c:layout>
          <c:overlay val="0"/>
          <c:spPr>
            <a:noFill/>
            <a:ln w="25400">
              <a:noFill/>
            </a:ln>
          </c:spPr>
        </c:title>
        <c:numFmt formatCode="General_)" sourceLinked="1"/>
        <c:majorTickMark val="out"/>
        <c:minorTickMark val="none"/>
        <c:tickLblPos val="nextTo"/>
        <c:spPr>
          <a:ln w="12700">
            <a:solidFill>
              <a:srgbClr val="000000"/>
            </a:solidFill>
            <a:prstDash val="solid"/>
          </a:ln>
        </c:spPr>
        <c:txPr>
          <a:bodyPr rot="0" vert="horz"/>
          <a:lstStyle/>
          <a:p>
            <a:pPr>
              <a:defRPr sz="1200"/>
            </a:pPr>
            <a:endParaRPr lang="sl-SI"/>
          </a:p>
        </c:txPr>
        <c:crossAx val="1898344735"/>
        <c:crosses val="autoZero"/>
        <c:crossBetween val="midCat"/>
        <c:minorUnit val="20"/>
      </c:valAx>
      <c:spPr>
        <a:solidFill>
          <a:srgbClr val="FFFFFF"/>
        </a:solidFill>
        <a:ln w="12700">
          <a:solidFill>
            <a:srgbClr val="808080"/>
          </a:solidFill>
          <a:prstDash val="solid"/>
        </a:ln>
      </c:spPr>
    </c:plotArea>
    <c:plotVisOnly val="0"/>
    <c:dispBlanksAs val="gap"/>
    <c:showDLblsOverMax val="0"/>
  </c:chart>
  <c:spPr>
    <a:noFill/>
    <a:ln w="6350">
      <a:solidFill>
        <a:schemeClr val="tx1"/>
      </a:solidFill>
    </a:ln>
  </c:spPr>
  <c:txPr>
    <a:bodyPr/>
    <a:lstStyle/>
    <a:p>
      <a:pPr>
        <a:defRPr sz="1000" b="0" i="0" u="none" strike="noStrike" baseline="0">
          <a:solidFill>
            <a:srgbClr val="000000"/>
          </a:solidFill>
          <a:latin typeface="Garamond" panose="02020404030301010803" pitchFamily="18" charset="0"/>
          <a:ea typeface="Arial"/>
          <a:cs typeface="Arial"/>
        </a:defRPr>
      </a:pPr>
      <a:endParaRPr lang="sl-SI"/>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115990848737487E-2"/>
          <c:y val="6.1760417202751626E-2"/>
          <c:w val="0.76582017488455645"/>
          <c:h val="0.79089839260288541"/>
        </c:manualLayout>
      </c:layout>
      <c:barChart>
        <c:barDir val="col"/>
        <c:grouping val="clustered"/>
        <c:varyColors val="0"/>
        <c:ser>
          <c:idx val="1"/>
          <c:order val="0"/>
          <c:tx>
            <c:v> open temp. modification</c:v>
          </c:tx>
          <c:spPr>
            <a:solidFill>
              <a:srgbClr val="5357FB"/>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'46-ZACASNE_MODIFIKACIJE'!$C$31:$C$42</c:f>
              <c:numCache>
                <c:formatCode>General</c:formatCode>
                <c:ptCount val="12"/>
                <c:pt idx="0">
                  <c:v>16</c:v>
                </c:pt>
                <c:pt idx="1">
                  <c:v>17</c:v>
                </c:pt>
                <c:pt idx="2">
                  <c:v>34</c:v>
                </c:pt>
                <c:pt idx="3">
                  <c:v>53</c:v>
                </c:pt>
                <c:pt idx="4">
                  <c:v>16</c:v>
                </c:pt>
                <c:pt idx="5">
                  <c:v>54</c:v>
                </c:pt>
                <c:pt idx="6">
                  <c:v>52</c:v>
                </c:pt>
                <c:pt idx="7">
                  <c:v>40</c:v>
                </c:pt>
                <c:pt idx="8">
                  <c:v>65</c:v>
                </c:pt>
                <c:pt idx="9">
                  <c:v>61</c:v>
                </c:pt>
                <c:pt idx="10">
                  <c:v>32</c:v>
                </c:pt>
                <c:pt idx="11">
                  <c:v>51</c:v>
                </c:pt>
              </c:numCache>
            </c:numRef>
          </c:val>
          <c:extLst>
            <c:ext xmlns:c16="http://schemas.microsoft.com/office/drawing/2014/chart" uri="{C3380CC4-5D6E-409C-BE32-E72D297353CC}">
              <c16:uniqueId val="{00000000-DF30-4C94-BC9D-94289DCF22C4}"/>
            </c:ext>
          </c:extLst>
        </c:ser>
        <c:ser>
          <c:idx val="2"/>
          <c:order val="1"/>
          <c:tx>
            <c:v> unfinished temp. modification</c:v>
          </c:tx>
          <c:spPr>
            <a:solidFill>
              <a:srgbClr val="92D050"/>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'46-ZACASNE_MODIFIKACIJE'!$E$31:$E$42</c:f>
              <c:numCache>
                <c:formatCode>General</c:formatCode>
                <c:ptCount val="12"/>
                <c:pt idx="0">
                  <c:v>16</c:v>
                </c:pt>
                <c:pt idx="1">
                  <c:v>23</c:v>
                </c:pt>
                <c:pt idx="2">
                  <c:v>20</c:v>
                </c:pt>
                <c:pt idx="3">
                  <c:v>18</c:v>
                </c:pt>
                <c:pt idx="4">
                  <c:v>16</c:v>
                </c:pt>
                <c:pt idx="5">
                  <c:v>23</c:v>
                </c:pt>
                <c:pt idx="6">
                  <c:v>29</c:v>
                </c:pt>
                <c:pt idx="7">
                  <c:v>36</c:v>
                </c:pt>
                <c:pt idx="8">
                  <c:v>39</c:v>
                </c:pt>
                <c:pt idx="9">
                  <c:v>32</c:v>
                </c:pt>
                <c:pt idx="10">
                  <c:v>18</c:v>
                </c:pt>
                <c:pt idx="11">
                  <c:v>17</c:v>
                </c:pt>
              </c:numCache>
            </c:numRef>
          </c:val>
          <c:extLst>
            <c:ext xmlns:c16="http://schemas.microsoft.com/office/drawing/2014/chart" uri="{C3380CC4-5D6E-409C-BE32-E72D297353CC}">
              <c16:uniqueId val="{00000001-DF30-4C94-BC9D-94289DCF22C4}"/>
            </c:ext>
          </c:extLst>
        </c:ser>
        <c:ser>
          <c:idx val="5"/>
          <c:order val="3"/>
          <c:tx>
            <c:v> unfin. temp. mod. more than 6 months</c:v>
          </c:tx>
          <c:spPr>
            <a:solidFill>
              <a:srgbClr val="7030A0"/>
            </a:solidFill>
            <a:ln w="25400">
              <a:noFill/>
            </a:ln>
          </c:spPr>
          <c:invertIfNegative val="0"/>
          <c:cat>
            <c:numRef>
              <c:f>'46-ZACASNE_MODIFIKACIJE'!$B$31:$B$42</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'46-ZACASNE_MODIFIKACIJE'!$F$31:$F$42</c:f>
              <c:numCache>
                <c:formatCode>General</c:formatCode>
                <c:ptCount val="12"/>
                <c:pt idx="0">
                  <c:v>9</c:v>
                </c:pt>
                <c:pt idx="1">
                  <c:v>18</c:v>
                </c:pt>
                <c:pt idx="2">
                  <c:v>27</c:v>
                </c:pt>
                <c:pt idx="3">
                  <c:v>5</c:v>
                </c:pt>
                <c:pt idx="4">
                  <c:v>3</c:v>
                </c:pt>
                <c:pt idx="5">
                  <c:v>9</c:v>
                </c:pt>
                <c:pt idx="6">
                  <c:v>14</c:v>
                </c:pt>
                <c:pt idx="7">
                  <c:v>19</c:v>
                </c:pt>
                <c:pt idx="8">
                  <c:v>27</c:v>
                </c:pt>
                <c:pt idx="9">
                  <c:v>20</c:v>
                </c:pt>
                <c:pt idx="10">
                  <c:v>16</c:v>
                </c:pt>
                <c:pt idx="11">
                  <c:v>12</c:v>
                </c:pt>
              </c:numCache>
            </c:numRef>
          </c:val>
          <c:extLst>
            <c:ext xmlns:c16="http://schemas.microsoft.com/office/drawing/2014/chart" uri="{C3380CC4-5D6E-409C-BE32-E72D297353CC}">
              <c16:uniqueId val="{00000002-DF30-4C94-BC9D-94289DCF22C4}"/>
            </c:ext>
          </c:extLst>
        </c:ser>
        <c:dLbls>
          <c:showLegendKey val="0"/>
          <c:showVal val="0"/>
          <c:showCatName val="0"/>
          <c:showSerName val="0"/>
          <c:showPercent val="0"/>
          <c:showBubbleSize val="0"/>
        </c:dLbls>
        <c:gapWidth val="150"/>
        <c:axId val="459213328"/>
        <c:axId val="1"/>
      </c:barChart>
      <c:lineChart>
        <c:grouping val="standard"/>
        <c:varyColors val="0"/>
        <c:ser>
          <c:idx val="3"/>
          <c:order val="2"/>
          <c:tx>
            <c:v> warning for unfinished temp. modification</c:v>
          </c:tx>
          <c:spPr>
            <a:ln w="25400">
              <a:solidFill>
                <a:srgbClr val="FFC000"/>
              </a:solidFill>
              <a:prstDash val="solid"/>
            </a:ln>
          </c:spPr>
          <c:marker>
            <c:symbol val="none"/>
          </c:marker>
          <c:val>
            <c:numRef>
              <c:f>'46-ZACASNE_MODIFIKACIJE'!$H$31:$H$42</c:f>
              <c:numCache>
                <c:formatCode>General</c:formatCode>
                <c:ptCount val="12"/>
                <c:pt idx="0">
                  <c:v>35</c:v>
                </c:pt>
                <c:pt idx="1">
                  <c:v>35</c:v>
                </c:pt>
                <c:pt idx="2">
                  <c:v>35</c:v>
                </c:pt>
                <c:pt idx="3">
                  <c:v>35</c:v>
                </c:pt>
                <c:pt idx="4">
                  <c:v>35</c:v>
                </c:pt>
                <c:pt idx="5">
                  <c:v>35</c:v>
                </c:pt>
                <c:pt idx="6">
                  <c:v>35</c:v>
                </c:pt>
                <c:pt idx="7">
                  <c:v>35</c:v>
                </c:pt>
                <c:pt idx="8">
                  <c:v>35</c:v>
                </c:pt>
                <c:pt idx="9">
                  <c:v>35</c:v>
                </c:pt>
                <c:pt idx="10">
                  <c:v>35</c:v>
                </c:pt>
                <c:pt idx="11">
                  <c:v>35</c:v>
                </c:pt>
              </c:numCache>
            </c:numRef>
          </c:val>
          <c:smooth val="0"/>
          <c:extLst>
            <c:ext xmlns:c16="http://schemas.microsoft.com/office/drawing/2014/chart" uri="{C3380CC4-5D6E-409C-BE32-E72D297353CC}">
              <c16:uniqueId val="{00000003-DF30-4C94-BC9D-94289DCF22C4}"/>
            </c:ext>
          </c:extLst>
        </c:ser>
        <c:dLbls>
          <c:showLegendKey val="0"/>
          <c:showVal val="0"/>
          <c:showCatName val="0"/>
          <c:showSerName val="0"/>
          <c:showPercent val="0"/>
          <c:showBubbleSize val="0"/>
        </c:dLbls>
        <c:marker val="1"/>
        <c:smooth val="0"/>
        <c:axId val="3"/>
        <c:axId val="4"/>
      </c:lineChart>
      <c:catAx>
        <c:axId val="45921332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sl-SI"/>
                  <a:t>No.</a:t>
                </a:r>
                <a:endParaRPr lang="en-GB"/>
              </a:p>
            </c:rich>
          </c:tx>
          <c:layout>
            <c:manualLayout>
              <c:xMode val="edge"/>
              <c:yMode val="edge"/>
              <c:x val="3.7141308594287353E-2"/>
              <c:y val="4.6503206086580947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459213328"/>
        <c:crosses val="autoZero"/>
        <c:crossBetween val="between"/>
      </c:valAx>
      <c:catAx>
        <c:axId val="3"/>
        <c:scaling>
          <c:orientation val="minMax"/>
        </c:scaling>
        <c:delete val="1"/>
        <c:axPos val="b"/>
        <c:majorTickMark val="out"/>
        <c:minorTickMark val="none"/>
        <c:tickLblPos val="nextTo"/>
        <c:crossAx val="4"/>
        <c:crosses val="autoZero"/>
        <c:auto val="0"/>
        <c:lblAlgn val="ctr"/>
        <c:lblOffset val="100"/>
        <c:noMultiLvlLbl val="0"/>
      </c:catAx>
      <c:valAx>
        <c:axId val="4"/>
        <c:scaling>
          <c:orientation val="minMax"/>
        </c:scaling>
        <c:delete val="1"/>
        <c:axPos val="l"/>
        <c:numFmt formatCode="General" sourceLinked="1"/>
        <c:majorTickMark val="out"/>
        <c:minorTickMark val="none"/>
        <c:tickLblPos val="nextTo"/>
        <c:crossAx val="3"/>
        <c:crosses val="autoZero"/>
        <c:crossBetween val="between"/>
      </c:valAx>
      <c:spPr>
        <a:solidFill>
          <a:srgbClr val="FFFFFF"/>
        </a:solidFill>
        <a:ln w="3175">
          <a:solidFill>
            <a:schemeClr val="tx1"/>
          </a:solidFill>
          <a:prstDash val="solid"/>
        </a:ln>
      </c:spPr>
    </c:plotArea>
    <c:legend>
      <c:legendPos val="r"/>
      <c:layout>
        <c:manualLayout>
          <c:xMode val="edge"/>
          <c:yMode val="edge"/>
          <c:x val="0.81865883116811666"/>
          <c:y val="4.3739360854653554E-2"/>
          <c:w val="0.1698114583161382"/>
          <c:h val="0.84949561017332909"/>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6589619845904"/>
          <c:y val="7.06402512892048E-2"/>
          <c:w val="0.82331453729574122"/>
          <c:h val="0.77483610745228737"/>
        </c:manualLayout>
      </c:layout>
      <c:barChart>
        <c:barDir val="col"/>
        <c:grouping val="clustered"/>
        <c:varyColors val="0"/>
        <c:ser>
          <c:idx val="1"/>
          <c:order val="0"/>
          <c:spPr>
            <a:solidFill>
              <a:srgbClr val="9999FF"/>
            </a:solidFill>
            <a:ln w="12700">
              <a:solidFill>
                <a:srgbClr val="000000"/>
              </a:solidFill>
              <a:prstDash val="solid"/>
            </a:ln>
          </c:spPr>
          <c:invertIfNegative val="0"/>
          <c:cat>
            <c:numRef>
              <c:f>List3!$B$12:$B$26</c:f>
              <c:numCache>
                <c:formatCode>General</c:formatCode>
                <c:ptCount val="15"/>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numCache>
            </c:numRef>
          </c:cat>
          <c:val>
            <c:numRef>
              <c:f>List3!$C$12:$C$26</c:f>
              <c:numCache>
                <c:formatCode>General</c:formatCode>
                <c:ptCount val="15"/>
                <c:pt idx="0">
                  <c:v>0</c:v>
                </c:pt>
                <c:pt idx="1">
                  <c:v>0</c:v>
                </c:pt>
                <c:pt idx="2">
                  <c:v>0</c:v>
                </c:pt>
                <c:pt idx="3">
                  <c:v>1</c:v>
                </c:pt>
                <c:pt idx="4">
                  <c:v>4</c:v>
                </c:pt>
                <c:pt idx="5">
                  <c:v>2</c:v>
                </c:pt>
                <c:pt idx="6">
                  <c:v>4</c:v>
                </c:pt>
                <c:pt idx="7">
                  <c:v>0</c:v>
                </c:pt>
                <c:pt idx="8">
                  <c:v>3</c:v>
                </c:pt>
                <c:pt idx="9">
                  <c:v>6</c:v>
                </c:pt>
                <c:pt idx="10">
                  <c:v>2</c:v>
                </c:pt>
                <c:pt idx="11">
                  <c:v>0</c:v>
                </c:pt>
                <c:pt idx="12">
                  <c:v>0</c:v>
                </c:pt>
                <c:pt idx="13">
                  <c:v>0</c:v>
                </c:pt>
                <c:pt idx="14">
                  <c:v>1</c:v>
                </c:pt>
              </c:numCache>
            </c:numRef>
          </c:val>
          <c:extLst>
            <c:ext xmlns:c16="http://schemas.microsoft.com/office/drawing/2014/chart" uri="{C3380CC4-5D6E-409C-BE32-E72D297353CC}">
              <c16:uniqueId val="{00000000-2F90-4EE5-ACD5-9F0196A77C17}"/>
            </c:ext>
          </c:extLst>
        </c:ser>
        <c:dLbls>
          <c:showLegendKey val="0"/>
          <c:showVal val="0"/>
          <c:showCatName val="0"/>
          <c:showSerName val="0"/>
          <c:showPercent val="0"/>
          <c:showBubbleSize val="0"/>
        </c:dLbls>
        <c:gapWidth val="150"/>
        <c:axId val="330801664"/>
        <c:axId val="1"/>
      </c:barChart>
      <c:catAx>
        <c:axId val="3308016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sl-SI"/>
                  <a:t>Fuel cycle</a:t>
                </a:r>
              </a:p>
            </c:rich>
          </c:tx>
          <c:layout>
            <c:manualLayout>
              <c:xMode val="edge"/>
              <c:yMode val="edge"/>
              <c:x val="0.42513002003781791"/>
              <c:y val="0.9139092656153023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1"/>
        <c:crosses val="autoZero"/>
        <c:auto val="1"/>
        <c:lblAlgn val="ctr"/>
        <c:lblOffset val="100"/>
        <c:tickLblSkip val="1"/>
        <c:tickMarkSkip val="1"/>
        <c:noMultiLvlLbl val="0"/>
      </c:catAx>
      <c:valAx>
        <c:axId val="1"/>
        <c:scaling>
          <c:orientation val="minMax"/>
          <c:max val="7"/>
        </c:scaling>
        <c:delete val="0"/>
        <c:axPos val="l"/>
        <c:majorGridlines>
          <c:spPr>
            <a:ln w="3175">
              <a:solidFill>
                <a:srgbClr val="000000"/>
              </a:solidFill>
              <a:prstDash val="solid"/>
            </a:ln>
          </c:spPr>
        </c:majorGridlines>
        <c:title>
          <c:tx>
            <c:rich>
              <a:bodyPr/>
              <a:lstStyle/>
              <a:p>
                <a:pPr>
                  <a:defRPr/>
                </a:pPr>
                <a:r>
                  <a:rPr lang="sl-SI" b="1"/>
                  <a:t>Number of</a:t>
                </a:r>
                <a:r>
                  <a:rPr lang="sl-SI" b="1" baseline="0"/>
                  <a:t> leaking fuel assemblies</a:t>
                </a:r>
                <a:endParaRPr lang="sl-SI" b="1"/>
              </a:p>
            </c:rich>
          </c:tx>
          <c:layout>
            <c:manualLayout>
              <c:xMode val="edge"/>
              <c:yMode val="edge"/>
              <c:x val="4.3537719075438151E-2"/>
              <c:y val="0.25952067957317304"/>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l-SI"/>
          </a:p>
        </c:txPr>
        <c:crossAx val="330801664"/>
        <c:crosses val="autoZero"/>
        <c:crossBetween val="between"/>
        <c:majorUnit val="1"/>
        <c:minorUnit val="0.1"/>
      </c:valAx>
      <c:spPr>
        <a:noFill/>
        <a:ln w="12700">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187450405908563E-2"/>
          <c:y val="3.1007745055518735E-2"/>
          <c:w val="0.90773938141453248"/>
          <c:h val="0.9035989848459357"/>
        </c:manualLayout>
      </c:layout>
      <c:barChart>
        <c:barDir val="col"/>
        <c:grouping val="clustered"/>
        <c:varyColors val="0"/>
        <c:ser>
          <c:idx val="0"/>
          <c:order val="0"/>
          <c:tx>
            <c:v>1997</c:v>
          </c:tx>
          <c:spPr>
            <a:solidFill>
              <a:schemeClr val="accent1"/>
            </a:solidFill>
            <a:ln>
              <a:noFill/>
            </a:ln>
            <a:effectLst/>
          </c:spPr>
          <c:invertIfNegative val="0"/>
          <c:val>
            <c:numRef>
              <c:f>abcd!$B$93:$E$93</c:f>
              <c:numCache>
                <c:formatCode>General</c:formatCode>
                <c:ptCount val="4"/>
                <c:pt idx="0">
                  <c:v>62.1</c:v>
                </c:pt>
                <c:pt idx="1">
                  <c:v>23.2</c:v>
                </c:pt>
                <c:pt idx="2">
                  <c:v>12.6</c:v>
                </c:pt>
                <c:pt idx="3">
                  <c:v>2.1</c:v>
                </c:pt>
              </c:numCache>
            </c:numRef>
          </c:val>
          <c:extLst>
            <c:ext xmlns:c16="http://schemas.microsoft.com/office/drawing/2014/chart" uri="{C3380CC4-5D6E-409C-BE32-E72D297353CC}">
              <c16:uniqueId val="{00000000-DB1E-446C-8F34-FCF906B29C30}"/>
            </c:ext>
          </c:extLst>
        </c:ser>
        <c:ser>
          <c:idx val="1"/>
          <c:order val="1"/>
          <c:tx>
            <c:v>1999</c:v>
          </c:tx>
          <c:spPr>
            <a:solidFill>
              <a:schemeClr val="accent2"/>
            </a:solidFill>
            <a:ln>
              <a:noFill/>
            </a:ln>
            <a:effectLst/>
          </c:spPr>
          <c:invertIfNegative val="0"/>
          <c:val>
            <c:numRef>
              <c:f>abcd!$B$94:$E$94</c:f>
              <c:numCache>
                <c:formatCode>General</c:formatCode>
                <c:ptCount val="4"/>
                <c:pt idx="0">
                  <c:v>67.3</c:v>
                </c:pt>
                <c:pt idx="1">
                  <c:v>20</c:v>
                </c:pt>
                <c:pt idx="2">
                  <c:v>11.6</c:v>
                </c:pt>
                <c:pt idx="3">
                  <c:v>1.1000000000000001</c:v>
                </c:pt>
              </c:numCache>
            </c:numRef>
          </c:val>
          <c:extLst>
            <c:ext xmlns:c16="http://schemas.microsoft.com/office/drawing/2014/chart" uri="{C3380CC4-5D6E-409C-BE32-E72D297353CC}">
              <c16:uniqueId val="{00000001-DB1E-446C-8F34-FCF906B29C30}"/>
            </c:ext>
          </c:extLst>
        </c:ser>
        <c:ser>
          <c:idx val="2"/>
          <c:order val="2"/>
          <c:tx>
            <c:v>2001</c:v>
          </c:tx>
          <c:spPr>
            <a:solidFill>
              <a:schemeClr val="accent3"/>
            </a:solidFill>
            <a:ln>
              <a:noFill/>
            </a:ln>
            <a:effectLst/>
          </c:spPr>
          <c:invertIfNegative val="0"/>
          <c:val>
            <c:numRef>
              <c:f>abcd!$B$95:$E$95</c:f>
              <c:numCache>
                <c:formatCode>General</c:formatCode>
                <c:ptCount val="4"/>
                <c:pt idx="0">
                  <c:v>71.5</c:v>
                </c:pt>
                <c:pt idx="1">
                  <c:v>13.7</c:v>
                </c:pt>
                <c:pt idx="2">
                  <c:v>9.5</c:v>
                </c:pt>
                <c:pt idx="3">
                  <c:v>5.3</c:v>
                </c:pt>
              </c:numCache>
            </c:numRef>
          </c:val>
          <c:extLst>
            <c:ext xmlns:c16="http://schemas.microsoft.com/office/drawing/2014/chart" uri="{C3380CC4-5D6E-409C-BE32-E72D297353CC}">
              <c16:uniqueId val="{00000002-DB1E-446C-8F34-FCF906B29C30}"/>
            </c:ext>
          </c:extLst>
        </c:ser>
        <c:ser>
          <c:idx val="3"/>
          <c:order val="3"/>
          <c:tx>
            <c:v>2002</c:v>
          </c:tx>
          <c:spPr>
            <a:solidFill>
              <a:schemeClr val="accent4"/>
            </a:solidFill>
            <a:ln>
              <a:noFill/>
            </a:ln>
            <a:effectLst/>
          </c:spPr>
          <c:invertIfNegative val="0"/>
          <c:val>
            <c:numRef>
              <c:f>abcd!$B$96:$E$96</c:f>
              <c:numCache>
                <c:formatCode>General</c:formatCode>
                <c:ptCount val="4"/>
                <c:pt idx="0">
                  <c:v>75.5</c:v>
                </c:pt>
                <c:pt idx="1">
                  <c:v>13.3</c:v>
                </c:pt>
                <c:pt idx="2">
                  <c:v>10.199999999999999</c:v>
                </c:pt>
                <c:pt idx="3">
                  <c:v>1</c:v>
                </c:pt>
              </c:numCache>
            </c:numRef>
          </c:val>
          <c:extLst>
            <c:ext xmlns:c16="http://schemas.microsoft.com/office/drawing/2014/chart" uri="{C3380CC4-5D6E-409C-BE32-E72D297353CC}">
              <c16:uniqueId val="{00000003-DB1E-446C-8F34-FCF906B29C30}"/>
            </c:ext>
          </c:extLst>
        </c:ser>
        <c:ser>
          <c:idx val="4"/>
          <c:order val="4"/>
          <c:tx>
            <c:v>2003</c:v>
          </c:tx>
          <c:spPr>
            <a:solidFill>
              <a:schemeClr val="accent5"/>
            </a:solidFill>
            <a:ln>
              <a:noFill/>
            </a:ln>
            <a:effectLst/>
          </c:spPr>
          <c:invertIfNegative val="0"/>
          <c:val>
            <c:numRef>
              <c:f>abcd!$B$97:$E$97</c:f>
              <c:numCache>
                <c:formatCode>General</c:formatCode>
                <c:ptCount val="4"/>
                <c:pt idx="0">
                  <c:v>78.900000000000006</c:v>
                </c:pt>
                <c:pt idx="1">
                  <c:v>10.1</c:v>
                </c:pt>
                <c:pt idx="2">
                  <c:v>9.8000000000000007</c:v>
                </c:pt>
                <c:pt idx="3">
                  <c:v>1.2</c:v>
                </c:pt>
              </c:numCache>
            </c:numRef>
          </c:val>
          <c:extLst>
            <c:ext xmlns:c16="http://schemas.microsoft.com/office/drawing/2014/chart" uri="{C3380CC4-5D6E-409C-BE32-E72D297353CC}">
              <c16:uniqueId val="{00000004-DB1E-446C-8F34-FCF906B29C30}"/>
            </c:ext>
          </c:extLst>
        </c:ser>
        <c:ser>
          <c:idx val="5"/>
          <c:order val="5"/>
          <c:tx>
            <c:v>2004</c:v>
          </c:tx>
          <c:spPr>
            <a:solidFill>
              <a:schemeClr val="accent6"/>
            </a:solidFill>
            <a:ln>
              <a:noFill/>
            </a:ln>
            <a:effectLst/>
          </c:spPr>
          <c:invertIfNegative val="0"/>
          <c:val>
            <c:numRef>
              <c:f>abcd!$B$98:$E$98</c:f>
              <c:numCache>
                <c:formatCode>General</c:formatCode>
                <c:ptCount val="4"/>
                <c:pt idx="0">
                  <c:v>86.8</c:v>
                </c:pt>
                <c:pt idx="1">
                  <c:v>5.5</c:v>
                </c:pt>
                <c:pt idx="2">
                  <c:v>5.5</c:v>
                </c:pt>
                <c:pt idx="3">
                  <c:v>2.2000000000000002</c:v>
                </c:pt>
              </c:numCache>
            </c:numRef>
          </c:val>
          <c:extLst>
            <c:ext xmlns:c16="http://schemas.microsoft.com/office/drawing/2014/chart" uri="{C3380CC4-5D6E-409C-BE32-E72D297353CC}">
              <c16:uniqueId val="{00000005-DB1E-446C-8F34-FCF906B29C30}"/>
            </c:ext>
          </c:extLst>
        </c:ser>
        <c:ser>
          <c:idx val="6"/>
          <c:order val="6"/>
          <c:tx>
            <c:v>2005</c:v>
          </c:tx>
          <c:spPr>
            <a:solidFill>
              <a:schemeClr val="accent1">
                <a:lumMod val="60000"/>
              </a:schemeClr>
            </a:solidFill>
            <a:ln>
              <a:noFill/>
            </a:ln>
            <a:effectLst/>
          </c:spPr>
          <c:invertIfNegative val="0"/>
          <c:val>
            <c:numRef>
              <c:f>abcd!$B$99:$E$99</c:f>
              <c:numCache>
                <c:formatCode>General</c:formatCode>
                <c:ptCount val="4"/>
                <c:pt idx="0">
                  <c:v>91.8</c:v>
                </c:pt>
                <c:pt idx="1">
                  <c:v>3.5</c:v>
                </c:pt>
                <c:pt idx="2">
                  <c:v>3.4</c:v>
                </c:pt>
                <c:pt idx="3">
                  <c:v>1.3</c:v>
                </c:pt>
              </c:numCache>
            </c:numRef>
          </c:val>
          <c:extLst>
            <c:ext xmlns:c16="http://schemas.microsoft.com/office/drawing/2014/chart" uri="{C3380CC4-5D6E-409C-BE32-E72D297353CC}">
              <c16:uniqueId val="{00000006-DB1E-446C-8F34-FCF906B29C30}"/>
            </c:ext>
          </c:extLst>
        </c:ser>
        <c:ser>
          <c:idx val="7"/>
          <c:order val="7"/>
          <c:tx>
            <c:v>2006</c:v>
          </c:tx>
          <c:spPr>
            <a:solidFill>
              <a:schemeClr val="accent2">
                <a:lumMod val="60000"/>
              </a:schemeClr>
            </a:solidFill>
            <a:ln>
              <a:noFill/>
            </a:ln>
            <a:effectLst/>
          </c:spPr>
          <c:invertIfNegative val="0"/>
          <c:val>
            <c:numRef>
              <c:f>abcd!$B$100:$E$100</c:f>
              <c:numCache>
                <c:formatCode>General</c:formatCode>
                <c:ptCount val="4"/>
                <c:pt idx="0">
                  <c:v>90.3</c:v>
                </c:pt>
                <c:pt idx="1">
                  <c:v>4.3</c:v>
                </c:pt>
                <c:pt idx="2">
                  <c:v>4.3</c:v>
                </c:pt>
                <c:pt idx="3">
                  <c:v>1.1000000000000001</c:v>
                </c:pt>
              </c:numCache>
            </c:numRef>
          </c:val>
          <c:extLst>
            <c:ext xmlns:c16="http://schemas.microsoft.com/office/drawing/2014/chart" uri="{C3380CC4-5D6E-409C-BE32-E72D297353CC}">
              <c16:uniqueId val="{00000007-DB1E-446C-8F34-FCF906B29C30}"/>
            </c:ext>
          </c:extLst>
        </c:ser>
        <c:ser>
          <c:idx val="8"/>
          <c:order val="8"/>
          <c:tx>
            <c:v>2007</c:v>
          </c:tx>
          <c:spPr>
            <a:solidFill>
              <a:schemeClr val="accent3">
                <a:lumMod val="60000"/>
              </a:schemeClr>
            </a:solidFill>
            <a:ln>
              <a:noFill/>
            </a:ln>
            <a:effectLst/>
          </c:spPr>
          <c:invertIfNegative val="0"/>
          <c:val>
            <c:numRef>
              <c:f>abcd!$B$101:$E$101</c:f>
              <c:numCache>
                <c:formatCode>General</c:formatCode>
                <c:ptCount val="4"/>
                <c:pt idx="0">
                  <c:v>91.3</c:v>
                </c:pt>
                <c:pt idx="1">
                  <c:v>4.4000000000000004</c:v>
                </c:pt>
                <c:pt idx="2">
                  <c:v>3.2</c:v>
                </c:pt>
                <c:pt idx="3">
                  <c:v>1.1000000000000001</c:v>
                </c:pt>
              </c:numCache>
            </c:numRef>
          </c:val>
          <c:extLst>
            <c:ext xmlns:c16="http://schemas.microsoft.com/office/drawing/2014/chart" uri="{C3380CC4-5D6E-409C-BE32-E72D297353CC}">
              <c16:uniqueId val="{00000008-DB1E-446C-8F34-FCF906B29C30}"/>
            </c:ext>
          </c:extLst>
        </c:ser>
        <c:ser>
          <c:idx val="9"/>
          <c:order val="9"/>
          <c:tx>
            <c:v>2008</c:v>
          </c:tx>
          <c:spPr>
            <a:solidFill>
              <a:schemeClr val="accent4">
                <a:lumMod val="60000"/>
              </a:schemeClr>
            </a:solidFill>
            <a:ln>
              <a:noFill/>
            </a:ln>
            <a:effectLst/>
          </c:spPr>
          <c:invertIfNegative val="0"/>
          <c:val>
            <c:numRef>
              <c:f>abcd!$B$102:$E$102</c:f>
              <c:numCache>
                <c:formatCode>General</c:formatCode>
                <c:ptCount val="4"/>
                <c:pt idx="0">
                  <c:v>92.9</c:v>
                </c:pt>
                <c:pt idx="1">
                  <c:v>1.8</c:v>
                </c:pt>
                <c:pt idx="2">
                  <c:v>1.4</c:v>
                </c:pt>
                <c:pt idx="3">
                  <c:v>3.9</c:v>
                </c:pt>
              </c:numCache>
            </c:numRef>
          </c:val>
          <c:extLst>
            <c:ext xmlns:c16="http://schemas.microsoft.com/office/drawing/2014/chart" uri="{C3380CC4-5D6E-409C-BE32-E72D297353CC}">
              <c16:uniqueId val="{00000009-DB1E-446C-8F34-FCF906B29C30}"/>
            </c:ext>
          </c:extLst>
        </c:ser>
        <c:ser>
          <c:idx val="10"/>
          <c:order val="10"/>
          <c:tx>
            <c:v>2009</c:v>
          </c:tx>
          <c:spPr>
            <a:solidFill>
              <a:schemeClr val="accent5">
                <a:lumMod val="60000"/>
              </a:schemeClr>
            </a:solidFill>
            <a:ln>
              <a:noFill/>
            </a:ln>
            <a:effectLst/>
          </c:spPr>
          <c:invertIfNegative val="0"/>
          <c:val>
            <c:numRef>
              <c:f>abcd!$B$103:$E$103</c:f>
              <c:numCache>
                <c:formatCode>General</c:formatCode>
                <c:ptCount val="4"/>
                <c:pt idx="0">
                  <c:v>94.8</c:v>
                </c:pt>
                <c:pt idx="1">
                  <c:v>1</c:v>
                </c:pt>
                <c:pt idx="2">
                  <c:v>2.7</c:v>
                </c:pt>
                <c:pt idx="3">
                  <c:v>1.5</c:v>
                </c:pt>
              </c:numCache>
            </c:numRef>
          </c:val>
          <c:extLst>
            <c:ext xmlns:c16="http://schemas.microsoft.com/office/drawing/2014/chart" uri="{C3380CC4-5D6E-409C-BE32-E72D297353CC}">
              <c16:uniqueId val="{0000000A-DB1E-446C-8F34-FCF906B29C30}"/>
            </c:ext>
          </c:extLst>
        </c:ser>
        <c:ser>
          <c:idx val="11"/>
          <c:order val="11"/>
          <c:tx>
            <c:v>2010</c:v>
          </c:tx>
          <c:spPr>
            <a:solidFill>
              <a:schemeClr val="accent6">
                <a:lumMod val="60000"/>
              </a:schemeClr>
            </a:solidFill>
            <a:ln>
              <a:noFill/>
            </a:ln>
            <a:effectLst/>
          </c:spPr>
          <c:invertIfNegative val="0"/>
          <c:val>
            <c:numRef>
              <c:f>abcd!$B$104:$E$104</c:f>
              <c:numCache>
                <c:formatCode>General</c:formatCode>
                <c:ptCount val="4"/>
                <c:pt idx="0">
                  <c:v>96.5</c:v>
                </c:pt>
                <c:pt idx="1">
                  <c:v>1.7</c:v>
                </c:pt>
                <c:pt idx="2">
                  <c:v>1.6</c:v>
                </c:pt>
                <c:pt idx="3">
                  <c:v>0.2</c:v>
                </c:pt>
              </c:numCache>
            </c:numRef>
          </c:val>
          <c:extLst>
            <c:ext xmlns:c16="http://schemas.microsoft.com/office/drawing/2014/chart" uri="{C3380CC4-5D6E-409C-BE32-E72D297353CC}">
              <c16:uniqueId val="{0000000B-DB1E-446C-8F34-FCF906B29C30}"/>
            </c:ext>
          </c:extLst>
        </c:ser>
        <c:ser>
          <c:idx val="12"/>
          <c:order val="12"/>
          <c:tx>
            <c:v>2011</c:v>
          </c:tx>
          <c:spPr>
            <a:solidFill>
              <a:schemeClr val="accent1">
                <a:lumMod val="80000"/>
                <a:lumOff val="20000"/>
              </a:schemeClr>
            </a:solidFill>
            <a:ln>
              <a:noFill/>
            </a:ln>
            <a:effectLst/>
          </c:spPr>
          <c:invertIfNegative val="0"/>
          <c:val>
            <c:numRef>
              <c:f>abcd!$B$105:$E$105</c:f>
              <c:numCache>
                <c:formatCode>General</c:formatCode>
                <c:ptCount val="4"/>
                <c:pt idx="0">
                  <c:v>97.08</c:v>
                </c:pt>
                <c:pt idx="1">
                  <c:v>0.82</c:v>
                </c:pt>
                <c:pt idx="2">
                  <c:v>1.87</c:v>
                </c:pt>
                <c:pt idx="3">
                  <c:v>0.23</c:v>
                </c:pt>
              </c:numCache>
            </c:numRef>
          </c:val>
          <c:extLst>
            <c:ext xmlns:c16="http://schemas.microsoft.com/office/drawing/2014/chart" uri="{C3380CC4-5D6E-409C-BE32-E72D297353CC}">
              <c16:uniqueId val="{0000000C-DB1E-446C-8F34-FCF906B29C30}"/>
            </c:ext>
          </c:extLst>
        </c:ser>
        <c:ser>
          <c:idx val="13"/>
          <c:order val="13"/>
          <c:tx>
            <c:v>2012</c:v>
          </c:tx>
          <c:spPr>
            <a:solidFill>
              <a:schemeClr val="accent2">
                <a:lumMod val="80000"/>
                <a:lumOff val="20000"/>
              </a:schemeClr>
            </a:solidFill>
            <a:ln>
              <a:noFill/>
            </a:ln>
            <a:effectLst/>
          </c:spPr>
          <c:invertIfNegative val="0"/>
          <c:val>
            <c:numRef>
              <c:f>abcd!$B$106:$E$106</c:f>
              <c:numCache>
                <c:formatCode>General</c:formatCode>
                <c:ptCount val="4"/>
                <c:pt idx="0">
                  <c:v>98.43</c:v>
                </c:pt>
                <c:pt idx="1">
                  <c:v>0.65</c:v>
                </c:pt>
                <c:pt idx="2">
                  <c:v>0.79</c:v>
                </c:pt>
                <c:pt idx="3">
                  <c:v>0.13</c:v>
                </c:pt>
              </c:numCache>
            </c:numRef>
          </c:val>
          <c:extLst>
            <c:ext xmlns:c16="http://schemas.microsoft.com/office/drawing/2014/chart" uri="{C3380CC4-5D6E-409C-BE32-E72D297353CC}">
              <c16:uniqueId val="{0000000D-DB1E-446C-8F34-FCF906B29C30}"/>
            </c:ext>
          </c:extLst>
        </c:ser>
        <c:ser>
          <c:idx val="14"/>
          <c:order val="14"/>
          <c:tx>
            <c:v>2013</c:v>
          </c:tx>
          <c:spPr>
            <a:solidFill>
              <a:schemeClr val="accent3">
                <a:lumMod val="80000"/>
                <a:lumOff val="20000"/>
              </a:schemeClr>
            </a:solidFill>
            <a:ln>
              <a:noFill/>
            </a:ln>
            <a:effectLst/>
          </c:spPr>
          <c:invertIfNegative val="0"/>
          <c:val>
            <c:numRef>
              <c:f>abcd!$B$107:$E$107</c:f>
              <c:numCache>
                <c:formatCode>General</c:formatCode>
                <c:ptCount val="4"/>
                <c:pt idx="0">
                  <c:v>97.65</c:v>
                </c:pt>
                <c:pt idx="1">
                  <c:v>0.75</c:v>
                </c:pt>
                <c:pt idx="2">
                  <c:v>1.1499999999999999</c:v>
                </c:pt>
                <c:pt idx="3">
                  <c:v>0.45</c:v>
                </c:pt>
              </c:numCache>
            </c:numRef>
          </c:val>
          <c:extLst>
            <c:ext xmlns:c16="http://schemas.microsoft.com/office/drawing/2014/chart" uri="{C3380CC4-5D6E-409C-BE32-E72D297353CC}">
              <c16:uniqueId val="{0000000E-DB1E-446C-8F34-FCF906B29C30}"/>
            </c:ext>
          </c:extLst>
        </c:ser>
        <c:ser>
          <c:idx val="15"/>
          <c:order val="15"/>
          <c:tx>
            <c:v>2014</c:v>
          </c:tx>
          <c:spPr>
            <a:solidFill>
              <a:schemeClr val="accent4">
                <a:lumMod val="80000"/>
                <a:lumOff val="20000"/>
              </a:schemeClr>
            </a:solidFill>
            <a:ln>
              <a:noFill/>
            </a:ln>
            <a:effectLst/>
          </c:spPr>
          <c:invertIfNegative val="0"/>
          <c:val>
            <c:numRef>
              <c:f>abcd!$B$108:$E$108</c:f>
              <c:numCache>
                <c:formatCode>General</c:formatCode>
                <c:ptCount val="4"/>
                <c:pt idx="0">
                  <c:v>97.88</c:v>
                </c:pt>
                <c:pt idx="1">
                  <c:v>0.59</c:v>
                </c:pt>
                <c:pt idx="2">
                  <c:v>1.2</c:v>
                </c:pt>
                <c:pt idx="3">
                  <c:v>0.33</c:v>
                </c:pt>
              </c:numCache>
            </c:numRef>
          </c:val>
          <c:extLst>
            <c:ext xmlns:c16="http://schemas.microsoft.com/office/drawing/2014/chart" uri="{C3380CC4-5D6E-409C-BE32-E72D297353CC}">
              <c16:uniqueId val="{0000000F-DB1E-446C-8F34-FCF906B29C30}"/>
            </c:ext>
          </c:extLst>
        </c:ser>
        <c:ser>
          <c:idx val="16"/>
          <c:order val="16"/>
          <c:tx>
            <c:v>2015</c:v>
          </c:tx>
          <c:spPr>
            <a:solidFill>
              <a:schemeClr val="accent5">
                <a:lumMod val="80000"/>
                <a:lumOff val="20000"/>
              </a:schemeClr>
            </a:solidFill>
            <a:ln>
              <a:noFill/>
            </a:ln>
            <a:effectLst/>
          </c:spPr>
          <c:invertIfNegative val="0"/>
          <c:val>
            <c:numRef>
              <c:f>abcd!$B$109:$E$109</c:f>
              <c:numCache>
                <c:formatCode>General</c:formatCode>
                <c:ptCount val="4"/>
                <c:pt idx="0">
                  <c:v>97.55</c:v>
                </c:pt>
                <c:pt idx="1">
                  <c:v>1.22</c:v>
                </c:pt>
                <c:pt idx="2">
                  <c:v>0.67</c:v>
                </c:pt>
                <c:pt idx="3">
                  <c:v>0.56000000000000005</c:v>
                </c:pt>
              </c:numCache>
            </c:numRef>
          </c:val>
          <c:extLst>
            <c:ext xmlns:c16="http://schemas.microsoft.com/office/drawing/2014/chart" uri="{C3380CC4-5D6E-409C-BE32-E72D297353CC}">
              <c16:uniqueId val="{00000010-DB1E-446C-8F34-FCF906B29C30}"/>
            </c:ext>
          </c:extLst>
        </c:ser>
        <c:ser>
          <c:idx val="17"/>
          <c:order val="17"/>
          <c:tx>
            <c:v>2016</c:v>
          </c:tx>
          <c:spPr>
            <a:solidFill>
              <a:schemeClr val="accent6">
                <a:lumMod val="80000"/>
                <a:lumOff val="20000"/>
              </a:schemeClr>
            </a:solidFill>
            <a:ln>
              <a:noFill/>
            </a:ln>
            <a:effectLst/>
          </c:spPr>
          <c:invertIfNegative val="0"/>
          <c:val>
            <c:numRef>
              <c:f>abcd!$B$110:$E$110</c:f>
              <c:numCache>
                <c:formatCode>General</c:formatCode>
                <c:ptCount val="4"/>
                <c:pt idx="0">
                  <c:v>97.6</c:v>
                </c:pt>
                <c:pt idx="1">
                  <c:v>0.6</c:v>
                </c:pt>
                <c:pt idx="2">
                  <c:v>0.6</c:v>
                </c:pt>
                <c:pt idx="3">
                  <c:v>1.2</c:v>
                </c:pt>
              </c:numCache>
            </c:numRef>
          </c:val>
          <c:extLst>
            <c:ext xmlns:c16="http://schemas.microsoft.com/office/drawing/2014/chart" uri="{C3380CC4-5D6E-409C-BE32-E72D297353CC}">
              <c16:uniqueId val="{00000011-DB1E-446C-8F34-FCF906B29C30}"/>
            </c:ext>
          </c:extLst>
        </c:ser>
        <c:ser>
          <c:idx val="18"/>
          <c:order val="18"/>
          <c:tx>
            <c:v>2017</c:v>
          </c:tx>
          <c:spPr>
            <a:solidFill>
              <a:schemeClr val="accent1">
                <a:lumMod val="80000"/>
              </a:schemeClr>
            </a:solidFill>
            <a:ln>
              <a:noFill/>
            </a:ln>
            <a:effectLst/>
          </c:spPr>
          <c:invertIfNegative val="0"/>
          <c:val>
            <c:numRef>
              <c:f>abcd!$B$111:$E$111</c:f>
              <c:numCache>
                <c:formatCode>General</c:formatCode>
                <c:ptCount val="4"/>
                <c:pt idx="0">
                  <c:v>97.8</c:v>
                </c:pt>
                <c:pt idx="1">
                  <c:v>0.5</c:v>
                </c:pt>
                <c:pt idx="2">
                  <c:v>0.9</c:v>
                </c:pt>
                <c:pt idx="3">
                  <c:v>0.8</c:v>
                </c:pt>
              </c:numCache>
            </c:numRef>
          </c:val>
          <c:extLst>
            <c:ext xmlns:c16="http://schemas.microsoft.com/office/drawing/2014/chart" uri="{C3380CC4-5D6E-409C-BE32-E72D297353CC}">
              <c16:uniqueId val="{00000012-DB1E-446C-8F34-FCF906B29C30}"/>
            </c:ext>
          </c:extLst>
        </c:ser>
        <c:ser>
          <c:idx val="19"/>
          <c:order val="19"/>
          <c:tx>
            <c:v>2018</c:v>
          </c:tx>
          <c:spPr>
            <a:solidFill>
              <a:schemeClr val="accent2">
                <a:lumMod val="80000"/>
              </a:schemeClr>
            </a:solidFill>
            <a:ln>
              <a:noFill/>
            </a:ln>
            <a:effectLst/>
          </c:spPr>
          <c:invertIfNegative val="0"/>
          <c:val>
            <c:numRef>
              <c:f>abcd!$B$112:$E$112</c:f>
              <c:numCache>
                <c:formatCode>General</c:formatCode>
                <c:ptCount val="4"/>
                <c:pt idx="0">
                  <c:v>97.5</c:v>
                </c:pt>
                <c:pt idx="1">
                  <c:v>0.9</c:v>
                </c:pt>
                <c:pt idx="2">
                  <c:v>1</c:v>
                </c:pt>
                <c:pt idx="3">
                  <c:v>0.6</c:v>
                </c:pt>
              </c:numCache>
            </c:numRef>
          </c:val>
          <c:extLst>
            <c:ext xmlns:c16="http://schemas.microsoft.com/office/drawing/2014/chart" uri="{C3380CC4-5D6E-409C-BE32-E72D297353CC}">
              <c16:uniqueId val="{00000013-DB1E-446C-8F34-FCF906B29C30}"/>
            </c:ext>
          </c:extLst>
        </c:ser>
        <c:ser>
          <c:idx val="20"/>
          <c:order val="20"/>
          <c:tx>
            <c:v>2020</c:v>
          </c:tx>
          <c:spPr>
            <a:solidFill>
              <a:schemeClr val="accent3">
                <a:lumMod val="80000"/>
              </a:schemeClr>
            </a:solidFill>
            <a:ln>
              <a:noFill/>
            </a:ln>
            <a:effectLst/>
          </c:spPr>
          <c:invertIfNegative val="0"/>
          <c:val>
            <c:numRef>
              <c:f>abcd!$B$114:$E$114</c:f>
              <c:numCache>
                <c:formatCode>General</c:formatCode>
                <c:ptCount val="4"/>
                <c:pt idx="0">
                  <c:v>98.1</c:v>
                </c:pt>
                <c:pt idx="1">
                  <c:v>0.28000000000000003</c:v>
                </c:pt>
                <c:pt idx="2">
                  <c:v>0.59</c:v>
                </c:pt>
                <c:pt idx="3">
                  <c:v>1.03</c:v>
                </c:pt>
              </c:numCache>
            </c:numRef>
          </c:val>
          <c:extLst>
            <c:ext xmlns:c16="http://schemas.microsoft.com/office/drawing/2014/chart" uri="{C3380CC4-5D6E-409C-BE32-E72D297353CC}">
              <c16:uniqueId val="{00000014-DB1E-446C-8F34-FCF906B29C30}"/>
            </c:ext>
          </c:extLst>
        </c:ser>
        <c:ser>
          <c:idx val="21"/>
          <c:order val="21"/>
          <c:tx>
            <c:v>2021</c:v>
          </c:tx>
          <c:spPr>
            <a:solidFill>
              <a:schemeClr val="accent4">
                <a:lumMod val="80000"/>
              </a:schemeClr>
            </a:solidFill>
            <a:ln>
              <a:noFill/>
            </a:ln>
            <a:effectLst/>
          </c:spPr>
          <c:invertIfNegative val="0"/>
          <c:val>
            <c:numRef>
              <c:f>abcd!$B$115:$E$115</c:f>
              <c:numCache>
                <c:formatCode>General</c:formatCode>
                <c:ptCount val="4"/>
                <c:pt idx="0">
                  <c:v>99</c:v>
                </c:pt>
                <c:pt idx="1">
                  <c:v>0.5</c:v>
                </c:pt>
                <c:pt idx="2">
                  <c:v>0.2</c:v>
                </c:pt>
                <c:pt idx="3">
                  <c:v>0.3</c:v>
                </c:pt>
              </c:numCache>
            </c:numRef>
          </c:val>
          <c:extLst>
            <c:ext xmlns:c16="http://schemas.microsoft.com/office/drawing/2014/chart" uri="{C3380CC4-5D6E-409C-BE32-E72D297353CC}">
              <c16:uniqueId val="{00000015-DB1E-446C-8F34-FCF906B29C30}"/>
            </c:ext>
          </c:extLst>
        </c:ser>
        <c:dLbls>
          <c:showLegendKey val="0"/>
          <c:showVal val="0"/>
          <c:showCatName val="0"/>
          <c:showSerName val="0"/>
          <c:showPercent val="0"/>
          <c:showBubbleSize val="0"/>
        </c:dLbls>
        <c:gapWidth val="219"/>
        <c:overlap val="-27"/>
        <c:axId val="711815032"/>
        <c:axId val="711808472"/>
      </c:barChart>
      <c:catAx>
        <c:axId val="71181503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a:t>       Fully functional            Servicing required       </a:t>
                </a:r>
                <a:r>
                  <a:rPr lang="sl-SI" sz="900" baseline="0"/>
                  <a:t> Decommissioning proposed              Not functional </a:t>
                </a:r>
                <a:endParaRPr lang="sl-SI" sz="900"/>
              </a:p>
            </c:rich>
          </c:tx>
          <c:layout>
            <c:manualLayout>
              <c:xMode val="edge"/>
              <c:yMode val="edge"/>
              <c:x val="8.8902691511387161E-2"/>
              <c:y val="0.945274735797499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majorTickMark val="none"/>
        <c:minorTickMark val="none"/>
        <c:tickLblPos val="nextTo"/>
        <c:crossAx val="711808472"/>
        <c:crosses val="autoZero"/>
        <c:auto val="0"/>
        <c:lblAlgn val="ctr"/>
        <c:lblOffset val="100"/>
        <c:noMultiLvlLbl val="0"/>
      </c:catAx>
      <c:valAx>
        <c:axId val="7118084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11815032"/>
        <c:crosses val="autoZero"/>
        <c:crossBetween val="between"/>
      </c:valAx>
      <c:spPr>
        <a:noFill/>
        <a:ln>
          <a:noFill/>
        </a:ln>
        <a:effectLst/>
      </c:spPr>
    </c:plotArea>
    <c:legend>
      <c:legendPos val="r"/>
      <c:layout>
        <c:manualLayout>
          <c:xMode val="edge"/>
          <c:yMode val="edge"/>
          <c:x val="0.51659591464110466"/>
          <c:y val="0.1999990001251766"/>
          <c:w val="0.4366036222216409"/>
          <c:h val="0.278065380660997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019607843138"/>
          <c:y val="6.1983471074380167E-2"/>
          <c:w val="0.88480392156862742"/>
          <c:h val="0.73553719008264462"/>
        </c:manualLayout>
      </c:layout>
      <c:barChart>
        <c:barDir val="col"/>
        <c:grouping val="clustered"/>
        <c:varyColors val="0"/>
        <c:ser>
          <c:idx val="0"/>
          <c:order val="0"/>
          <c:tx>
            <c:strRef>
              <c:f>List1!$E$1</c:f>
              <c:strCache>
                <c:ptCount val="1"/>
                <c:pt idx="0">
                  <c:v>tekoči izpusti - ak. tritija TBq</c:v>
                </c:pt>
              </c:strCache>
            </c:strRef>
          </c:tx>
          <c:spPr>
            <a:solidFill>
              <a:schemeClr val="accent3"/>
            </a:solidFill>
            <a:ln>
              <a:noFill/>
            </a:ln>
            <a:effectLst/>
          </c:spPr>
          <c:invertIfNegative val="0"/>
          <c:cat>
            <c:strRef>
              <c:f>List1!$A$2:$A$42</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List1!$E$2:$E$42</c:f>
              <c:numCache>
                <c:formatCode>0.0</c:formatCode>
                <c:ptCount val="41"/>
                <c:pt idx="0">
                  <c:v>8</c:v>
                </c:pt>
                <c:pt idx="1">
                  <c:v>13</c:v>
                </c:pt>
                <c:pt idx="2">
                  <c:v>11</c:v>
                </c:pt>
                <c:pt idx="3">
                  <c:v>13</c:v>
                </c:pt>
                <c:pt idx="4">
                  <c:v>10</c:v>
                </c:pt>
                <c:pt idx="5">
                  <c:v>16</c:v>
                </c:pt>
                <c:pt idx="6">
                  <c:v>12</c:v>
                </c:pt>
                <c:pt idx="7">
                  <c:v>14</c:v>
                </c:pt>
                <c:pt idx="8">
                  <c:v>14</c:v>
                </c:pt>
                <c:pt idx="9">
                  <c:v>15</c:v>
                </c:pt>
                <c:pt idx="10">
                  <c:v>11</c:v>
                </c:pt>
                <c:pt idx="11">
                  <c:v>10</c:v>
                </c:pt>
                <c:pt idx="12">
                  <c:v>8.5</c:v>
                </c:pt>
                <c:pt idx="13">
                  <c:v>9.3000000000000007</c:v>
                </c:pt>
                <c:pt idx="14">
                  <c:v>7.8</c:v>
                </c:pt>
                <c:pt idx="15">
                  <c:v>8.6999999999999993</c:v>
                </c:pt>
                <c:pt idx="16">
                  <c:v>10.8</c:v>
                </c:pt>
                <c:pt idx="17">
                  <c:v>10.7</c:v>
                </c:pt>
                <c:pt idx="18">
                  <c:v>7.75</c:v>
                </c:pt>
                <c:pt idx="19">
                  <c:v>13.3</c:v>
                </c:pt>
                <c:pt idx="20">
                  <c:v>10.3</c:v>
                </c:pt>
                <c:pt idx="21">
                  <c:v>10.8</c:v>
                </c:pt>
                <c:pt idx="22">
                  <c:v>18</c:v>
                </c:pt>
                <c:pt idx="23">
                  <c:v>12.7</c:v>
                </c:pt>
                <c:pt idx="24">
                  <c:v>21.7</c:v>
                </c:pt>
                <c:pt idx="25">
                  <c:v>7.02</c:v>
                </c:pt>
                <c:pt idx="26">
                  <c:v>7.33</c:v>
                </c:pt>
                <c:pt idx="27">
                  <c:v>21.2</c:v>
                </c:pt>
                <c:pt idx="28">
                  <c:v>3.69</c:v>
                </c:pt>
                <c:pt idx="29">
                  <c:v>16.600000000000001</c:v>
                </c:pt>
                <c:pt idx="30">
                  <c:v>11.6</c:v>
                </c:pt>
                <c:pt idx="31">
                  <c:v>1.73</c:v>
                </c:pt>
                <c:pt idx="32">
                  <c:v>16.3</c:v>
                </c:pt>
                <c:pt idx="33">
                  <c:v>19.899999999999999</c:v>
                </c:pt>
                <c:pt idx="34">
                  <c:v>8.64</c:v>
                </c:pt>
                <c:pt idx="35">
                  <c:v>10.5</c:v>
                </c:pt>
                <c:pt idx="36">
                  <c:v>13.6</c:v>
                </c:pt>
                <c:pt idx="37">
                  <c:v>2.95</c:v>
                </c:pt>
                <c:pt idx="38">
                  <c:v>16.100000000000001</c:v>
                </c:pt>
                <c:pt idx="40">
                  <c:v>11.654102564102566</c:v>
                </c:pt>
              </c:numCache>
            </c:numRef>
          </c:val>
          <c:extLst>
            <c:ext xmlns:c16="http://schemas.microsoft.com/office/drawing/2014/chart" uri="{C3380CC4-5D6E-409C-BE32-E72D297353CC}">
              <c16:uniqueId val="{00000000-E8BD-4203-BC36-0D9F1C76AC8E}"/>
            </c:ext>
          </c:extLst>
        </c:ser>
        <c:dLbls>
          <c:showLegendKey val="0"/>
          <c:showVal val="0"/>
          <c:showCatName val="0"/>
          <c:showSerName val="0"/>
          <c:showPercent val="0"/>
          <c:showBubbleSize val="0"/>
        </c:dLbls>
        <c:gapWidth val="150"/>
        <c:axId val="478002879"/>
        <c:axId val="1"/>
      </c:barChart>
      <c:catAx>
        <c:axId val="478002879"/>
        <c:scaling>
          <c:orientation val="minMax"/>
        </c:scaling>
        <c:delete val="0"/>
        <c:axPos val="b"/>
        <c:title>
          <c:tx>
            <c:rich>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r>
                  <a:rPr lang="sl-SI"/>
                  <a:t>LETO</a:t>
                </a:r>
              </a:p>
            </c:rich>
          </c:tx>
          <c:layout>
            <c:manualLayout>
              <c:xMode val="edge"/>
              <c:yMode val="edge"/>
              <c:x val="0.47290640394088668"/>
              <c:y val="0.92148760330578516"/>
            </c:manualLayout>
          </c:layout>
          <c:overlay val="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endParaRPr lang="sl-SI"/>
            </a:p>
          </c:txPr>
        </c:title>
        <c:numFmt formatCode="General" sourceLinked="1"/>
        <c:majorTickMark val="out"/>
        <c:minorTickMark val="none"/>
        <c:tickLblPos val="nextTo"/>
        <c:spPr>
          <a:noFill/>
          <a:ln w="3175" cap="flat" cmpd="sng" algn="ctr">
            <a:solidFill>
              <a:srgbClr val="000000"/>
            </a:solidFill>
            <a:prstDash val="solid"/>
            <a:round/>
          </a:ln>
          <a:effectLst/>
        </c:spPr>
        <c:txPr>
          <a:bodyPr rot="-4500000" spcFirstLastPara="1" vertOverflow="ellipsis" wrap="square" anchor="ctr" anchorCtr="1"/>
          <a:lstStyle/>
          <a:p>
            <a:pPr>
              <a:defRPr sz="450" b="0" i="0" u="none" strike="noStrike" kern="1200" baseline="0">
                <a:solidFill>
                  <a:srgbClr val="000000"/>
                </a:solidFill>
                <a:latin typeface="Arial CE"/>
                <a:ea typeface="Arial CE"/>
                <a:cs typeface="Arial CE"/>
              </a:defRPr>
            </a:pPr>
            <a:endParaRPr lang="sl-SI"/>
          </a:p>
        </c:txPr>
        <c:crossAx val="1"/>
        <c:crossesAt val="0"/>
        <c:auto val="1"/>
        <c:lblAlgn val="ctr"/>
        <c:lblOffset val="100"/>
        <c:tickLblSkip val="1"/>
        <c:tickMarkSkip val="1"/>
        <c:noMultiLvlLbl val="0"/>
      </c:catAx>
      <c:valAx>
        <c:axId val="1"/>
        <c:scaling>
          <c:orientation val="minMax"/>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r>
                  <a:rPr lang="sl-SI" sz="700" b="0" i="0" u="none" strike="noStrike" baseline="0">
                    <a:solidFill>
                      <a:srgbClr val="000000"/>
                    </a:solidFill>
                    <a:latin typeface="Arial CE"/>
                    <a:cs typeface="Arial CE"/>
                  </a:rPr>
                  <a:t>AKTIVNOST (TBq)</a:t>
                </a:r>
                <a:endParaRPr lang="sl-SI" sz="700" b="0" i="0" u="none" strike="noStrike" baseline="0">
                  <a:solidFill>
                    <a:srgbClr val="FFFFFF"/>
                  </a:solidFill>
                  <a:latin typeface="Arial CE"/>
                  <a:cs typeface="Arial CE"/>
                </a:endParaRPr>
              </a:p>
            </c:rich>
          </c:tx>
          <c:layout>
            <c:manualLayout>
              <c:xMode val="edge"/>
              <c:yMode val="edge"/>
              <c:x val="2.4630541871921183E-3"/>
              <c:y val="0.27272727272727271"/>
            </c:manualLayout>
          </c:layout>
          <c:overlay val="0"/>
          <c:spPr>
            <a:noFill/>
            <a:ln w="25400">
              <a:noFill/>
            </a:ln>
            <a:effectLst/>
          </c:spPr>
          <c:txPr>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endParaRPr lang="sl-SI"/>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25" b="0" i="0" u="none" strike="noStrike" kern="1200" baseline="0">
                <a:solidFill>
                  <a:srgbClr val="000000"/>
                </a:solidFill>
                <a:latin typeface="Arial CE"/>
                <a:ea typeface="Arial CE"/>
                <a:cs typeface="Arial CE"/>
              </a:defRPr>
            </a:pPr>
            <a:endParaRPr lang="sl-SI"/>
          </a:p>
        </c:txPr>
        <c:crossAx val="478002879"/>
        <c:crosses val="autoZero"/>
        <c:crossBetween val="between"/>
        <c:majorUnit val="2"/>
        <c:minorUnit val="2"/>
      </c:valAx>
      <c:spPr>
        <a:solidFill>
          <a:srgbClr val="FFFFFF"/>
        </a:solidFill>
        <a:ln w="12700">
          <a:solidFill>
            <a:srgbClr val="333333"/>
          </a:solidFill>
          <a:prstDash val="solid"/>
        </a:ln>
        <a:effectLst/>
      </c:spPr>
    </c:plotArea>
    <c:plotVisOnly val="1"/>
    <c:dispBlanksAs val="gap"/>
    <c:showDLblsOverMax val="0"/>
  </c:chart>
  <c:spPr>
    <a:solidFill>
      <a:srgbClr val="FFFFFF"/>
    </a:solidFill>
    <a:ln w="3175" cap="flat" cmpd="sng" algn="ctr">
      <a:noFill/>
      <a:prstDash val="solid"/>
      <a:round/>
    </a:ln>
    <a:effectLst/>
  </c:spPr>
  <c:txPr>
    <a:bodyPr/>
    <a:lstStyle/>
    <a:p>
      <a:pPr>
        <a:defRPr sz="1150" b="0" i="0" u="none" strike="noStrike" baseline="0">
          <a:solidFill>
            <a:srgbClr val="000000"/>
          </a:solidFill>
          <a:latin typeface="Arial CE"/>
          <a:ea typeface="Arial CE"/>
          <a:cs typeface="Arial CE"/>
        </a:defRPr>
      </a:pPr>
      <a:endParaRPr lang="sl-SI"/>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List1!$A$4:$A$21</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List1!$B$4:$B$21</c:f>
              <c:numCache>
                <c:formatCode>General</c:formatCode>
                <c:ptCount val="18"/>
                <c:pt idx="0">
                  <c:v>75</c:v>
                </c:pt>
                <c:pt idx="1">
                  <c:v>52</c:v>
                </c:pt>
                <c:pt idx="2">
                  <c:v>33</c:v>
                </c:pt>
                <c:pt idx="3">
                  <c:v>33</c:v>
                </c:pt>
                <c:pt idx="4">
                  <c:v>10</c:v>
                </c:pt>
                <c:pt idx="5">
                  <c:v>4</c:v>
                </c:pt>
                <c:pt idx="6">
                  <c:v>4</c:v>
                </c:pt>
                <c:pt idx="7">
                  <c:v>6</c:v>
                </c:pt>
                <c:pt idx="8">
                  <c:v>6</c:v>
                </c:pt>
                <c:pt idx="9">
                  <c:v>6</c:v>
                </c:pt>
                <c:pt idx="10">
                  <c:v>6</c:v>
                </c:pt>
                <c:pt idx="11">
                  <c:v>7</c:v>
                </c:pt>
                <c:pt idx="12">
                  <c:v>7</c:v>
                </c:pt>
                <c:pt idx="13">
                  <c:v>8</c:v>
                </c:pt>
                <c:pt idx="14">
                  <c:v>9</c:v>
                </c:pt>
                <c:pt idx="15">
                  <c:v>11</c:v>
                </c:pt>
                <c:pt idx="16">
                  <c:v>10</c:v>
                </c:pt>
                <c:pt idx="17">
                  <c:v>13</c:v>
                </c:pt>
              </c:numCache>
            </c:numRef>
          </c:val>
          <c:extLst>
            <c:ext xmlns:c16="http://schemas.microsoft.com/office/drawing/2014/chart" uri="{C3380CC4-5D6E-409C-BE32-E72D297353CC}">
              <c16:uniqueId val="{00000000-A2AA-4E0D-85A0-4FCFBD80C84D}"/>
            </c:ext>
          </c:extLst>
        </c:ser>
        <c:dLbls>
          <c:showLegendKey val="0"/>
          <c:showVal val="0"/>
          <c:showCatName val="0"/>
          <c:showSerName val="0"/>
          <c:showPercent val="0"/>
          <c:showBubbleSize val="0"/>
        </c:dLbls>
        <c:gapWidth val="219"/>
        <c:overlap val="-27"/>
        <c:axId val="334418000"/>
        <c:axId val="334420296"/>
      </c:barChart>
      <c:catAx>
        <c:axId val="334418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34420296"/>
        <c:crosses val="autoZero"/>
        <c:auto val="1"/>
        <c:lblAlgn val="ctr"/>
        <c:lblOffset val="100"/>
        <c:tickLblSkip val="1"/>
        <c:noMultiLvlLbl val="0"/>
      </c:catAx>
      <c:valAx>
        <c:axId val="334420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Radon</a:t>
                </a:r>
                <a:r>
                  <a:rPr lang="sl-SI" baseline="0"/>
                  <a:t> discharge rate</a:t>
                </a:r>
                <a:r>
                  <a:rPr lang="sl-SI"/>
                  <a:t> Bq/s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3441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List1!$A$1:$A$33</c:f>
              <c:numCache>
                <c:formatCode>General</c:formatCode>
                <c:ptCount val="3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numCache>
            </c:numRef>
          </c:cat>
          <c:val>
            <c:numRef>
              <c:f>List1!$B$1:$B$33</c:f>
              <c:numCache>
                <c:formatCode>General</c:formatCode>
                <c:ptCount val="33"/>
                <c:pt idx="0">
                  <c:v>0.34799999999999998</c:v>
                </c:pt>
                <c:pt idx="1">
                  <c:v>0.29899999999999999</c:v>
                </c:pt>
                <c:pt idx="2">
                  <c:v>0.33</c:v>
                </c:pt>
                <c:pt idx="3">
                  <c:v>0.33700000000000002</c:v>
                </c:pt>
                <c:pt idx="4">
                  <c:v>0.29699999999999999</c:v>
                </c:pt>
                <c:pt idx="5">
                  <c:v>0.33400000000000002</c:v>
                </c:pt>
                <c:pt idx="6">
                  <c:v>0.372</c:v>
                </c:pt>
                <c:pt idx="7">
                  <c:v>0.32</c:v>
                </c:pt>
                <c:pt idx="8">
                  <c:v>0.29499999999999998</c:v>
                </c:pt>
                <c:pt idx="9">
                  <c:v>0.34200000000000003</c:v>
                </c:pt>
                <c:pt idx="10">
                  <c:v>0.32600000000000001</c:v>
                </c:pt>
                <c:pt idx="11">
                  <c:v>0.33500000000000002</c:v>
                </c:pt>
                <c:pt idx="12">
                  <c:v>0.19600000000000001</c:v>
                </c:pt>
                <c:pt idx="13">
                  <c:v>0.22800000000000001</c:v>
                </c:pt>
                <c:pt idx="14">
                  <c:v>0.32400000000000001</c:v>
                </c:pt>
                <c:pt idx="15">
                  <c:v>0.19</c:v>
                </c:pt>
                <c:pt idx="16">
                  <c:v>0.19</c:v>
                </c:pt>
                <c:pt idx="17">
                  <c:v>0.26</c:v>
                </c:pt>
                <c:pt idx="18">
                  <c:v>0.23</c:v>
                </c:pt>
                <c:pt idx="19">
                  <c:v>0.11</c:v>
                </c:pt>
                <c:pt idx="20">
                  <c:v>0.12</c:v>
                </c:pt>
                <c:pt idx="21">
                  <c:v>0.11799999999999999</c:v>
                </c:pt>
                <c:pt idx="22">
                  <c:v>9.7000000000000003E-2</c:v>
                </c:pt>
                <c:pt idx="23">
                  <c:v>9.9000000000000005E-2</c:v>
                </c:pt>
                <c:pt idx="24">
                  <c:v>8.7999999999999995E-2</c:v>
                </c:pt>
                <c:pt idx="25">
                  <c:v>5.8000000000000003E-2</c:v>
                </c:pt>
                <c:pt idx="26">
                  <c:v>6.6000000000000003E-2</c:v>
                </c:pt>
                <c:pt idx="27">
                  <c:v>5.8999999999999997E-2</c:v>
                </c:pt>
                <c:pt idx="28">
                  <c:v>5.2999999999999999E-2</c:v>
                </c:pt>
                <c:pt idx="29">
                  <c:v>7.2999999999999995E-2</c:v>
                </c:pt>
                <c:pt idx="30">
                  <c:v>7.0999999999999994E-2</c:v>
                </c:pt>
                <c:pt idx="31">
                  <c:v>0.124</c:v>
                </c:pt>
                <c:pt idx="32">
                  <c:v>0.124</c:v>
                </c:pt>
              </c:numCache>
            </c:numRef>
          </c:val>
          <c:extLst>
            <c:ext xmlns:c16="http://schemas.microsoft.com/office/drawing/2014/chart" uri="{C3380CC4-5D6E-409C-BE32-E72D297353CC}">
              <c16:uniqueId val="{00000000-2C07-47BB-B8B7-1C7756E481DF}"/>
            </c:ext>
          </c:extLst>
        </c:ser>
        <c:dLbls>
          <c:showLegendKey val="0"/>
          <c:showVal val="0"/>
          <c:showCatName val="0"/>
          <c:showSerName val="0"/>
          <c:showPercent val="0"/>
          <c:showBubbleSize val="0"/>
        </c:dLbls>
        <c:gapWidth val="150"/>
        <c:axId val="450790032"/>
        <c:axId val="450788392"/>
      </c:barChart>
      <c:catAx>
        <c:axId val="450790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50788392"/>
        <c:crosses val="autoZero"/>
        <c:auto val="1"/>
        <c:lblAlgn val="ctr"/>
        <c:lblOffset val="100"/>
        <c:noMultiLvlLbl val="0"/>
      </c:catAx>
      <c:valAx>
        <c:axId val="450788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t>mSv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5079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Garamond" panose="02020404030301010803" pitchFamily="18" charset="0"/>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Garamond" panose="02020404030301010803" pitchFamily="18" charset="0"/>
                <a:ea typeface="+mj-ea"/>
                <a:cs typeface="+mj-cs"/>
              </a:defRPr>
            </a:pPr>
            <a:endParaRPr lang="sl-SI"/>
          </a:p>
        </c:rich>
      </c:tx>
      <c:overlay val="0"/>
      <c:spPr>
        <a:noFill/>
        <a:ln w="25400">
          <a:noFill/>
        </a:ln>
      </c:spPr>
    </c:title>
    <c:autoTitleDeleted val="0"/>
    <c:plotArea>
      <c:layout>
        <c:manualLayout>
          <c:layoutTarget val="inner"/>
          <c:xMode val="edge"/>
          <c:yMode val="edge"/>
          <c:x val="9.6556758530183723E-2"/>
          <c:y val="0.14493532058492689"/>
          <c:w val="0.78278926071741028"/>
          <c:h val="0.66587832770903632"/>
        </c:manualLayout>
      </c:layout>
      <c:barChart>
        <c:barDir val="col"/>
        <c:grouping val="clustered"/>
        <c:varyColors val="0"/>
        <c:ser>
          <c:idx val="0"/>
          <c:order val="0"/>
          <c:tx>
            <c:strRef>
              <c:f>NEK!$AL$1</c:f>
              <c:strCache>
                <c:ptCount val="1"/>
                <c:pt idx="0">
                  <c:v>Replaced elements</c:v>
                </c:pt>
              </c:strCache>
            </c:strRef>
          </c:tx>
          <c:invertIfNegative val="0"/>
          <c:dLbls>
            <c:spPr>
              <a:solidFill>
                <a:sysClr val="window" lastClr="FFFFFF"/>
              </a:solidFill>
              <a:ln>
                <a:noFill/>
              </a:ln>
              <a:effectLst/>
            </c:spPr>
            <c:txPr>
              <a:bodyPr wrap="square" lIns="38100" tIns="19050" rIns="38100" bIns="19050" anchor="ctr">
                <a:spAutoFit/>
              </a:bodyPr>
              <a:lstStyle/>
              <a:p>
                <a:pPr>
                  <a:defRPr sz="6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NEK!$AH$2:$AH$40</c:f>
              <c:numCache>
                <c:formatCode>General</c:formatCode>
                <c:ptCount val="39"/>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numCache>
            </c:numRef>
          </c:cat>
          <c:val>
            <c:numRef>
              <c:f>NEK!$AJ$2:$AJ$40</c:f>
              <c:numCache>
                <c:formatCode>General</c:formatCode>
                <c:ptCount val="39"/>
                <c:pt idx="0">
                  <c:v>40</c:v>
                </c:pt>
                <c:pt idx="1">
                  <c:v>42</c:v>
                </c:pt>
                <c:pt idx="2">
                  <c:v>40</c:v>
                </c:pt>
                <c:pt idx="3">
                  <c:v>32</c:v>
                </c:pt>
                <c:pt idx="4">
                  <c:v>40</c:v>
                </c:pt>
                <c:pt idx="5">
                  <c:v>32</c:v>
                </c:pt>
                <c:pt idx="6">
                  <c:v>40</c:v>
                </c:pt>
                <c:pt idx="7">
                  <c:v>48</c:v>
                </c:pt>
                <c:pt idx="8">
                  <c:v>0</c:v>
                </c:pt>
                <c:pt idx="9">
                  <c:v>44</c:v>
                </c:pt>
                <c:pt idx="10">
                  <c:v>48</c:v>
                </c:pt>
                <c:pt idx="11">
                  <c:v>0</c:v>
                </c:pt>
                <c:pt idx="12">
                  <c:v>36</c:v>
                </c:pt>
                <c:pt idx="13">
                  <c:v>28</c:v>
                </c:pt>
                <c:pt idx="14">
                  <c:v>28</c:v>
                </c:pt>
                <c:pt idx="15">
                  <c:v>32</c:v>
                </c:pt>
                <c:pt idx="16">
                  <c:v>32</c:v>
                </c:pt>
                <c:pt idx="17">
                  <c:v>32</c:v>
                </c:pt>
                <c:pt idx="18">
                  <c:v>36</c:v>
                </c:pt>
                <c:pt idx="19">
                  <c:v>33</c:v>
                </c:pt>
                <c:pt idx="20">
                  <c:v>44</c:v>
                </c:pt>
                <c:pt idx="21">
                  <c:v>56</c:v>
                </c:pt>
                <c:pt idx="22">
                  <c:v>0</c:v>
                </c:pt>
                <c:pt idx="23">
                  <c:v>56</c:v>
                </c:pt>
                <c:pt idx="24">
                  <c:v>53</c:v>
                </c:pt>
                <c:pt idx="25">
                  <c:v>0</c:v>
                </c:pt>
                <c:pt idx="26">
                  <c:v>56</c:v>
                </c:pt>
                <c:pt idx="27">
                  <c:v>56</c:v>
                </c:pt>
                <c:pt idx="28">
                  <c:v>0</c:v>
                </c:pt>
                <c:pt idx="29">
                  <c:v>56</c:v>
                </c:pt>
                <c:pt idx="30">
                  <c:v>56</c:v>
                </c:pt>
                <c:pt idx="31">
                  <c:v>0</c:v>
                </c:pt>
                <c:pt idx="32">
                  <c:v>56</c:v>
                </c:pt>
                <c:pt idx="33">
                  <c:v>56</c:v>
                </c:pt>
                <c:pt idx="34">
                  <c:v>0</c:v>
                </c:pt>
                <c:pt idx="35">
                  <c:v>56</c:v>
                </c:pt>
                <c:pt idx="36">
                  <c:v>56</c:v>
                </c:pt>
                <c:pt idx="37">
                  <c:v>0</c:v>
                </c:pt>
                <c:pt idx="38">
                  <c:v>56</c:v>
                </c:pt>
              </c:numCache>
            </c:numRef>
          </c:val>
          <c:extLst>
            <c:ext xmlns:c16="http://schemas.microsoft.com/office/drawing/2014/chart" uri="{C3380CC4-5D6E-409C-BE32-E72D297353CC}">
              <c16:uniqueId val="{00000000-8CF4-4274-95A8-1E4461A56FF1}"/>
            </c:ext>
          </c:extLst>
        </c:ser>
        <c:dLbls>
          <c:showLegendKey val="0"/>
          <c:showVal val="0"/>
          <c:showCatName val="0"/>
          <c:showSerName val="0"/>
          <c:showPercent val="0"/>
          <c:showBubbleSize val="0"/>
        </c:dLbls>
        <c:gapWidth val="130"/>
        <c:overlap val="-50"/>
        <c:axId val="169600384"/>
        <c:axId val="1"/>
      </c:barChart>
      <c:lineChart>
        <c:grouping val="standard"/>
        <c:varyColors val="0"/>
        <c:ser>
          <c:idx val="1"/>
          <c:order val="1"/>
          <c:tx>
            <c:strRef>
              <c:f>NEK!$AM$1</c:f>
              <c:strCache>
                <c:ptCount val="1"/>
                <c:pt idx="0">
                  <c:v>Elements in the pool</c:v>
                </c:pt>
              </c:strCache>
            </c:strRef>
          </c:tx>
          <c:marker>
            <c:symbol val="none"/>
          </c:marker>
          <c:cat>
            <c:numRef>
              <c:f>NEK!$AH$2:$AH$39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NEK!$AI$2:$AI$40</c:f>
              <c:numCache>
                <c:formatCode>General</c:formatCode>
                <c:ptCount val="39"/>
                <c:pt idx="0">
                  <c:v>40</c:v>
                </c:pt>
                <c:pt idx="1">
                  <c:v>82</c:v>
                </c:pt>
                <c:pt idx="2">
                  <c:v>122</c:v>
                </c:pt>
                <c:pt idx="3">
                  <c:v>154</c:v>
                </c:pt>
                <c:pt idx="4">
                  <c:v>194</c:v>
                </c:pt>
                <c:pt idx="5">
                  <c:v>226</c:v>
                </c:pt>
                <c:pt idx="6">
                  <c:v>266</c:v>
                </c:pt>
                <c:pt idx="7">
                  <c:v>314</c:v>
                </c:pt>
                <c:pt idx="8">
                  <c:v>314</c:v>
                </c:pt>
                <c:pt idx="9">
                  <c:v>358</c:v>
                </c:pt>
                <c:pt idx="10">
                  <c:v>406</c:v>
                </c:pt>
                <c:pt idx="11">
                  <c:v>406</c:v>
                </c:pt>
                <c:pt idx="12">
                  <c:v>442</c:v>
                </c:pt>
                <c:pt idx="13">
                  <c:v>470</c:v>
                </c:pt>
                <c:pt idx="14">
                  <c:v>498</c:v>
                </c:pt>
                <c:pt idx="15">
                  <c:v>530</c:v>
                </c:pt>
                <c:pt idx="16">
                  <c:v>562</c:v>
                </c:pt>
                <c:pt idx="17">
                  <c:v>594</c:v>
                </c:pt>
                <c:pt idx="18">
                  <c:v>630</c:v>
                </c:pt>
                <c:pt idx="19">
                  <c:v>663</c:v>
                </c:pt>
                <c:pt idx="20">
                  <c:v>707</c:v>
                </c:pt>
                <c:pt idx="21">
                  <c:v>763</c:v>
                </c:pt>
                <c:pt idx="22">
                  <c:v>763</c:v>
                </c:pt>
                <c:pt idx="23">
                  <c:v>819</c:v>
                </c:pt>
                <c:pt idx="24">
                  <c:v>872</c:v>
                </c:pt>
                <c:pt idx="25">
                  <c:v>872</c:v>
                </c:pt>
                <c:pt idx="26">
                  <c:v>929</c:v>
                </c:pt>
                <c:pt idx="27">
                  <c:v>985</c:v>
                </c:pt>
                <c:pt idx="28">
                  <c:v>985</c:v>
                </c:pt>
                <c:pt idx="29">
                  <c:v>1041</c:v>
                </c:pt>
                <c:pt idx="30">
                  <c:v>1098</c:v>
                </c:pt>
                <c:pt idx="31">
                  <c:v>1098</c:v>
                </c:pt>
                <c:pt idx="32">
                  <c:v>1154</c:v>
                </c:pt>
                <c:pt idx="33">
                  <c:v>1210</c:v>
                </c:pt>
                <c:pt idx="34">
                  <c:v>1211</c:v>
                </c:pt>
                <c:pt idx="35">
                  <c:v>1267</c:v>
                </c:pt>
                <c:pt idx="36">
                  <c:v>1323</c:v>
                </c:pt>
                <c:pt idx="37">
                  <c:v>1323</c:v>
                </c:pt>
                <c:pt idx="38">
                  <c:v>1376</c:v>
                </c:pt>
              </c:numCache>
            </c:numRef>
          </c:val>
          <c:smooth val="0"/>
          <c:extLst>
            <c:ext xmlns:c16="http://schemas.microsoft.com/office/drawing/2014/chart" uri="{C3380CC4-5D6E-409C-BE32-E72D297353CC}">
              <c16:uniqueId val="{00000001-8CF4-4274-95A8-1E4461A56FF1}"/>
            </c:ext>
          </c:extLst>
        </c:ser>
        <c:dLbls>
          <c:showLegendKey val="0"/>
          <c:showVal val="0"/>
          <c:showCatName val="0"/>
          <c:showSerName val="0"/>
          <c:showPercent val="0"/>
          <c:showBubbleSize val="0"/>
        </c:dLbls>
        <c:marker val="1"/>
        <c:smooth val="0"/>
        <c:axId val="3"/>
        <c:axId val="4"/>
      </c:lineChart>
      <c:catAx>
        <c:axId val="169600384"/>
        <c:scaling>
          <c:orientation val="minMax"/>
        </c:scaling>
        <c:delete val="0"/>
        <c:axPos val="b"/>
        <c:title>
          <c:tx>
            <c:rich>
              <a:bodyPr/>
              <a:lstStyle/>
              <a:p>
                <a:pPr>
                  <a:defRPr sz="900" b="0" i="0" u="none" strike="noStrike" baseline="0">
                    <a:solidFill>
                      <a:srgbClr val="333333"/>
                    </a:solidFill>
                    <a:latin typeface="Garamond"/>
                    <a:ea typeface="Garamond"/>
                    <a:cs typeface="Garamond"/>
                  </a:defRPr>
                </a:pPr>
                <a:r>
                  <a:rPr lang="sl-SI"/>
                  <a:t>Year</a:t>
                </a:r>
              </a:p>
            </c:rich>
          </c:tx>
          <c:overlay val="0"/>
          <c:spPr>
            <a:noFill/>
            <a:ln w="25400">
              <a:noFill/>
            </a:ln>
          </c:spPr>
        </c:title>
        <c:numFmt formatCode="General" sourceLinked="1"/>
        <c:majorTickMark val="out"/>
        <c:minorTickMark val="none"/>
        <c:tickLblPos val="low"/>
        <c:spPr>
          <a:noFill/>
          <a:ln w="9525" cap="flat" cmpd="sng" algn="ctr">
            <a:solidFill>
              <a:schemeClr val="accent1">
                <a:lumMod val="50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Garamond" panose="02020404030301010803" pitchFamily="18" charset="0"/>
                <a:ea typeface="+mn-ea"/>
                <a:cs typeface="+mn-cs"/>
              </a:defRPr>
            </a:pPr>
            <a:endParaRPr lang="sl-SI"/>
          </a:p>
        </c:txPr>
        <c:crossAx val="1"/>
        <c:crosses val="autoZero"/>
        <c:auto val="1"/>
        <c:lblAlgn val="ctr"/>
        <c:lblOffset val="100"/>
        <c:tickLblSkip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Garamond"/>
                    <a:ea typeface="Garamond"/>
                    <a:cs typeface="Garamond"/>
                  </a:defRPr>
                </a:pPr>
                <a:r>
                  <a:rPr lang="sl-SI"/>
                  <a:t>No. of replaced</a:t>
                </a:r>
                <a:r>
                  <a:rPr lang="sl-SI" baseline="0"/>
                  <a:t> elements</a:t>
                </a:r>
                <a:endParaRPr lang="sl-SI"/>
              </a:p>
            </c:rich>
          </c:tx>
          <c:overlay val="0"/>
          <c:spPr>
            <a:noFill/>
            <a:ln w="25400">
              <a:noFill/>
            </a:ln>
          </c:spPr>
        </c:title>
        <c:numFmt formatCode="General" sourceLinked="1"/>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6960038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sl-SI" cap="none" baseline="0"/>
                  <a:t>No. of elements in the pool</a:t>
                </a:r>
              </a:p>
            </c:rich>
          </c:tx>
          <c:overlay val="0"/>
          <c:spPr>
            <a:noFill/>
            <a:ln w="25400">
              <a:noFill/>
            </a:ln>
          </c:spPr>
        </c:title>
        <c:numFmt formatCode="0" sourceLinked="0"/>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3"/>
        <c:crosses val="max"/>
        <c:crossBetween val="between"/>
      </c:valAx>
      <c:spPr>
        <a:noFill/>
        <a:ln w="25400">
          <a:noFill/>
        </a:ln>
      </c:spPr>
    </c:plotArea>
    <c:legend>
      <c:legendPos val="r"/>
      <c:layout>
        <c:manualLayout>
          <c:xMode val="edge"/>
          <c:yMode val="edge"/>
          <c:x val="9.7480064095930644E-2"/>
          <c:y val="1.415941428374088E-2"/>
          <c:w val="0.78503686143174756"/>
          <c:h val="8.4953482645332951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sl-SI"/>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List1!$C$2</c:f>
              <c:strCache>
                <c:ptCount val="1"/>
                <c:pt idx="0">
                  <c:v>portfolio (cumulative)</c:v>
                </c:pt>
              </c:strCache>
            </c:strRef>
          </c:tx>
          <c:spPr>
            <a:solidFill>
              <a:schemeClr val="accent1">
                <a:lumMod val="60000"/>
                <a:lumOff val="40000"/>
              </a:schemeClr>
            </a:solidFill>
            <a:ln>
              <a:noFill/>
            </a:ln>
            <a:effectLst/>
          </c:spPr>
          <c:invertIfNegative val="0"/>
          <c:dLbls>
            <c:dLbl>
              <c:idx val="0"/>
              <c:layout>
                <c:manualLayout>
                  <c:x val="0"/>
                  <c:y val="-1.88074322406026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1C-46FA-AEC4-07B5E34FB3AD}"/>
                </c:ext>
              </c:extLst>
            </c:dLbl>
            <c:dLbl>
              <c:idx val="1"/>
              <c:layout>
                <c:manualLayout>
                  <c:x val="1.5558148580318942E-3"/>
                  <c:y val="-3.08300526176325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1C-46FA-AEC4-07B5E34FB3AD}"/>
                </c:ext>
              </c:extLst>
            </c:dLbl>
            <c:dLbl>
              <c:idx val="2"/>
              <c:layout>
                <c:manualLayout>
                  <c:x val="0"/>
                  <c:y val="-4.17945238861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1C-46FA-AEC4-07B5E34FB3AD}"/>
                </c:ext>
              </c:extLst>
            </c:dLbl>
            <c:dLbl>
              <c:idx val="3"/>
              <c:layout>
                <c:manualLayout>
                  <c:x val="0"/>
                  <c:y val="-5.4720918348033463E-2"/>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41C-46FA-AEC4-07B5E34FB3AD}"/>
                </c:ext>
              </c:extLst>
            </c:dLbl>
            <c:dLbl>
              <c:idx val="4"/>
              <c:layout>
                <c:manualLayout>
                  <c:x val="0"/>
                  <c:y val="-6.7688124597797009E-2"/>
                </c:manualLayout>
              </c:layout>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41C-46FA-AEC4-07B5E34FB3AD}"/>
                </c:ext>
              </c:extLst>
            </c:dLbl>
            <c:dLbl>
              <c:idx val="5"/>
              <c:layout>
                <c:manualLayout>
                  <c:x val="2.8522942897781083E-17"/>
                  <c:y val="-8.13024047015179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1C-46FA-AEC4-07B5E34FB3AD}"/>
                </c:ext>
              </c:extLst>
            </c:dLbl>
            <c:dLbl>
              <c:idx val="6"/>
              <c:layout>
                <c:manualLayout>
                  <c:x val="0"/>
                  <c:y val="-0.11168678076617343"/>
                </c:manualLayout>
              </c:layout>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41C-46FA-AEC4-07B5E34FB3AD}"/>
                </c:ext>
              </c:extLst>
            </c:dLbl>
            <c:dLbl>
              <c:idx val="7"/>
              <c:layout>
                <c:manualLayout>
                  <c:x val="0"/>
                  <c:y val="-0.13091149875080446"/>
                </c:manualLayout>
              </c:layout>
              <c:tx>
                <c:rich>
                  <a:bodyPr/>
                  <a:lstStyle/>
                  <a:p>
                    <a:r>
                      <a:rPr lang="en-US"/>
                      <a:t>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41C-46FA-AEC4-07B5E34FB3AD}"/>
                </c:ext>
              </c:extLst>
            </c:dLbl>
            <c:dLbl>
              <c:idx val="8"/>
              <c:layout>
                <c:manualLayout>
                  <c:x val="-1.5558148580318942E-3"/>
                  <c:y val="-0.16246255962069886"/>
                </c:manualLayout>
              </c:layout>
              <c:tx>
                <c:rich>
                  <a:bodyPr/>
                  <a:lstStyle/>
                  <a:p>
                    <a:r>
                      <a:rPr lang="en-US"/>
                      <a:t>106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41C-46FA-AEC4-07B5E34FB3AD}"/>
                </c:ext>
              </c:extLst>
            </c:dLbl>
            <c:dLbl>
              <c:idx val="9"/>
              <c:layout>
                <c:manualLayout>
                  <c:x val="0"/>
                  <c:y val="-0.17217280775636901"/>
                </c:manualLayout>
              </c:layout>
              <c:tx>
                <c:rich>
                  <a:bodyPr/>
                  <a:lstStyle/>
                  <a:p>
                    <a:r>
                      <a:rPr lang="en-US"/>
                      <a:t>118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41C-46FA-AEC4-07B5E34FB3AD}"/>
                </c:ext>
              </c:extLst>
            </c:dLbl>
            <c:dLbl>
              <c:idx val="10"/>
              <c:layout>
                <c:manualLayout>
                  <c:x val="0"/>
                  <c:y val="-0.19496412111519099"/>
                </c:manualLayout>
              </c:layout>
              <c:tx>
                <c:rich>
                  <a:bodyPr/>
                  <a:lstStyle/>
                  <a:p>
                    <a:r>
                      <a:rPr lang="en-US"/>
                      <a:t>130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41C-46FA-AEC4-07B5E34FB3AD}"/>
                </c:ext>
              </c:extLst>
            </c:dLbl>
            <c:dLbl>
              <c:idx val="11"/>
              <c:layout>
                <c:manualLayout>
                  <c:x val="-5.7045885795562167E-17"/>
                  <c:y val="-0.20575321999091495"/>
                </c:manualLayout>
              </c:layout>
              <c:tx>
                <c:rich>
                  <a:bodyPr/>
                  <a:lstStyle/>
                  <a:p>
                    <a:r>
                      <a:rPr lang="en-US"/>
                      <a:t>145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41C-46FA-AEC4-07B5E34FB3AD}"/>
                </c:ext>
              </c:extLst>
            </c:dLbl>
            <c:dLbl>
              <c:idx val="12"/>
              <c:layout>
                <c:manualLayout>
                  <c:x val="0"/>
                  <c:y val="-0.23234121257145021"/>
                </c:manualLayout>
              </c:layout>
              <c:tx>
                <c:rich>
                  <a:bodyPr/>
                  <a:lstStyle/>
                  <a:p>
                    <a:r>
                      <a:rPr lang="en-US"/>
                      <a:t>163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41C-46FA-AEC4-07B5E34FB3AD}"/>
                </c:ext>
              </c:extLst>
            </c:dLbl>
            <c:dLbl>
              <c:idx val="13"/>
              <c:layout>
                <c:manualLayout>
                  <c:x val="0"/>
                  <c:y val="-0.23335943710489465"/>
                </c:manualLayout>
              </c:layout>
              <c:tx>
                <c:rich>
                  <a:bodyPr/>
                  <a:lstStyle/>
                  <a:p>
                    <a:r>
                      <a:rPr lang="en-US"/>
                      <a:t>159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41C-46FA-AEC4-07B5E34FB3AD}"/>
                </c:ext>
              </c:extLst>
            </c:dLbl>
            <c:dLbl>
              <c:idx val="14"/>
              <c:layout>
                <c:manualLayout>
                  <c:x val="0"/>
                  <c:y val="-0.24296144528144761"/>
                </c:manualLayout>
              </c:layout>
              <c:tx>
                <c:rich>
                  <a:bodyPr/>
                  <a:lstStyle/>
                  <a:p>
                    <a:r>
                      <a:rPr lang="en-US"/>
                      <a:t>171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41C-46FA-AEC4-07B5E34FB3AD}"/>
                </c:ext>
              </c:extLst>
            </c:dLbl>
            <c:dLbl>
              <c:idx val="15"/>
              <c:layout>
                <c:manualLayout>
                  <c:x val="0"/>
                  <c:y val="-0.27078325510088203"/>
                </c:manualLayout>
              </c:layout>
              <c:tx>
                <c:rich>
                  <a:bodyPr/>
                  <a:lstStyle/>
                  <a:p>
                    <a:r>
                      <a:rPr lang="en-US"/>
                      <a:t>183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41C-46FA-AEC4-07B5E34FB3AD}"/>
                </c:ext>
              </c:extLst>
            </c:dLbl>
            <c:dLbl>
              <c:idx val="16"/>
              <c:layout>
                <c:manualLayout>
                  <c:x val="1.5558148580318942E-3"/>
                  <c:y val="-0.28740489079002157"/>
                </c:manualLayout>
              </c:layout>
              <c:tx>
                <c:rich>
                  <a:bodyPr/>
                  <a:lstStyle/>
                  <a:p>
                    <a:r>
                      <a:rPr lang="en-US"/>
                      <a:t>188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41C-46FA-AEC4-07B5E34FB3AD}"/>
                </c:ext>
              </c:extLst>
            </c:dLbl>
            <c:dLbl>
              <c:idx val="17"/>
              <c:layout>
                <c:manualLayout>
                  <c:x val="0"/>
                  <c:y val="-0.30818696294053077"/>
                </c:manualLayout>
              </c:layout>
              <c:tx>
                <c:rich>
                  <a:bodyPr/>
                  <a:lstStyle/>
                  <a:p>
                    <a:r>
                      <a:rPr lang="en-US"/>
                      <a:t>207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41C-46FA-AEC4-07B5E34FB3AD}"/>
                </c:ext>
              </c:extLst>
            </c:dLbl>
            <c:dLbl>
              <c:idx val="18"/>
              <c:layout>
                <c:manualLayout>
                  <c:x val="-1.5558148580318942E-3"/>
                  <c:y val="-0.33853515845545251"/>
                </c:manualLayout>
              </c:layout>
              <c:tx>
                <c:rich>
                  <a:bodyPr/>
                  <a:lstStyle/>
                  <a:p>
                    <a:r>
                      <a:rPr lang="en-US"/>
                      <a:t>220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41C-46FA-AEC4-07B5E34FB3AD}"/>
                </c:ext>
              </c:extLst>
            </c:dLbl>
            <c:dLbl>
              <c:idx val="19"/>
              <c:layout>
                <c:manualLayout>
                  <c:x val="1.5558148580318942E-3"/>
                  <c:y val="-0.38078885702473864"/>
                </c:manualLayout>
              </c:layout>
              <c:tx>
                <c:rich>
                  <a:bodyPr/>
                  <a:lstStyle/>
                  <a:p>
                    <a:r>
                      <a:rPr lang="en-US"/>
                      <a:t>244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A41C-46FA-AEC4-07B5E34FB3AD}"/>
                </c:ext>
              </c:extLst>
            </c:dLbl>
            <c:dLbl>
              <c:idx val="20"/>
              <c:layout>
                <c:manualLayout>
                  <c:x val="-1.5558148580318942E-3"/>
                  <c:y val="-0.39173372023696862"/>
                </c:manualLayout>
              </c:layout>
              <c:tx>
                <c:rich>
                  <a:bodyPr/>
                  <a:lstStyle/>
                  <a:p>
                    <a:r>
                      <a:rPr lang="en-US"/>
                      <a:t>258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A41C-46FA-AEC4-07B5E34FB3AD}"/>
                </c:ext>
              </c:extLst>
            </c:dLbl>
            <c:dLbl>
              <c:idx val="21"/>
              <c:layout>
                <c:manualLayout>
                  <c:x val="-2.5289305492135743E-3"/>
                  <c:y val="-0.43762286621285046"/>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sz="800"/>
                      <a:t>272</a:t>
                    </a:r>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extLst>
                <c:ext xmlns:c15="http://schemas.microsoft.com/office/drawing/2012/chart" uri="{CE6537A1-D6FC-4f65-9D91-7224C49458BB}">
                  <c15:layout>
                    <c:manualLayout>
                      <c:w val="5.0976266855531936E-2"/>
                      <c:h val="4.2051036814115511E-2"/>
                    </c:manualLayout>
                  </c15:layout>
                  <c15:showDataLabelsRange val="0"/>
                </c:ext>
                <c:ext xmlns:c16="http://schemas.microsoft.com/office/drawing/2014/chart" uri="{C3380CC4-5D6E-409C-BE32-E72D297353CC}">
                  <c16:uniqueId val="{00000015-A41C-46FA-AEC4-07B5E34FB3AD}"/>
                </c:ext>
              </c:extLst>
            </c:dLbl>
            <c:dLbl>
              <c:idx val="22"/>
              <c:layout>
                <c:manualLayout>
                  <c:x val="0"/>
                  <c:y val="-0.45519418830250763"/>
                </c:manualLayout>
              </c:layout>
              <c:tx>
                <c:rich>
                  <a:bodyPr/>
                  <a:lstStyle/>
                  <a:p>
                    <a:r>
                      <a:rPr lang="en-US"/>
                      <a:t>283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A41C-46FA-AEC4-07B5E34FB3AD}"/>
                </c:ext>
              </c:extLst>
            </c:dLbl>
            <c:dLbl>
              <c:idx val="23"/>
              <c:layout>
                <c:manualLayout>
                  <c:x val="0"/>
                  <c:y val="-0.47289473414068983"/>
                </c:manualLayout>
              </c:layout>
              <c:tx>
                <c:rich>
                  <a:bodyPr/>
                  <a:lstStyle/>
                  <a:p>
                    <a:r>
                      <a:rPr lang="en-US"/>
                      <a:t>290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A41C-46FA-AEC4-07B5E34FB3AD}"/>
                </c:ext>
              </c:extLst>
            </c:dLbl>
            <c:dLbl>
              <c:idx val="24"/>
              <c:layout>
                <c:manualLayout>
                  <c:x val="3.1116297160637884E-3"/>
                  <c:y val="-0.4906921011643739"/>
                </c:manualLayout>
              </c:layout>
              <c:tx>
                <c:rich>
                  <a:bodyPr/>
                  <a:lstStyle/>
                  <a:p>
                    <a:r>
                      <a:rPr lang="en-US"/>
                      <a:t>306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A41C-46FA-AEC4-07B5E34FB3AD}"/>
                </c:ext>
              </c:extLst>
            </c:dLbl>
            <c:dLbl>
              <c:idx val="25"/>
              <c:layout>
                <c:manualLayout>
                  <c:x val="-1.1409177159112433E-16"/>
                  <c:y val="-0.52827295268686958"/>
                </c:manualLayout>
              </c:layout>
              <c:tx>
                <c:rich>
                  <a:bodyPr/>
                  <a:lstStyle/>
                  <a:p>
                    <a:r>
                      <a:rPr lang="en-US"/>
                      <a:t>320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A41C-46FA-AEC4-07B5E34FB3AD}"/>
                </c:ext>
              </c:extLst>
            </c:dLbl>
            <c:dLbl>
              <c:idx val="26"/>
              <c:layout>
                <c:manualLayout>
                  <c:x val="1.1409177159112433E-16"/>
                  <c:y val="-0.55259676752556774"/>
                </c:manualLayout>
              </c:layout>
              <c:tx>
                <c:rich>
                  <a:bodyPr/>
                  <a:lstStyle/>
                  <a:p>
                    <a:r>
                      <a:rPr lang="en-US"/>
                      <a:t>337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A41C-46FA-AEC4-07B5E34FB3A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List1!$B$3:$B$29</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formatCode="0">
                  <c:v>2019</c:v>
                </c:pt>
                <c:pt idx="25" formatCode="0">
                  <c:v>2020</c:v>
                </c:pt>
                <c:pt idx="26">
                  <c:v>2021</c:v>
                </c:pt>
              </c:numCache>
            </c:numRef>
          </c:cat>
          <c:val>
            <c:numRef>
              <c:f>List1!$C$3:$C$29</c:f>
              <c:numCache>
                <c:formatCode>General</c:formatCode>
                <c:ptCount val="27"/>
                <c:pt idx="0">
                  <c:v>0</c:v>
                </c:pt>
                <c:pt idx="1">
                  <c:v>0.7</c:v>
                </c:pt>
                <c:pt idx="2">
                  <c:v>3.9</c:v>
                </c:pt>
                <c:pt idx="3">
                  <c:v>12.4</c:v>
                </c:pt>
                <c:pt idx="4">
                  <c:v>27.9</c:v>
                </c:pt>
                <c:pt idx="5">
                  <c:v>44</c:v>
                </c:pt>
                <c:pt idx="6">
                  <c:v>65.2</c:v>
                </c:pt>
                <c:pt idx="7">
                  <c:v>86.5</c:v>
                </c:pt>
                <c:pt idx="8">
                  <c:v>105.3</c:v>
                </c:pt>
                <c:pt idx="9">
                  <c:v>114.3</c:v>
                </c:pt>
                <c:pt idx="10">
                  <c:v>121.5</c:v>
                </c:pt>
                <c:pt idx="11">
                  <c:v>131.5</c:v>
                </c:pt>
                <c:pt idx="12">
                  <c:v>145.69999999999999</c:v>
                </c:pt>
                <c:pt idx="13">
                  <c:v>136.19999999999999</c:v>
                </c:pt>
                <c:pt idx="14">
                  <c:v>145.1</c:v>
                </c:pt>
                <c:pt idx="15">
                  <c:v>150</c:v>
                </c:pt>
                <c:pt idx="16">
                  <c:v>148</c:v>
                </c:pt>
                <c:pt idx="17">
                  <c:v>160.30000000000001</c:v>
                </c:pt>
                <c:pt idx="18">
                  <c:v>167</c:v>
                </c:pt>
                <c:pt idx="19">
                  <c:v>184</c:v>
                </c:pt>
                <c:pt idx="20">
                  <c:v>189</c:v>
                </c:pt>
                <c:pt idx="21">
                  <c:v>195</c:v>
                </c:pt>
                <c:pt idx="22">
                  <c:v>198</c:v>
                </c:pt>
                <c:pt idx="23">
                  <c:v>197</c:v>
                </c:pt>
                <c:pt idx="24">
                  <c:v>206.34</c:v>
                </c:pt>
                <c:pt idx="25">
                  <c:v>212.24</c:v>
                </c:pt>
                <c:pt idx="26">
                  <c:v>220.86</c:v>
                </c:pt>
              </c:numCache>
            </c:numRef>
          </c:val>
          <c:extLst>
            <c:ext xmlns:c16="http://schemas.microsoft.com/office/drawing/2014/chart" uri="{C3380CC4-5D6E-409C-BE32-E72D297353CC}">
              <c16:uniqueId val="{0000001B-A41C-46FA-AEC4-07B5E34FB3AD}"/>
            </c:ext>
          </c:extLst>
        </c:ser>
        <c:ser>
          <c:idx val="1"/>
          <c:order val="1"/>
          <c:tx>
            <c:strRef>
              <c:f>List1!$D$2</c:f>
              <c:strCache>
                <c:ptCount val="1"/>
                <c:pt idx="0">
                  <c:v>payments to the ARAO and municipalities (cumulative)</c:v>
                </c:pt>
              </c:strCache>
            </c:strRef>
          </c:tx>
          <c:spPr>
            <a:solidFill>
              <a:schemeClr val="accent6">
                <a:lumMod val="40000"/>
                <a:lumOff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C-A41C-46FA-AEC4-07B5E34FB3AD}"/>
                </c:ext>
              </c:extLst>
            </c:dLbl>
            <c:dLbl>
              <c:idx val="1"/>
              <c:delete val="1"/>
              <c:extLst>
                <c:ext xmlns:c15="http://schemas.microsoft.com/office/drawing/2012/chart" uri="{CE6537A1-D6FC-4f65-9D91-7224C49458BB}"/>
                <c:ext xmlns:c16="http://schemas.microsoft.com/office/drawing/2014/chart" uri="{C3380CC4-5D6E-409C-BE32-E72D297353CC}">
                  <c16:uniqueId val="{0000001D-A41C-46FA-AEC4-07B5E34FB3AD}"/>
                </c:ext>
              </c:extLst>
            </c:dLbl>
            <c:dLbl>
              <c:idx val="2"/>
              <c:delete val="1"/>
              <c:extLst>
                <c:ext xmlns:c15="http://schemas.microsoft.com/office/drawing/2012/chart" uri="{CE6537A1-D6FC-4f65-9D91-7224C49458BB}"/>
                <c:ext xmlns:c16="http://schemas.microsoft.com/office/drawing/2014/chart" uri="{C3380CC4-5D6E-409C-BE32-E72D297353CC}">
                  <c16:uniqueId val="{0000001E-A41C-46FA-AEC4-07B5E34FB3AD}"/>
                </c:ext>
              </c:extLst>
            </c:dLbl>
            <c:dLbl>
              <c:idx val="3"/>
              <c:delete val="1"/>
              <c:extLst>
                <c:ext xmlns:c15="http://schemas.microsoft.com/office/drawing/2012/chart" uri="{CE6537A1-D6FC-4f65-9D91-7224C49458BB}"/>
                <c:ext xmlns:c16="http://schemas.microsoft.com/office/drawing/2014/chart" uri="{C3380CC4-5D6E-409C-BE32-E72D297353CC}">
                  <c16:uniqueId val="{0000001F-A41C-46FA-AEC4-07B5E34FB3AD}"/>
                </c:ext>
              </c:extLst>
            </c:dLbl>
            <c:dLbl>
              <c:idx val="4"/>
              <c:delete val="1"/>
              <c:extLst>
                <c:ext xmlns:c15="http://schemas.microsoft.com/office/drawing/2012/chart" uri="{CE6537A1-D6FC-4f65-9D91-7224C49458BB}"/>
                <c:ext xmlns:c16="http://schemas.microsoft.com/office/drawing/2014/chart" uri="{C3380CC4-5D6E-409C-BE32-E72D297353CC}">
                  <c16:uniqueId val="{00000020-A41C-46FA-AEC4-07B5E34FB3AD}"/>
                </c:ext>
              </c:extLst>
            </c:dLbl>
            <c:dLbl>
              <c:idx val="5"/>
              <c:delete val="1"/>
              <c:extLst>
                <c:ext xmlns:c15="http://schemas.microsoft.com/office/drawing/2012/chart" uri="{CE6537A1-D6FC-4f65-9D91-7224C49458BB}"/>
                <c:ext xmlns:c16="http://schemas.microsoft.com/office/drawing/2014/chart" uri="{C3380CC4-5D6E-409C-BE32-E72D297353CC}">
                  <c16:uniqueId val="{00000021-A41C-46FA-AEC4-07B5E34FB3AD}"/>
                </c:ext>
              </c:extLst>
            </c:dLbl>
            <c:dLbl>
              <c:idx val="6"/>
              <c:layout>
                <c:manualLayout>
                  <c:x val="0"/>
                  <c:y val="2.6666654223783389E-2"/>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A41C-46FA-AEC4-07B5E34FB3AD}"/>
                </c:ext>
              </c:extLst>
            </c:dLbl>
            <c:dLbl>
              <c:idx val="7"/>
              <c:layout>
                <c:manualLayout>
                  <c:x val="0"/>
                  <c:y val="4.4444423706305539E-2"/>
                </c:manualLayout>
              </c:layout>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A41C-46FA-AEC4-07B5E34FB3AD}"/>
                </c:ext>
              </c:extLst>
            </c:dLbl>
            <c:dLbl>
              <c:idx val="8"/>
              <c:layout>
                <c:manualLayout>
                  <c:x val="1.5594541910331384E-3"/>
                  <c:y val="2.9629615804203657E-2"/>
                </c:manualLayout>
              </c:layout>
              <c:tx>
                <c:rich>
                  <a:bodyPr/>
                  <a:lstStyle/>
                  <a:p>
                    <a:r>
                      <a:rPr lang="en-US"/>
                      <a:t>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A41C-46FA-AEC4-07B5E34FB3AD}"/>
                </c:ext>
              </c:extLst>
            </c:dLbl>
            <c:dLbl>
              <c:idx val="9"/>
              <c:layout>
                <c:manualLayout>
                  <c:x val="-5.7179326464089797E-17"/>
                  <c:y val="3.2592577384624143E-2"/>
                </c:manualLayout>
              </c:layout>
              <c:tx>
                <c:rich>
                  <a:bodyPr/>
                  <a:lstStyle/>
                  <a:p>
                    <a:r>
                      <a:rPr lang="en-US"/>
                      <a:t>114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A41C-46FA-AEC4-07B5E34FB3AD}"/>
                </c:ext>
              </c:extLst>
            </c:dLbl>
            <c:dLbl>
              <c:idx val="10"/>
              <c:layout>
                <c:manualLayout>
                  <c:x val="-5.7179326464089797E-17"/>
                  <c:y val="4.1481462125885271E-2"/>
                </c:manualLayout>
              </c:layout>
              <c:tx>
                <c:rich>
                  <a:bodyPr/>
                  <a:lstStyle/>
                  <a:p>
                    <a:r>
                      <a:rPr lang="en-US"/>
                      <a:t>122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A41C-46FA-AEC4-07B5E34FB3AD}"/>
                </c:ext>
              </c:extLst>
            </c:dLbl>
            <c:dLbl>
              <c:idx val="11"/>
              <c:layout>
                <c:manualLayout>
                  <c:x val="0"/>
                  <c:y val="4.4444423706305539E-2"/>
                </c:manualLayout>
              </c:layout>
              <c:tx>
                <c:rich>
                  <a:bodyPr/>
                  <a:lstStyle/>
                  <a:p>
                    <a:r>
                      <a:rPr lang="en-US"/>
                      <a:t>132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A41C-46FA-AEC4-07B5E34FB3AD}"/>
                </c:ext>
              </c:extLst>
            </c:dLbl>
            <c:dLbl>
              <c:idx val="12"/>
              <c:layout>
                <c:manualLayout>
                  <c:x val="5.7179326464089797E-17"/>
                  <c:y val="4.4444423706305539E-2"/>
                </c:manualLayout>
              </c:layout>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A41C-46FA-AEC4-07B5E34FB3AD}"/>
                </c:ext>
              </c:extLst>
            </c:dLbl>
            <c:dLbl>
              <c:idx val="13"/>
              <c:layout>
                <c:manualLayout>
                  <c:x val="0"/>
                  <c:y val="5.3333308447566778E-2"/>
                </c:manualLayout>
              </c:layout>
              <c:tx>
                <c:rich>
                  <a:bodyPr/>
                  <a:lstStyle/>
                  <a:p>
                    <a:r>
                      <a:rPr lang="en-US"/>
                      <a:t>136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A41C-46FA-AEC4-07B5E34FB3AD}"/>
                </c:ext>
              </c:extLst>
            </c:dLbl>
            <c:dLbl>
              <c:idx val="14"/>
              <c:layout>
                <c:manualLayout>
                  <c:x val="1.5594541910330241E-3"/>
                  <c:y val="5.03703468671464E-2"/>
                </c:manualLayout>
              </c:layout>
              <c:tx>
                <c:rich>
                  <a:bodyPr/>
                  <a:lstStyle/>
                  <a:p>
                    <a:r>
                      <a:rPr lang="en-US"/>
                      <a:t>145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A41C-46FA-AEC4-07B5E34FB3AD}"/>
                </c:ext>
              </c:extLst>
            </c:dLbl>
            <c:dLbl>
              <c:idx val="15"/>
              <c:layout>
                <c:manualLayout>
                  <c:x val="-1.1435865292817959E-16"/>
                  <c:y val="6.2222193188827907E-2"/>
                </c:manualLayout>
              </c:layout>
              <c:tx>
                <c:rich>
                  <a:bodyPr/>
                  <a:lstStyle/>
                  <a:p>
                    <a:r>
                      <a:rPr lang="en-US"/>
                      <a:t>150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A41C-46FA-AEC4-07B5E34FB3AD}"/>
                </c:ext>
              </c:extLst>
            </c:dLbl>
            <c:dLbl>
              <c:idx val="16"/>
              <c:layout>
                <c:manualLayout>
                  <c:x val="1.5594541910331384E-3"/>
                  <c:y val="7.407403951050931E-2"/>
                </c:manualLayout>
              </c:layout>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A41C-46FA-AEC4-07B5E34FB3AD}"/>
                </c:ext>
              </c:extLst>
            </c:dLbl>
            <c:dLbl>
              <c:idx val="17"/>
              <c:layout>
                <c:manualLayout>
                  <c:x val="-1.1435865292817959E-16"/>
                  <c:y val="8.2962924251770542E-2"/>
                </c:manualLayout>
              </c:layout>
              <c:tx>
                <c:rich>
                  <a:bodyPr/>
                  <a:lstStyle/>
                  <a:p>
                    <a:r>
                      <a:rPr lang="en-US"/>
                      <a:t>160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A41C-46FA-AEC4-07B5E34FB3AD}"/>
                </c:ext>
              </c:extLst>
            </c:dLbl>
            <c:dLbl>
              <c:idx val="18"/>
              <c:layout>
                <c:manualLayout>
                  <c:x val="0"/>
                  <c:y val="9.1851808993031678E-2"/>
                </c:manualLayout>
              </c:layout>
              <c:tx>
                <c:rich>
                  <a:bodyPr/>
                  <a:lstStyle/>
                  <a:p>
                    <a:r>
                      <a:rPr lang="en-US"/>
                      <a:t>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A41C-46FA-AEC4-07B5E34FB3AD}"/>
                </c:ext>
              </c:extLst>
            </c:dLbl>
            <c:dLbl>
              <c:idx val="19"/>
              <c:layout>
                <c:manualLayout>
                  <c:x val="0"/>
                  <c:y val="0.10074069373429285"/>
                </c:manualLayout>
              </c:layout>
              <c:tx>
                <c:rich>
                  <a:bodyPr/>
                  <a:lstStyle/>
                  <a:p>
                    <a:r>
                      <a:rPr lang="en-US"/>
                      <a:t>184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A41C-46FA-AEC4-07B5E34FB3AD}"/>
                </c:ext>
              </c:extLst>
            </c:dLbl>
            <c:dLbl>
              <c:idx val="20"/>
              <c:layout>
                <c:manualLayout>
                  <c:x val="1.5594541910330241E-3"/>
                  <c:y val="0.11259254005597437"/>
                </c:manualLayout>
              </c:layout>
              <c:tx>
                <c:rich>
                  <a:bodyPr/>
                  <a:lstStyle/>
                  <a:p>
                    <a:r>
                      <a:rPr lang="en-US"/>
                      <a:t>189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A41C-46FA-AEC4-07B5E34FB3AD}"/>
                </c:ext>
              </c:extLst>
            </c:dLbl>
            <c:dLbl>
              <c:idx val="21"/>
              <c:layout>
                <c:manualLayout>
                  <c:x val="-3.1116297160639025E-3"/>
                  <c:y val="0.11555550163639464"/>
                </c:manualLayout>
              </c:layout>
              <c:tx>
                <c:rich>
                  <a:bodyPr/>
                  <a:lstStyle/>
                  <a:p>
                    <a:r>
                      <a:rPr lang="en-US"/>
                      <a:t>195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A41C-46FA-AEC4-07B5E34FB3AD}"/>
                </c:ext>
              </c:extLst>
            </c:dLbl>
            <c:dLbl>
              <c:idx val="22"/>
              <c:layout>
                <c:manualLayout>
                  <c:x val="0"/>
                  <c:y val="0.13333327111891688"/>
                </c:manualLayout>
              </c:layout>
              <c:tx>
                <c:rich>
                  <a:bodyPr/>
                  <a:lstStyle/>
                  <a:p>
                    <a:r>
                      <a:rPr lang="en-US"/>
                      <a:t>198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A41C-46FA-AEC4-07B5E34FB3AD}"/>
                </c:ext>
              </c:extLst>
            </c:dLbl>
            <c:dLbl>
              <c:idx val="23"/>
              <c:layout>
                <c:manualLayout>
                  <c:x val="1.5558148580317802E-3"/>
                  <c:y val="0.13629623269933727"/>
                </c:manualLayout>
              </c:layout>
              <c:tx>
                <c:rich>
                  <a:bodyPr/>
                  <a:lstStyle/>
                  <a:p>
                    <a:r>
                      <a:rPr lang="en-US"/>
                      <a:t>197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A41C-46FA-AEC4-07B5E34FB3AD}"/>
                </c:ext>
              </c:extLst>
            </c:dLbl>
            <c:dLbl>
              <c:idx val="24"/>
              <c:layout>
                <c:manualLayout>
                  <c:x val="-1.5558148580320083E-3"/>
                  <c:y val="0.1451851174405985"/>
                </c:manualLayout>
              </c:layout>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A41C-46FA-AEC4-07B5E34FB3AD}"/>
                </c:ext>
              </c:extLst>
            </c:dLbl>
            <c:dLbl>
              <c:idx val="25"/>
              <c:layout>
                <c:manualLayout>
                  <c:x val="1.5558148580317802E-3"/>
                  <c:y val="0.16592584850354114"/>
                </c:manualLayout>
              </c:layout>
              <c:tx>
                <c:rich>
                  <a:bodyPr/>
                  <a:lstStyle/>
                  <a:p>
                    <a:r>
                      <a:rPr lang="en-US"/>
                      <a:t>212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A41C-46FA-AEC4-07B5E34FB3AD}"/>
                </c:ext>
              </c:extLst>
            </c:dLbl>
            <c:dLbl>
              <c:idx val="26"/>
              <c:layout>
                <c:manualLayout>
                  <c:x val="-3.1116297160639025E-3"/>
                  <c:y val="0.1777776948252226"/>
                </c:manualLayout>
              </c:layout>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6-A41C-46FA-AEC4-07B5E34FB3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List1!$B$3:$B$29</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formatCode="0">
                  <c:v>2019</c:v>
                </c:pt>
                <c:pt idx="25" formatCode="0">
                  <c:v>2020</c:v>
                </c:pt>
                <c:pt idx="26">
                  <c:v>2021</c:v>
                </c:pt>
              </c:numCache>
            </c:numRef>
          </c:cat>
          <c:val>
            <c:numRef>
              <c:f>List1!$D$3:$D$29</c:f>
              <c:numCache>
                <c:formatCode>#,##0.00</c:formatCode>
                <c:ptCount val="27"/>
                <c:pt idx="0">
                  <c:v>0</c:v>
                </c:pt>
                <c:pt idx="1">
                  <c:v>0</c:v>
                </c:pt>
                <c:pt idx="2">
                  <c:v>0</c:v>
                </c:pt>
                <c:pt idx="3">
                  <c:v>0.17463695999999998</c:v>
                </c:pt>
                <c:pt idx="4">
                  <c:v>0.24904983</c:v>
                </c:pt>
                <c:pt idx="5">
                  <c:v>0.30824152999999999</c:v>
                </c:pt>
                <c:pt idx="6">
                  <c:v>0.56512686000000001</c:v>
                </c:pt>
                <c:pt idx="7">
                  <c:v>0.81983187999999996</c:v>
                </c:pt>
                <c:pt idx="8">
                  <c:v>1.37270048</c:v>
                </c:pt>
                <c:pt idx="9">
                  <c:v>4.0449542999999997</c:v>
                </c:pt>
                <c:pt idx="10">
                  <c:v>8.3578943799999994</c:v>
                </c:pt>
                <c:pt idx="11">
                  <c:v>12.760797550000001</c:v>
                </c:pt>
                <c:pt idx="12">
                  <c:v>17.440644310000003</c:v>
                </c:pt>
                <c:pt idx="13">
                  <c:v>22.76377239</c:v>
                </c:pt>
                <c:pt idx="14">
                  <c:v>26.115068350000001</c:v>
                </c:pt>
                <c:pt idx="15">
                  <c:v>33.384311240000002</c:v>
                </c:pt>
                <c:pt idx="16">
                  <c:v>40.164534029999999</c:v>
                </c:pt>
                <c:pt idx="17">
                  <c:v>46.816976230000002</c:v>
                </c:pt>
                <c:pt idx="18">
                  <c:v>53.288676970000004</c:v>
                </c:pt>
                <c:pt idx="19">
                  <c:v>60.309471300000006</c:v>
                </c:pt>
                <c:pt idx="20">
                  <c:v>69.241228329999998</c:v>
                </c:pt>
                <c:pt idx="21">
                  <c:v>76.52144315999999</c:v>
                </c:pt>
                <c:pt idx="22">
                  <c:v>85.319674969999994</c:v>
                </c:pt>
                <c:pt idx="23">
                  <c:v>92.50624273999999</c:v>
                </c:pt>
                <c:pt idx="24">
                  <c:v>100.36</c:v>
                </c:pt>
                <c:pt idx="25" formatCode="General">
                  <c:v>107.71</c:v>
                </c:pt>
                <c:pt idx="26">
                  <c:v>115.94</c:v>
                </c:pt>
              </c:numCache>
            </c:numRef>
          </c:val>
          <c:extLst>
            <c:ext xmlns:c16="http://schemas.microsoft.com/office/drawing/2014/chart" uri="{C3380CC4-5D6E-409C-BE32-E72D297353CC}">
              <c16:uniqueId val="{00000037-A41C-46FA-AEC4-07B5E34FB3AD}"/>
            </c:ext>
          </c:extLst>
        </c:ser>
        <c:dLbls>
          <c:showLegendKey val="0"/>
          <c:showVal val="0"/>
          <c:showCatName val="0"/>
          <c:showSerName val="0"/>
          <c:showPercent val="0"/>
          <c:showBubbleSize val="0"/>
        </c:dLbls>
        <c:gapWidth val="150"/>
        <c:overlap val="100"/>
        <c:axId val="572157080"/>
        <c:axId val="572158392"/>
        <c:extLst>
          <c:ext xmlns:c15="http://schemas.microsoft.com/office/drawing/2012/chart" uri="{02D57815-91ED-43cb-92C2-25804820EDAC}">
            <c15:filteredBarSeries>
              <c15:ser>
                <c:idx val="2"/>
                <c:order val="2"/>
                <c:spPr>
                  <a:solidFill>
                    <a:schemeClr val="accent3"/>
                  </a:solidFill>
                  <a:ln>
                    <a:noFill/>
                  </a:ln>
                  <a:effectLst/>
                </c:spPr>
                <c:invertIfNegative val="0"/>
                <c:val>
                  <c:numRef>
                    <c:extLst>
                      <c:ext uri="{02D57815-91ED-43cb-92C2-25804820EDAC}">
                        <c15:formulaRef>
                          <c15:sqref>List1!$E$3:$E$29</c15:sqref>
                        </c15:formulaRef>
                      </c:ext>
                    </c:extLst>
                    <c:numCache>
                      <c:formatCode>#,##0.00</c:formatCode>
                      <c:ptCount val="27"/>
                      <c:pt idx="0">
                        <c:v>0</c:v>
                      </c:pt>
                      <c:pt idx="1">
                        <c:v>0.7</c:v>
                      </c:pt>
                      <c:pt idx="2">
                        <c:v>3.9</c:v>
                      </c:pt>
                      <c:pt idx="3">
                        <c:v>12.574636960000001</c:v>
                      </c:pt>
                      <c:pt idx="4">
                        <c:v>28.149049829999999</c:v>
                      </c:pt>
                      <c:pt idx="5">
                        <c:v>44.308241529999997</c:v>
                      </c:pt>
                      <c:pt idx="6">
                        <c:v>65.765126860000009</c:v>
                      </c:pt>
                      <c:pt idx="7">
                        <c:v>87.319831879999995</c:v>
                      </c:pt>
                      <c:pt idx="8">
                        <c:v>106.67270048</c:v>
                      </c:pt>
                      <c:pt idx="9">
                        <c:v>118.3449543</c:v>
                      </c:pt>
                      <c:pt idx="10">
                        <c:v>129.85789438</c:v>
                      </c:pt>
                      <c:pt idx="11">
                        <c:v>144.26079755000001</c:v>
                      </c:pt>
                      <c:pt idx="12">
                        <c:v>163.14064431</c:v>
                      </c:pt>
                      <c:pt idx="13">
                        <c:v>158.96377238999997</c:v>
                      </c:pt>
                      <c:pt idx="14">
                        <c:v>171.21506835</c:v>
                      </c:pt>
                      <c:pt idx="15">
                        <c:v>183.38431123999999</c:v>
                      </c:pt>
                      <c:pt idx="16">
                        <c:v>188.16453403</c:v>
                      </c:pt>
                      <c:pt idx="17">
                        <c:v>207.11697623000001</c:v>
                      </c:pt>
                      <c:pt idx="18">
                        <c:v>220.28867697000001</c:v>
                      </c:pt>
                      <c:pt idx="19">
                        <c:v>244.30947130000001</c:v>
                      </c:pt>
                      <c:pt idx="20">
                        <c:v>258.24122833000001</c:v>
                      </c:pt>
                      <c:pt idx="21">
                        <c:v>271.52144315999999</c:v>
                      </c:pt>
                      <c:pt idx="22">
                        <c:v>283.31967496999999</c:v>
                      </c:pt>
                      <c:pt idx="23">
                        <c:v>289.50624274</c:v>
                      </c:pt>
                      <c:pt idx="24">
                        <c:v>306.7</c:v>
                      </c:pt>
                      <c:pt idx="25">
                        <c:v>319.95</c:v>
                      </c:pt>
                      <c:pt idx="26">
                        <c:v>336.8</c:v>
                      </c:pt>
                    </c:numCache>
                  </c:numRef>
                </c:val>
                <c:extLst>
                  <c:ext xmlns:c16="http://schemas.microsoft.com/office/drawing/2014/chart" uri="{C3380CC4-5D6E-409C-BE32-E72D297353CC}">
                    <c16:uniqueId val="{00000038-A41C-46FA-AEC4-07B5E34FB3AD}"/>
                  </c:ext>
                </c:extLst>
              </c15:ser>
            </c15:filteredBarSeries>
          </c:ext>
        </c:extLst>
      </c:barChart>
      <c:catAx>
        <c:axId val="57215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72158392"/>
        <c:crosses val="autoZero"/>
        <c:auto val="1"/>
        <c:lblAlgn val="ctr"/>
        <c:lblOffset val="100"/>
        <c:noMultiLvlLbl val="0"/>
      </c:catAx>
      <c:valAx>
        <c:axId val="572158392"/>
        <c:scaling>
          <c:orientation val="minMax"/>
          <c:max val="3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72157080"/>
        <c:crosses val="autoZero"/>
        <c:crossBetween val="between"/>
      </c:valAx>
      <c:spPr>
        <a:noFill/>
        <a:ln>
          <a:noFill/>
        </a:ln>
        <a:effectLst/>
      </c:spPr>
    </c:plotArea>
    <c:legend>
      <c:legendPos val="b"/>
      <c:layout>
        <c:manualLayout>
          <c:xMode val="edge"/>
          <c:yMode val="edge"/>
          <c:x val="9.9212738781983806E-2"/>
          <c:y val="5.7942741772663023E-2"/>
          <c:w val="0.34069407990667833"/>
          <c:h val="0.19519775734839429"/>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840755735492571E-2"/>
          <c:y val="7.8947706567410944E-2"/>
          <c:w val="0.88191632928475039"/>
          <c:h val="0.66082147626283561"/>
        </c:manualLayout>
      </c:layout>
      <c:barChart>
        <c:barDir val="col"/>
        <c:grouping val="stacked"/>
        <c:varyColors val="0"/>
        <c:ser>
          <c:idx val="0"/>
          <c:order val="0"/>
          <c:tx>
            <c:v> Manual </c:v>
          </c:tx>
          <c:spPr>
            <a:solidFill>
              <a:srgbClr val="FFFF99"/>
            </a:solidFill>
            <a:ln w="12700">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izračuni!$H$5:$H$45</c:f>
              <c:numCache>
                <c:formatCode>0</c:formatCode>
                <c:ptCount val="41"/>
                <c:pt idx="0">
                  <c:v>0</c:v>
                </c:pt>
                <c:pt idx="1">
                  <c:v>1</c:v>
                </c:pt>
                <c:pt idx="2">
                  <c:v>0</c:v>
                </c:pt>
                <c:pt idx="3">
                  <c:v>1</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c:v>
                </c:pt>
                <c:pt idx="23">
                  <c:v>0</c:v>
                </c:pt>
                <c:pt idx="24">
                  <c:v>0</c:v>
                </c:pt>
                <c:pt idx="25">
                  <c:v>0</c:v>
                </c:pt>
                <c:pt idx="26">
                  <c:v>0</c:v>
                </c:pt>
                <c:pt idx="27">
                  <c:v>0</c:v>
                </c:pt>
                <c:pt idx="28">
                  <c:v>0</c:v>
                </c:pt>
                <c:pt idx="29">
                  <c:v>1</c:v>
                </c:pt>
                <c:pt idx="30">
                  <c:v>0</c:v>
                </c:pt>
                <c:pt idx="31">
                  <c:v>0</c:v>
                </c:pt>
                <c:pt idx="32">
                  <c:v>0</c:v>
                </c:pt>
                <c:pt idx="33">
                  <c:v>0</c:v>
                </c:pt>
                <c:pt idx="34">
                  <c:v>0</c:v>
                </c:pt>
                <c:pt idx="35">
                  <c:v>0</c:v>
                </c:pt>
                <c:pt idx="36">
                  <c:v>0</c:v>
                </c:pt>
                <c:pt idx="37">
                  <c:v>0</c:v>
                </c:pt>
                <c:pt idx="38">
                  <c:v>0</c:v>
                </c:pt>
                <c:pt idx="40" formatCode="0.00">
                  <c:v>0.12820512820512819</c:v>
                </c:pt>
              </c:numCache>
            </c:numRef>
          </c:val>
          <c:extLst>
            <c:ext xmlns:c16="http://schemas.microsoft.com/office/drawing/2014/chart" uri="{C3380CC4-5D6E-409C-BE32-E72D297353CC}">
              <c16:uniqueId val="{00000000-8426-43EE-B501-B7A44EEE0EBE}"/>
            </c:ext>
          </c:extLst>
        </c:ser>
        <c:ser>
          <c:idx val="1"/>
          <c:order val="1"/>
          <c:tx>
            <c:v> Auto</c:v>
          </c:tx>
          <c:spPr>
            <a:solidFill>
              <a:srgbClr val="9999FF"/>
            </a:solidFill>
            <a:ln w="12700">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izračuni!$G$5:$G$45</c:f>
              <c:numCache>
                <c:formatCode>0</c:formatCode>
                <c:ptCount val="41"/>
                <c:pt idx="0">
                  <c:v>7</c:v>
                </c:pt>
                <c:pt idx="1">
                  <c:v>14</c:v>
                </c:pt>
                <c:pt idx="2">
                  <c:v>5</c:v>
                </c:pt>
                <c:pt idx="3">
                  <c:v>4</c:v>
                </c:pt>
                <c:pt idx="4">
                  <c:v>7</c:v>
                </c:pt>
                <c:pt idx="5">
                  <c:v>8</c:v>
                </c:pt>
                <c:pt idx="6">
                  <c:v>4</c:v>
                </c:pt>
                <c:pt idx="7">
                  <c:v>1</c:v>
                </c:pt>
                <c:pt idx="8">
                  <c:v>4</c:v>
                </c:pt>
                <c:pt idx="9">
                  <c:v>3</c:v>
                </c:pt>
                <c:pt idx="10">
                  <c:v>3</c:v>
                </c:pt>
                <c:pt idx="11">
                  <c:v>1</c:v>
                </c:pt>
                <c:pt idx="12">
                  <c:v>3</c:v>
                </c:pt>
                <c:pt idx="13">
                  <c:v>1</c:v>
                </c:pt>
                <c:pt idx="14">
                  <c:v>1</c:v>
                </c:pt>
                <c:pt idx="15">
                  <c:v>0</c:v>
                </c:pt>
                <c:pt idx="16">
                  <c:v>1</c:v>
                </c:pt>
                <c:pt idx="17">
                  <c:v>0</c:v>
                </c:pt>
                <c:pt idx="18">
                  <c:v>0</c:v>
                </c:pt>
                <c:pt idx="19">
                  <c:v>1</c:v>
                </c:pt>
                <c:pt idx="20">
                  <c:v>2</c:v>
                </c:pt>
                <c:pt idx="21">
                  <c:v>1</c:v>
                </c:pt>
                <c:pt idx="22">
                  <c:v>1</c:v>
                </c:pt>
                <c:pt idx="23">
                  <c:v>0</c:v>
                </c:pt>
                <c:pt idx="24">
                  <c:v>0</c:v>
                </c:pt>
                <c:pt idx="25">
                  <c:v>0</c:v>
                </c:pt>
                <c:pt idx="26">
                  <c:v>0</c:v>
                </c:pt>
                <c:pt idx="27">
                  <c:v>0</c:v>
                </c:pt>
                <c:pt idx="28">
                  <c:v>1</c:v>
                </c:pt>
                <c:pt idx="29">
                  <c:v>0</c:v>
                </c:pt>
                <c:pt idx="30">
                  <c:v>2</c:v>
                </c:pt>
                <c:pt idx="31">
                  <c:v>0</c:v>
                </c:pt>
                <c:pt idx="32">
                  <c:v>0</c:v>
                </c:pt>
                <c:pt idx="33">
                  <c:v>0</c:v>
                </c:pt>
                <c:pt idx="34">
                  <c:v>1</c:v>
                </c:pt>
                <c:pt idx="35">
                  <c:v>0</c:v>
                </c:pt>
                <c:pt idx="36">
                  <c:v>0</c:v>
                </c:pt>
                <c:pt idx="37">
                  <c:v>1</c:v>
                </c:pt>
                <c:pt idx="38">
                  <c:v>0</c:v>
                </c:pt>
                <c:pt idx="40" formatCode="0.00">
                  <c:v>1.9743589743589745</c:v>
                </c:pt>
              </c:numCache>
            </c:numRef>
          </c:val>
          <c:extLst>
            <c:ext xmlns:c16="http://schemas.microsoft.com/office/drawing/2014/chart" uri="{C3380CC4-5D6E-409C-BE32-E72D297353CC}">
              <c16:uniqueId val="{00000001-8426-43EE-B501-B7A44EEE0EBE}"/>
            </c:ext>
          </c:extLst>
        </c:ser>
        <c:dLbls>
          <c:showLegendKey val="0"/>
          <c:showVal val="0"/>
          <c:showCatName val="0"/>
          <c:showSerName val="0"/>
          <c:showPercent val="0"/>
          <c:showBubbleSize val="0"/>
        </c:dLbls>
        <c:gapWidth val="150"/>
        <c:overlap val="100"/>
        <c:axId val="338232176"/>
        <c:axId val="1"/>
      </c:barChart>
      <c:catAx>
        <c:axId val="338232176"/>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Year</a:t>
                </a:r>
              </a:p>
            </c:rich>
          </c:tx>
          <c:layout>
            <c:manualLayout>
              <c:xMode val="edge"/>
              <c:yMode val="edge"/>
              <c:x val="0.51619433198380571"/>
              <c:y val="0.899126490767601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140000" vert="horz"/>
          <a:lstStyle/>
          <a:p>
            <a:pPr>
              <a:defRPr sz="8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1"/>
        <c:crosses val="autoZero"/>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baseline="0">
                    <a:latin typeface="Garamond" panose="02020404030301010803" pitchFamily="18" charset="0"/>
                    <a:cs typeface="Arial" panose="020B0604020202020204" pitchFamily="34" charset="0"/>
                  </a:rPr>
                  <a:t>Number of shutdowns</a:t>
                </a:r>
              </a:p>
            </c:rich>
          </c:tx>
          <c:layout>
            <c:manualLayout>
              <c:xMode val="edge"/>
              <c:yMode val="edge"/>
              <c:x val="2.0242914979757085E-3"/>
              <c:y val="0.152046783625730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38232176"/>
        <c:crosses val="autoZero"/>
        <c:crossBetween val="between"/>
      </c:valAx>
      <c:spPr>
        <a:solidFill>
          <a:srgbClr val="FFFFFF"/>
        </a:solidFill>
        <a:ln w="3175">
          <a:solidFill>
            <a:srgbClr val="808080"/>
          </a:solidFill>
          <a:prstDash val="solid"/>
        </a:ln>
      </c:spPr>
    </c:plotArea>
    <c:legend>
      <c:legendPos val="b"/>
      <c:layout>
        <c:manualLayout>
          <c:xMode val="edge"/>
          <c:yMode val="edge"/>
          <c:x val="0.1059379217273954"/>
          <c:y val="0.90205046737578842"/>
          <c:w val="0.2125506072874494"/>
          <c:h val="9.2105723626651925E-2"/>
        </c:manualLayout>
      </c:layout>
      <c:overlay val="0"/>
      <c:spPr>
        <a:solidFill>
          <a:srgbClr val="FFFFFF"/>
        </a:solidFill>
        <a:ln w="25400">
          <a:noFill/>
        </a:ln>
      </c:spPr>
      <c:txPr>
        <a:bodyPr/>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Garamond"/>
          <a:ea typeface="Garamond"/>
          <a:cs typeface="Garamond"/>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068825910931168E-2"/>
          <c:y val="7.4561722869221442E-2"/>
          <c:w val="0.88663967611336036"/>
          <c:h val="0.68713726573651979"/>
        </c:manualLayout>
      </c:layout>
      <c:barChart>
        <c:barDir val="col"/>
        <c:grouping val="stacked"/>
        <c:varyColors val="0"/>
        <c:ser>
          <c:idx val="0"/>
          <c:order val="0"/>
          <c:tx>
            <c:v>Planned </c:v>
          </c:tx>
          <c:spPr>
            <a:solidFill>
              <a:srgbClr val="FFFF00"/>
            </a:solidFill>
            <a:ln w="12700">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izračuni!$K$5:$K$45</c:f>
              <c:numCache>
                <c:formatCode>0</c:formatCode>
                <c:ptCount val="41"/>
                <c:pt idx="0">
                  <c:v>0</c:v>
                </c:pt>
                <c:pt idx="1">
                  <c:v>0</c:v>
                </c:pt>
                <c:pt idx="2">
                  <c:v>1</c:v>
                </c:pt>
                <c:pt idx="3">
                  <c:v>1</c:v>
                </c:pt>
                <c:pt idx="4">
                  <c:v>1</c:v>
                </c:pt>
                <c:pt idx="5">
                  <c:v>1</c:v>
                </c:pt>
                <c:pt idx="6">
                  <c:v>1</c:v>
                </c:pt>
                <c:pt idx="7">
                  <c:v>1</c:v>
                </c:pt>
                <c:pt idx="8">
                  <c:v>1</c:v>
                </c:pt>
                <c:pt idx="9">
                  <c:v>1</c:v>
                </c:pt>
                <c:pt idx="10">
                  <c:v>0</c:v>
                </c:pt>
                <c:pt idx="11">
                  <c:v>1</c:v>
                </c:pt>
                <c:pt idx="12">
                  <c:v>1</c:v>
                </c:pt>
                <c:pt idx="13">
                  <c:v>1</c:v>
                </c:pt>
                <c:pt idx="14">
                  <c:v>1</c:v>
                </c:pt>
                <c:pt idx="15">
                  <c:v>1</c:v>
                </c:pt>
                <c:pt idx="16">
                  <c:v>1</c:v>
                </c:pt>
                <c:pt idx="17">
                  <c:v>1</c:v>
                </c:pt>
                <c:pt idx="18">
                  <c:v>1</c:v>
                </c:pt>
                <c:pt idx="19">
                  <c:v>1</c:v>
                </c:pt>
                <c:pt idx="20">
                  <c:v>1</c:v>
                </c:pt>
                <c:pt idx="21">
                  <c:v>1</c:v>
                </c:pt>
                <c:pt idx="22">
                  <c:v>0</c:v>
                </c:pt>
                <c:pt idx="23">
                  <c:v>1</c:v>
                </c:pt>
                <c:pt idx="24">
                  <c:v>1</c:v>
                </c:pt>
                <c:pt idx="25">
                  <c:v>0</c:v>
                </c:pt>
                <c:pt idx="26">
                  <c:v>1</c:v>
                </c:pt>
                <c:pt idx="27">
                  <c:v>1</c:v>
                </c:pt>
                <c:pt idx="28">
                  <c:v>0</c:v>
                </c:pt>
                <c:pt idx="29">
                  <c:v>1</c:v>
                </c:pt>
                <c:pt idx="30">
                  <c:v>1</c:v>
                </c:pt>
                <c:pt idx="31">
                  <c:v>0</c:v>
                </c:pt>
                <c:pt idx="32">
                  <c:v>2</c:v>
                </c:pt>
                <c:pt idx="33">
                  <c:v>1</c:v>
                </c:pt>
                <c:pt idx="34">
                  <c:v>0</c:v>
                </c:pt>
                <c:pt idx="35">
                  <c:v>1</c:v>
                </c:pt>
                <c:pt idx="36">
                  <c:v>1</c:v>
                </c:pt>
                <c:pt idx="37">
                  <c:v>0</c:v>
                </c:pt>
                <c:pt idx="38">
                  <c:v>1</c:v>
                </c:pt>
                <c:pt idx="40" formatCode="0.00">
                  <c:v>0.79487179487179482</c:v>
                </c:pt>
              </c:numCache>
            </c:numRef>
          </c:val>
          <c:extLst>
            <c:ext xmlns:c16="http://schemas.microsoft.com/office/drawing/2014/chart" uri="{C3380CC4-5D6E-409C-BE32-E72D297353CC}">
              <c16:uniqueId val="{00000000-E611-432B-AE70-9055305D815F}"/>
            </c:ext>
          </c:extLst>
        </c:ser>
        <c:ser>
          <c:idx val="1"/>
          <c:order val="1"/>
          <c:tx>
            <c:v>Unplanned</c:v>
          </c:tx>
          <c:spPr>
            <a:solidFill>
              <a:srgbClr val="9999FF"/>
            </a:solidFill>
            <a:ln w="12700">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izračuni!$J$5:$J$45</c:f>
              <c:numCache>
                <c:formatCode>0</c:formatCode>
                <c:ptCount val="41"/>
                <c:pt idx="0">
                  <c:v>4</c:v>
                </c:pt>
                <c:pt idx="1">
                  <c:v>3</c:v>
                </c:pt>
                <c:pt idx="2">
                  <c:v>3</c:v>
                </c:pt>
                <c:pt idx="3">
                  <c:v>3</c:v>
                </c:pt>
                <c:pt idx="4">
                  <c:v>0</c:v>
                </c:pt>
                <c:pt idx="5">
                  <c:v>1</c:v>
                </c:pt>
                <c:pt idx="6">
                  <c:v>0</c:v>
                </c:pt>
                <c:pt idx="7">
                  <c:v>1</c:v>
                </c:pt>
                <c:pt idx="8">
                  <c:v>0</c:v>
                </c:pt>
                <c:pt idx="9">
                  <c:v>1</c:v>
                </c:pt>
                <c:pt idx="10">
                  <c:v>2</c:v>
                </c:pt>
                <c:pt idx="11">
                  <c:v>1</c:v>
                </c:pt>
                <c:pt idx="12">
                  <c:v>1</c:v>
                </c:pt>
                <c:pt idx="13">
                  <c:v>1</c:v>
                </c:pt>
                <c:pt idx="14">
                  <c:v>0</c:v>
                </c:pt>
                <c:pt idx="15">
                  <c:v>0</c:v>
                </c:pt>
                <c:pt idx="16">
                  <c:v>1</c:v>
                </c:pt>
                <c:pt idx="17">
                  <c:v>0</c:v>
                </c:pt>
                <c:pt idx="18">
                  <c:v>0</c:v>
                </c:pt>
                <c:pt idx="19">
                  <c:v>0</c:v>
                </c:pt>
                <c:pt idx="20">
                  <c:v>0</c:v>
                </c:pt>
                <c:pt idx="21">
                  <c:v>0</c:v>
                </c:pt>
                <c:pt idx="22">
                  <c:v>1</c:v>
                </c:pt>
                <c:pt idx="23">
                  <c:v>0</c:v>
                </c:pt>
                <c:pt idx="24">
                  <c:v>0</c:v>
                </c:pt>
                <c:pt idx="25">
                  <c:v>1</c:v>
                </c:pt>
                <c:pt idx="26">
                  <c:v>0</c:v>
                </c:pt>
                <c:pt idx="27">
                  <c:v>0</c:v>
                </c:pt>
                <c:pt idx="28">
                  <c:v>0</c:v>
                </c:pt>
                <c:pt idx="29">
                  <c:v>0</c:v>
                </c:pt>
                <c:pt idx="30">
                  <c:v>0</c:v>
                </c:pt>
                <c:pt idx="31">
                  <c:v>0</c:v>
                </c:pt>
                <c:pt idx="32">
                  <c:v>0</c:v>
                </c:pt>
                <c:pt idx="33">
                  <c:v>0</c:v>
                </c:pt>
                <c:pt idx="34">
                  <c:v>1</c:v>
                </c:pt>
                <c:pt idx="35">
                  <c:v>1</c:v>
                </c:pt>
                <c:pt idx="36">
                  <c:v>0</c:v>
                </c:pt>
                <c:pt idx="37">
                  <c:v>0</c:v>
                </c:pt>
                <c:pt idx="38">
                  <c:v>0</c:v>
                </c:pt>
                <c:pt idx="40" formatCode="0.00">
                  <c:v>0.66666666666666663</c:v>
                </c:pt>
              </c:numCache>
            </c:numRef>
          </c:val>
          <c:extLst>
            <c:ext xmlns:c16="http://schemas.microsoft.com/office/drawing/2014/chart" uri="{C3380CC4-5D6E-409C-BE32-E72D297353CC}">
              <c16:uniqueId val="{00000001-E611-432B-AE70-9055305D815F}"/>
            </c:ext>
          </c:extLst>
        </c:ser>
        <c:dLbls>
          <c:showLegendKey val="0"/>
          <c:showVal val="0"/>
          <c:showCatName val="0"/>
          <c:showSerName val="0"/>
          <c:showPercent val="0"/>
          <c:showBubbleSize val="0"/>
        </c:dLbls>
        <c:gapWidth val="150"/>
        <c:overlap val="100"/>
        <c:axId val="340963376"/>
        <c:axId val="1"/>
      </c:barChart>
      <c:catAx>
        <c:axId val="340963376"/>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Year</a:t>
                </a:r>
              </a:p>
            </c:rich>
          </c:tx>
          <c:layout>
            <c:manualLayout>
              <c:xMode val="edge"/>
              <c:yMode val="edge"/>
              <c:x val="0.56747638326585692"/>
              <c:y val="0.904974443983975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140000" vert="horz"/>
          <a:lstStyle/>
          <a:p>
            <a:pPr>
              <a:defRPr sz="8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1"/>
        <c:crosses val="autoZero"/>
        <c:auto val="0"/>
        <c:lblAlgn val="ctr"/>
        <c:lblOffset val="100"/>
        <c:tickLblSkip val="1"/>
        <c:tickMarkSkip val="1"/>
        <c:noMultiLvlLbl val="0"/>
      </c:catAx>
      <c:valAx>
        <c:axId val="1"/>
        <c:scaling>
          <c:orientation val="minMax"/>
          <c:max val="5"/>
        </c:scaling>
        <c:delete val="0"/>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Number of shutdowns</a:t>
                </a:r>
              </a:p>
            </c:rich>
          </c:tx>
          <c:layout>
            <c:manualLayout>
              <c:xMode val="edge"/>
              <c:yMode val="edge"/>
              <c:x val="2.0242914979757085E-3"/>
              <c:y val="0.1403513376617396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40963376"/>
        <c:crosses val="autoZero"/>
        <c:crossBetween val="between"/>
        <c:majorUnit val="1"/>
      </c:valAx>
      <c:spPr>
        <a:solidFill>
          <a:srgbClr val="FFFFFF"/>
        </a:solidFill>
        <a:ln w="3175">
          <a:solidFill>
            <a:srgbClr val="808080"/>
          </a:solidFill>
          <a:prstDash val="solid"/>
        </a:ln>
      </c:spPr>
    </c:plotArea>
    <c:legend>
      <c:legendPos val="b"/>
      <c:layout>
        <c:manualLayout>
          <c:xMode val="edge"/>
          <c:yMode val="edge"/>
          <c:x val="5.3981106612685563E-2"/>
          <c:y val="0.90205046737578842"/>
          <c:w val="0.34952766531713902"/>
          <c:h val="9.6491688538932641E-2"/>
        </c:manualLayout>
      </c:layout>
      <c:overlay val="0"/>
      <c:spPr>
        <a:solidFill>
          <a:srgbClr val="FFFFFF"/>
        </a:solidFill>
        <a:ln w="25400">
          <a:noFill/>
        </a:ln>
      </c:spPr>
      <c:txPr>
        <a:bodyPr/>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Garamond"/>
          <a:ea typeface="Garamond"/>
          <a:cs typeface="Garamond"/>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28744939271255"/>
          <c:y val="7.4561863977529119E-2"/>
          <c:w val="0.87651821862348178"/>
          <c:h val="0.69737118386517472"/>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izračuni!$M$5:$M$45</c:f>
              <c:numCache>
                <c:formatCode>0</c:formatCode>
                <c:ptCount val="41"/>
                <c:pt idx="0">
                  <c:v>4</c:v>
                </c:pt>
                <c:pt idx="1">
                  <c:v>5</c:v>
                </c:pt>
                <c:pt idx="2">
                  <c:v>5</c:v>
                </c:pt>
                <c:pt idx="3">
                  <c:v>6</c:v>
                </c:pt>
                <c:pt idx="4">
                  <c:v>7</c:v>
                </c:pt>
                <c:pt idx="5">
                  <c:v>5</c:v>
                </c:pt>
                <c:pt idx="6">
                  <c:v>6</c:v>
                </c:pt>
                <c:pt idx="7">
                  <c:v>2</c:v>
                </c:pt>
                <c:pt idx="8">
                  <c:v>4</c:v>
                </c:pt>
                <c:pt idx="9">
                  <c:v>4</c:v>
                </c:pt>
                <c:pt idx="10">
                  <c:v>5</c:v>
                </c:pt>
                <c:pt idx="11">
                  <c:v>2</c:v>
                </c:pt>
                <c:pt idx="12">
                  <c:v>5</c:v>
                </c:pt>
                <c:pt idx="13">
                  <c:v>2</c:v>
                </c:pt>
                <c:pt idx="14">
                  <c:v>2</c:v>
                </c:pt>
                <c:pt idx="15">
                  <c:v>3</c:v>
                </c:pt>
                <c:pt idx="16">
                  <c:v>5</c:v>
                </c:pt>
                <c:pt idx="17">
                  <c:v>1</c:v>
                </c:pt>
                <c:pt idx="18">
                  <c:v>2</c:v>
                </c:pt>
                <c:pt idx="19">
                  <c:v>3</c:v>
                </c:pt>
                <c:pt idx="20">
                  <c:v>5</c:v>
                </c:pt>
                <c:pt idx="21">
                  <c:v>2</c:v>
                </c:pt>
                <c:pt idx="22">
                  <c:v>10</c:v>
                </c:pt>
                <c:pt idx="23">
                  <c:v>6</c:v>
                </c:pt>
                <c:pt idx="24">
                  <c:v>5</c:v>
                </c:pt>
                <c:pt idx="25">
                  <c:v>7</c:v>
                </c:pt>
                <c:pt idx="26">
                  <c:v>10</c:v>
                </c:pt>
                <c:pt idx="27">
                  <c:v>3</c:v>
                </c:pt>
                <c:pt idx="28">
                  <c:v>1</c:v>
                </c:pt>
                <c:pt idx="29">
                  <c:v>2</c:v>
                </c:pt>
                <c:pt idx="30">
                  <c:v>5</c:v>
                </c:pt>
                <c:pt idx="31">
                  <c:v>0</c:v>
                </c:pt>
                <c:pt idx="32">
                  <c:v>8</c:v>
                </c:pt>
                <c:pt idx="33">
                  <c:v>2</c:v>
                </c:pt>
                <c:pt idx="34">
                  <c:v>2</c:v>
                </c:pt>
                <c:pt idx="35">
                  <c:v>0</c:v>
                </c:pt>
                <c:pt idx="36">
                  <c:v>2</c:v>
                </c:pt>
                <c:pt idx="37">
                  <c:v>3</c:v>
                </c:pt>
                <c:pt idx="38">
                  <c:v>0</c:v>
                </c:pt>
                <c:pt idx="40" formatCode="0.00">
                  <c:v>3.8717948717948718</c:v>
                </c:pt>
              </c:numCache>
            </c:numRef>
          </c:val>
          <c:extLst>
            <c:ext xmlns:c16="http://schemas.microsoft.com/office/drawing/2014/chart" uri="{C3380CC4-5D6E-409C-BE32-E72D297353CC}">
              <c16:uniqueId val="{00000000-BA70-46C5-B1B7-39B674CF1698}"/>
            </c:ext>
          </c:extLst>
        </c:ser>
        <c:dLbls>
          <c:showLegendKey val="0"/>
          <c:showVal val="0"/>
          <c:showCatName val="0"/>
          <c:showSerName val="0"/>
          <c:showPercent val="0"/>
          <c:showBubbleSize val="0"/>
        </c:dLbls>
        <c:gapWidth val="150"/>
        <c:axId val="340966288"/>
        <c:axId val="1"/>
      </c:barChart>
      <c:catAx>
        <c:axId val="340966288"/>
        <c:scaling>
          <c:orientation val="minMax"/>
        </c:scaling>
        <c:delete val="0"/>
        <c:axPos val="b"/>
        <c:title>
          <c:tx>
            <c:rich>
              <a:bodyPr/>
              <a:lstStyle/>
              <a:p>
                <a:pPr>
                  <a:defRPr sz="1050" b="0" i="0" u="none" strike="noStrike" baseline="0">
                    <a:solidFill>
                      <a:srgbClr val="000000"/>
                    </a:solidFill>
                    <a:latin typeface="Garamond"/>
                    <a:ea typeface="Garamond"/>
                    <a:cs typeface="Garamond"/>
                  </a:defRPr>
                </a:pPr>
                <a:r>
                  <a:rPr lang="sl-SI" sz="1050"/>
                  <a:t> Year</a:t>
                </a:r>
              </a:p>
            </c:rich>
          </c:tx>
          <c:layout>
            <c:manualLayout>
              <c:xMode val="edge"/>
              <c:yMode val="edge"/>
              <c:x val="0.49527665317139002"/>
              <c:y val="0.899126490767601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140000" vert="horz"/>
          <a:lstStyle/>
          <a:p>
            <a:pPr>
              <a:defRPr sz="800" b="0" i="0" u="none" strike="noStrike" baseline="0">
                <a:solidFill>
                  <a:srgbClr val="000000"/>
                </a:solidFill>
                <a:latin typeface="Garamond"/>
                <a:ea typeface="Garamond"/>
                <a:cs typeface="Garamond"/>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Garamond"/>
                    <a:ea typeface="Garamond"/>
                    <a:cs typeface="Garamond"/>
                  </a:defRPr>
                </a:pPr>
                <a:r>
                  <a:rPr lang="sl-SI" sz="1050"/>
                  <a:t>Number of reports</a:t>
                </a:r>
              </a:p>
            </c:rich>
          </c:tx>
          <c:layout>
            <c:manualLayout>
              <c:xMode val="edge"/>
              <c:yMode val="edge"/>
              <c:x val="4.7233468286099868E-3"/>
              <c:y val="0.214912741170511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a:ea typeface="Garamond"/>
                <a:cs typeface="Garamond"/>
              </a:defRPr>
            </a:pPr>
            <a:endParaRPr lang="sl-SI"/>
          </a:p>
        </c:txPr>
        <c:crossAx val="340966288"/>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0271481216363"/>
          <c:y val="7.4235966148604129E-2"/>
          <c:w val="0.84983334658925203"/>
          <c:h val="0.6972357276301161"/>
        </c:manualLayout>
      </c:layout>
      <c:barChart>
        <c:barDir val="col"/>
        <c:grouping val="stacked"/>
        <c:varyColors val="0"/>
        <c:ser>
          <c:idx val="2"/>
          <c:order val="0"/>
          <c:tx>
            <c:v> NUCLEAR</c:v>
          </c:tx>
          <c:spPr>
            <a:solidFill>
              <a:srgbClr val="FFFFCC"/>
            </a:solidFill>
            <a:ln w="12700">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izračuni!$P$5:$P$45</c:f>
              <c:numCache>
                <c:formatCode>General</c:formatCode>
                <c:ptCount val="41"/>
                <c:pt idx="0">
                  <c:v>3702</c:v>
                </c:pt>
                <c:pt idx="1">
                  <c:v>4200</c:v>
                </c:pt>
                <c:pt idx="2">
                  <c:v>3843</c:v>
                </c:pt>
                <c:pt idx="3">
                  <c:v>3843</c:v>
                </c:pt>
                <c:pt idx="4">
                  <c:v>4267</c:v>
                </c:pt>
                <c:pt idx="5">
                  <c:v>3925</c:v>
                </c:pt>
                <c:pt idx="6">
                  <c:v>4455</c:v>
                </c:pt>
                <c:pt idx="7">
                  <c:v>4383</c:v>
                </c:pt>
                <c:pt idx="8">
                  <c:v>4708</c:v>
                </c:pt>
                <c:pt idx="9">
                  <c:v>3757</c:v>
                </c:pt>
                <c:pt idx="10">
                  <c:v>3750</c:v>
                </c:pt>
                <c:pt idx="11">
                  <c:v>4391</c:v>
                </c:pt>
                <c:pt idx="12">
                  <c:v>4558</c:v>
                </c:pt>
                <c:pt idx="13">
                  <c:v>4359</c:v>
                </c:pt>
                <c:pt idx="14">
                  <c:v>4793</c:v>
                </c:pt>
                <c:pt idx="15">
                  <c:v>4787</c:v>
                </c:pt>
                <c:pt idx="16">
                  <c:v>4484</c:v>
                </c:pt>
                <c:pt idx="17">
                  <c:v>4541</c:v>
                </c:pt>
                <c:pt idx="18">
                  <c:v>5030.1000000000004</c:v>
                </c:pt>
                <c:pt idx="19">
                  <c:v>5302</c:v>
                </c:pt>
                <c:pt idx="20">
                  <c:v>4955.8</c:v>
                </c:pt>
                <c:pt idx="21">
                  <c:v>5212.2</c:v>
                </c:pt>
                <c:pt idx="22" formatCode="0.0">
                  <c:v>5613.7</c:v>
                </c:pt>
                <c:pt idx="23" formatCode="0.0">
                  <c:v>5289.5</c:v>
                </c:pt>
                <c:pt idx="24" formatCode="0.0">
                  <c:v>5428.2</c:v>
                </c:pt>
                <c:pt idx="25" formatCode="0.0">
                  <c:v>5972.0309999999999</c:v>
                </c:pt>
                <c:pt idx="26" formatCode="0.0">
                  <c:v>5459.7</c:v>
                </c:pt>
                <c:pt idx="27" formatCode="0.0">
                  <c:v>5380.7079999999996</c:v>
                </c:pt>
                <c:pt idx="28" formatCode="0.0">
                  <c:v>5902.2</c:v>
                </c:pt>
                <c:pt idx="29" formatCode="0.0">
                  <c:v>5241</c:v>
                </c:pt>
                <c:pt idx="30" formatCode="0.0">
                  <c:v>5036.5</c:v>
                </c:pt>
                <c:pt idx="31" formatCode="0.0">
                  <c:v>6060.8217999999997</c:v>
                </c:pt>
                <c:pt idx="32" formatCode="0.0">
                  <c:v>5371.66</c:v>
                </c:pt>
                <c:pt idx="33" formatCode="0.0">
                  <c:v>5431.3</c:v>
                </c:pt>
                <c:pt idx="34" formatCode="0.0">
                  <c:v>5967.826</c:v>
                </c:pt>
                <c:pt idx="35" formatCode="0.0">
                  <c:v>5489.9</c:v>
                </c:pt>
                <c:pt idx="36" formatCode="0.0">
                  <c:v>5532.9809999999998</c:v>
                </c:pt>
                <c:pt idx="37" formatCode="0.0">
                  <c:v>6040.84</c:v>
                </c:pt>
                <c:pt idx="38" formatCode="0.0">
                  <c:v>5418.6</c:v>
                </c:pt>
                <c:pt idx="40" formatCode="0">
                  <c:v>4920.0914820512817</c:v>
                </c:pt>
              </c:numCache>
            </c:numRef>
          </c:val>
          <c:extLst>
            <c:ext xmlns:c16="http://schemas.microsoft.com/office/drawing/2014/chart" uri="{C3380CC4-5D6E-409C-BE32-E72D297353CC}">
              <c16:uniqueId val="{00000000-54B3-431F-9EFE-B2E729E922FE}"/>
            </c:ext>
          </c:extLst>
        </c:ser>
        <c:ser>
          <c:idx val="0"/>
          <c:order val="1"/>
          <c:tx>
            <c:v> HYDRO</c:v>
          </c:tx>
          <c:spPr>
            <a:solidFill>
              <a:srgbClr val="9999FF"/>
            </a:solidFill>
            <a:ln w="12700">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izračuni!$N$5:$N$45</c:f>
              <c:numCache>
                <c:formatCode>General</c:formatCode>
                <c:ptCount val="41"/>
                <c:pt idx="0">
                  <c:v>2609</c:v>
                </c:pt>
                <c:pt idx="1">
                  <c:v>2952</c:v>
                </c:pt>
                <c:pt idx="2">
                  <c:v>2983</c:v>
                </c:pt>
                <c:pt idx="3">
                  <c:v>2932</c:v>
                </c:pt>
                <c:pt idx="4">
                  <c:v>3366</c:v>
                </c:pt>
                <c:pt idx="5">
                  <c:v>3061</c:v>
                </c:pt>
                <c:pt idx="6">
                  <c:v>2808</c:v>
                </c:pt>
                <c:pt idx="7">
                  <c:v>2796</c:v>
                </c:pt>
                <c:pt idx="8">
                  <c:v>3372</c:v>
                </c:pt>
                <c:pt idx="9">
                  <c:v>3197</c:v>
                </c:pt>
                <c:pt idx="10">
                  <c:v>2817</c:v>
                </c:pt>
                <c:pt idx="11">
                  <c:v>3386</c:v>
                </c:pt>
                <c:pt idx="12">
                  <c:v>3135</c:v>
                </c:pt>
                <c:pt idx="13">
                  <c:v>3428</c:v>
                </c:pt>
                <c:pt idx="14">
                  <c:v>2901</c:v>
                </c:pt>
                <c:pt idx="15">
                  <c:v>3145</c:v>
                </c:pt>
                <c:pt idx="16">
                  <c:v>3411</c:v>
                </c:pt>
                <c:pt idx="17">
                  <c:v>3523.6</c:v>
                </c:pt>
                <c:pt idx="18">
                  <c:v>3449</c:v>
                </c:pt>
                <c:pt idx="19">
                  <c:v>3001</c:v>
                </c:pt>
                <c:pt idx="20">
                  <c:v>2685</c:v>
                </c:pt>
                <c:pt idx="21" formatCode="0.0">
                  <c:v>3607.6</c:v>
                </c:pt>
                <c:pt idx="22" formatCode="0.0">
                  <c:v>3038.4</c:v>
                </c:pt>
                <c:pt idx="23" formatCode="0.0">
                  <c:v>3120.4</c:v>
                </c:pt>
                <c:pt idx="24" formatCode="0.0">
                  <c:v>2814.5</c:v>
                </c:pt>
                <c:pt idx="25" formatCode="0.0">
                  <c:v>3505.64</c:v>
                </c:pt>
                <c:pt idx="26" formatCode="0.0">
                  <c:v>4273.7139999999999</c:v>
                </c:pt>
                <c:pt idx="27">
                  <c:v>4248.4857410000004</c:v>
                </c:pt>
                <c:pt idx="28" formatCode="0.0">
                  <c:v>3361.5</c:v>
                </c:pt>
                <c:pt idx="29" formatCode="0.0">
                  <c:v>4150</c:v>
                </c:pt>
                <c:pt idx="30" formatCode="0.0">
                  <c:v>4779</c:v>
                </c:pt>
                <c:pt idx="31" formatCode="0.0">
                  <c:v>6438</c:v>
                </c:pt>
                <c:pt idx="32" formatCode="0.0">
                  <c:v>4317</c:v>
                </c:pt>
                <c:pt idx="33" formatCode="0.0">
                  <c:v>4950</c:v>
                </c:pt>
                <c:pt idx="34" formatCode="0.0">
                  <c:v>4083.0639999999994</c:v>
                </c:pt>
                <c:pt idx="35" formatCode="0.0">
                  <c:v>4831.1000000000004</c:v>
                </c:pt>
                <c:pt idx="36" formatCode="0.0">
                  <c:v>4540.2610000000004</c:v>
                </c:pt>
                <c:pt idx="37" formatCode="0.0">
                  <c:v>5145.28</c:v>
                </c:pt>
                <c:pt idx="38" formatCode="0.0">
                  <c:v>4927.7</c:v>
                </c:pt>
                <c:pt idx="40">
                  <c:v>3617.6729420769229</c:v>
                </c:pt>
              </c:numCache>
            </c:numRef>
          </c:val>
          <c:extLst>
            <c:ext xmlns:c16="http://schemas.microsoft.com/office/drawing/2014/chart" uri="{C3380CC4-5D6E-409C-BE32-E72D297353CC}">
              <c16:uniqueId val="{00000001-54B3-431F-9EFE-B2E729E922FE}"/>
            </c:ext>
          </c:extLst>
        </c:ser>
        <c:ser>
          <c:idx val="1"/>
          <c:order val="2"/>
          <c:tx>
            <c:v>THERMAL</c:v>
          </c:tx>
          <c:spPr>
            <a:solidFill>
              <a:srgbClr val="993366"/>
            </a:solidFill>
            <a:ln w="12700">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izračuni!$O$5:$O$45</c:f>
              <c:numCache>
                <c:formatCode>General</c:formatCode>
                <c:ptCount val="41"/>
                <c:pt idx="0">
                  <c:v>4919</c:v>
                </c:pt>
                <c:pt idx="1">
                  <c:v>4486</c:v>
                </c:pt>
                <c:pt idx="2">
                  <c:v>4167</c:v>
                </c:pt>
                <c:pt idx="3">
                  <c:v>4217</c:v>
                </c:pt>
                <c:pt idx="4">
                  <c:v>3711</c:v>
                </c:pt>
                <c:pt idx="5">
                  <c:v>3972</c:v>
                </c:pt>
                <c:pt idx="6">
                  <c:v>4083</c:v>
                </c:pt>
                <c:pt idx="7">
                  <c:v>3960</c:v>
                </c:pt>
                <c:pt idx="8">
                  <c:v>3447</c:v>
                </c:pt>
                <c:pt idx="9">
                  <c:v>3933</c:v>
                </c:pt>
                <c:pt idx="10">
                  <c:v>3985</c:v>
                </c:pt>
                <c:pt idx="11">
                  <c:v>4145</c:v>
                </c:pt>
                <c:pt idx="12">
                  <c:v>3857</c:v>
                </c:pt>
                <c:pt idx="13">
                  <c:v>3722</c:v>
                </c:pt>
                <c:pt idx="14">
                  <c:v>4207</c:v>
                </c:pt>
                <c:pt idx="15">
                  <c:v>4362</c:v>
                </c:pt>
                <c:pt idx="16">
                  <c:v>3913</c:v>
                </c:pt>
                <c:pt idx="17">
                  <c:v>4103</c:v>
                </c:pt>
                <c:pt idx="18">
                  <c:v>4425.1000000000004</c:v>
                </c:pt>
                <c:pt idx="19">
                  <c:v>4728</c:v>
                </c:pt>
                <c:pt idx="20">
                  <c:v>4612</c:v>
                </c:pt>
                <c:pt idx="21">
                  <c:v>4584.2</c:v>
                </c:pt>
                <c:pt idx="22" formatCode="0.0">
                  <c:v>4600.3999999999996</c:v>
                </c:pt>
                <c:pt idx="23" formatCode="0.0">
                  <c:v>4728.3</c:v>
                </c:pt>
                <c:pt idx="24" formatCode="0.0">
                  <c:v>4815</c:v>
                </c:pt>
                <c:pt idx="25" formatCode="0.0">
                  <c:v>4838.95</c:v>
                </c:pt>
                <c:pt idx="26" formatCode="0.0">
                  <c:v>4700.0510000000004</c:v>
                </c:pt>
                <c:pt idx="27">
                  <c:v>4795.0741079999998</c:v>
                </c:pt>
                <c:pt idx="28" formatCode="0.0">
                  <c:v>4786.7</c:v>
                </c:pt>
                <c:pt idx="29" formatCode="0.0">
                  <c:v>5222</c:v>
                </c:pt>
                <c:pt idx="30" formatCode="0.0">
                  <c:v>4979</c:v>
                </c:pt>
                <c:pt idx="31" formatCode="0.0">
                  <c:v>3818</c:v>
                </c:pt>
                <c:pt idx="32" formatCode="0.0">
                  <c:v>4445</c:v>
                </c:pt>
                <c:pt idx="33" formatCode="0.0">
                  <c:v>5057</c:v>
                </c:pt>
                <c:pt idx="34" formatCode="0.0">
                  <c:v>4919.4390000000003</c:v>
                </c:pt>
                <c:pt idx="35" formatCode="0.0">
                  <c:v>4703.1000000000004</c:v>
                </c:pt>
                <c:pt idx="36" formatCode="0.0">
                  <c:v>4588.0919999999996</c:v>
                </c:pt>
                <c:pt idx="37" formatCode="0.0">
                  <c:v>4518.84</c:v>
                </c:pt>
                <c:pt idx="38" formatCode="0.0">
                  <c:v>4033.9</c:v>
                </c:pt>
                <c:pt idx="40" formatCode="0">
                  <c:v>4386.8499002051285</c:v>
                </c:pt>
              </c:numCache>
            </c:numRef>
          </c:val>
          <c:extLst>
            <c:ext xmlns:c16="http://schemas.microsoft.com/office/drawing/2014/chart" uri="{C3380CC4-5D6E-409C-BE32-E72D297353CC}">
              <c16:uniqueId val="{00000002-54B3-431F-9EFE-B2E729E922FE}"/>
            </c:ext>
          </c:extLst>
        </c:ser>
        <c:ser>
          <c:idx val="3"/>
          <c:order val="3"/>
          <c:tx>
            <c:v>SOLAR</c:v>
          </c:tx>
          <c:spPr>
            <a:solidFill>
              <a:srgbClr val="99CCFF"/>
            </a:solidFill>
            <a:ln w="3175">
              <a:solidFill>
                <a:srgbClr val="000000"/>
              </a:solidFill>
              <a:prstDash val="solid"/>
            </a:ln>
          </c:spPr>
          <c:invertIfNegative val="0"/>
          <c:cat>
            <c:strRef>
              <c:f>(izračuni!$A$5:$A$44,izračuni!$A$46)</c:f>
              <c:strCache>
                <c:ptCount val="41"/>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8">
                  <c:v>2021</c:v>
                </c:pt>
                <c:pt idx="40">
                  <c:v>avg.</c:v>
                </c:pt>
              </c:strCache>
            </c:strRef>
          </c:cat>
          <c:val>
            <c:numRef>
              <c:f>izračuni!$Q$5:$Q$36</c:f>
              <c:numCache>
                <c:formatCode>General</c:formatCode>
                <c:ptCount val="32"/>
                <c:pt idx="29" formatCode="0.0">
                  <c:v>162</c:v>
                </c:pt>
                <c:pt idx="30" formatCode="0.0">
                  <c:v>215</c:v>
                </c:pt>
                <c:pt idx="31" formatCode="0.0">
                  <c:v>225</c:v>
                </c:pt>
              </c:numCache>
            </c:numRef>
          </c:val>
          <c:extLst>
            <c:ext xmlns:c16="http://schemas.microsoft.com/office/drawing/2014/chart" uri="{C3380CC4-5D6E-409C-BE32-E72D297353CC}">
              <c16:uniqueId val="{00000003-54B3-431F-9EFE-B2E729E922FE}"/>
            </c:ext>
          </c:extLst>
        </c:ser>
        <c:dLbls>
          <c:showLegendKey val="0"/>
          <c:showVal val="0"/>
          <c:showCatName val="0"/>
          <c:showSerName val="0"/>
          <c:showPercent val="0"/>
          <c:showBubbleSize val="0"/>
        </c:dLbls>
        <c:gapWidth val="150"/>
        <c:overlap val="100"/>
        <c:axId val="341442336"/>
        <c:axId val="1"/>
      </c:barChart>
      <c:catAx>
        <c:axId val="341442336"/>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 Year</a:t>
                </a:r>
              </a:p>
            </c:rich>
          </c:tx>
          <c:layout>
            <c:manualLayout>
              <c:xMode val="edge"/>
              <c:yMode val="edge"/>
              <c:x val="0.62424369681062597"/>
              <c:y val="0.905387568911964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140000" vert="horz"/>
          <a:lstStyle/>
          <a:p>
            <a:pPr>
              <a:defRPr sz="8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Garamond" panose="02020404030301010803" pitchFamily="18" charset="0"/>
                    <a:ea typeface="Garamond"/>
                    <a:cs typeface="Arial" panose="020B0604020202020204" pitchFamily="34" charset="0"/>
                  </a:defRPr>
                </a:pPr>
                <a:r>
                  <a:rPr lang="sl-SI" sz="1050">
                    <a:latin typeface="Garamond" panose="02020404030301010803" pitchFamily="18" charset="0"/>
                    <a:cs typeface="Arial" panose="020B0604020202020204" pitchFamily="34" charset="0"/>
                  </a:rPr>
                  <a:t>GWh</a:t>
                </a:r>
              </a:p>
            </c:rich>
          </c:tx>
          <c:layout>
            <c:manualLayout>
              <c:xMode val="edge"/>
              <c:yMode val="edge"/>
              <c:x val="1.4141414141414142E-2"/>
              <c:y val="0.340612270627743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crossAx val="341442336"/>
        <c:crosses val="autoZero"/>
        <c:crossBetween val="between"/>
      </c:valAx>
      <c:spPr>
        <a:noFill/>
        <a:ln w="12700">
          <a:solidFill>
            <a:srgbClr val="808080"/>
          </a:solidFill>
          <a:prstDash val="solid"/>
        </a:ln>
      </c:spPr>
    </c:plotArea>
    <c:legend>
      <c:legendPos val="b"/>
      <c:layout>
        <c:manualLayout>
          <c:xMode val="edge"/>
          <c:yMode val="edge"/>
          <c:x val="7.4076195021076912E-3"/>
          <c:y val="0.91120998521473018"/>
          <c:w val="0.56094382141626231"/>
          <c:h val="8.7336244541484698E-2"/>
        </c:manualLayout>
      </c:layout>
      <c:overlay val="0"/>
      <c:spPr>
        <a:solidFill>
          <a:srgbClr val="FFFFFF"/>
        </a:solidFill>
        <a:ln w="25400">
          <a:noFill/>
        </a:ln>
      </c:spPr>
      <c:txPr>
        <a:bodyPr/>
        <a:lstStyle/>
        <a:p>
          <a:pPr>
            <a:defRPr sz="900" b="0" i="0" u="none" strike="noStrike" baseline="0">
              <a:solidFill>
                <a:srgbClr val="000000"/>
              </a:solidFill>
              <a:latin typeface="Garamond" panose="02020404030301010803" pitchFamily="18" charset="0"/>
              <a:ea typeface="Garamond"/>
              <a:cs typeface="Arial" panose="020B0604020202020204" pitchFamily="34" charset="0"/>
            </a:defRPr>
          </a:pPr>
          <a:endParaRPr lang="sl-SI"/>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814848418088601E-2"/>
          <c:y val="7.8678259945016565E-2"/>
          <c:w val="0.75812397791074226"/>
          <c:h val="0.59807377992171395"/>
        </c:manualLayout>
      </c:layout>
      <c:lineChart>
        <c:grouping val="standard"/>
        <c:varyColors val="0"/>
        <c:ser>
          <c:idx val="0"/>
          <c:order val="0"/>
          <c:tx>
            <c:v>I-131</c:v>
          </c:tx>
          <c:spPr>
            <a:ln w="19050" cap="rnd">
              <a:solidFill>
                <a:srgbClr val="7030A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'5a-AKTIV_PRIMHLAD'!$B$62:$B$114</c:f>
              <c:numCache>
                <c:formatCode>0.00E+00</c:formatCode>
                <c:ptCount val="53"/>
                <c:pt idx="0">
                  <c:v>9.1799999999999995E-5</c:v>
                </c:pt>
                <c:pt idx="1">
                  <c:v>2.1699999999999999E-5</c:v>
                </c:pt>
                <c:pt idx="2">
                  <c:v>8.9699999999999998E-5</c:v>
                </c:pt>
                <c:pt idx="3">
                  <c:v>1E-4</c:v>
                </c:pt>
                <c:pt idx="4">
                  <c:v>1.08E-4</c:v>
                </c:pt>
                <c:pt idx="5">
                  <c:v>1.01E-4</c:v>
                </c:pt>
                <c:pt idx="6">
                  <c:v>9.6299999999999996E-5</c:v>
                </c:pt>
                <c:pt idx="7">
                  <c:v>9.6700000000000006E-5</c:v>
                </c:pt>
                <c:pt idx="8">
                  <c:v>1.01E-4</c:v>
                </c:pt>
                <c:pt idx="9">
                  <c:v>1.06E-4</c:v>
                </c:pt>
                <c:pt idx="10">
                  <c:v>9.4599999999999996E-5</c:v>
                </c:pt>
                <c:pt idx="11">
                  <c:v>1.02E-4</c:v>
                </c:pt>
                <c:pt idx="12">
                  <c:v>1.02E-4</c:v>
                </c:pt>
                <c:pt idx="13">
                  <c:v>1.06E-4</c:v>
                </c:pt>
                <c:pt idx="14">
                  <c:v>1.0900000000000001E-4</c:v>
                </c:pt>
                <c:pt idx="15">
                  <c:v>0</c:v>
                </c:pt>
                <c:pt idx="16">
                  <c:v>0</c:v>
                </c:pt>
                <c:pt idx="17">
                  <c:v>0</c:v>
                </c:pt>
                <c:pt idx="18">
                  <c:v>0</c:v>
                </c:pt>
                <c:pt idx="19">
                  <c:v>0</c:v>
                </c:pt>
                <c:pt idx="20">
                  <c:v>3.8000000000000002E-5</c:v>
                </c:pt>
                <c:pt idx="21">
                  <c:v>4.1100000000000003E-5</c:v>
                </c:pt>
                <c:pt idx="22">
                  <c:v>3.8800000000000001E-5</c:v>
                </c:pt>
                <c:pt idx="23">
                  <c:v>4.57E-5</c:v>
                </c:pt>
                <c:pt idx="24">
                  <c:v>5.1600000000000001E-5</c:v>
                </c:pt>
                <c:pt idx="25">
                  <c:v>4.5800000000000002E-5</c:v>
                </c:pt>
                <c:pt idx="26">
                  <c:v>4.9700000000000002E-5</c:v>
                </c:pt>
                <c:pt idx="27">
                  <c:v>4.6300000000000001E-5</c:v>
                </c:pt>
                <c:pt idx="28">
                  <c:v>4.32E-5</c:v>
                </c:pt>
                <c:pt idx="29">
                  <c:v>3.8699999999999999E-5</c:v>
                </c:pt>
                <c:pt idx="30">
                  <c:v>4.6199999999999998E-5</c:v>
                </c:pt>
                <c:pt idx="31">
                  <c:v>4.9100000000000001E-5</c:v>
                </c:pt>
                <c:pt idx="32">
                  <c:v>4.7500000000000003E-5</c:v>
                </c:pt>
                <c:pt idx="33">
                  <c:v>4.7299999999999998E-5</c:v>
                </c:pt>
                <c:pt idx="34">
                  <c:v>4.6499999999999999E-5</c:v>
                </c:pt>
                <c:pt idx="35">
                  <c:v>5.0699999999999999E-5</c:v>
                </c:pt>
                <c:pt idx="36">
                  <c:v>4.88E-5</c:v>
                </c:pt>
                <c:pt idx="37">
                  <c:v>5.1600000000000001E-5</c:v>
                </c:pt>
                <c:pt idx="38">
                  <c:v>4.5099999999999998E-5</c:v>
                </c:pt>
                <c:pt idx="39">
                  <c:v>4.9599999999999999E-5</c:v>
                </c:pt>
                <c:pt idx="40">
                  <c:v>5.0599999999999997E-5</c:v>
                </c:pt>
                <c:pt idx="41">
                  <c:v>5.3300000000000001E-5</c:v>
                </c:pt>
                <c:pt idx="42">
                  <c:v>5.1700000000000003E-5</c:v>
                </c:pt>
                <c:pt idx="43">
                  <c:v>4.9599999999999999E-5</c:v>
                </c:pt>
                <c:pt idx="44">
                  <c:v>5.7800000000000002E-5</c:v>
                </c:pt>
                <c:pt idx="45">
                  <c:v>5.7500000000000002E-5</c:v>
                </c:pt>
                <c:pt idx="46">
                  <c:v>5.5999999999999999E-5</c:v>
                </c:pt>
                <c:pt idx="47">
                  <c:v>5.3499999999999999E-5</c:v>
                </c:pt>
                <c:pt idx="48">
                  <c:v>5.49E-5</c:v>
                </c:pt>
                <c:pt idx="49">
                  <c:v>5.52E-5</c:v>
                </c:pt>
                <c:pt idx="50">
                  <c:v>5.3499999999999999E-5</c:v>
                </c:pt>
                <c:pt idx="51">
                  <c:v>5.24E-5</c:v>
                </c:pt>
                <c:pt idx="52">
                  <c:v>5.7200000000000001E-5</c:v>
                </c:pt>
              </c:numCache>
            </c:numRef>
          </c:val>
          <c:smooth val="0"/>
          <c:extLst>
            <c:ext xmlns:c16="http://schemas.microsoft.com/office/drawing/2014/chart" uri="{C3380CC4-5D6E-409C-BE32-E72D297353CC}">
              <c16:uniqueId val="{00000000-981B-4893-9B95-D3141C9A7C5A}"/>
            </c:ext>
          </c:extLst>
        </c:ser>
        <c:ser>
          <c:idx val="1"/>
          <c:order val="1"/>
          <c:tx>
            <c:v>I-134</c:v>
          </c:tx>
          <c:spPr>
            <a:ln w="19050" cap="rnd">
              <a:solidFill>
                <a:srgbClr val="00B0F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'5a-AKTIV_PRIMHLAD'!$C$62:$C$114</c:f>
              <c:numCache>
                <c:formatCode>0.00E+00</c:formatCode>
                <c:ptCount val="53"/>
                <c:pt idx="0">
                  <c:v>8.8500000000000002E-3</c:v>
                </c:pt>
                <c:pt idx="1">
                  <c:v>8.8500000000000002E-3</c:v>
                </c:pt>
                <c:pt idx="2">
                  <c:v>7.9699999999999997E-3</c:v>
                </c:pt>
                <c:pt idx="3">
                  <c:v>8.7299999999999999E-3</c:v>
                </c:pt>
                <c:pt idx="4">
                  <c:v>7.8700000000000003E-3</c:v>
                </c:pt>
                <c:pt idx="5">
                  <c:v>8.8000000000000005E-3</c:v>
                </c:pt>
                <c:pt idx="6">
                  <c:v>8.7200000000000003E-3</c:v>
                </c:pt>
                <c:pt idx="7">
                  <c:v>8.6700000000000006E-3</c:v>
                </c:pt>
                <c:pt idx="8">
                  <c:v>8.9999999999999993E-3</c:v>
                </c:pt>
                <c:pt idx="9">
                  <c:v>9.6600000000000002E-3</c:v>
                </c:pt>
                <c:pt idx="10">
                  <c:v>9.1400000000000006E-3</c:v>
                </c:pt>
                <c:pt idx="11">
                  <c:v>9.5099999999999994E-3</c:v>
                </c:pt>
                <c:pt idx="12">
                  <c:v>8.6400000000000001E-3</c:v>
                </c:pt>
                <c:pt idx="13">
                  <c:v>9.2399999999999999E-3</c:v>
                </c:pt>
                <c:pt idx="14">
                  <c:v>8.77E-3</c:v>
                </c:pt>
                <c:pt idx="15">
                  <c:v>0</c:v>
                </c:pt>
                <c:pt idx="16">
                  <c:v>0</c:v>
                </c:pt>
                <c:pt idx="17">
                  <c:v>0</c:v>
                </c:pt>
                <c:pt idx="18">
                  <c:v>0</c:v>
                </c:pt>
                <c:pt idx="19">
                  <c:v>5.4199999999999995E-4</c:v>
                </c:pt>
                <c:pt idx="20">
                  <c:v>3.2699999999999999E-3</c:v>
                </c:pt>
                <c:pt idx="21">
                  <c:v>3.29E-3</c:v>
                </c:pt>
                <c:pt idx="22">
                  <c:v>4.28E-3</c:v>
                </c:pt>
                <c:pt idx="23">
                  <c:v>3.8899999999999998E-3</c:v>
                </c:pt>
                <c:pt idx="24">
                  <c:v>3.5699999999999998E-3</c:v>
                </c:pt>
                <c:pt idx="25">
                  <c:v>3.5400000000000002E-3</c:v>
                </c:pt>
                <c:pt idx="26">
                  <c:v>3.3999999999999998E-3</c:v>
                </c:pt>
                <c:pt idx="27">
                  <c:v>3.49E-3</c:v>
                </c:pt>
                <c:pt idx="28">
                  <c:v>3.81E-3</c:v>
                </c:pt>
                <c:pt idx="29">
                  <c:v>3.6700000000000001E-3</c:v>
                </c:pt>
                <c:pt idx="30">
                  <c:v>3.7799999999999999E-3</c:v>
                </c:pt>
                <c:pt idx="31">
                  <c:v>3.5799999999999998E-3</c:v>
                </c:pt>
                <c:pt idx="32">
                  <c:v>3.64E-3</c:v>
                </c:pt>
                <c:pt idx="33">
                  <c:v>3.7299999999999998E-3</c:v>
                </c:pt>
                <c:pt idx="34">
                  <c:v>3.6800000000000001E-3</c:v>
                </c:pt>
                <c:pt idx="35">
                  <c:v>3.9899999999999996E-3</c:v>
                </c:pt>
                <c:pt idx="36">
                  <c:v>3.5000000000000001E-3</c:v>
                </c:pt>
                <c:pt idx="37">
                  <c:v>3.9300000000000003E-3</c:v>
                </c:pt>
                <c:pt idx="38">
                  <c:v>3.9300000000000003E-3</c:v>
                </c:pt>
                <c:pt idx="39">
                  <c:v>3.9100000000000003E-3</c:v>
                </c:pt>
                <c:pt idx="40">
                  <c:v>3.8400000000000001E-3</c:v>
                </c:pt>
                <c:pt idx="41">
                  <c:v>4.2599999999999999E-3</c:v>
                </c:pt>
                <c:pt idx="42">
                  <c:v>3.8999999999999998E-3</c:v>
                </c:pt>
                <c:pt idx="43">
                  <c:v>3.8800000000000002E-3</c:v>
                </c:pt>
                <c:pt idx="44">
                  <c:v>3.8E-3</c:v>
                </c:pt>
                <c:pt idx="45">
                  <c:v>4.0099999999999997E-3</c:v>
                </c:pt>
                <c:pt idx="46">
                  <c:v>4.1700000000000001E-3</c:v>
                </c:pt>
                <c:pt idx="47">
                  <c:v>4.62E-3</c:v>
                </c:pt>
                <c:pt idx="48">
                  <c:v>4.3699999999999998E-3</c:v>
                </c:pt>
                <c:pt idx="49">
                  <c:v>4.4299999999999999E-3</c:v>
                </c:pt>
                <c:pt idx="50">
                  <c:v>4.4099999999999999E-3</c:v>
                </c:pt>
                <c:pt idx="51">
                  <c:v>4.5999999999999999E-3</c:v>
                </c:pt>
                <c:pt idx="52">
                  <c:v>4.3200000000000001E-3</c:v>
                </c:pt>
              </c:numCache>
            </c:numRef>
          </c:val>
          <c:smooth val="0"/>
          <c:extLst>
            <c:ext xmlns:c16="http://schemas.microsoft.com/office/drawing/2014/chart" uri="{C3380CC4-5D6E-409C-BE32-E72D297353CC}">
              <c16:uniqueId val="{00000001-981B-4893-9B95-D3141C9A7C5A}"/>
            </c:ext>
          </c:extLst>
        </c:ser>
        <c:ser>
          <c:idx val="2"/>
          <c:order val="2"/>
          <c:tx>
            <c:v>Xe-133</c:v>
          </c:tx>
          <c:spPr>
            <a:ln w="19050" cap="rnd">
              <a:solidFill>
                <a:srgbClr val="00B050"/>
              </a:solidFill>
              <a:round/>
            </a:ln>
            <a:effectLst/>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'5a-AKTIV_PRIMHLAD'!$D$62:$D$114</c:f>
              <c:numCache>
                <c:formatCode>0.00E+00</c:formatCode>
                <c:ptCount val="53"/>
                <c:pt idx="0">
                  <c:v>4.4900000000000001E-3</c:v>
                </c:pt>
                <c:pt idx="1">
                  <c:v>3.62E-3</c:v>
                </c:pt>
                <c:pt idx="2">
                  <c:v>3.4499999999999999E-3</c:v>
                </c:pt>
                <c:pt idx="3">
                  <c:v>4.0099999999999997E-3</c:v>
                </c:pt>
                <c:pt idx="4">
                  <c:v>5.2700000000000004E-3</c:v>
                </c:pt>
                <c:pt idx="5">
                  <c:v>4.8500000000000001E-3</c:v>
                </c:pt>
                <c:pt idx="6">
                  <c:v>4.4200000000000003E-3</c:v>
                </c:pt>
                <c:pt idx="7">
                  <c:v>4.5700000000000003E-3</c:v>
                </c:pt>
                <c:pt idx="8">
                  <c:v>4.6299999999999996E-3</c:v>
                </c:pt>
                <c:pt idx="9">
                  <c:v>4.79E-3</c:v>
                </c:pt>
                <c:pt idx="10">
                  <c:v>4.9699999999999996E-3</c:v>
                </c:pt>
                <c:pt idx="11">
                  <c:v>4.8799999999999998E-3</c:v>
                </c:pt>
                <c:pt idx="12">
                  <c:v>4.96E-3</c:v>
                </c:pt>
                <c:pt idx="13">
                  <c:v>4.7099999999999998E-3</c:v>
                </c:pt>
                <c:pt idx="14">
                  <c:v>9.4799999999999995E-4</c:v>
                </c:pt>
                <c:pt idx="15">
                  <c:v>0</c:v>
                </c:pt>
                <c:pt idx="16">
                  <c:v>0</c:v>
                </c:pt>
                <c:pt idx="17">
                  <c:v>0</c:v>
                </c:pt>
                <c:pt idx="18">
                  <c:v>0</c:v>
                </c:pt>
                <c:pt idx="19">
                  <c:v>0</c:v>
                </c:pt>
                <c:pt idx="20">
                  <c:v>7.67E-4</c:v>
                </c:pt>
                <c:pt idx="21">
                  <c:v>1.41E-3</c:v>
                </c:pt>
                <c:pt idx="22">
                  <c:v>1.4499999999999999E-3</c:v>
                </c:pt>
                <c:pt idx="23">
                  <c:v>1.7700000000000001E-3</c:v>
                </c:pt>
                <c:pt idx="24">
                  <c:v>1.8600000000000001E-3</c:v>
                </c:pt>
                <c:pt idx="25">
                  <c:v>1.9499999999999999E-3</c:v>
                </c:pt>
                <c:pt idx="26">
                  <c:v>1.89E-3</c:v>
                </c:pt>
                <c:pt idx="27">
                  <c:v>2.0899999999999998E-3</c:v>
                </c:pt>
                <c:pt idx="28">
                  <c:v>1.8799999999999999E-3</c:v>
                </c:pt>
                <c:pt idx="29">
                  <c:v>1.8799999999999999E-3</c:v>
                </c:pt>
                <c:pt idx="30">
                  <c:v>2.3800000000000002E-3</c:v>
                </c:pt>
                <c:pt idx="31">
                  <c:v>1.83E-3</c:v>
                </c:pt>
                <c:pt idx="32">
                  <c:v>2.0400000000000001E-3</c:v>
                </c:pt>
                <c:pt idx="33">
                  <c:v>2.1099999999999999E-3</c:v>
                </c:pt>
                <c:pt idx="34">
                  <c:v>2.2000000000000001E-3</c:v>
                </c:pt>
                <c:pt idx="35">
                  <c:v>2.3400000000000001E-3</c:v>
                </c:pt>
                <c:pt idx="36">
                  <c:v>2.2699999999999999E-3</c:v>
                </c:pt>
                <c:pt idx="37">
                  <c:v>1.9400000000000001E-3</c:v>
                </c:pt>
                <c:pt idx="38">
                  <c:v>2.1299999999999999E-3</c:v>
                </c:pt>
                <c:pt idx="39">
                  <c:v>2.2100000000000002E-3</c:v>
                </c:pt>
                <c:pt idx="40">
                  <c:v>2.3400000000000001E-3</c:v>
                </c:pt>
                <c:pt idx="41">
                  <c:v>2.3E-3</c:v>
                </c:pt>
                <c:pt idx="42">
                  <c:v>2.3999999999999998E-3</c:v>
                </c:pt>
                <c:pt idx="43">
                  <c:v>2.2399999999999998E-3</c:v>
                </c:pt>
                <c:pt idx="44">
                  <c:v>2.3700000000000001E-3</c:v>
                </c:pt>
                <c:pt idx="45">
                  <c:v>2.2899999999999999E-3</c:v>
                </c:pt>
                <c:pt idx="46">
                  <c:v>2.4099999999999998E-3</c:v>
                </c:pt>
                <c:pt idx="47">
                  <c:v>2.6800000000000001E-3</c:v>
                </c:pt>
                <c:pt idx="48">
                  <c:v>2.3500000000000001E-3</c:v>
                </c:pt>
                <c:pt idx="49">
                  <c:v>2.7200000000000002E-3</c:v>
                </c:pt>
                <c:pt idx="50">
                  <c:v>2.5799999999999998E-3</c:v>
                </c:pt>
                <c:pt idx="51">
                  <c:v>2.4399999999999999E-3</c:v>
                </c:pt>
                <c:pt idx="52">
                  <c:v>2.9299999999999999E-3</c:v>
                </c:pt>
              </c:numCache>
            </c:numRef>
          </c:val>
          <c:smooth val="0"/>
          <c:extLst>
            <c:ext xmlns:c16="http://schemas.microsoft.com/office/drawing/2014/chart" uri="{C3380CC4-5D6E-409C-BE32-E72D297353CC}">
              <c16:uniqueId val="{00000002-981B-4893-9B95-D3141C9A7C5A}"/>
            </c:ext>
          </c:extLst>
        </c:ser>
        <c:ser>
          <c:idx val="3"/>
          <c:order val="3"/>
          <c:tx>
            <c:v>DE I-131</c:v>
          </c:tx>
          <c:spPr>
            <a:ln w="12700">
              <a:solidFill>
                <a:srgbClr val="FFFF00"/>
              </a:solidFill>
              <a:prstDash val="solid"/>
            </a:ln>
          </c:spPr>
          <c:marker>
            <c:symbol val="none"/>
          </c:marker>
          <c:cat>
            <c:numRef>
              <c:f>'5a-AKTIV_PRIMHLAD'!$A$62:$A$114</c:f>
              <c:numCache>
                <c:formatCode>d\-mmm</c:formatCode>
                <c:ptCount val="53"/>
                <c:pt idx="0">
                  <c:v>44188</c:v>
                </c:pt>
                <c:pt idx="1">
                  <c:v>44195</c:v>
                </c:pt>
                <c:pt idx="2">
                  <c:v>44202</c:v>
                </c:pt>
                <c:pt idx="3">
                  <c:v>44209</c:v>
                </c:pt>
                <c:pt idx="4">
                  <c:v>44216</c:v>
                </c:pt>
                <c:pt idx="5">
                  <c:v>44223</c:v>
                </c:pt>
                <c:pt idx="6">
                  <c:v>44230</c:v>
                </c:pt>
                <c:pt idx="7">
                  <c:v>44237</c:v>
                </c:pt>
                <c:pt idx="8">
                  <c:v>44244</c:v>
                </c:pt>
                <c:pt idx="9">
                  <c:v>44251</c:v>
                </c:pt>
                <c:pt idx="10">
                  <c:v>44258</c:v>
                </c:pt>
                <c:pt idx="11">
                  <c:v>44265</c:v>
                </c:pt>
                <c:pt idx="12">
                  <c:v>44272</c:v>
                </c:pt>
                <c:pt idx="13">
                  <c:v>44279</c:v>
                </c:pt>
                <c:pt idx="14">
                  <c:v>44286</c:v>
                </c:pt>
                <c:pt idx="15">
                  <c:v>44293</c:v>
                </c:pt>
                <c:pt idx="16">
                  <c:v>44300</c:v>
                </c:pt>
                <c:pt idx="17">
                  <c:v>44307</c:v>
                </c:pt>
                <c:pt idx="18">
                  <c:v>44314</c:v>
                </c:pt>
                <c:pt idx="19">
                  <c:v>44321</c:v>
                </c:pt>
                <c:pt idx="20">
                  <c:v>44328</c:v>
                </c:pt>
                <c:pt idx="21">
                  <c:v>44335</c:v>
                </c:pt>
                <c:pt idx="22">
                  <c:v>44342</c:v>
                </c:pt>
                <c:pt idx="23">
                  <c:v>44349</c:v>
                </c:pt>
                <c:pt idx="24">
                  <c:v>44356</c:v>
                </c:pt>
                <c:pt idx="25">
                  <c:v>44363</c:v>
                </c:pt>
                <c:pt idx="26">
                  <c:v>44370</c:v>
                </c:pt>
                <c:pt idx="27">
                  <c:v>44377</c:v>
                </c:pt>
                <c:pt idx="28">
                  <c:v>44384</c:v>
                </c:pt>
                <c:pt idx="29">
                  <c:v>44391</c:v>
                </c:pt>
                <c:pt idx="30">
                  <c:v>44399</c:v>
                </c:pt>
                <c:pt idx="31">
                  <c:v>44405</c:v>
                </c:pt>
                <c:pt idx="32">
                  <c:v>44412</c:v>
                </c:pt>
                <c:pt idx="33">
                  <c:v>44419</c:v>
                </c:pt>
                <c:pt idx="34">
                  <c:v>44426</c:v>
                </c:pt>
                <c:pt idx="35">
                  <c:v>44433</c:v>
                </c:pt>
                <c:pt idx="36">
                  <c:v>44440</c:v>
                </c:pt>
                <c:pt idx="37">
                  <c:v>44447</c:v>
                </c:pt>
                <c:pt idx="38">
                  <c:v>44454</c:v>
                </c:pt>
                <c:pt idx="39">
                  <c:v>44461</c:v>
                </c:pt>
                <c:pt idx="40">
                  <c:v>44468</c:v>
                </c:pt>
                <c:pt idx="41">
                  <c:v>44475</c:v>
                </c:pt>
                <c:pt idx="42">
                  <c:v>44482</c:v>
                </c:pt>
                <c:pt idx="43">
                  <c:v>44490</c:v>
                </c:pt>
                <c:pt idx="44">
                  <c:v>44495</c:v>
                </c:pt>
                <c:pt idx="45">
                  <c:v>44503</c:v>
                </c:pt>
                <c:pt idx="46">
                  <c:v>44510</c:v>
                </c:pt>
                <c:pt idx="47">
                  <c:v>44517</c:v>
                </c:pt>
                <c:pt idx="48">
                  <c:v>44524</c:v>
                </c:pt>
                <c:pt idx="49">
                  <c:v>44531</c:v>
                </c:pt>
                <c:pt idx="50">
                  <c:v>44903</c:v>
                </c:pt>
                <c:pt idx="51">
                  <c:v>44910</c:v>
                </c:pt>
                <c:pt idx="52">
                  <c:v>44917</c:v>
                </c:pt>
              </c:numCache>
            </c:numRef>
          </c:cat>
          <c:val>
            <c:numRef>
              <c:f>'5a-AKTIV_PRIMHLAD'!$E$62:$E$114</c:f>
              <c:numCache>
                <c:formatCode>0.00E+00</c:formatCode>
                <c:ptCount val="53"/>
                <c:pt idx="0">
                  <c:v>6.3100000000000005E-4</c:v>
                </c:pt>
                <c:pt idx="1">
                  <c:v>6.3100000000000005E-4</c:v>
                </c:pt>
                <c:pt idx="2">
                  <c:v>6.3400000000000001E-4</c:v>
                </c:pt>
                <c:pt idx="3">
                  <c:v>6.5899999999999997E-4</c:v>
                </c:pt>
                <c:pt idx="4">
                  <c:v>6.8199999999999999E-4</c:v>
                </c:pt>
                <c:pt idx="5">
                  <c:v>6.7100000000000005E-4</c:v>
                </c:pt>
                <c:pt idx="6">
                  <c:v>6.5600000000000001E-4</c:v>
                </c:pt>
                <c:pt idx="7">
                  <c:v>6.6200000000000005E-4</c:v>
                </c:pt>
                <c:pt idx="8">
                  <c:v>6.7100000000000005E-4</c:v>
                </c:pt>
                <c:pt idx="9">
                  <c:v>7.0799999999999997E-4</c:v>
                </c:pt>
                <c:pt idx="10">
                  <c:v>6.6799999999999997E-4</c:v>
                </c:pt>
                <c:pt idx="11">
                  <c:v>6.8800000000000003E-4</c:v>
                </c:pt>
                <c:pt idx="12">
                  <c:v>6.8599999999999998E-4</c:v>
                </c:pt>
                <c:pt idx="13">
                  <c:v>6.96E-4</c:v>
                </c:pt>
                <c:pt idx="14">
                  <c:v>6.9499999999999998E-4</c:v>
                </c:pt>
                <c:pt idx="15">
                  <c:v>0</c:v>
                </c:pt>
                <c:pt idx="16">
                  <c:v>0</c:v>
                </c:pt>
                <c:pt idx="17">
                  <c:v>0</c:v>
                </c:pt>
                <c:pt idx="18">
                  <c:v>0</c:v>
                </c:pt>
                <c:pt idx="19">
                  <c:v>0</c:v>
                </c:pt>
                <c:pt idx="20">
                  <c:v>2.5599999999999999E-4</c:v>
                </c:pt>
                <c:pt idx="21">
                  <c:v>2.6800000000000001E-4</c:v>
                </c:pt>
                <c:pt idx="22">
                  <c:v>2.9E-4</c:v>
                </c:pt>
                <c:pt idx="23">
                  <c:v>2.9E-4</c:v>
                </c:pt>
                <c:pt idx="24">
                  <c:v>2.9799999999999998E-4</c:v>
                </c:pt>
                <c:pt idx="25">
                  <c:v>2.8800000000000001E-4</c:v>
                </c:pt>
                <c:pt idx="26">
                  <c:v>2.9300000000000002E-4</c:v>
                </c:pt>
                <c:pt idx="27">
                  <c:v>2.9999999999999997E-4</c:v>
                </c:pt>
                <c:pt idx="28">
                  <c:v>2.9599999999999998E-4</c:v>
                </c:pt>
                <c:pt idx="29">
                  <c:v>2.9300000000000002E-4</c:v>
                </c:pt>
                <c:pt idx="30">
                  <c:v>3.0600000000000001E-4</c:v>
                </c:pt>
                <c:pt idx="31">
                  <c:v>3.1100000000000002E-4</c:v>
                </c:pt>
                <c:pt idx="32">
                  <c:v>3.1399999999999999E-4</c:v>
                </c:pt>
                <c:pt idx="33">
                  <c:v>3.1599999999999998E-4</c:v>
                </c:pt>
                <c:pt idx="34">
                  <c:v>3.1500000000000001E-4</c:v>
                </c:pt>
                <c:pt idx="35">
                  <c:v>3.3599999999999998E-4</c:v>
                </c:pt>
                <c:pt idx="36">
                  <c:v>3.2400000000000001E-4</c:v>
                </c:pt>
                <c:pt idx="37">
                  <c:v>3.4200000000000002E-4</c:v>
                </c:pt>
                <c:pt idx="38">
                  <c:v>3.2499999999999999E-4</c:v>
                </c:pt>
                <c:pt idx="39">
                  <c:v>3.3599999999999998E-4</c:v>
                </c:pt>
                <c:pt idx="40">
                  <c:v>3.4200000000000002E-4</c:v>
                </c:pt>
                <c:pt idx="41">
                  <c:v>3.5E-4</c:v>
                </c:pt>
                <c:pt idx="42">
                  <c:v>3.4499999999999998E-4</c:v>
                </c:pt>
                <c:pt idx="43">
                  <c:v>3.4200000000000002E-4</c:v>
                </c:pt>
                <c:pt idx="44">
                  <c:v>3.68E-4</c:v>
                </c:pt>
                <c:pt idx="45">
                  <c:v>3.5500000000000001E-4</c:v>
                </c:pt>
                <c:pt idx="46">
                  <c:v>3.6099999999999999E-4</c:v>
                </c:pt>
                <c:pt idx="47">
                  <c:v>3.6099999999999999E-4</c:v>
                </c:pt>
                <c:pt idx="48">
                  <c:v>3.6200000000000002E-4</c:v>
                </c:pt>
                <c:pt idx="49">
                  <c:v>3.6499999999999998E-4</c:v>
                </c:pt>
                <c:pt idx="50">
                  <c:v>3.7199999999999999E-4</c:v>
                </c:pt>
                <c:pt idx="51">
                  <c:v>3.68E-4</c:v>
                </c:pt>
                <c:pt idx="52">
                  <c:v>3.7300000000000001E-4</c:v>
                </c:pt>
              </c:numCache>
            </c:numRef>
          </c:val>
          <c:smooth val="0"/>
          <c:extLst>
            <c:ext xmlns:c16="http://schemas.microsoft.com/office/drawing/2014/chart" uri="{C3380CC4-5D6E-409C-BE32-E72D297353CC}">
              <c16:uniqueId val="{00000003-981B-4893-9B95-D3141C9A7C5A}"/>
            </c:ext>
          </c:extLst>
        </c:ser>
        <c:dLbls>
          <c:showLegendKey val="0"/>
          <c:showVal val="0"/>
          <c:showCatName val="0"/>
          <c:showSerName val="0"/>
          <c:showPercent val="0"/>
          <c:showBubbleSize val="0"/>
        </c:dLbls>
        <c:smooth val="0"/>
        <c:axId val="471924720"/>
        <c:axId val="1"/>
      </c:lineChart>
      <c:dateAx>
        <c:axId val="471924720"/>
        <c:scaling>
          <c:orientation val="minMax"/>
          <c:max val="44560"/>
          <c:min val="44190"/>
        </c:scaling>
        <c:delete val="0"/>
        <c:axPos val="b"/>
        <c:numFmt formatCode="d/\ m/\ yyyy;@" sourceLinked="0"/>
        <c:majorTickMark val="out"/>
        <c:minorTickMark val="none"/>
        <c:tickLblPos val="nextTo"/>
        <c:spPr>
          <a:noFill/>
          <a:ln w="9525" cap="flat" cmpd="sng" algn="ctr">
            <a:solidFill>
              <a:schemeClr val="tx1">
                <a:lumMod val="15000"/>
                <a:lumOff val="85000"/>
              </a:schemeClr>
            </a:solidFill>
            <a:round/>
          </a:ln>
          <a:effectLst/>
        </c:spPr>
        <c:txPr>
          <a:bodyPr rot="-234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Offset val="100"/>
        <c:baseTimeUnit val="days"/>
        <c:majorUnit val="1"/>
        <c:majorTimeUnit val="months"/>
      </c:dateAx>
      <c:valAx>
        <c:axId val="1"/>
        <c:scaling>
          <c:orientation val="minMax"/>
        </c:scaling>
        <c:delete val="0"/>
        <c:axPos val="l"/>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µCi/ml</a:t>
                </a:r>
              </a:p>
            </c:rich>
          </c:tx>
          <c:layout>
            <c:manualLayout>
              <c:xMode val="edge"/>
              <c:yMode val="edge"/>
              <c:x val="1.6045411188209551E-2"/>
              <c:y val="1.8548418289819037E-2"/>
            </c:manualLayout>
          </c:layout>
          <c:overlay val="0"/>
          <c:spPr>
            <a:noFill/>
            <a:ln w="25400">
              <a:noFill/>
            </a:ln>
          </c:spPr>
        </c:title>
        <c:numFmt formatCode="0.00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71924720"/>
        <c:crosses val="autoZero"/>
        <c:crossBetween val="between"/>
      </c:valAx>
      <c:spPr>
        <a:noFill/>
        <a:ln>
          <a:solidFill>
            <a:schemeClr val="tx1"/>
          </a:solidFill>
        </a:ln>
        <a:effectLst/>
      </c:spPr>
    </c:plotArea>
    <c:legend>
      <c:legendPos val="r"/>
      <c:layout>
        <c:manualLayout>
          <c:xMode val="edge"/>
          <c:yMode val="edge"/>
          <c:x val="0.85748296457004636"/>
          <c:y val="7.2916701201823461E-2"/>
          <c:w val="0.13064148602564818"/>
          <c:h val="0.60208371322005805"/>
        </c:manualLayout>
      </c:layout>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l-SI"/>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178020200536"/>
          <c:y val="8.7659844301324286E-2"/>
          <c:w val="0.84509816835004459"/>
          <c:h val="0.64506146669751407"/>
        </c:manualLayout>
      </c:layout>
      <c:barChart>
        <c:barDir val="col"/>
        <c:grouping val="stacked"/>
        <c:varyColors val="0"/>
        <c:ser>
          <c:idx val="0"/>
          <c:order val="0"/>
          <c:tx>
            <c:v> unplanned unavailability</c:v>
          </c:tx>
          <c:spPr>
            <a:solidFill>
              <a:srgbClr val="5357FB"/>
            </a:solidFill>
            <a:ln w="25400">
              <a:noFill/>
            </a:ln>
          </c:spPr>
          <c:invertIfNegative val="0"/>
          <c:cat>
            <c:strRef>
              <c:f>'13-NENACRTOVANA_NERAZP'!$B$234:$B$246</c:f>
              <c:strCache>
                <c:ptCount val="13"/>
                <c:pt idx="0">
                  <c:v>january</c:v>
                </c:pt>
                <c:pt idx="1">
                  <c:v>february</c:v>
                </c:pt>
                <c:pt idx="2">
                  <c:v>march</c:v>
                </c:pt>
                <c:pt idx="3">
                  <c:v>april (O21)</c:v>
                </c:pt>
                <c:pt idx="4">
                  <c:v>may</c:v>
                </c:pt>
                <c:pt idx="5">
                  <c:v>june</c:v>
                </c:pt>
                <c:pt idx="6">
                  <c:v>july</c:v>
                </c:pt>
                <c:pt idx="7">
                  <c:v>august</c:v>
                </c:pt>
                <c:pt idx="8">
                  <c:v>september</c:v>
                </c:pt>
                <c:pt idx="9">
                  <c:v>october</c:v>
                </c:pt>
                <c:pt idx="10">
                  <c:v>november</c:v>
                </c:pt>
                <c:pt idx="11">
                  <c:v>december</c:v>
                </c:pt>
                <c:pt idx="12">
                  <c:v>TOTAL</c:v>
                </c:pt>
              </c:strCache>
            </c:strRef>
          </c:cat>
          <c:val>
            <c:numRef>
              <c:f>'13-NENACRTOVANA_NERAZP'!$C$234:$C$246</c:f>
              <c:numCache>
                <c:formatCode>0.00E+00</c:formatCode>
                <c:ptCount val="13"/>
                <c:pt idx="0">
                  <c:v>0</c:v>
                </c:pt>
                <c:pt idx="1">
                  <c:v>4.9199999999999996E-10</c:v>
                </c:pt>
                <c:pt idx="2">
                  <c:v>0</c:v>
                </c:pt>
                <c:pt idx="3">
                  <c:v>0</c:v>
                </c:pt>
                <c:pt idx="4">
                  <c:v>0</c:v>
                </c:pt>
                <c:pt idx="5">
                  <c:v>4.2500000000000001E-7</c:v>
                </c:pt>
                <c:pt idx="6">
                  <c:v>7.2699999999999999E-9</c:v>
                </c:pt>
                <c:pt idx="7">
                  <c:v>3.9300000000000001E-8</c:v>
                </c:pt>
                <c:pt idx="8">
                  <c:v>0</c:v>
                </c:pt>
                <c:pt idx="9">
                  <c:v>7.1699999999999997E-7</c:v>
                </c:pt>
                <c:pt idx="10">
                  <c:v>6.0900000000000001E-7</c:v>
                </c:pt>
                <c:pt idx="11">
                  <c:v>7.9689999999999994E-8</c:v>
                </c:pt>
                <c:pt idx="12" formatCode="0.000E+00">
                  <c:v>1.877752E-6</c:v>
                </c:pt>
              </c:numCache>
            </c:numRef>
          </c:val>
          <c:extLst>
            <c:ext xmlns:c16="http://schemas.microsoft.com/office/drawing/2014/chart" uri="{C3380CC4-5D6E-409C-BE32-E72D297353CC}">
              <c16:uniqueId val="{00000000-5A48-4783-BCFF-55B04CB18F1C}"/>
            </c:ext>
          </c:extLst>
        </c:ser>
        <c:dLbls>
          <c:showLegendKey val="0"/>
          <c:showVal val="0"/>
          <c:showCatName val="0"/>
          <c:showSerName val="0"/>
          <c:showPercent val="0"/>
          <c:showBubbleSize val="0"/>
        </c:dLbls>
        <c:gapWidth val="150"/>
        <c:overlap val="100"/>
        <c:axId val="465051808"/>
        <c:axId val="1"/>
      </c:barChart>
      <c:lineChart>
        <c:grouping val="standard"/>
        <c:varyColors val="0"/>
        <c:ser>
          <c:idx val="2"/>
          <c:order val="1"/>
          <c:tx>
            <c:v> warning</c:v>
          </c:tx>
          <c:spPr>
            <a:ln w="38100">
              <a:solidFill>
                <a:srgbClr val="FF9900"/>
              </a:solidFill>
              <a:prstDash val="solid"/>
            </a:ln>
          </c:spPr>
          <c:marker>
            <c:symbol val="none"/>
          </c:marker>
          <c:cat>
            <c:strRef>
              <c:f>'13-NENACRTOVANA_NERAZP'!$B$166:$B$246</c:f>
              <c:strCache>
                <c:ptCount val="81"/>
                <c:pt idx="0">
                  <c:v>maj</c:v>
                </c:pt>
                <c:pt idx="1">
                  <c:v>junij</c:v>
                </c:pt>
                <c:pt idx="2">
                  <c:v>julij</c:v>
                </c:pt>
                <c:pt idx="3">
                  <c:v>avgust</c:v>
                </c:pt>
                <c:pt idx="4">
                  <c:v>september</c:v>
                </c:pt>
                <c:pt idx="5">
                  <c:v>oktober</c:v>
                </c:pt>
                <c:pt idx="6">
                  <c:v>november</c:v>
                </c:pt>
                <c:pt idx="7">
                  <c:v>december</c:v>
                </c:pt>
                <c:pt idx="8">
                  <c:v>januar</c:v>
                </c:pt>
                <c:pt idx="9">
                  <c:v>februar</c:v>
                </c:pt>
                <c:pt idx="10">
                  <c:v>marec</c:v>
                </c:pt>
                <c:pt idx="11">
                  <c:v>april</c:v>
                </c:pt>
                <c:pt idx="12">
                  <c:v>maj</c:v>
                </c:pt>
                <c:pt idx="13">
                  <c:v>junij</c:v>
                </c:pt>
                <c:pt idx="14">
                  <c:v>julij</c:v>
                </c:pt>
                <c:pt idx="15">
                  <c:v>avgust</c:v>
                </c:pt>
                <c:pt idx="16">
                  <c:v>september</c:v>
                </c:pt>
                <c:pt idx="17">
                  <c:v>oktober</c:v>
                </c:pt>
                <c:pt idx="18">
                  <c:v>november</c:v>
                </c:pt>
                <c:pt idx="19">
                  <c:v>december</c:v>
                </c:pt>
                <c:pt idx="20">
                  <c:v>januar</c:v>
                </c:pt>
                <c:pt idx="21">
                  <c:v>februar</c:v>
                </c:pt>
                <c:pt idx="22">
                  <c:v>marec</c:v>
                </c:pt>
                <c:pt idx="23">
                  <c:v>april</c:v>
                </c:pt>
                <c:pt idx="24">
                  <c:v>maj</c:v>
                </c:pt>
                <c:pt idx="25">
                  <c:v>junij</c:v>
                </c:pt>
                <c:pt idx="26">
                  <c:v>julij</c:v>
                </c:pt>
                <c:pt idx="27">
                  <c:v>avgust</c:v>
                </c:pt>
                <c:pt idx="28">
                  <c:v>september</c:v>
                </c:pt>
                <c:pt idx="29">
                  <c:v>oktober</c:v>
                </c:pt>
                <c:pt idx="30">
                  <c:v>november</c:v>
                </c:pt>
                <c:pt idx="31">
                  <c:v>december</c:v>
                </c:pt>
                <c:pt idx="32">
                  <c:v>januar</c:v>
                </c:pt>
                <c:pt idx="33">
                  <c:v>februar</c:v>
                </c:pt>
                <c:pt idx="34">
                  <c:v>marec</c:v>
                </c:pt>
                <c:pt idx="35">
                  <c:v>april</c:v>
                </c:pt>
                <c:pt idx="36">
                  <c:v>maj</c:v>
                </c:pt>
                <c:pt idx="37">
                  <c:v>junij</c:v>
                </c:pt>
                <c:pt idx="38">
                  <c:v>julij</c:v>
                </c:pt>
                <c:pt idx="39">
                  <c:v>avgust</c:v>
                </c:pt>
                <c:pt idx="40">
                  <c:v>september</c:v>
                </c:pt>
                <c:pt idx="41">
                  <c:v>oktober</c:v>
                </c:pt>
                <c:pt idx="42">
                  <c:v>november</c:v>
                </c:pt>
                <c:pt idx="43">
                  <c:v>december</c:v>
                </c:pt>
                <c:pt idx="44">
                  <c:v>januar</c:v>
                </c:pt>
                <c:pt idx="45">
                  <c:v>februar</c:v>
                </c:pt>
                <c:pt idx="46">
                  <c:v>marec</c:v>
                </c:pt>
                <c:pt idx="47">
                  <c:v>april</c:v>
                </c:pt>
                <c:pt idx="48">
                  <c:v>maj</c:v>
                </c:pt>
                <c:pt idx="49">
                  <c:v>junij</c:v>
                </c:pt>
                <c:pt idx="50">
                  <c:v>julij</c:v>
                </c:pt>
                <c:pt idx="51">
                  <c:v>avgust</c:v>
                </c:pt>
                <c:pt idx="52">
                  <c:v>september</c:v>
                </c:pt>
                <c:pt idx="53">
                  <c:v>oktober(R19)</c:v>
                </c:pt>
                <c:pt idx="54">
                  <c:v>november</c:v>
                </c:pt>
                <c:pt idx="55">
                  <c:v>december</c:v>
                </c:pt>
                <c:pt idx="56">
                  <c:v>januar</c:v>
                </c:pt>
                <c:pt idx="57">
                  <c:v>februar</c:v>
                </c:pt>
                <c:pt idx="58">
                  <c:v>marec</c:v>
                </c:pt>
                <c:pt idx="59">
                  <c:v>april</c:v>
                </c:pt>
                <c:pt idx="60">
                  <c:v>maj</c:v>
                </c:pt>
                <c:pt idx="61">
                  <c:v>junij</c:v>
                </c:pt>
                <c:pt idx="62">
                  <c:v>julij</c:v>
                </c:pt>
                <c:pt idx="63">
                  <c:v>avgust</c:v>
                </c:pt>
                <c:pt idx="64">
                  <c:v>september</c:v>
                </c:pt>
                <c:pt idx="65">
                  <c:v>oktober</c:v>
                </c:pt>
                <c:pt idx="66">
                  <c:v>november</c:v>
                </c:pt>
                <c:pt idx="67">
                  <c:v>december</c:v>
                </c:pt>
                <c:pt idx="68">
                  <c:v>january</c:v>
                </c:pt>
                <c:pt idx="69">
                  <c:v>february</c:v>
                </c:pt>
                <c:pt idx="70">
                  <c:v>march</c:v>
                </c:pt>
                <c:pt idx="71">
                  <c:v>april (O21)</c:v>
                </c:pt>
                <c:pt idx="72">
                  <c:v>may</c:v>
                </c:pt>
                <c:pt idx="73">
                  <c:v>june</c:v>
                </c:pt>
                <c:pt idx="74">
                  <c:v>july</c:v>
                </c:pt>
                <c:pt idx="75">
                  <c:v>august</c:v>
                </c:pt>
                <c:pt idx="76">
                  <c:v>september</c:v>
                </c:pt>
                <c:pt idx="77">
                  <c:v>october</c:v>
                </c:pt>
                <c:pt idx="78">
                  <c:v>november</c:v>
                </c:pt>
                <c:pt idx="79">
                  <c:v>december</c:v>
                </c:pt>
                <c:pt idx="80">
                  <c:v>TOTAL</c:v>
                </c:pt>
              </c:strCache>
            </c:strRef>
          </c:cat>
          <c:val>
            <c:numRef>
              <c:f>'13-NENACRTOVANA_NERAZP'!$F$234:$F$246</c:f>
              <c:numCache>
                <c:formatCode>0.00E+00</c:formatCode>
                <c:ptCount val="13"/>
                <c:pt idx="0">
                  <c:v>4.9999999999999998E-7</c:v>
                </c:pt>
                <c:pt idx="1">
                  <c:v>4.9999999999999998E-7</c:v>
                </c:pt>
                <c:pt idx="2">
                  <c:v>4.9999999999999998E-7</c:v>
                </c:pt>
                <c:pt idx="3">
                  <c:v>4.9999999999999998E-7</c:v>
                </c:pt>
                <c:pt idx="4">
                  <c:v>4.9999999999999998E-7</c:v>
                </c:pt>
                <c:pt idx="5">
                  <c:v>4.9999999999999998E-7</c:v>
                </c:pt>
                <c:pt idx="6">
                  <c:v>4.9999999999999998E-7</c:v>
                </c:pt>
                <c:pt idx="7">
                  <c:v>4.9999999999999998E-7</c:v>
                </c:pt>
                <c:pt idx="8">
                  <c:v>4.9999999999999998E-7</c:v>
                </c:pt>
                <c:pt idx="9">
                  <c:v>4.9999999999999998E-7</c:v>
                </c:pt>
                <c:pt idx="10">
                  <c:v>4.9999999999999998E-7</c:v>
                </c:pt>
                <c:pt idx="11">
                  <c:v>4.9999999999999998E-7</c:v>
                </c:pt>
                <c:pt idx="12">
                  <c:v>1.9999999999999999E-6</c:v>
                </c:pt>
              </c:numCache>
            </c:numRef>
          </c:val>
          <c:smooth val="0"/>
          <c:extLst>
            <c:ext xmlns:c16="http://schemas.microsoft.com/office/drawing/2014/chart" uri="{C3380CC4-5D6E-409C-BE32-E72D297353CC}">
              <c16:uniqueId val="{00000001-5A48-4783-BCFF-55B04CB18F1C}"/>
            </c:ext>
          </c:extLst>
        </c:ser>
        <c:ser>
          <c:idx val="3"/>
          <c:order val="2"/>
          <c:tx>
            <c:v> alarm</c:v>
          </c:tx>
          <c:spPr>
            <a:ln w="38100">
              <a:solidFill>
                <a:srgbClr val="FF0000"/>
              </a:solidFill>
              <a:prstDash val="solid"/>
            </a:ln>
          </c:spPr>
          <c:marker>
            <c:symbol val="none"/>
          </c:marker>
          <c:cat>
            <c:strRef>
              <c:f>'13-NENACRTOVANA_NERAZP'!$B$166:$B$246</c:f>
              <c:strCache>
                <c:ptCount val="81"/>
                <c:pt idx="0">
                  <c:v>maj</c:v>
                </c:pt>
                <c:pt idx="1">
                  <c:v>junij</c:v>
                </c:pt>
                <c:pt idx="2">
                  <c:v>julij</c:v>
                </c:pt>
                <c:pt idx="3">
                  <c:v>avgust</c:v>
                </c:pt>
                <c:pt idx="4">
                  <c:v>september</c:v>
                </c:pt>
                <c:pt idx="5">
                  <c:v>oktober</c:v>
                </c:pt>
                <c:pt idx="6">
                  <c:v>november</c:v>
                </c:pt>
                <c:pt idx="7">
                  <c:v>december</c:v>
                </c:pt>
                <c:pt idx="8">
                  <c:v>januar</c:v>
                </c:pt>
                <c:pt idx="9">
                  <c:v>februar</c:v>
                </c:pt>
                <c:pt idx="10">
                  <c:v>marec</c:v>
                </c:pt>
                <c:pt idx="11">
                  <c:v>april</c:v>
                </c:pt>
                <c:pt idx="12">
                  <c:v>maj</c:v>
                </c:pt>
                <c:pt idx="13">
                  <c:v>junij</c:v>
                </c:pt>
                <c:pt idx="14">
                  <c:v>julij</c:v>
                </c:pt>
                <c:pt idx="15">
                  <c:v>avgust</c:v>
                </c:pt>
                <c:pt idx="16">
                  <c:v>september</c:v>
                </c:pt>
                <c:pt idx="17">
                  <c:v>oktober</c:v>
                </c:pt>
                <c:pt idx="18">
                  <c:v>november</c:v>
                </c:pt>
                <c:pt idx="19">
                  <c:v>december</c:v>
                </c:pt>
                <c:pt idx="20">
                  <c:v>januar</c:v>
                </c:pt>
                <c:pt idx="21">
                  <c:v>februar</c:v>
                </c:pt>
                <c:pt idx="22">
                  <c:v>marec</c:v>
                </c:pt>
                <c:pt idx="23">
                  <c:v>april</c:v>
                </c:pt>
                <c:pt idx="24">
                  <c:v>maj</c:v>
                </c:pt>
                <c:pt idx="25">
                  <c:v>junij</c:v>
                </c:pt>
                <c:pt idx="26">
                  <c:v>julij</c:v>
                </c:pt>
                <c:pt idx="27">
                  <c:v>avgust</c:v>
                </c:pt>
                <c:pt idx="28">
                  <c:v>september</c:v>
                </c:pt>
                <c:pt idx="29">
                  <c:v>oktober</c:v>
                </c:pt>
                <c:pt idx="30">
                  <c:v>november</c:v>
                </c:pt>
                <c:pt idx="31">
                  <c:v>december</c:v>
                </c:pt>
                <c:pt idx="32">
                  <c:v>januar</c:v>
                </c:pt>
                <c:pt idx="33">
                  <c:v>februar</c:v>
                </c:pt>
                <c:pt idx="34">
                  <c:v>marec</c:v>
                </c:pt>
                <c:pt idx="35">
                  <c:v>april</c:v>
                </c:pt>
                <c:pt idx="36">
                  <c:v>maj</c:v>
                </c:pt>
                <c:pt idx="37">
                  <c:v>junij</c:v>
                </c:pt>
                <c:pt idx="38">
                  <c:v>julij</c:v>
                </c:pt>
                <c:pt idx="39">
                  <c:v>avgust</c:v>
                </c:pt>
                <c:pt idx="40">
                  <c:v>september</c:v>
                </c:pt>
                <c:pt idx="41">
                  <c:v>oktober</c:v>
                </c:pt>
                <c:pt idx="42">
                  <c:v>november</c:v>
                </c:pt>
                <c:pt idx="43">
                  <c:v>december</c:v>
                </c:pt>
                <c:pt idx="44">
                  <c:v>januar</c:v>
                </c:pt>
                <c:pt idx="45">
                  <c:v>februar</c:v>
                </c:pt>
                <c:pt idx="46">
                  <c:v>marec</c:v>
                </c:pt>
                <c:pt idx="47">
                  <c:v>april</c:v>
                </c:pt>
                <c:pt idx="48">
                  <c:v>maj</c:v>
                </c:pt>
                <c:pt idx="49">
                  <c:v>junij</c:v>
                </c:pt>
                <c:pt idx="50">
                  <c:v>julij</c:v>
                </c:pt>
                <c:pt idx="51">
                  <c:v>avgust</c:v>
                </c:pt>
                <c:pt idx="52">
                  <c:v>september</c:v>
                </c:pt>
                <c:pt idx="53">
                  <c:v>oktober(R19)</c:v>
                </c:pt>
                <c:pt idx="54">
                  <c:v>november</c:v>
                </c:pt>
                <c:pt idx="55">
                  <c:v>december</c:v>
                </c:pt>
                <c:pt idx="56">
                  <c:v>januar</c:v>
                </c:pt>
                <c:pt idx="57">
                  <c:v>februar</c:v>
                </c:pt>
                <c:pt idx="58">
                  <c:v>marec</c:v>
                </c:pt>
                <c:pt idx="59">
                  <c:v>april</c:v>
                </c:pt>
                <c:pt idx="60">
                  <c:v>maj</c:v>
                </c:pt>
                <c:pt idx="61">
                  <c:v>junij</c:v>
                </c:pt>
                <c:pt idx="62">
                  <c:v>julij</c:v>
                </c:pt>
                <c:pt idx="63">
                  <c:v>avgust</c:v>
                </c:pt>
                <c:pt idx="64">
                  <c:v>september</c:v>
                </c:pt>
                <c:pt idx="65">
                  <c:v>oktober</c:v>
                </c:pt>
                <c:pt idx="66">
                  <c:v>november</c:v>
                </c:pt>
                <c:pt idx="67">
                  <c:v>december</c:v>
                </c:pt>
                <c:pt idx="68">
                  <c:v>january</c:v>
                </c:pt>
                <c:pt idx="69">
                  <c:v>february</c:v>
                </c:pt>
                <c:pt idx="70">
                  <c:v>march</c:v>
                </c:pt>
                <c:pt idx="71">
                  <c:v>april (O21)</c:v>
                </c:pt>
                <c:pt idx="72">
                  <c:v>may</c:v>
                </c:pt>
                <c:pt idx="73">
                  <c:v>june</c:v>
                </c:pt>
                <c:pt idx="74">
                  <c:v>july</c:v>
                </c:pt>
                <c:pt idx="75">
                  <c:v>august</c:v>
                </c:pt>
                <c:pt idx="76">
                  <c:v>september</c:v>
                </c:pt>
                <c:pt idx="77">
                  <c:v>october</c:v>
                </c:pt>
                <c:pt idx="78">
                  <c:v>november</c:v>
                </c:pt>
                <c:pt idx="79">
                  <c:v>december</c:v>
                </c:pt>
                <c:pt idx="80">
                  <c:v>TOTAL</c:v>
                </c:pt>
              </c:strCache>
            </c:strRef>
          </c:cat>
          <c:val>
            <c:numRef>
              <c:f>'13-NENACRTOVANA_NERAZP'!$G$234:$G$246</c:f>
              <c:numCache>
                <c:formatCode>0.00E+00</c:formatCode>
                <c:ptCount val="13"/>
                <c:pt idx="0">
                  <c:v>5.9999999999999997E-7</c:v>
                </c:pt>
                <c:pt idx="1">
                  <c:v>5.9999999999999997E-7</c:v>
                </c:pt>
                <c:pt idx="2">
                  <c:v>5.9999999999999997E-7</c:v>
                </c:pt>
                <c:pt idx="3">
                  <c:v>5.9999999999999997E-7</c:v>
                </c:pt>
                <c:pt idx="4">
                  <c:v>5.9999999999999997E-7</c:v>
                </c:pt>
                <c:pt idx="5">
                  <c:v>5.9999999999999997E-7</c:v>
                </c:pt>
                <c:pt idx="6">
                  <c:v>5.9999999999999997E-7</c:v>
                </c:pt>
                <c:pt idx="7">
                  <c:v>5.9999999999999997E-7</c:v>
                </c:pt>
                <c:pt idx="8">
                  <c:v>5.9999999999999997E-7</c:v>
                </c:pt>
                <c:pt idx="9">
                  <c:v>5.9999999999999997E-7</c:v>
                </c:pt>
                <c:pt idx="10">
                  <c:v>5.9999999999999997E-7</c:v>
                </c:pt>
                <c:pt idx="11">
                  <c:v>5.9999999999999997E-7</c:v>
                </c:pt>
                <c:pt idx="12">
                  <c:v>2.3999999999999999E-6</c:v>
                </c:pt>
              </c:numCache>
            </c:numRef>
          </c:val>
          <c:smooth val="0"/>
          <c:extLst>
            <c:ext xmlns:c16="http://schemas.microsoft.com/office/drawing/2014/chart" uri="{C3380CC4-5D6E-409C-BE32-E72D297353CC}">
              <c16:uniqueId val="{00000002-5A48-4783-BCFF-55B04CB18F1C}"/>
            </c:ext>
          </c:extLst>
        </c:ser>
        <c:dLbls>
          <c:showLegendKey val="0"/>
          <c:showVal val="0"/>
          <c:showCatName val="0"/>
          <c:showSerName val="0"/>
          <c:showPercent val="0"/>
          <c:showBubbleSize val="0"/>
        </c:dLbls>
        <c:marker val="1"/>
        <c:smooth val="0"/>
        <c:axId val="465051808"/>
        <c:axId val="1"/>
      </c:lineChart>
      <c:catAx>
        <c:axId val="465051808"/>
        <c:scaling>
          <c:orientation val="minMax"/>
        </c:scaling>
        <c:delete val="0"/>
        <c:axPos val="b"/>
        <c:title>
          <c:tx>
            <c:rich>
              <a:bodyPr/>
              <a:lstStyle/>
              <a:p>
                <a:pPr>
                  <a:defRPr sz="800" b="0" i="0" u="none" strike="noStrike" baseline="0">
                    <a:solidFill>
                      <a:srgbClr val="000000"/>
                    </a:solidFill>
                    <a:latin typeface="Arial CE"/>
                    <a:ea typeface="Arial CE"/>
                    <a:cs typeface="Arial CE"/>
                  </a:defRPr>
                </a:pPr>
                <a:r>
                  <a:rPr lang="en-GB"/>
                  <a:t>                                                                      </a:t>
                </a:r>
              </a:p>
            </c:rich>
          </c:tx>
          <c:layout>
            <c:manualLayout>
              <c:xMode val="edge"/>
              <c:yMode val="edge"/>
              <c:x val="0.46621252449077666"/>
              <c:y val="0.85879623816954553"/>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1"/>
        <c:crossesAt val="1E-10"/>
        <c:auto val="0"/>
        <c:lblAlgn val="ctr"/>
        <c:lblOffset val="100"/>
        <c:tickLblSkip val="1"/>
        <c:tickMarkSkip val="1"/>
        <c:noMultiLvlLbl val="0"/>
      </c:catAx>
      <c:valAx>
        <c:axId val="1"/>
        <c:scaling>
          <c:logBase val="10"/>
          <c:orientation val="minMax"/>
          <c:max val="1E-4"/>
          <c:min val="1E-10"/>
        </c:scaling>
        <c:delete val="0"/>
        <c:axPos val="l"/>
        <c:majorGridlines>
          <c:spPr>
            <a:ln w="3175">
              <a:solidFill>
                <a:srgbClr val="000000"/>
              </a:solidFill>
              <a:prstDash val="solid"/>
            </a:ln>
          </c:spPr>
        </c:majorGridlines>
        <c:title>
          <c:tx>
            <c:rich>
              <a:bodyPr rot="0" vert="horz"/>
              <a:lstStyle/>
              <a:p>
                <a:pPr algn="ctr">
                  <a:defRPr sz="1100" b="0" i="0" u="none" strike="noStrike" baseline="0">
                    <a:solidFill>
                      <a:srgbClr val="000000"/>
                    </a:solidFill>
                    <a:latin typeface="Calibri"/>
                    <a:ea typeface="Calibri"/>
                    <a:cs typeface="Calibri"/>
                  </a:defRPr>
                </a:pPr>
                <a:r>
                  <a:rPr lang="en-GB" sz="900" b="0" i="0" u="none" strike="noStrike" baseline="0">
                    <a:solidFill>
                      <a:srgbClr val="000000"/>
                    </a:solidFill>
                    <a:latin typeface="Arial CE"/>
                    <a:cs typeface="Arial CE"/>
                  </a:rPr>
                  <a:t> CDP</a:t>
                </a:r>
              </a:p>
            </c:rich>
          </c:tx>
          <c:layout>
            <c:manualLayout>
              <c:xMode val="edge"/>
              <c:yMode val="edge"/>
              <c:x val="3.4993530738235183E-2"/>
              <c:y val="1.9763659952528715E-2"/>
            </c:manualLayout>
          </c:layout>
          <c:overlay val="0"/>
          <c:spPr>
            <a:noFill/>
            <a:ln w="25400">
              <a:noFill/>
            </a:ln>
          </c:spPr>
        </c:title>
        <c:numFmt formatCode="0.00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465051808"/>
        <c:crosses val="autoZero"/>
        <c:crossBetween val="between"/>
        <c:majorUnit val="10"/>
        <c:minorUnit val="10"/>
      </c:valAx>
      <c:spPr>
        <a:solidFill>
          <a:srgbClr val="FFFFFF"/>
        </a:solidFill>
        <a:ln w="3175">
          <a:solidFill>
            <a:schemeClr val="tx1"/>
          </a:solidFill>
          <a:prstDash val="solid"/>
        </a:ln>
      </c:spPr>
    </c:plotArea>
    <c:legend>
      <c:legendPos val="r"/>
      <c:layout>
        <c:manualLayout>
          <c:xMode val="edge"/>
          <c:yMode val="edge"/>
          <c:x val="0.13098610032900818"/>
          <c:y val="0.92938765626961795"/>
          <c:w val="0.83521293113008765"/>
          <c:h val="5.2391799544419193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chemeClr val="tx1"/>
      </a:solidFill>
    </a:ln>
  </c:spPr>
  <c:txPr>
    <a:bodyPr/>
    <a:lstStyle/>
    <a:p>
      <a:pPr>
        <a:defRPr sz="8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00165170313411E-2"/>
          <c:y val="9.6171478565179352E-2"/>
          <c:w val="0.93691564958382967"/>
          <c:h val="0.68623727034120729"/>
        </c:manualLayout>
      </c:layout>
      <c:barChart>
        <c:barDir val="col"/>
        <c:grouping val="clustered"/>
        <c:varyColors val="0"/>
        <c:ser>
          <c:idx val="0"/>
          <c:order val="0"/>
          <c:tx>
            <c:v>man Sv</c:v>
          </c:tx>
          <c:spPr>
            <a:solidFill>
              <a:srgbClr val="5357FB"/>
            </a:solidFill>
            <a:ln w="25400">
              <a:noFill/>
            </a:ln>
          </c:spPr>
          <c:invertIfNegative val="0"/>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'16-KOLEKTIVNA_DOZA'!$D$52:$D$63</c:f>
              <c:numCache>
                <c:formatCode>General</c:formatCode>
                <c:ptCount val="12"/>
                <c:pt idx="0">
                  <c:v>0.85099999999999998</c:v>
                </c:pt>
                <c:pt idx="1">
                  <c:v>6.8339999999999998E-2</c:v>
                </c:pt>
                <c:pt idx="2">
                  <c:v>0.88427999999999995</c:v>
                </c:pt>
                <c:pt idx="3">
                  <c:v>1.35</c:v>
                </c:pt>
                <c:pt idx="4">
                  <c:v>0.106</c:v>
                </c:pt>
                <c:pt idx="5">
                  <c:v>0.79</c:v>
                </c:pt>
                <c:pt idx="6">
                  <c:v>0.51700000000000002</c:v>
                </c:pt>
                <c:pt idx="7">
                  <c:v>6.2E-2</c:v>
                </c:pt>
                <c:pt idx="8">
                  <c:v>0.78300000000000003</c:v>
                </c:pt>
                <c:pt idx="9">
                  <c:v>0.66800000000000004</c:v>
                </c:pt>
                <c:pt idx="10">
                  <c:v>0.13514999999999999</c:v>
                </c:pt>
                <c:pt idx="11">
                  <c:v>0.92530000000000001</c:v>
                </c:pt>
              </c:numCache>
            </c:numRef>
          </c:val>
          <c:extLst>
            <c:ext xmlns:c16="http://schemas.microsoft.com/office/drawing/2014/chart" uri="{C3380CC4-5D6E-409C-BE32-E72D297353CC}">
              <c16:uniqueId val="{00000000-B432-4959-AB74-1B02CEF49D98}"/>
            </c:ext>
          </c:extLst>
        </c:ser>
        <c:dLbls>
          <c:showLegendKey val="0"/>
          <c:showVal val="0"/>
          <c:showCatName val="0"/>
          <c:showSerName val="0"/>
          <c:showPercent val="0"/>
          <c:showBubbleSize val="0"/>
        </c:dLbls>
        <c:gapWidth val="150"/>
        <c:axId val="466680608"/>
        <c:axId val="1"/>
      </c:barChart>
      <c:lineChart>
        <c:grouping val="standard"/>
        <c:varyColors val="0"/>
        <c:ser>
          <c:idx val="1"/>
          <c:order val="1"/>
          <c:tx>
            <c:v> warning</c:v>
          </c:tx>
          <c:spPr>
            <a:ln w="25400">
              <a:solidFill>
                <a:srgbClr val="FFC000"/>
              </a:solidFill>
              <a:prstDash val="solid"/>
            </a:ln>
          </c:spPr>
          <c:marker>
            <c:symbol val="none"/>
          </c:marker>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'16-KOLEKTIVNA_DOZA'!$E$52:$E$63</c:f>
              <c:numCache>
                <c:formatCode>General</c:formatCode>
                <c:ptCount val="12"/>
                <c:pt idx="0">
                  <c:v>0.72</c:v>
                </c:pt>
                <c:pt idx="1">
                  <c:v>0.18</c:v>
                </c:pt>
                <c:pt idx="2">
                  <c:v>0.72</c:v>
                </c:pt>
                <c:pt idx="3">
                  <c:v>0.72</c:v>
                </c:pt>
                <c:pt idx="4">
                  <c:v>0.18</c:v>
                </c:pt>
                <c:pt idx="5">
                  <c:v>0.72</c:v>
                </c:pt>
                <c:pt idx="6">
                  <c:v>0.72</c:v>
                </c:pt>
                <c:pt idx="7">
                  <c:v>0.18</c:v>
                </c:pt>
                <c:pt idx="8">
                  <c:v>0.72</c:v>
                </c:pt>
                <c:pt idx="9">
                  <c:v>0.72</c:v>
                </c:pt>
                <c:pt idx="10">
                  <c:v>0.18</c:v>
                </c:pt>
                <c:pt idx="11">
                  <c:v>0.72</c:v>
                </c:pt>
              </c:numCache>
            </c:numRef>
          </c:val>
          <c:smooth val="0"/>
          <c:extLst>
            <c:ext xmlns:c16="http://schemas.microsoft.com/office/drawing/2014/chart" uri="{C3380CC4-5D6E-409C-BE32-E72D297353CC}">
              <c16:uniqueId val="{00000001-B432-4959-AB74-1B02CEF49D98}"/>
            </c:ext>
          </c:extLst>
        </c:ser>
        <c:ser>
          <c:idx val="2"/>
          <c:order val="2"/>
          <c:tx>
            <c:v> alarm</c:v>
          </c:tx>
          <c:spPr>
            <a:ln w="25400">
              <a:solidFill>
                <a:srgbClr val="FF0000"/>
              </a:solidFill>
              <a:prstDash val="solid"/>
            </a:ln>
          </c:spPr>
          <c:marker>
            <c:symbol val="none"/>
          </c:marker>
          <c:cat>
            <c:strRef>
              <c:f>'16-KOLEKTIVNA_DOZA'!$C$52:$C$63</c:f>
              <c:strCach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strCache>
            </c:strRef>
          </c:cat>
          <c:val>
            <c:numRef>
              <c:f>'16-KOLEKTIVNA_DOZA'!$F$52:$F$63</c:f>
              <c:numCache>
                <c:formatCode>General</c:formatCode>
                <c:ptCount val="12"/>
                <c:pt idx="0">
                  <c:v>0.86</c:v>
                </c:pt>
                <c:pt idx="1">
                  <c:v>0.22</c:v>
                </c:pt>
                <c:pt idx="2">
                  <c:v>0.86</c:v>
                </c:pt>
                <c:pt idx="3">
                  <c:v>0.86</c:v>
                </c:pt>
                <c:pt idx="4">
                  <c:v>0.22</c:v>
                </c:pt>
                <c:pt idx="5">
                  <c:v>0.86</c:v>
                </c:pt>
                <c:pt idx="6">
                  <c:v>0.86</c:v>
                </c:pt>
                <c:pt idx="7">
                  <c:v>0.22</c:v>
                </c:pt>
                <c:pt idx="8">
                  <c:v>0.86</c:v>
                </c:pt>
                <c:pt idx="9">
                  <c:v>0.86</c:v>
                </c:pt>
                <c:pt idx="10">
                  <c:v>0.22</c:v>
                </c:pt>
                <c:pt idx="11">
                  <c:v>0.86</c:v>
                </c:pt>
              </c:numCache>
            </c:numRef>
          </c:val>
          <c:smooth val="0"/>
          <c:extLst>
            <c:ext xmlns:c16="http://schemas.microsoft.com/office/drawing/2014/chart" uri="{C3380CC4-5D6E-409C-BE32-E72D297353CC}">
              <c16:uniqueId val="{00000002-B432-4959-AB74-1B02CEF49D98}"/>
            </c:ext>
          </c:extLst>
        </c:ser>
        <c:dLbls>
          <c:showLegendKey val="0"/>
          <c:showVal val="0"/>
          <c:showCatName val="0"/>
          <c:showSerName val="0"/>
          <c:showPercent val="0"/>
          <c:showBubbleSize val="0"/>
        </c:dLbls>
        <c:marker val="1"/>
        <c:smooth val="0"/>
        <c:axId val="466680608"/>
        <c:axId val="1"/>
      </c:lineChart>
      <c:catAx>
        <c:axId val="46668060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CE"/>
                <a:ea typeface="Arial CE"/>
                <a:cs typeface="Arial CE"/>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sl-SI"/>
                  <a:t>man</a:t>
                </a:r>
                <a:r>
                  <a:rPr lang="en-GB"/>
                  <a:t> Sv</a:t>
                </a:r>
              </a:p>
            </c:rich>
          </c:tx>
          <c:layout>
            <c:manualLayout>
              <c:xMode val="edge"/>
              <c:yMode val="edge"/>
              <c:x val="1.9341770567599104E-2"/>
              <c:y val="2.1418954755007956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466680608"/>
        <c:crosses val="autoZero"/>
        <c:crossBetween val="between"/>
      </c:valAx>
      <c:spPr>
        <a:solidFill>
          <a:srgbClr val="FFFFFF"/>
        </a:solidFill>
        <a:ln w="3175">
          <a:solidFill>
            <a:schemeClr val="tx1"/>
          </a:solidFill>
          <a:prstDash val="solid"/>
        </a:ln>
      </c:spPr>
    </c:plotArea>
    <c:legend>
      <c:legendPos val="r"/>
      <c:layout>
        <c:manualLayout>
          <c:xMode val="edge"/>
          <c:yMode val="edge"/>
          <c:x val="4.3478260869565216E-2"/>
          <c:y val="0.91710116546312548"/>
          <c:w val="0.93688694768693881"/>
          <c:h val="6.7357852936776652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3175">
      <a:solidFill>
        <a:schemeClr val="tx1"/>
      </a:solidFill>
    </a:ln>
  </c:spPr>
  <c:txPr>
    <a:bodyPr/>
    <a:lstStyle/>
    <a:p>
      <a:pPr>
        <a:defRPr sz="1075"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52278442979581E-2"/>
          <c:y val="7.7650554494785459E-2"/>
          <c:w val="0.93114935290980905"/>
          <c:h val="0.69901085871295399"/>
        </c:manualLayout>
      </c:layout>
      <c:barChart>
        <c:barDir val="col"/>
        <c:grouping val="clustered"/>
        <c:varyColors val="0"/>
        <c:ser>
          <c:idx val="0"/>
          <c:order val="0"/>
          <c:tx>
            <c:v> fire</c:v>
          </c:tx>
          <c:spPr>
            <a:solidFill>
              <a:srgbClr val="0000FF"/>
            </a:solidFill>
            <a:ln w="12700">
              <a:solidFill>
                <a:srgbClr val="000000"/>
              </a:solidFill>
              <a:prstDash val="solid"/>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'24-POZAR'!$C$39:$C$50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1F27-4BD2-90F3-4162823FFBD1}"/>
            </c:ext>
          </c:extLst>
        </c:ser>
        <c:ser>
          <c:idx val="2"/>
          <c:order val="1"/>
          <c:tx>
            <c:v> alarm or activation</c:v>
          </c:tx>
          <c:spPr>
            <a:solidFill>
              <a:srgbClr val="5357FB"/>
            </a:solidFill>
            <a:ln w="25400">
              <a:noFill/>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'24-POZAR'!$D$39:$D$50</c:f>
              <c:numCache>
                <c:formatCode>General</c:formatCode>
                <c:ptCount val="12"/>
                <c:pt idx="0">
                  <c:v>45</c:v>
                </c:pt>
                <c:pt idx="1">
                  <c:v>37</c:v>
                </c:pt>
                <c:pt idx="2">
                  <c:v>57</c:v>
                </c:pt>
                <c:pt idx="3">
                  <c:v>37</c:v>
                </c:pt>
                <c:pt idx="4">
                  <c:v>28</c:v>
                </c:pt>
                <c:pt idx="5">
                  <c:v>45</c:v>
                </c:pt>
                <c:pt idx="6">
                  <c:v>55</c:v>
                </c:pt>
                <c:pt idx="7">
                  <c:v>43</c:v>
                </c:pt>
                <c:pt idx="8">
                  <c:v>20</c:v>
                </c:pt>
                <c:pt idx="9">
                  <c:v>28</c:v>
                </c:pt>
                <c:pt idx="10">
                  <c:v>22</c:v>
                </c:pt>
                <c:pt idx="11">
                  <c:v>19</c:v>
                </c:pt>
              </c:numCache>
            </c:numRef>
          </c:val>
          <c:extLst>
            <c:ext xmlns:c16="http://schemas.microsoft.com/office/drawing/2014/chart" uri="{C3380CC4-5D6E-409C-BE32-E72D297353CC}">
              <c16:uniqueId val="{00000001-1F27-4BD2-90F3-4162823FFBD1}"/>
            </c:ext>
          </c:extLst>
        </c:ser>
        <c:ser>
          <c:idx val="1"/>
          <c:order val="2"/>
          <c:tx>
            <c:v> fire event</c:v>
          </c:tx>
          <c:spPr>
            <a:solidFill>
              <a:srgbClr val="92D050"/>
            </a:solidFill>
            <a:ln w="25400">
              <a:noFill/>
            </a:ln>
          </c:spPr>
          <c:invertIfNegative val="0"/>
          <c:cat>
            <c:numRef>
              <c:f>'24-POZAR'!$B$39:$B$50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'24-POZAR'!$E$39:$E$50</c:f>
              <c:numCache>
                <c:formatCode>General</c:formatCode>
                <c:ptCount val="12"/>
                <c:pt idx="0">
                  <c:v>0</c:v>
                </c:pt>
                <c:pt idx="1">
                  <c:v>1</c:v>
                </c:pt>
                <c:pt idx="2">
                  <c:v>0</c:v>
                </c:pt>
                <c:pt idx="3">
                  <c:v>2</c:v>
                </c:pt>
                <c:pt idx="4">
                  <c:v>0</c:v>
                </c:pt>
                <c:pt idx="5">
                  <c:v>0</c:v>
                </c:pt>
                <c:pt idx="6">
                  <c:v>2</c:v>
                </c:pt>
                <c:pt idx="7">
                  <c:v>0</c:v>
                </c:pt>
                <c:pt idx="8">
                  <c:v>4</c:v>
                </c:pt>
                <c:pt idx="9">
                  <c:v>2</c:v>
                </c:pt>
                <c:pt idx="10">
                  <c:v>3</c:v>
                </c:pt>
                <c:pt idx="11">
                  <c:v>1</c:v>
                </c:pt>
              </c:numCache>
            </c:numRef>
          </c:val>
          <c:extLst>
            <c:ext xmlns:c16="http://schemas.microsoft.com/office/drawing/2014/chart" uri="{C3380CC4-5D6E-409C-BE32-E72D297353CC}">
              <c16:uniqueId val="{00000002-1F27-4BD2-90F3-4162823FFBD1}"/>
            </c:ext>
          </c:extLst>
        </c:ser>
        <c:dLbls>
          <c:showLegendKey val="0"/>
          <c:showVal val="0"/>
          <c:showCatName val="0"/>
          <c:showSerName val="0"/>
          <c:showPercent val="0"/>
          <c:showBubbleSize val="0"/>
        </c:dLbls>
        <c:gapWidth val="150"/>
        <c:axId val="467767832"/>
        <c:axId val="1"/>
      </c:barChart>
      <c:catAx>
        <c:axId val="467767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1"/>
        <c:crosses val="autoZero"/>
        <c:auto val="1"/>
        <c:lblAlgn val="ctr"/>
        <c:lblOffset val="100"/>
        <c:tickLblSkip val="1"/>
        <c:tickMarkSkip val="1"/>
        <c:noMultiLvlLbl val="0"/>
      </c:catAx>
      <c:valAx>
        <c:axId val="1"/>
        <c:scaling>
          <c:orientation val="minMax"/>
          <c:max val="60"/>
          <c:min val="0"/>
        </c:scaling>
        <c:delete val="0"/>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CE"/>
                    <a:ea typeface="Arial CE"/>
                    <a:cs typeface="Arial CE"/>
                  </a:defRPr>
                </a:pPr>
                <a:r>
                  <a:rPr lang="sl-SI"/>
                  <a:t>No.</a:t>
                </a:r>
                <a:endParaRPr lang="en-GB"/>
              </a:p>
            </c:rich>
          </c:tx>
          <c:layout>
            <c:manualLayout>
              <c:xMode val="edge"/>
              <c:yMode val="edge"/>
              <c:x val="9.8405826577950828E-3"/>
              <c:y val="4.3916385451818526E-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467767832"/>
        <c:crosses val="autoZero"/>
        <c:crossBetween val="between"/>
        <c:majorUnit val="10"/>
      </c:valAx>
      <c:spPr>
        <a:solidFill>
          <a:srgbClr val="FFFFFF"/>
        </a:solidFill>
        <a:ln w="3175">
          <a:solidFill>
            <a:schemeClr val="tx1"/>
          </a:solidFill>
          <a:prstDash val="solid"/>
        </a:ln>
      </c:spPr>
    </c:plotArea>
    <c:legend>
      <c:legendPos val="r"/>
      <c:layout>
        <c:manualLayout>
          <c:xMode val="edge"/>
          <c:yMode val="edge"/>
          <c:x val="6.1500615006150061E-2"/>
          <c:y val="0.88433914510686173"/>
          <c:w val="0.46494513370330554"/>
          <c:h val="5.7831521059867552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Arial CE"/>
              <a:ea typeface="Arial CE"/>
              <a:cs typeface="Arial CE"/>
            </a:defRPr>
          </a:pPr>
          <a:endParaRPr lang="sl-SI"/>
        </a:p>
      </c:txPr>
    </c:legend>
    <c:plotVisOnly val="1"/>
    <c:dispBlanksAs val="gap"/>
    <c:showDLblsOverMax val="0"/>
  </c:chart>
  <c:spPr>
    <a:solidFill>
      <a:srgbClr val="FFFFFF"/>
    </a:solidFill>
    <a:ln w="6350">
      <a:solidFill>
        <a:schemeClr val="tx1"/>
      </a:solidFill>
    </a:ln>
  </c:spPr>
  <c:txPr>
    <a:bodyPr/>
    <a:lstStyle/>
    <a:p>
      <a:pPr>
        <a:defRPr sz="1125" b="0" i="0" u="none" strike="noStrike" baseline="0">
          <a:solidFill>
            <a:srgbClr val="000000"/>
          </a:solidFill>
          <a:latin typeface="Arial CE"/>
          <a:ea typeface="Arial CE"/>
          <a:cs typeface="Arial CE"/>
        </a:defRPr>
      </a:pPr>
      <a:endParaRPr lang="sl-SI"/>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0.31425</cdr:x>
      <cdr:y>0.6775</cdr:y>
    </cdr:from>
    <cdr:to>
      <cdr:x>0.3225</cdr:x>
      <cdr:y>0.6775</cdr:y>
    </cdr:to>
    <cdr:sp macro="" textlink="">
      <cdr:nvSpPr>
        <cdr:cNvPr id="62465" name="Text 4"/>
        <cdr:cNvSpPr txBox="1">
          <a:spLocks xmlns:a="http://schemas.openxmlformats.org/drawingml/2006/main" noChangeArrowheads="1"/>
        </cdr:cNvSpPr>
      </cdr:nvSpPr>
      <cdr:spPr bwMode="auto">
        <a:xfrm xmlns:a="http://schemas.openxmlformats.org/drawingml/2006/main">
          <a:off x="2903434" y="3820287"/>
          <a:ext cx="76224"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750" b="0" i="0" u="none" strike="noStrike" baseline="0">
              <a:solidFill>
                <a:srgbClr val="000000"/>
              </a:solidFill>
              <a:latin typeface="Arial"/>
              <a:cs typeface="Arial"/>
            </a:rPr>
            <a:t>N</a:t>
          </a:r>
        </a:p>
      </cdr:txBody>
    </cdr:sp>
  </cdr:relSizeAnchor>
  <cdr:relSizeAnchor xmlns:cdr="http://schemas.openxmlformats.org/drawingml/2006/chartDrawing">
    <cdr:from>
      <cdr:x>0.11243</cdr:x>
      <cdr:y>0.031</cdr:y>
    </cdr:from>
    <cdr:to>
      <cdr:x>0.70525</cdr:x>
      <cdr:y>0.21402</cdr:y>
    </cdr:to>
    <cdr:sp macro="" textlink="">
      <cdr:nvSpPr>
        <cdr:cNvPr id="62466" name="Text 12"/>
        <cdr:cNvSpPr txBox="1">
          <a:spLocks xmlns:a="http://schemas.openxmlformats.org/drawingml/2006/main" noChangeArrowheads="1"/>
        </cdr:cNvSpPr>
      </cdr:nvSpPr>
      <cdr:spPr bwMode="auto">
        <a:xfrm xmlns:a="http://schemas.openxmlformats.org/drawingml/2006/main">
          <a:off x="647678" y="109271"/>
          <a:ext cx="3415070" cy="6451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Gross energy produced: 5,705,951.3 MWh</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Net energy produced:  5,418,643.3 MWh</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Availability factor:  90.7%</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Capacity factor:  92.9% </a:t>
          </a:r>
          <a:r>
            <a:rPr lang="sl-SI" sz="1000" b="0" i="0" u="none" strike="noStrike" baseline="0">
              <a:solidFill>
                <a:srgbClr val="FF0000"/>
              </a:solidFill>
              <a:latin typeface="Garamond" panose="02020404030301010803" pitchFamily="18" charset="0"/>
              <a:cs typeface="Arial"/>
            </a:rPr>
            <a:t>                  </a:t>
          </a:r>
        </a:p>
      </cdr:txBody>
    </cdr:sp>
  </cdr:relSizeAnchor>
  <cdr:relSizeAnchor xmlns:cdr="http://schemas.openxmlformats.org/drawingml/2006/chartDrawing">
    <cdr:from>
      <cdr:x>0.31878</cdr:x>
      <cdr:y>0.56422</cdr:y>
    </cdr:from>
    <cdr:to>
      <cdr:x>0.41291</cdr:x>
      <cdr:y>0.70474</cdr:y>
    </cdr:to>
    <cdr:sp macro="" textlink="">
      <cdr:nvSpPr>
        <cdr:cNvPr id="62467" name="Text 24"/>
        <cdr:cNvSpPr txBox="1">
          <a:spLocks xmlns:a="http://schemas.openxmlformats.org/drawingml/2006/main" noChangeArrowheads="1"/>
        </cdr:cNvSpPr>
      </cdr:nvSpPr>
      <cdr:spPr bwMode="auto">
        <a:xfrm xmlns:a="http://schemas.openxmlformats.org/drawingml/2006/main">
          <a:off x="1836420" y="1988811"/>
          <a:ext cx="542239" cy="49531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sl-SI" sz="800" b="0" i="0" u="none" strike="noStrike" baseline="0">
              <a:solidFill>
                <a:srgbClr val="000000"/>
              </a:solidFill>
              <a:latin typeface="Garamond" panose="02020404030301010803" pitchFamily="18" charset="0"/>
              <a:cs typeface="Arial"/>
            </a:rPr>
            <a:t>OUTAGE</a:t>
          </a:r>
        </a:p>
        <a:p xmlns:a="http://schemas.openxmlformats.org/drawingml/2006/main">
          <a:pPr algn="ctr" rtl="0">
            <a:defRPr sz="1000"/>
          </a:pPr>
          <a:endParaRPr lang="sl-SI" sz="12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0.6525</cdr:x>
      <cdr:y>0.24225</cdr:y>
    </cdr:from>
    <cdr:to>
      <cdr:x>0.68125</cdr:x>
      <cdr:y>0.26925</cdr:y>
    </cdr:to>
    <cdr:sp macro="" textlink="">
      <cdr:nvSpPr>
        <cdr:cNvPr id="62469" name="Text 100"/>
        <cdr:cNvSpPr txBox="1">
          <a:spLocks xmlns:a="http://schemas.openxmlformats.org/drawingml/2006/main" noChangeArrowheads="1"/>
        </cdr:cNvSpPr>
      </cdr:nvSpPr>
      <cdr:spPr bwMode="auto">
        <a:xfrm xmlns:a="http://schemas.openxmlformats.org/drawingml/2006/main">
          <a:off x="6028611" y="1365999"/>
          <a:ext cx="265628"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0.54625</cdr:x>
      <cdr:y>0.4515</cdr:y>
    </cdr:from>
    <cdr:to>
      <cdr:x>0.575</cdr:x>
      <cdr:y>0.4785</cdr:y>
    </cdr:to>
    <cdr:sp macro="" textlink="">
      <cdr:nvSpPr>
        <cdr:cNvPr id="62470" name="Text 44"/>
        <cdr:cNvSpPr txBox="1">
          <a:spLocks xmlns:a="http://schemas.openxmlformats.org/drawingml/2006/main" noChangeArrowheads="1"/>
        </cdr:cNvSpPr>
      </cdr:nvSpPr>
      <cdr:spPr bwMode="auto">
        <a:xfrm xmlns:a="http://schemas.openxmlformats.org/drawingml/2006/main">
          <a:off x="5046940" y="2545918"/>
          <a:ext cx="265629"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0.58975</cdr:x>
      <cdr:y>0.24225</cdr:y>
    </cdr:from>
    <cdr:to>
      <cdr:x>0.6145</cdr:x>
      <cdr:y>0.26925</cdr:y>
    </cdr:to>
    <cdr:sp macro="" textlink="">
      <cdr:nvSpPr>
        <cdr:cNvPr id="62471" name="Text 44"/>
        <cdr:cNvSpPr txBox="1">
          <a:spLocks xmlns:a="http://schemas.openxmlformats.org/drawingml/2006/main" noChangeArrowheads="1"/>
        </cdr:cNvSpPr>
      </cdr:nvSpPr>
      <cdr:spPr bwMode="auto">
        <a:xfrm xmlns:a="http://schemas.openxmlformats.org/drawingml/2006/main">
          <a:off x="5448848" y="1365999"/>
          <a:ext cx="228671"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0.55291</cdr:x>
      <cdr:y>0.42803</cdr:y>
    </cdr:from>
    <cdr:to>
      <cdr:x>0.78439</cdr:x>
      <cdr:y>0.62475</cdr:y>
    </cdr:to>
    <cdr:sp macro="" textlink="">
      <cdr:nvSpPr>
        <cdr:cNvPr id="12" name="Text 24">
          <a:extLst xmlns:a="http://schemas.openxmlformats.org/drawingml/2006/main">
            <a:ext uri="{FF2B5EF4-FFF2-40B4-BE49-F238E27FC236}">
              <a16:creationId xmlns:a16="http://schemas.microsoft.com/office/drawing/2014/main" id="{CE3821C2-206A-46DE-97BE-FA0FF24FBF84}"/>
            </a:ext>
          </a:extLst>
        </cdr:cNvPr>
        <cdr:cNvSpPr txBox="1">
          <a:spLocks xmlns:a="http://schemas.openxmlformats.org/drawingml/2006/main" noChangeArrowheads="1"/>
        </cdr:cNvSpPr>
      </cdr:nvSpPr>
      <cdr:spPr bwMode="auto">
        <a:xfrm xmlns:a="http://schemas.openxmlformats.org/drawingml/2006/main">
          <a:off x="3185160" y="1508760"/>
          <a:ext cx="1333500" cy="6934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200" b="0" i="0" u="none" strike="noStrike" baseline="0">
              <a:solidFill>
                <a:srgbClr val="000000"/>
              </a:solidFill>
              <a:latin typeface="Garamond" panose="02020404030301010803" pitchFamily="18" charset="0"/>
              <a:cs typeface="Arial"/>
            </a:rPr>
            <a:t>Test of turbine valves and the search for the leak in the condenser</a:t>
          </a:r>
        </a:p>
        <a:p xmlns:a="http://schemas.openxmlformats.org/drawingml/2006/main">
          <a:pPr algn="l" rtl="0">
            <a:defRPr sz="1000"/>
          </a:pPr>
          <a:endParaRPr lang="sl-SI" sz="12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0.67989</cdr:x>
      <cdr:y>0.32427</cdr:y>
    </cdr:from>
    <cdr:to>
      <cdr:x>0.76455</cdr:x>
      <cdr:y>0.42587</cdr:y>
    </cdr:to>
    <cdr:cxnSp macro="">
      <cdr:nvCxnSpPr>
        <cdr:cNvPr id="13" name="Raven puščični povezovalnik 12">
          <a:extLst xmlns:a="http://schemas.openxmlformats.org/drawingml/2006/main">
            <a:ext uri="{FF2B5EF4-FFF2-40B4-BE49-F238E27FC236}">
              <a16:creationId xmlns:a16="http://schemas.microsoft.com/office/drawing/2014/main" id="{E1A80DAC-DA4B-47A7-AAB5-A4DD16B82F2F}"/>
            </a:ext>
          </a:extLst>
        </cdr:cNvPr>
        <cdr:cNvCxnSpPr/>
      </cdr:nvCxnSpPr>
      <cdr:spPr bwMode="auto">
        <a:xfrm xmlns:a="http://schemas.openxmlformats.org/drawingml/2006/main" flipV="1">
          <a:off x="3916680" y="1143000"/>
          <a:ext cx="487680" cy="35814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0.0172</cdr:x>
      <cdr:y>0.85413</cdr:y>
    </cdr:from>
    <cdr:to>
      <cdr:x>0.97619</cdr:x>
      <cdr:y>0.9801</cdr:y>
    </cdr:to>
    <cdr:sp macro="" textlink="">
      <cdr:nvSpPr>
        <cdr:cNvPr id="2" name="Text Box 1"/>
        <cdr:cNvSpPr txBox="1">
          <a:spLocks xmlns:a="http://schemas.openxmlformats.org/drawingml/2006/main" noChangeArrowheads="1"/>
        </cdr:cNvSpPr>
      </cdr:nvSpPr>
      <cdr:spPr bwMode="auto">
        <a:xfrm xmlns:a="http://schemas.openxmlformats.org/drawingml/2006/main">
          <a:off x="99059" y="2773679"/>
          <a:ext cx="5524501" cy="409087"/>
        </a:xfrm>
        <a:prstGeom xmlns:a="http://schemas.openxmlformats.org/drawingml/2006/main" prst="rect">
          <a:avLst/>
        </a:prstGeom>
        <a:noFill xmlns:a="http://schemas.openxmlformats.org/drawingml/2006/main"/>
        <a:ln xmlns:a="http://schemas.openxmlformats.org/drawingml/2006/main" w="317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wrap="square" lIns="27432"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700"/>
            </a:lnSpc>
            <a:defRPr sz="1000"/>
          </a:pPr>
          <a:endParaRPr lang="sl-SI" sz="800" b="0" i="0" u="none" strike="noStrike" baseline="0">
            <a:solidFill>
              <a:srgbClr val="FF9900"/>
            </a:solidFill>
            <a:latin typeface="Arial"/>
            <a:cs typeface="Arial"/>
          </a:endParaRPr>
        </a:p>
        <a:p xmlns:a="http://schemas.openxmlformats.org/drawingml/2006/main">
          <a:pPr algn="l" rtl="0">
            <a:lnSpc>
              <a:spcPts val="600"/>
            </a:lnSpc>
            <a:defRPr sz="1000"/>
          </a:pPr>
          <a:r>
            <a:rPr lang="sl-SI" sz="800" b="0" i="0" u="none" strike="noStrike" baseline="0">
              <a:solidFill>
                <a:srgbClr val="FF9900"/>
              </a:solidFill>
              <a:latin typeface="Arial"/>
              <a:cs typeface="Arial"/>
            </a:rPr>
            <a:t>100% increase of the spec. activity of I-131, I-134 or Xe-133 vs. the previous week or 0.25 µCi/ml DE I-131 …warning</a:t>
          </a:r>
          <a:endParaRPr lang="sl-SI" sz="800" b="0" i="0" u="none" strike="noStrike" baseline="0">
            <a:solidFill>
              <a:srgbClr val="000000"/>
            </a:solidFill>
            <a:latin typeface="Arial"/>
            <a:cs typeface="Arial"/>
          </a:endParaRPr>
        </a:p>
        <a:p xmlns:a="http://schemas.openxmlformats.org/drawingml/2006/main">
          <a:pPr algn="l" rtl="0">
            <a:lnSpc>
              <a:spcPts val="800"/>
            </a:lnSpc>
            <a:defRPr sz="1000"/>
          </a:pPr>
          <a:endParaRPr lang="sl-SI" sz="900" b="0" i="0" u="none" strike="noStrike" baseline="0">
            <a:solidFill>
              <a:srgbClr val="FF0000"/>
            </a:solidFill>
            <a:latin typeface="Arial"/>
            <a:cs typeface="Arial"/>
          </a:endParaRPr>
        </a:p>
        <a:p xmlns:a="http://schemas.openxmlformats.org/drawingml/2006/main">
          <a:pPr algn="l" rtl="0">
            <a:lnSpc>
              <a:spcPts val="900"/>
            </a:lnSpc>
            <a:defRPr sz="1000"/>
          </a:pPr>
          <a:r>
            <a:rPr lang="sl-SI" sz="800" b="0" i="0" u="none" strike="noStrike" baseline="0">
              <a:solidFill>
                <a:srgbClr val="FF0000"/>
              </a:solidFill>
              <a:latin typeface="Arial"/>
              <a:cs typeface="Arial"/>
            </a:rPr>
            <a:t>200% increase of the specific activity of I-131, I-134 or Xe-133 vs. the previous week or 0.5 </a:t>
          </a:r>
          <a:r>
            <a:rPr lang="sl-SI" sz="800" b="0" i="0" u="none" strike="noStrike" baseline="0">
              <a:solidFill>
                <a:srgbClr val="FF0000"/>
              </a:solidFill>
              <a:latin typeface="Symbol"/>
              <a:cs typeface="Arial"/>
            </a:rPr>
            <a:t>m</a:t>
          </a:r>
          <a:r>
            <a:rPr lang="sl-SI" sz="800" b="0" i="0" u="none" strike="noStrike" baseline="0">
              <a:solidFill>
                <a:srgbClr val="FF0000"/>
              </a:solidFill>
              <a:latin typeface="Arial"/>
              <a:cs typeface="Arial"/>
            </a:rPr>
            <a:t>Ci/ml DE I-131 …  alarm</a:t>
          </a:r>
        </a:p>
      </cdr:txBody>
    </cdr:sp>
  </cdr:relSizeAnchor>
</c:userShapes>
</file>

<file path=word/drawings/drawing3.xml><?xml version="1.0" encoding="utf-8"?>
<c:userShapes xmlns:c="http://schemas.openxmlformats.org/drawingml/2006/chart">
  <cdr:relSizeAnchor xmlns:cdr="http://schemas.openxmlformats.org/drawingml/2006/chartDrawing">
    <cdr:from>
      <cdr:x>0.72776</cdr:x>
      <cdr:y>0.09738</cdr:y>
    </cdr:from>
    <cdr:to>
      <cdr:x>0.97168</cdr:x>
      <cdr:y>0.14988</cdr:y>
    </cdr:to>
    <cdr:sp macro="" textlink="">
      <cdr:nvSpPr>
        <cdr:cNvPr id="62465" name="Text Box 1"/>
        <cdr:cNvSpPr txBox="1">
          <a:spLocks xmlns:a="http://schemas.openxmlformats.org/drawingml/2006/main" noChangeArrowheads="1"/>
        </cdr:cNvSpPr>
      </cdr:nvSpPr>
      <cdr:spPr bwMode="auto">
        <a:xfrm xmlns:a="http://schemas.openxmlformats.org/drawingml/2006/main">
          <a:off x="3874054" y="293427"/>
          <a:ext cx="1297122" cy="14727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925" b="0" i="0" u="none" strike="noStrike" baseline="0">
              <a:solidFill>
                <a:srgbClr val="000000"/>
              </a:solidFill>
              <a:latin typeface="Arial CE"/>
              <a:cs typeface="Arial CE"/>
            </a:rPr>
            <a:t>* without replacing fuel</a:t>
          </a:r>
        </a:p>
      </cdr:txBody>
    </cdr:sp>
  </cdr:relSizeAnchor>
</c:userShapes>
</file>

<file path=word/drawings/drawing4.xml><?xml version="1.0" encoding="utf-8"?>
<c:userShapes xmlns:c="http://schemas.openxmlformats.org/drawingml/2006/chart">
  <cdr:relSizeAnchor xmlns:cdr="http://schemas.openxmlformats.org/drawingml/2006/chartDrawing">
    <cdr:from>
      <cdr:x>0.54861</cdr:x>
      <cdr:y>0.85751</cdr:y>
    </cdr:from>
    <cdr:to>
      <cdr:x>0.95901</cdr:x>
      <cdr:y>0.98446</cdr:y>
    </cdr:to>
    <cdr:sp macro="" textlink="">
      <cdr:nvSpPr>
        <cdr:cNvPr id="551938" name="Text Box 2"/>
        <cdr:cNvSpPr txBox="1">
          <a:spLocks xmlns:a="http://schemas.openxmlformats.org/drawingml/2006/main" noChangeArrowheads="1"/>
        </cdr:cNvSpPr>
      </cdr:nvSpPr>
      <cdr:spPr bwMode="auto">
        <a:xfrm xmlns:a="http://schemas.openxmlformats.org/drawingml/2006/main">
          <a:off x="3160389" y="2552700"/>
          <a:ext cx="2364199" cy="377919"/>
        </a:xfrm>
        <a:prstGeom xmlns:a="http://schemas.openxmlformats.org/drawingml/2006/main" prst="rect">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lnSpc>
              <a:spcPts val="300"/>
            </a:lnSpc>
            <a:defRPr sz="1000"/>
          </a:pPr>
          <a:r>
            <a:rPr lang="sl-SI" sz="900" b="0" i="0" u="none" strike="noStrike" baseline="0">
              <a:solidFill>
                <a:srgbClr val="000000"/>
              </a:solidFill>
              <a:latin typeface="Arial CE"/>
              <a:cs typeface="Arial CE"/>
            </a:rPr>
            <a:t> </a:t>
          </a:r>
        </a:p>
        <a:p xmlns:a="http://schemas.openxmlformats.org/drawingml/2006/main">
          <a:pPr algn="l" rtl="0">
            <a:lnSpc>
              <a:spcPts val="300"/>
            </a:lnSpc>
            <a:defRPr sz="1000"/>
          </a:pPr>
          <a:r>
            <a:rPr lang="sl-SI" sz="900" b="0" i="0" u="none" strike="noStrike" baseline="0">
              <a:solidFill>
                <a:srgbClr val="000000"/>
              </a:solidFill>
              <a:latin typeface="Arial CE"/>
              <a:cs typeface="Arial CE"/>
            </a:rPr>
            <a:t> </a:t>
          </a:r>
        </a:p>
        <a:p xmlns:a="http://schemas.openxmlformats.org/drawingml/2006/main">
          <a:pPr algn="l" rtl="0">
            <a:lnSpc>
              <a:spcPts val="300"/>
            </a:lnSpc>
            <a:defRPr sz="1000"/>
          </a:pPr>
          <a:r>
            <a:rPr lang="sl-SI" sz="900" b="0" i="0" u="none" strike="noStrike" baseline="0">
              <a:solidFill>
                <a:srgbClr val="000000"/>
              </a:solidFill>
              <a:latin typeface="Arial CE"/>
              <a:cs typeface="Arial CE"/>
            </a:rPr>
            <a:t> fire:</a:t>
          </a:r>
          <a:r>
            <a:rPr lang="sl-SI" sz="900" b="0" i="0" u="none" strike="noStrike" baseline="0">
              <a:solidFill>
                <a:srgbClr val="FFFF00"/>
              </a:solidFill>
              <a:latin typeface="Arial CE"/>
              <a:cs typeface="Arial CE"/>
            </a:rPr>
            <a:t>                 </a:t>
          </a:r>
          <a:r>
            <a:rPr lang="sl-SI" sz="900" b="0" i="0" u="none" strike="noStrike" baseline="0">
              <a:solidFill>
                <a:srgbClr val="FF9900"/>
              </a:solidFill>
              <a:latin typeface="Arial CE"/>
              <a:cs typeface="Arial CE"/>
            </a:rPr>
            <a:t>2 … warning </a:t>
          </a:r>
          <a:r>
            <a:rPr lang="sl-SI" sz="900" b="0" i="0" u="none" strike="noStrike" baseline="0">
              <a:solidFill>
                <a:srgbClr val="FFFF00"/>
              </a:solidFill>
              <a:latin typeface="Arial CE"/>
              <a:cs typeface="Arial CE"/>
            </a:rPr>
            <a:t>    </a:t>
          </a:r>
          <a:r>
            <a:rPr lang="sl-SI" sz="900" b="0" i="0" u="none" strike="noStrike" baseline="0">
              <a:solidFill>
                <a:srgbClr val="FF0000"/>
              </a:solidFill>
              <a:latin typeface="Arial CE"/>
              <a:cs typeface="Arial CE"/>
            </a:rPr>
            <a:t> 4 … alarm</a:t>
          </a:r>
        </a:p>
        <a:p xmlns:a="http://schemas.openxmlformats.org/drawingml/2006/main">
          <a:pPr algn="l" rtl="0">
            <a:lnSpc>
              <a:spcPts val="400"/>
            </a:lnSpc>
            <a:defRPr sz="1000"/>
          </a:pPr>
          <a:endParaRPr lang="sl-SI" sz="900" b="0" i="0" u="none" strike="noStrike" baseline="0">
            <a:solidFill>
              <a:srgbClr val="FFFF00"/>
            </a:solidFill>
            <a:latin typeface="Arial CE"/>
            <a:cs typeface="Arial CE"/>
          </a:endParaRPr>
        </a:p>
        <a:p xmlns:a="http://schemas.openxmlformats.org/drawingml/2006/main">
          <a:pPr algn="l" rtl="0">
            <a:lnSpc>
              <a:spcPts val="300"/>
            </a:lnSpc>
            <a:defRPr sz="1000"/>
          </a:pPr>
          <a:r>
            <a:rPr lang="sl-SI" sz="900" b="0" i="0" u="none" strike="noStrike" baseline="0">
              <a:solidFill>
                <a:srgbClr val="FFFF00"/>
              </a:solidFill>
              <a:latin typeface="Arial CE"/>
              <a:cs typeface="Arial CE"/>
            </a:rPr>
            <a:t> </a:t>
          </a:r>
          <a:r>
            <a:rPr lang="sl-SI" sz="900" b="0" i="0" u="none" strike="noStrike" baseline="0">
              <a:solidFill>
                <a:srgbClr val="000000"/>
              </a:solidFill>
              <a:latin typeface="Arial CE"/>
              <a:cs typeface="Arial CE"/>
            </a:rPr>
            <a:t>alarm, act.:</a:t>
          </a:r>
          <a:r>
            <a:rPr lang="sl-SI" sz="900" b="0" i="0" u="none" strike="noStrike" baseline="0">
              <a:solidFill>
                <a:srgbClr val="FFFF00"/>
              </a:solidFill>
              <a:latin typeface="Arial CE"/>
              <a:cs typeface="Arial CE"/>
            </a:rPr>
            <a:t>    </a:t>
          </a:r>
          <a:r>
            <a:rPr lang="sl-SI" sz="900" b="0" i="0" u="none" strike="noStrike" baseline="0">
              <a:solidFill>
                <a:srgbClr val="FF9900"/>
              </a:solidFill>
              <a:latin typeface="Arial CE"/>
              <a:cs typeface="Arial CE"/>
            </a:rPr>
            <a:t>35 …warning</a:t>
          </a:r>
          <a:r>
            <a:rPr lang="sl-SI" sz="900" b="0" i="0" u="none" strike="noStrike" baseline="0">
              <a:solidFill>
                <a:srgbClr val="FFFF00"/>
              </a:solidFill>
              <a:latin typeface="Arial CE"/>
              <a:cs typeface="Arial CE"/>
            </a:rPr>
            <a:t>     </a:t>
          </a:r>
          <a:r>
            <a:rPr lang="sl-SI" sz="900" b="0" i="0" u="none" strike="noStrike" baseline="0">
              <a:solidFill>
                <a:srgbClr val="FF0000"/>
              </a:solidFill>
              <a:latin typeface="Arial CE"/>
              <a:cs typeface="Arial CE"/>
            </a:rPr>
            <a:t>45 …alarm</a:t>
          </a:r>
        </a:p>
        <a:p xmlns:a="http://schemas.openxmlformats.org/drawingml/2006/main">
          <a:pPr algn="l" rtl="0">
            <a:lnSpc>
              <a:spcPts val="300"/>
            </a:lnSpc>
            <a:defRPr sz="1000"/>
          </a:pPr>
          <a:endParaRPr lang="sl-SI" sz="900" b="0" i="0" u="none" strike="noStrike" baseline="0">
            <a:solidFill>
              <a:srgbClr val="FF0000"/>
            </a:solidFill>
            <a:latin typeface="Arial CE"/>
            <a:cs typeface="Arial CE"/>
          </a:endParaRPr>
        </a:p>
        <a:p xmlns:a="http://schemas.openxmlformats.org/drawingml/2006/main">
          <a:pPr algn="l" rtl="0">
            <a:lnSpc>
              <a:spcPts val="300"/>
            </a:lnSpc>
            <a:defRPr sz="1000"/>
          </a:pPr>
          <a:r>
            <a:rPr lang="sl-SI" sz="900" b="0" i="0" u="none" strike="noStrike" baseline="0">
              <a:solidFill>
                <a:srgbClr val="FF0000"/>
              </a:solidFill>
              <a:latin typeface="Arial CE"/>
              <a:cs typeface="Arial CE"/>
            </a:rPr>
            <a:t> </a:t>
          </a:r>
          <a:r>
            <a:rPr lang="sl-SI" sz="900" b="0" i="0" u="none" strike="noStrike" baseline="0">
              <a:solidFill>
                <a:srgbClr val="000000"/>
              </a:solidFill>
              <a:latin typeface="Arial CE"/>
              <a:cs typeface="Arial CE"/>
            </a:rPr>
            <a:t>fire event:</a:t>
          </a:r>
          <a:r>
            <a:rPr lang="sl-SI" sz="900" b="0" i="0" u="none" strike="noStrike" baseline="0">
              <a:solidFill>
                <a:srgbClr val="FF0000"/>
              </a:solidFill>
              <a:latin typeface="Arial CE"/>
              <a:cs typeface="Arial CE"/>
            </a:rPr>
            <a:t>      </a:t>
          </a:r>
          <a:r>
            <a:rPr lang="sl-SI" sz="900" b="0" i="0" u="none" strike="noStrike" baseline="0">
              <a:solidFill>
                <a:srgbClr val="FF9900"/>
              </a:solidFill>
              <a:latin typeface="Arial CE"/>
              <a:cs typeface="Arial CE"/>
            </a:rPr>
            <a:t> 4 … warning</a:t>
          </a:r>
          <a:r>
            <a:rPr lang="sl-SI" sz="900" b="0" i="0" u="none" strike="noStrike" baseline="0">
              <a:solidFill>
                <a:srgbClr val="FF0000"/>
              </a:solidFill>
              <a:latin typeface="Arial CE"/>
              <a:cs typeface="Arial CE"/>
            </a:rPr>
            <a:t>      8 … alarm</a:t>
          </a:r>
        </a:p>
        <a:p xmlns:a="http://schemas.openxmlformats.org/drawingml/2006/main">
          <a:pPr algn="l" rtl="0">
            <a:lnSpc>
              <a:spcPts val="300"/>
            </a:lnSpc>
            <a:defRPr sz="1000"/>
          </a:pPr>
          <a:endParaRPr lang="sl-SI" sz="900" b="1" i="0" u="none" strike="noStrike" baseline="0">
            <a:solidFill>
              <a:srgbClr val="FF0000"/>
            </a:solidFill>
            <a:latin typeface="Arial CE"/>
            <a:cs typeface="Arial CE"/>
          </a:endParaRPr>
        </a:p>
      </cdr:txBody>
    </cdr:sp>
  </cdr:relSizeAnchor>
  <cdr:relSizeAnchor xmlns:cdr="http://schemas.openxmlformats.org/drawingml/2006/chartDrawing">
    <cdr:from>
      <cdr:x>0.05143</cdr:x>
      <cdr:y>0.69791</cdr:y>
    </cdr:from>
    <cdr:to>
      <cdr:x>0.98632</cdr:x>
      <cdr:y>0.70495</cdr:y>
    </cdr:to>
    <cdr:cxnSp macro="">
      <cdr:nvCxnSpPr>
        <cdr:cNvPr id="3" name="Raven povezovalnik 2">
          <a:extLst xmlns:a="http://schemas.openxmlformats.org/drawingml/2006/main">
            <a:ext uri="{FF2B5EF4-FFF2-40B4-BE49-F238E27FC236}">
              <a16:creationId xmlns:a16="http://schemas.microsoft.com/office/drawing/2014/main" id="{98B80E17-A915-452A-852B-F3F1288FDAF6}"/>
            </a:ext>
          </a:extLst>
        </cdr:cNvPr>
        <cdr:cNvCxnSpPr/>
      </cdr:nvCxnSpPr>
      <cdr:spPr bwMode="auto">
        <a:xfrm xmlns:a="http://schemas.openxmlformats.org/drawingml/2006/main">
          <a:off x="331510" y="2216203"/>
          <a:ext cx="5589467" cy="2217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C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0.05384</cdr:x>
      <cdr:y>0.66224</cdr:y>
    </cdr:from>
    <cdr:to>
      <cdr:x>0.98727</cdr:x>
      <cdr:y>0.66563</cdr:y>
    </cdr:to>
    <cdr:cxnSp macro="">
      <cdr:nvCxnSpPr>
        <cdr:cNvPr id="25" name="Raven povezovalnik 24">
          <a:extLst xmlns:a="http://schemas.openxmlformats.org/drawingml/2006/main">
            <a:ext uri="{FF2B5EF4-FFF2-40B4-BE49-F238E27FC236}">
              <a16:creationId xmlns:a16="http://schemas.microsoft.com/office/drawing/2014/main" id="{0BBC6529-01BD-4BC3-885E-4D7B5EDF707F}"/>
            </a:ext>
          </a:extLst>
        </cdr:cNvPr>
        <cdr:cNvCxnSpPr/>
      </cdr:nvCxnSpPr>
      <cdr:spPr bwMode="auto">
        <a:xfrm xmlns:a="http://schemas.openxmlformats.org/drawingml/2006/main">
          <a:off x="344534" y="2103213"/>
          <a:ext cx="5583639" cy="8071"/>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0.05453</cdr:x>
      <cdr:y>0.24402</cdr:y>
    </cdr:from>
    <cdr:to>
      <cdr:x>0.98773</cdr:x>
      <cdr:y>0.24896</cdr:y>
    </cdr:to>
    <cdr:cxnSp macro="">
      <cdr:nvCxnSpPr>
        <cdr:cNvPr id="26" name="Raven povezovalnik 25">
          <a:extLst xmlns:a="http://schemas.openxmlformats.org/drawingml/2006/main">
            <a:ext uri="{FF2B5EF4-FFF2-40B4-BE49-F238E27FC236}">
              <a16:creationId xmlns:a16="http://schemas.microsoft.com/office/drawing/2014/main" id="{C1CD9C8E-420E-49B0-94FF-809B922BDDCD}"/>
            </a:ext>
          </a:extLst>
        </cdr:cNvPr>
        <cdr:cNvCxnSpPr/>
      </cdr:nvCxnSpPr>
      <cdr:spPr bwMode="auto">
        <a:xfrm xmlns:a="http://schemas.openxmlformats.org/drawingml/2006/main" flipV="1">
          <a:off x="349016" y="749623"/>
          <a:ext cx="5588801" cy="14354"/>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0000"/>
          </a:solidFill>
          <a:prstDash val="solid"/>
          <a:round/>
          <a:headEnd type="none" w="med" len="med"/>
          <a:tailEnd type="none" w="med" len="med"/>
        </a:ln>
        <a:effectLst xmlns:a="http://schemas.openxmlformats.org/drawingml/2006/main"/>
      </cdr:spPr>
    </cdr:cxnSp>
  </cdr:relSizeAnchor>
  <cdr:relSizeAnchor xmlns:cdr="http://schemas.openxmlformats.org/drawingml/2006/chartDrawing">
    <cdr:from>
      <cdr:x>0.05307</cdr:x>
      <cdr:y>0.36786</cdr:y>
    </cdr:from>
    <cdr:to>
      <cdr:x>0.98675</cdr:x>
      <cdr:y>0.37373</cdr:y>
    </cdr:to>
    <cdr:cxnSp macro="">
      <cdr:nvCxnSpPr>
        <cdr:cNvPr id="27" name="Raven povezovalnik 26">
          <a:extLst xmlns:a="http://schemas.openxmlformats.org/drawingml/2006/main">
            <a:ext uri="{FF2B5EF4-FFF2-40B4-BE49-F238E27FC236}">
              <a16:creationId xmlns:a16="http://schemas.microsoft.com/office/drawing/2014/main" id="{74C3337E-D21D-409E-BE41-B51343AE68EF}"/>
            </a:ext>
          </a:extLst>
        </cdr:cNvPr>
        <cdr:cNvCxnSpPr/>
      </cdr:nvCxnSpPr>
      <cdr:spPr bwMode="auto">
        <a:xfrm xmlns:a="http://schemas.openxmlformats.org/drawingml/2006/main" flipV="1">
          <a:off x="341659" y="1118921"/>
          <a:ext cx="5588801" cy="20186"/>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C0C0C0" mc:Ignorable="a14" a14:legacySpreadsheetColorIndex="22"/>
        </a:solidFill>
        <a:ln xmlns:a="http://schemas.openxmlformats.org/drawingml/2006/main" w="25400" cap="flat" cmpd="sng" algn="ctr">
          <a:solidFill>
            <a:srgbClr val="FFC000"/>
          </a:solidFill>
          <a:prstDash val="solid"/>
          <a:round/>
          <a:headEnd type="none" w="med" len="med"/>
          <a:tailEnd type="none" w="med" len="med"/>
        </a:ln>
        <a:effectLst xmlns:a="http://schemas.openxmlformats.org/drawingml/2006/main"/>
      </cdr:spPr>
    </cdr:cxnSp>
  </cdr:relSizeAnchor>
</c:userShapes>
</file>

<file path=word/drawings/drawing5.xml><?xml version="1.0" encoding="utf-8"?>
<c:userShapes xmlns:c="http://schemas.openxmlformats.org/drawingml/2006/chart">
  <cdr:relSizeAnchor xmlns:cdr="http://schemas.openxmlformats.org/drawingml/2006/chartDrawing">
    <cdr:from>
      <cdr:x>0</cdr:x>
      <cdr:y>0.20478</cdr:y>
    </cdr:from>
    <cdr:to>
      <cdr:x>0.04619</cdr:x>
      <cdr:y>0.55564</cdr:y>
    </cdr:to>
    <cdr:sp macro="" textlink="">
      <cdr:nvSpPr>
        <cdr:cNvPr id="2" name="Polje z besedilom 2"/>
        <cdr:cNvSpPr txBox="1">
          <a:spLocks xmlns:a="http://schemas.openxmlformats.org/drawingml/2006/main" noChangeArrowheads="1"/>
        </cdr:cNvSpPr>
      </cdr:nvSpPr>
      <cdr:spPr bwMode="auto">
        <a:xfrm xmlns:a="http://schemas.openxmlformats.org/drawingml/2006/main" rot="16200000">
          <a:off x="-479107" y="1193648"/>
          <a:ext cx="1224280" cy="266065"/>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spcAft>
              <a:spcPts val="600"/>
            </a:spcAft>
          </a:pPr>
          <a:r>
            <a:rPr lang="sl-SI" sz="1200">
              <a:effectLst/>
              <a:latin typeface="Garamond" panose="02020404030301010803" pitchFamily="18" charset="0"/>
              <a:ea typeface="Times New Roman" panose="02020603050405020304" pitchFamily="18" charset="0"/>
              <a:cs typeface="Times New Roman" panose="02020603050405020304" pitchFamily="18" charset="0"/>
            </a:rPr>
            <a:t>Activity (TBq)</a:t>
          </a:r>
        </a:p>
      </cdr:txBody>
    </cdr:sp>
  </cdr:relSizeAnchor>
  <cdr:relSizeAnchor xmlns:cdr="http://schemas.openxmlformats.org/drawingml/2006/chartDrawing">
    <cdr:from>
      <cdr:x>0.46575</cdr:x>
      <cdr:y>0.88174</cdr:y>
    </cdr:from>
    <cdr:to>
      <cdr:x>0.67827</cdr:x>
      <cdr:y>0.95799</cdr:y>
    </cdr:to>
    <cdr:sp macro="" textlink="">
      <cdr:nvSpPr>
        <cdr:cNvPr id="3" name="Polje z besedilom 2"/>
        <cdr:cNvSpPr txBox="1">
          <a:spLocks xmlns:a="http://schemas.openxmlformats.org/drawingml/2006/main" noChangeArrowheads="1"/>
        </cdr:cNvSpPr>
      </cdr:nvSpPr>
      <cdr:spPr bwMode="auto">
        <a:xfrm xmlns:a="http://schemas.openxmlformats.org/drawingml/2006/main">
          <a:off x="2683029" y="3076661"/>
          <a:ext cx="1224280" cy="266065"/>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600"/>
            </a:spcAft>
          </a:pPr>
          <a:r>
            <a:rPr lang="sl-SI" sz="1200">
              <a:effectLst/>
              <a:latin typeface="Garamond" panose="02020404030301010803" pitchFamily="18" charset="0"/>
              <a:ea typeface="Times New Roman" panose="02020603050405020304" pitchFamily="18" charset="0"/>
              <a:cs typeface="Times New Roman" panose="02020603050405020304" pitchFamily="18" charset="0"/>
            </a:rPr>
            <a:t>Year</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deče-vijoličn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81E20B1-AE45-4E9D-ACEC-B7E23134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62384</Words>
  <Characters>355591</Characters>
  <Application>Microsoft Office Word</Application>
  <DocSecurity>0</DocSecurity>
  <Lines>2963</Lines>
  <Paragraphs>834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Uprava RS za jedrsko varnost</Company>
  <LinksUpToDate>false</LinksUpToDate>
  <CharactersWithSpaces>417141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dc:creator>
  <cp:keywords/>
  <dc:description/>
  <cp:lastModifiedBy>Nina Ledinek</cp:lastModifiedBy>
  <cp:revision>2</cp:revision>
  <dcterms:created xsi:type="dcterms:W3CDTF">2023-02-03T09:20:00Z</dcterms:created>
  <dcterms:modified xsi:type="dcterms:W3CDTF">2023-02-03T09:20:00Z</dcterms:modified>
</cp:coreProperties>
</file>