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ED2E" w14:textId="77777777" w:rsidR="00E7250E" w:rsidRPr="00460794" w:rsidRDefault="008822A2">
      <w:pPr>
        <w:rPr>
          <w:b/>
        </w:rPr>
      </w:pPr>
      <w:bookmarkStart w:id="0" w:name="_Hlk207194482"/>
      <w:r w:rsidRPr="00460794">
        <w:rPr>
          <w:b/>
        </w:rPr>
        <w:t>Pomembno!</w:t>
      </w:r>
    </w:p>
    <w:p w14:paraId="3623DB72" w14:textId="77777777" w:rsidR="008822A2" w:rsidRPr="00727AB6" w:rsidRDefault="008822A2"/>
    <w:p w14:paraId="10FAE373" w14:textId="77777777" w:rsidR="00460794" w:rsidRDefault="00727AB6" w:rsidP="00727AB6">
      <w:pPr>
        <w:jc w:val="both"/>
        <w:rPr>
          <w:bCs/>
        </w:rPr>
      </w:pPr>
      <w:r>
        <w:t>Od</w:t>
      </w:r>
      <w:r w:rsidR="001E2176" w:rsidRPr="00727AB6">
        <w:t xml:space="preserve"> 1. decembr</w:t>
      </w:r>
      <w:r>
        <w:t xml:space="preserve">a </w:t>
      </w:r>
      <w:r w:rsidR="001E2176" w:rsidRPr="00727AB6">
        <w:t>2025</w:t>
      </w:r>
      <w:r w:rsidRPr="00727AB6">
        <w:t xml:space="preserve"> bo na področju geografskih označb obrtnih in industrijskih izdelkov velja</w:t>
      </w:r>
      <w:r>
        <w:t>la</w:t>
      </w:r>
      <w:r w:rsidRPr="00727AB6">
        <w:t xml:space="preserve"> povsem nova ureditev. Z začetkom uporabe </w:t>
      </w:r>
      <w:hyperlink r:id="rId5" w:history="1">
        <w:r w:rsidR="001E2176" w:rsidRPr="00283A03">
          <w:rPr>
            <w:rStyle w:val="Hiperpovezava"/>
          </w:rPr>
          <w:t>Uredb</w:t>
        </w:r>
        <w:r w:rsidRPr="00283A03">
          <w:rPr>
            <w:rStyle w:val="Hiperpovezava"/>
          </w:rPr>
          <w:t>e</w:t>
        </w:r>
        <w:r w:rsidR="001E2176" w:rsidRPr="00283A03">
          <w:rPr>
            <w:rStyle w:val="Hiperpovezava"/>
          </w:rPr>
          <w:t xml:space="preserve"> </w:t>
        </w:r>
        <w:r w:rsidRPr="00283A03">
          <w:rPr>
            <w:rStyle w:val="Hiperpovezava"/>
          </w:rPr>
          <w:t>(EU) 2023/2411 o geografskih označbah obrtnih in industrijskih izdelkov</w:t>
        </w:r>
      </w:hyperlink>
      <w:r w:rsidRPr="00727AB6">
        <w:t xml:space="preserve"> </w:t>
      </w:r>
      <w:r w:rsidR="004C057A">
        <w:t xml:space="preserve">se ukinja </w:t>
      </w:r>
      <w:r w:rsidRPr="00727AB6">
        <w:t xml:space="preserve">nacionalno varstvo geografskih označb, </w:t>
      </w:r>
      <w:r w:rsidRPr="00727AB6">
        <w:rPr>
          <w:bCs/>
        </w:rPr>
        <w:t xml:space="preserve">vzpostavljeno </w:t>
      </w:r>
      <w:r>
        <w:rPr>
          <w:bCs/>
        </w:rPr>
        <w:t xml:space="preserve">pa bo </w:t>
      </w:r>
      <w:r w:rsidRPr="00727AB6">
        <w:rPr>
          <w:bCs/>
        </w:rPr>
        <w:t>enotno varstvo geografskih označb na ravni Evropske unije.</w:t>
      </w:r>
      <w:r>
        <w:rPr>
          <w:bCs/>
        </w:rPr>
        <w:t xml:space="preserve"> </w:t>
      </w:r>
    </w:p>
    <w:p w14:paraId="53766C9A" w14:textId="77777777" w:rsidR="00460794" w:rsidRDefault="00460794" w:rsidP="00727AB6">
      <w:pPr>
        <w:jc w:val="both"/>
        <w:rPr>
          <w:b/>
          <w:bCs/>
          <w:u w:val="single"/>
        </w:rPr>
      </w:pPr>
    </w:p>
    <w:p w14:paraId="55FDE3E6" w14:textId="77777777" w:rsidR="00283A03" w:rsidRPr="00191C29" w:rsidRDefault="00191C29" w:rsidP="00727AB6">
      <w:pPr>
        <w:jc w:val="both"/>
        <w:rPr>
          <w:b/>
          <w:bCs/>
        </w:rPr>
      </w:pPr>
      <w:bookmarkStart w:id="1" w:name="_GoBack"/>
      <w:bookmarkEnd w:id="0"/>
      <w:bookmarkEnd w:id="1"/>
      <w:r w:rsidRPr="00191C29">
        <w:rPr>
          <w:b/>
          <w:bCs/>
        </w:rPr>
        <w:t>Geografske označbe EU</w:t>
      </w:r>
    </w:p>
    <w:p w14:paraId="081CC301" w14:textId="77777777" w:rsidR="00191C29" w:rsidRDefault="00191C29" w:rsidP="00727AB6">
      <w:pPr>
        <w:jc w:val="both"/>
        <w:rPr>
          <w:bCs/>
        </w:rPr>
      </w:pPr>
    </w:p>
    <w:p w14:paraId="5271A5AD" w14:textId="77777777" w:rsidR="00727AB6" w:rsidRDefault="00727AB6" w:rsidP="00727AB6">
      <w:pPr>
        <w:jc w:val="both"/>
      </w:pPr>
      <w:r w:rsidRPr="00727AB6">
        <w:t>Geografske označbe so kot ena od pravic industrijske lastnine urejene z Zakonom o industrijski lastnini. </w:t>
      </w:r>
      <w:r w:rsidRPr="00727AB6">
        <w:rPr>
          <w:b/>
          <w:bCs/>
        </w:rPr>
        <w:t xml:space="preserve">Toda od decembra 2025 bo nacionalno varstvo geografskih označb s področja obrtnih in industrijskih izdelkov ukinjeno, saj bo z </w:t>
      </w:r>
      <w:hyperlink r:id="rId6" w:history="1">
        <w:r w:rsidRPr="00283A03">
          <w:rPr>
            <w:rStyle w:val="Hiperpovezava"/>
            <w:b/>
            <w:bCs/>
          </w:rPr>
          <w:t xml:space="preserve">novo </w:t>
        </w:r>
        <w:r w:rsidR="00F402B3">
          <w:rPr>
            <w:rStyle w:val="Hiperpovezava"/>
            <w:b/>
            <w:bCs/>
          </w:rPr>
          <w:t>U</w:t>
        </w:r>
        <w:r w:rsidR="00283A03" w:rsidRPr="00283A03">
          <w:rPr>
            <w:rStyle w:val="Hiperpovezava"/>
            <w:b/>
            <w:bCs/>
          </w:rPr>
          <w:t>redbo</w:t>
        </w:r>
        <w:r w:rsidRPr="00283A03">
          <w:rPr>
            <w:rStyle w:val="Hiperpovezava"/>
            <w:b/>
            <w:bCs/>
          </w:rPr>
          <w:t xml:space="preserve"> </w:t>
        </w:r>
        <w:r w:rsidR="00F402B3">
          <w:rPr>
            <w:rStyle w:val="Hiperpovezava"/>
            <w:b/>
            <w:bCs/>
          </w:rPr>
          <w:t xml:space="preserve">(EU) </w:t>
        </w:r>
        <w:r w:rsidR="007923F2">
          <w:rPr>
            <w:rStyle w:val="Hiperpovezava"/>
            <w:b/>
            <w:bCs/>
          </w:rPr>
          <w:t xml:space="preserve">2023/2411 </w:t>
        </w:r>
        <w:r w:rsidR="00283A03" w:rsidRPr="00283A03">
          <w:rPr>
            <w:rStyle w:val="Hiperpovezava"/>
            <w:b/>
            <w:bCs/>
          </w:rPr>
          <w:t>o geografskih označbah obrtnih in industrijskih izdelkov</w:t>
        </w:r>
      </w:hyperlink>
      <w:r w:rsidR="00283A03" w:rsidRPr="00283A03">
        <w:rPr>
          <w:b/>
          <w:bCs/>
        </w:rPr>
        <w:t xml:space="preserve"> </w:t>
      </w:r>
      <w:r w:rsidRPr="00283A03">
        <w:rPr>
          <w:b/>
          <w:bCs/>
        </w:rPr>
        <w:t>vzpostavljeno enotno varstvo teh geografskih označb</w:t>
      </w:r>
      <w:r w:rsidRPr="00727AB6">
        <w:rPr>
          <w:b/>
          <w:bCs/>
        </w:rPr>
        <w:t xml:space="preserve"> na ravni Evropske unije (EU).</w:t>
      </w:r>
      <w:r w:rsidRPr="00727AB6">
        <w:t> Ta sprememba pomeni, da bo zaščita lokalnih in tradicionalnih obrtnih in industrijskih izdelkov s posebnimi lastnostmi, vezanimi na geografsko območje, poenotena na evropski ravni, podobno kot že velja za varstvo geografskih označb v kmetijstvu, kjer vzporedno nacionalno varstvo geografskih označb prav tako ni mogoče.</w:t>
      </w:r>
    </w:p>
    <w:p w14:paraId="6CEDAD0B" w14:textId="77777777" w:rsidR="00727AB6" w:rsidRDefault="00727AB6" w:rsidP="00727AB6">
      <w:pPr>
        <w:jc w:val="both"/>
      </w:pPr>
    </w:p>
    <w:p w14:paraId="75147EF8" w14:textId="77777777" w:rsidR="00443A20" w:rsidRPr="0044062A" w:rsidRDefault="00A561C5" w:rsidP="00727AB6">
      <w:pPr>
        <w:jc w:val="both"/>
      </w:pPr>
      <w:r w:rsidRPr="0044062A">
        <w:t>V nadaljevanju</w:t>
      </w:r>
      <w:r w:rsidR="0044062A" w:rsidRPr="0044062A">
        <w:t xml:space="preserve"> je</w:t>
      </w:r>
      <w:r w:rsidRPr="0044062A">
        <w:t xml:space="preserve"> </w:t>
      </w:r>
      <w:r w:rsidR="0044062A" w:rsidRPr="0044062A">
        <w:t xml:space="preserve">kratek opis nove ureditve in </w:t>
      </w:r>
      <w:r w:rsidR="0044062A">
        <w:t xml:space="preserve">predvidenih </w:t>
      </w:r>
      <w:r w:rsidR="0044062A" w:rsidRPr="0044062A">
        <w:t>postopkov</w:t>
      </w:r>
      <w:r w:rsidR="007923F2">
        <w:t>nih pravil</w:t>
      </w:r>
      <w:r w:rsidR="0044062A" w:rsidRPr="0044062A">
        <w:t>, ki se bodo uporabljal</w:t>
      </w:r>
      <w:r w:rsidR="007923F2">
        <w:t>a</w:t>
      </w:r>
      <w:r w:rsidR="0044062A" w:rsidRPr="0044062A">
        <w:t xml:space="preserve"> od 1. decembra 2025 dalje.</w:t>
      </w:r>
      <w:r w:rsidR="0044062A">
        <w:t xml:space="preserve"> Ker je predlog Zakona o izvajanju Uredbe (EU) o geografskih označbah obrtnih in industrijskih izdelkov še v fazi sprejemanja, lahko pri sprejemu predloga tega zakona pride do sprememb</w:t>
      </w:r>
      <w:r w:rsidR="00371D3E">
        <w:t xml:space="preserve"> predvidene ureditve. Vsebina spletne strani bo po sprejemu zakona ustrezno posodobljena. </w:t>
      </w:r>
    </w:p>
    <w:p w14:paraId="2E57F997" w14:textId="77777777" w:rsidR="00A561C5" w:rsidRDefault="00A561C5" w:rsidP="00727AB6">
      <w:pPr>
        <w:jc w:val="both"/>
        <w:rPr>
          <w:b/>
        </w:rPr>
      </w:pPr>
    </w:p>
    <w:p w14:paraId="000ED553" w14:textId="77777777" w:rsidR="00C31EEC" w:rsidRPr="00C31EEC" w:rsidRDefault="00C31EEC" w:rsidP="00727AB6">
      <w:pPr>
        <w:jc w:val="both"/>
        <w:rPr>
          <w:b/>
        </w:rPr>
      </w:pPr>
      <w:r w:rsidRPr="00C31EEC">
        <w:rPr>
          <w:b/>
        </w:rPr>
        <w:t xml:space="preserve">Kaj bo mogoče registrirati kot geografsko označbo? </w:t>
      </w:r>
    </w:p>
    <w:p w14:paraId="541A7EDC" w14:textId="77777777" w:rsidR="00C31EEC" w:rsidRDefault="00C31EEC" w:rsidP="00727AB6">
      <w:pPr>
        <w:jc w:val="both"/>
      </w:pPr>
    </w:p>
    <w:p w14:paraId="1781901F" w14:textId="77777777" w:rsidR="00C31EEC" w:rsidRDefault="00C31EEC" w:rsidP="00727AB6">
      <w:pPr>
        <w:jc w:val="both"/>
      </w:pPr>
      <w:r>
        <w:t xml:space="preserve">Z geografsko označbo bodo lahko zaščiteni izdelki, ki izvirajo z določenega geografskega območja (kraja, regije ali države),  imajo določeno kakovost, sloves ali drugo značilnost, ki jo je mogoče pripisati geografskemu izvoru izdelka in vsaj ena proizvodna faza poteka na opredeljenem geografskem območju. </w:t>
      </w:r>
    </w:p>
    <w:p w14:paraId="6082C057" w14:textId="77777777" w:rsidR="00283A03" w:rsidRDefault="00283A03" w:rsidP="00727AB6">
      <w:pPr>
        <w:jc w:val="both"/>
      </w:pPr>
    </w:p>
    <w:p w14:paraId="1319A399" w14:textId="77777777" w:rsidR="00283A03" w:rsidRDefault="00283A03" w:rsidP="00727AB6">
      <w:pPr>
        <w:jc w:val="both"/>
      </w:pPr>
      <w:r>
        <w:t xml:space="preserve">Gre za </w:t>
      </w:r>
      <w:r w:rsidR="007923F2">
        <w:t xml:space="preserve">vsebinsko </w:t>
      </w:r>
      <w:r>
        <w:t xml:space="preserve">enake pogoje, kot jih za registracijo geografskih označb </w:t>
      </w:r>
      <w:r w:rsidR="007923F2">
        <w:t xml:space="preserve">že doslej </w:t>
      </w:r>
      <w:r>
        <w:t xml:space="preserve">zahteva Zakon o industrijski lastnini, izrecno pa je dodan pogoj, da mora vsaj ena proizvodna faza potekati na opredeljenem geografskem območju. </w:t>
      </w:r>
    </w:p>
    <w:p w14:paraId="59A5DDD3" w14:textId="77777777" w:rsidR="00283A03" w:rsidRDefault="00283A03" w:rsidP="00727AB6">
      <w:pPr>
        <w:jc w:val="both"/>
      </w:pPr>
    </w:p>
    <w:p w14:paraId="4B3BDF2A" w14:textId="77777777" w:rsidR="00283A03" w:rsidRDefault="00283A03" w:rsidP="00727AB6">
      <w:pPr>
        <w:jc w:val="both"/>
      </w:pPr>
    </w:p>
    <w:p w14:paraId="52ED1D3B" w14:textId="77777777" w:rsidR="00283A03" w:rsidRDefault="00283A03" w:rsidP="00727AB6">
      <w:pPr>
        <w:jc w:val="both"/>
        <w:rPr>
          <w:b/>
        </w:rPr>
      </w:pPr>
      <w:r w:rsidRPr="00283A03">
        <w:rPr>
          <w:b/>
        </w:rPr>
        <w:t xml:space="preserve">Kdo </w:t>
      </w:r>
      <w:r w:rsidR="007932F7">
        <w:rPr>
          <w:b/>
        </w:rPr>
        <w:t xml:space="preserve">bo </w:t>
      </w:r>
      <w:r w:rsidRPr="00283A03">
        <w:rPr>
          <w:b/>
        </w:rPr>
        <w:t>lahko vloži</w:t>
      </w:r>
      <w:r w:rsidR="007932F7">
        <w:rPr>
          <w:b/>
        </w:rPr>
        <w:t xml:space="preserve">l </w:t>
      </w:r>
      <w:r w:rsidRPr="00283A03">
        <w:rPr>
          <w:b/>
        </w:rPr>
        <w:t xml:space="preserve">zahtevo za registracijo? </w:t>
      </w:r>
    </w:p>
    <w:p w14:paraId="6D874B81" w14:textId="77777777" w:rsidR="00283A03" w:rsidRDefault="00283A03" w:rsidP="00727AB6">
      <w:pPr>
        <w:jc w:val="both"/>
        <w:rPr>
          <w:b/>
        </w:rPr>
      </w:pPr>
    </w:p>
    <w:p w14:paraId="7A68835A" w14:textId="77777777" w:rsidR="00283A03" w:rsidRDefault="00852060" w:rsidP="00727AB6">
      <w:pPr>
        <w:jc w:val="both"/>
        <w:rPr>
          <w:color w:val="000000"/>
          <w:shd w:val="clear" w:color="auto" w:fill="FFFFFF"/>
        </w:rPr>
      </w:pPr>
      <w:r>
        <w:t xml:space="preserve">V skladu z Uredbo (EU) 2023/2411 lahko zahtevo za registracijo vloži skupina proizvajalcev. Ta je opredeljena kot </w:t>
      </w:r>
      <w:r>
        <w:rPr>
          <w:color w:val="000000"/>
          <w:shd w:val="clear" w:color="auto" w:fill="FFFFFF"/>
        </w:rPr>
        <w:t xml:space="preserve">vsako združenje, ne glede na njegovo pravno obliko, sestavljeno zlasti iz proizvajalcev enakega izdelka. </w:t>
      </w:r>
    </w:p>
    <w:p w14:paraId="16841EB1" w14:textId="77777777" w:rsidR="00852060" w:rsidRDefault="00852060" w:rsidP="00727AB6">
      <w:pPr>
        <w:jc w:val="both"/>
      </w:pPr>
    </w:p>
    <w:p w14:paraId="659A1DAD" w14:textId="77777777" w:rsidR="00852060" w:rsidRDefault="00852060" w:rsidP="00727AB6">
      <w:pPr>
        <w:jc w:val="both"/>
      </w:pPr>
      <w:r>
        <w:t xml:space="preserve">Izjemoma lahko zahtevo za registracijo vloži en sam proizvajalec: </w:t>
      </w:r>
    </w:p>
    <w:p w14:paraId="64716A96" w14:textId="7A4D600B" w:rsidR="00852060" w:rsidRDefault="00852060" w:rsidP="00727AB6">
      <w:pPr>
        <w:jc w:val="both"/>
      </w:pPr>
      <w:r>
        <w:t>a)</w:t>
      </w:r>
      <w:r w:rsidR="007923F2">
        <w:t xml:space="preserve"> če</w:t>
      </w:r>
      <w:r>
        <w:t xml:space="preserve"> je edini proizvajalec, ki je pripravljen vložiti zahtevek in</w:t>
      </w:r>
    </w:p>
    <w:p w14:paraId="6E12D62E" w14:textId="77777777" w:rsidR="00852060" w:rsidRDefault="00852060" w:rsidP="00852060">
      <w:pPr>
        <w:jc w:val="both"/>
      </w:pPr>
      <w:r>
        <w:t xml:space="preserve">b) zadevno geografsko območje je opredeljeno kot določen del ozemlja brez povezave z zemljiškimi </w:t>
      </w:r>
      <w:r w:rsidR="007923F2">
        <w:t xml:space="preserve">(lastniškimi) </w:t>
      </w:r>
      <w:r>
        <w:t>mejami in ima značilnosti, ki se znatno razlikujejo od značilnosti sosednjih geografskih območij, ali pa se značilnosti izdelka razlikujejo od značilnosti izdelkov, proizvedenih na sosednjih geografskih območjih.</w:t>
      </w:r>
    </w:p>
    <w:p w14:paraId="63AF8CCF" w14:textId="77777777" w:rsidR="00852060" w:rsidRDefault="00852060" w:rsidP="00852060">
      <w:pPr>
        <w:jc w:val="both"/>
      </w:pPr>
    </w:p>
    <w:p w14:paraId="60B9C2D4" w14:textId="77777777" w:rsidR="00852060" w:rsidRDefault="00852060" w:rsidP="00852060">
      <w:pPr>
        <w:jc w:val="both"/>
      </w:pPr>
      <w:r>
        <w:t xml:space="preserve">S predlogom Zakona o izvajanju uredbe (EU) o geografskih označbah obrtnih in industrijskih izdelkov je določeno, da zahtevo za registracijo lahko vložijo tudi občine in širše lokalne skupnosti. </w:t>
      </w:r>
    </w:p>
    <w:p w14:paraId="517432DB" w14:textId="77777777" w:rsidR="00852060" w:rsidRDefault="00852060" w:rsidP="00852060">
      <w:pPr>
        <w:jc w:val="both"/>
      </w:pPr>
    </w:p>
    <w:p w14:paraId="71CFCE5A" w14:textId="77777777" w:rsidR="00852060" w:rsidRDefault="00852060" w:rsidP="00852060">
      <w:pPr>
        <w:jc w:val="both"/>
      </w:pPr>
    </w:p>
    <w:p w14:paraId="4C2C47E2" w14:textId="77777777" w:rsidR="00852060" w:rsidRDefault="00852060" w:rsidP="00852060">
      <w:pPr>
        <w:jc w:val="both"/>
        <w:rPr>
          <w:b/>
        </w:rPr>
      </w:pPr>
      <w:r w:rsidRPr="00852060">
        <w:rPr>
          <w:b/>
        </w:rPr>
        <w:t>Kdo</w:t>
      </w:r>
      <w:r w:rsidR="00C83EB4">
        <w:rPr>
          <w:b/>
        </w:rPr>
        <w:t xml:space="preserve"> bo</w:t>
      </w:r>
      <w:r w:rsidRPr="00852060">
        <w:rPr>
          <w:b/>
        </w:rPr>
        <w:t xml:space="preserve"> lahko uporablja</w:t>
      </w:r>
      <w:r w:rsidR="00C83EB4">
        <w:rPr>
          <w:b/>
        </w:rPr>
        <w:t>l</w:t>
      </w:r>
      <w:r w:rsidRPr="00852060">
        <w:rPr>
          <w:b/>
        </w:rPr>
        <w:t xml:space="preserve"> geografsko označbo? </w:t>
      </w:r>
    </w:p>
    <w:p w14:paraId="59CE863C" w14:textId="77777777" w:rsidR="00852060" w:rsidRDefault="00852060" w:rsidP="00852060">
      <w:pPr>
        <w:jc w:val="both"/>
        <w:rPr>
          <w:b/>
        </w:rPr>
      </w:pPr>
    </w:p>
    <w:p w14:paraId="6300A388" w14:textId="77777777" w:rsidR="00852060" w:rsidRDefault="00852060" w:rsidP="00852060">
      <w:pPr>
        <w:jc w:val="both"/>
      </w:pPr>
      <w:r w:rsidRPr="00852060">
        <w:t xml:space="preserve">Geografska označba je kolektivna pravica, zato </w:t>
      </w:r>
      <w:r>
        <w:t xml:space="preserve">jo </w:t>
      </w:r>
      <w:r w:rsidRPr="00852060">
        <w:t>lahko uporablja vsakdo, ki proizvaja in daje v promet blago v skladu s pogoji, določenimi s specifikacijo</w:t>
      </w:r>
      <w:r>
        <w:t xml:space="preserve"> posamezne geografske označbe</w:t>
      </w:r>
      <w:r w:rsidRPr="00852060">
        <w:t>. Ker je po svoji naravi kolektivna pravica in je upravičencev do uporabe geografske označbe več, registrirane geografske označbe ni mogoče prenesti na drugo osebo in tudi ne more biti predmet licenčne pogodbe.</w:t>
      </w:r>
    </w:p>
    <w:p w14:paraId="2A8E7C4A" w14:textId="77777777" w:rsidR="00C83EB4" w:rsidRDefault="00C83EB4" w:rsidP="00852060">
      <w:pPr>
        <w:jc w:val="both"/>
      </w:pPr>
    </w:p>
    <w:p w14:paraId="3742DB3B" w14:textId="77777777" w:rsidR="00C83EB4" w:rsidRDefault="004B3E24" w:rsidP="00852060">
      <w:pPr>
        <w:jc w:val="both"/>
      </w:pPr>
      <w:r>
        <w:t>Po</w:t>
      </w:r>
      <w:r w:rsidR="00C83EB4">
        <w:t xml:space="preserve"> predlog</w:t>
      </w:r>
      <w:r>
        <w:t xml:space="preserve">u Zakona o izvajanju uredbe (EU) o geografskih označbah obrtnih in industrijskih izdelkov </w:t>
      </w:r>
      <w:r>
        <w:lastRenderedPageBreak/>
        <w:t xml:space="preserve">morajo proizvajalci, preden lahko začnejo uporabljati geografsko označbo za označevanje svojih izdelkov, predložiti </w:t>
      </w:r>
      <w:proofErr w:type="spellStart"/>
      <w:r w:rsidRPr="007923F2">
        <w:rPr>
          <w:b/>
        </w:rPr>
        <w:t>samoizjavo</w:t>
      </w:r>
      <w:proofErr w:type="spellEnd"/>
      <w:r>
        <w:t xml:space="preserve"> o skladnosti teh izdelkov s specifikacijo geografske označbe. </w:t>
      </w:r>
      <w:proofErr w:type="spellStart"/>
      <w:r>
        <w:t>Samoizjavo</w:t>
      </w:r>
      <w:proofErr w:type="spellEnd"/>
      <w:r>
        <w:t xml:space="preserve"> na predpisanem obrazcu vložijo pri Uradu RS za intelektualno lastnino, ki na podlagi pravilno izpolnjene </w:t>
      </w:r>
      <w:proofErr w:type="spellStart"/>
      <w:r>
        <w:t>samoizjave</w:t>
      </w:r>
      <w:proofErr w:type="spellEnd"/>
      <w:r>
        <w:t xml:space="preserve"> proizvajalcu izda certifikat o dovoljenju za uporabo geografske označbe. </w:t>
      </w:r>
    </w:p>
    <w:p w14:paraId="1AE130B1" w14:textId="77777777" w:rsidR="00191C29" w:rsidRDefault="00191C29" w:rsidP="00852060">
      <w:pPr>
        <w:jc w:val="both"/>
      </w:pPr>
    </w:p>
    <w:p w14:paraId="4C15AA00" w14:textId="78ADC91C" w:rsidR="00191C29" w:rsidRDefault="00191C29" w:rsidP="00191C29">
      <w:pPr>
        <w:jc w:val="both"/>
      </w:pPr>
      <w:r>
        <w:t xml:space="preserve">Po objavi </w:t>
      </w:r>
      <w:r w:rsidRPr="00191C29">
        <w:t>registracij</w:t>
      </w:r>
      <w:r>
        <w:t xml:space="preserve">e </w:t>
      </w:r>
      <w:r w:rsidRPr="00191C29">
        <w:t xml:space="preserve">geografske označbe </w:t>
      </w:r>
      <w:r>
        <w:t xml:space="preserve">v </w:t>
      </w:r>
      <w:r w:rsidRPr="00191C29">
        <w:t>registru Unije</w:t>
      </w:r>
      <w:r w:rsidR="000D4E04">
        <w:t>,</w:t>
      </w:r>
      <w:r w:rsidRPr="00191C29">
        <w:t xml:space="preserve"> lahko proizvajalci </w:t>
      </w:r>
      <w:r w:rsidR="000D4E04">
        <w:t xml:space="preserve">pri označevanju izdelka in v oglaševalskem gradivu uporabljajo </w:t>
      </w:r>
      <w:r w:rsidRPr="00191C29">
        <w:t>naslednji simbol Unije</w:t>
      </w:r>
      <w:r>
        <w:t>:</w:t>
      </w:r>
    </w:p>
    <w:p w14:paraId="7627A893" w14:textId="77777777" w:rsidR="00191C29" w:rsidRDefault="00191C29" w:rsidP="00191C29">
      <w:pPr>
        <w:jc w:val="both"/>
      </w:pPr>
    </w:p>
    <w:p w14:paraId="6A7B02CA" w14:textId="77777777" w:rsidR="00191C29" w:rsidRPr="00C06D44" w:rsidRDefault="00C76534" w:rsidP="00191C29">
      <w:pPr>
        <w:jc w:val="both"/>
      </w:pPr>
      <w:r>
        <w:rPr>
          <w:noProof/>
          <w:lang w:val="en-US"/>
        </w:rPr>
        <w:drawing>
          <wp:inline distT="0" distB="0" distL="0" distR="0" wp14:anchorId="2E232454" wp14:editId="15358362">
            <wp:extent cx="1335819" cy="1335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930" cy="1348930"/>
                    </a:xfrm>
                    <a:prstGeom prst="rect">
                      <a:avLst/>
                    </a:prstGeom>
                    <a:noFill/>
                    <a:ln>
                      <a:noFill/>
                    </a:ln>
                  </pic:spPr>
                </pic:pic>
              </a:graphicData>
            </a:graphic>
          </wp:inline>
        </w:drawing>
      </w:r>
    </w:p>
    <w:p w14:paraId="0C26F519" w14:textId="77777777" w:rsidR="00191C29" w:rsidRDefault="00191C29" w:rsidP="00852060">
      <w:pPr>
        <w:jc w:val="both"/>
      </w:pPr>
    </w:p>
    <w:p w14:paraId="4D958145" w14:textId="77777777" w:rsidR="00191C29" w:rsidRDefault="00191C29" w:rsidP="00852060">
      <w:pPr>
        <w:jc w:val="both"/>
      </w:pPr>
    </w:p>
    <w:p w14:paraId="7B8D0EF3" w14:textId="77777777" w:rsidR="004B3E24" w:rsidRDefault="004B3E24" w:rsidP="00852060">
      <w:pPr>
        <w:jc w:val="both"/>
        <w:rPr>
          <w:b/>
        </w:rPr>
      </w:pPr>
      <w:r>
        <w:rPr>
          <w:b/>
        </w:rPr>
        <w:t>Kakšen bo p</w:t>
      </w:r>
      <w:r w:rsidRPr="004B3E24">
        <w:rPr>
          <w:b/>
        </w:rPr>
        <w:t>ostopek registracij</w:t>
      </w:r>
      <w:r w:rsidR="008262BE">
        <w:rPr>
          <w:b/>
        </w:rPr>
        <w:t xml:space="preserve">e </w:t>
      </w:r>
      <w:r w:rsidRPr="004B3E24">
        <w:rPr>
          <w:b/>
        </w:rPr>
        <w:t>geografske označbe</w:t>
      </w:r>
      <w:r>
        <w:rPr>
          <w:b/>
        </w:rPr>
        <w:t xml:space="preserve">? </w:t>
      </w:r>
    </w:p>
    <w:p w14:paraId="6D838D24" w14:textId="77777777" w:rsidR="00443A20" w:rsidRDefault="00443A20" w:rsidP="00852060">
      <w:pPr>
        <w:jc w:val="both"/>
      </w:pPr>
    </w:p>
    <w:p w14:paraId="6ACA8A7F" w14:textId="77777777" w:rsidR="004B3E24" w:rsidRDefault="004B3E24" w:rsidP="00852060">
      <w:pPr>
        <w:jc w:val="both"/>
      </w:pPr>
      <w:r>
        <w:t>Postopek za registracijo geografske označbe bo potekal v dveh fazah</w:t>
      </w:r>
      <w:r w:rsidR="00E56A39">
        <w:t xml:space="preserve">. Prva, nacionalna faza postopka, se bo vodila pred Uradom RS za intelektualno lastnino, druga faza pa bo na ravni EU in se bo vodila pred Uradom EU za intelektualno lastnino. </w:t>
      </w:r>
    </w:p>
    <w:p w14:paraId="7730240B" w14:textId="77777777" w:rsidR="00E56A39" w:rsidRDefault="00E56A39" w:rsidP="00852060">
      <w:pPr>
        <w:jc w:val="both"/>
      </w:pPr>
    </w:p>
    <w:p w14:paraId="0CE3A838" w14:textId="77777777" w:rsidR="00E56A39" w:rsidRDefault="00E56A39" w:rsidP="00852060">
      <w:pPr>
        <w:jc w:val="both"/>
      </w:pPr>
      <w:r>
        <w:t>Vloga za registracijo, ki se vloži pri Uradu RS za intelektualno lastnino</w:t>
      </w:r>
      <w:r w:rsidR="00A52C95">
        <w:t xml:space="preserve"> v papirni ali elektronski obliki</w:t>
      </w:r>
      <w:r>
        <w:t xml:space="preserve">, mora vsebovati: </w:t>
      </w:r>
    </w:p>
    <w:p w14:paraId="14B92751" w14:textId="77777777" w:rsidR="00E56A39" w:rsidRDefault="00E56A39" w:rsidP="00852060">
      <w:pPr>
        <w:jc w:val="both"/>
      </w:pPr>
      <w:r>
        <w:t>- specifikacijo geografske označbe</w:t>
      </w:r>
    </w:p>
    <w:p w14:paraId="1E260008" w14:textId="77777777" w:rsidR="00E56A39" w:rsidRDefault="00E56A39" w:rsidP="00852060">
      <w:pPr>
        <w:jc w:val="both"/>
      </w:pPr>
      <w:r>
        <w:t>- enotni dokument</w:t>
      </w:r>
    </w:p>
    <w:p w14:paraId="32DBEFD3" w14:textId="77777777" w:rsidR="00E56A39" w:rsidRDefault="00E56A39" w:rsidP="00852060">
      <w:pPr>
        <w:jc w:val="both"/>
      </w:pPr>
      <w:r>
        <w:t>- spremno dokumentacijo.</w:t>
      </w:r>
    </w:p>
    <w:p w14:paraId="3A8C3EFB" w14:textId="77777777" w:rsidR="00E56A39" w:rsidRDefault="00E56A39" w:rsidP="00852060">
      <w:pPr>
        <w:jc w:val="both"/>
      </w:pPr>
    </w:p>
    <w:p w14:paraId="3158E80B" w14:textId="77777777" w:rsidR="00E56A39" w:rsidRDefault="00E56A39" w:rsidP="00852060">
      <w:pPr>
        <w:jc w:val="both"/>
      </w:pPr>
      <w:r>
        <w:t>Vsebina specifikacije, enotnega dokumenta in spremne dokumentacij</w:t>
      </w:r>
      <w:r w:rsidR="007923F2">
        <w:t>e</w:t>
      </w:r>
      <w:r>
        <w:t xml:space="preserve"> je podrobno določena z Uredbo (EU) 2023/2411 v 9., 10. in 11. členu. </w:t>
      </w:r>
    </w:p>
    <w:p w14:paraId="3ACAC510" w14:textId="77777777" w:rsidR="00E56A39" w:rsidRDefault="00E56A39" w:rsidP="00852060">
      <w:pPr>
        <w:jc w:val="both"/>
      </w:pPr>
    </w:p>
    <w:p w14:paraId="0FF6D334" w14:textId="7E069ADC" w:rsidR="00E56A39" w:rsidRDefault="00E56A39" w:rsidP="00852060">
      <w:pPr>
        <w:jc w:val="both"/>
      </w:pPr>
      <w:r>
        <w:t xml:space="preserve">Če vložena zahteva izpolnjuje vse predpisane pogoje, Urad RS za intelektualno lastnino </w:t>
      </w:r>
      <w:r w:rsidR="008D4A70">
        <w:t xml:space="preserve">izvede </w:t>
      </w:r>
      <w:r>
        <w:t xml:space="preserve">nacionalni postopek ugovora. </w:t>
      </w:r>
      <w:r w:rsidR="00630418">
        <w:t>Za namene ugovornega postopka se zahteva za registracijo objavi na spletnem mestu državne uprave, ugovorni rok je tri mesece od tak</w:t>
      </w:r>
      <w:r w:rsidR="00A44FC7">
        <w:t>šn</w:t>
      </w:r>
      <w:r w:rsidR="00630418">
        <w:t>e objave. Vložnik ugovora je lahko vsaka oseb</w:t>
      </w:r>
      <w:r w:rsidR="00A44FC7">
        <w:t>a</w:t>
      </w:r>
      <w:r w:rsidR="00630418">
        <w:t xml:space="preserve"> s pravnim interesom in sedežem ali prebivališčem v Sloveniji oziroma, v primeru čezmejnih geografskih označb, v državi članici, od koder izvira izdelek. </w:t>
      </w:r>
    </w:p>
    <w:p w14:paraId="0B1123F2" w14:textId="77777777" w:rsidR="00630418" w:rsidRDefault="00630418" w:rsidP="00852060">
      <w:pPr>
        <w:jc w:val="both"/>
      </w:pPr>
    </w:p>
    <w:p w14:paraId="2B9CBB47" w14:textId="08A06657" w:rsidR="00630418" w:rsidRDefault="00630418" w:rsidP="00852060">
      <w:pPr>
        <w:jc w:val="both"/>
      </w:pPr>
      <w:r>
        <w:t xml:space="preserve">Če Urad RS za intelektualno lastnino po končanem ugovornem postopku ne zavrne zahteve za registracijo, </w:t>
      </w:r>
      <w:r w:rsidR="00987B99">
        <w:t>izda odločbo o začasni nacionalni zaščiti</w:t>
      </w:r>
      <w:r w:rsidR="00DA5CA5">
        <w:t xml:space="preserve"> in zahtevo za registracijo posreduje </w:t>
      </w:r>
      <w:r>
        <w:t>Urad</w:t>
      </w:r>
      <w:r w:rsidR="00DA5CA5">
        <w:t xml:space="preserve">u </w:t>
      </w:r>
      <w:r>
        <w:t xml:space="preserve">EU za intelektualno lastnino. </w:t>
      </w:r>
      <w:r w:rsidR="00DA5CA5">
        <w:t xml:space="preserve">Ta </w:t>
      </w:r>
      <w:r w:rsidR="008D4A70">
        <w:t xml:space="preserve">izvede </w:t>
      </w:r>
      <w:r>
        <w:t xml:space="preserve">ugovorni postopek na ravni EU in po končanem ugovornem postopku </w:t>
      </w:r>
      <w:r w:rsidR="008D4A70">
        <w:t xml:space="preserve">sprejme </w:t>
      </w:r>
      <w:r>
        <w:t>odločitev o registracij</w:t>
      </w:r>
      <w:r w:rsidR="00A44FC7">
        <w:t>i</w:t>
      </w:r>
      <w:r>
        <w:t xml:space="preserve"> ali zavrnitvi </w:t>
      </w:r>
      <w:r w:rsidR="00C06D44">
        <w:t xml:space="preserve">zahteve za registracijo geografske označbe. </w:t>
      </w:r>
    </w:p>
    <w:p w14:paraId="36C96DC2" w14:textId="77777777" w:rsidR="00C06D44" w:rsidRDefault="00C06D44" w:rsidP="00852060">
      <w:pPr>
        <w:jc w:val="both"/>
      </w:pPr>
    </w:p>
    <w:p w14:paraId="68847295" w14:textId="0C82D4E6" w:rsidR="00C06D44" w:rsidRDefault="00C06D44" w:rsidP="00852060">
      <w:pPr>
        <w:jc w:val="both"/>
      </w:pPr>
      <w:r>
        <w:t>Postopek registracije geografske označbe je brezplače</w:t>
      </w:r>
      <w:r w:rsidR="00CD1BC8">
        <w:t xml:space="preserve">n tako </w:t>
      </w:r>
      <w:r w:rsidR="00FA6D15">
        <w:t>v</w:t>
      </w:r>
      <w:r w:rsidR="00CD1BC8">
        <w:t xml:space="preserve"> nacionalni</w:t>
      </w:r>
      <w:r w:rsidR="00FA6D15">
        <w:t xml:space="preserve"> fazi</w:t>
      </w:r>
      <w:r w:rsidR="00CD1BC8">
        <w:t xml:space="preserve"> kot </w:t>
      </w:r>
      <w:r w:rsidR="00FA6D15">
        <w:t xml:space="preserve">v fazi </w:t>
      </w:r>
      <w:r w:rsidR="00CD1BC8">
        <w:t>EU.</w:t>
      </w:r>
    </w:p>
    <w:p w14:paraId="3C2CA66E" w14:textId="77777777" w:rsidR="00C06D44" w:rsidRDefault="00C06D44" w:rsidP="00852060">
      <w:pPr>
        <w:jc w:val="both"/>
      </w:pPr>
    </w:p>
    <w:p w14:paraId="17F99DCF" w14:textId="77777777" w:rsidR="00443A20" w:rsidRDefault="00443A20" w:rsidP="00852060">
      <w:pPr>
        <w:jc w:val="both"/>
        <w:rPr>
          <w:b/>
        </w:rPr>
      </w:pPr>
    </w:p>
    <w:p w14:paraId="5E27CB7D" w14:textId="77777777" w:rsidR="00C06D44" w:rsidRDefault="00C06D44" w:rsidP="00852060">
      <w:pPr>
        <w:jc w:val="both"/>
        <w:rPr>
          <w:b/>
        </w:rPr>
      </w:pPr>
      <w:r w:rsidRPr="00C06D44">
        <w:rPr>
          <w:b/>
        </w:rPr>
        <w:t>Trajanje pravice in vzdrževanje</w:t>
      </w:r>
    </w:p>
    <w:p w14:paraId="37B66A94" w14:textId="77777777" w:rsidR="00C06D44" w:rsidRDefault="00C06D44" w:rsidP="00852060">
      <w:pPr>
        <w:jc w:val="both"/>
        <w:rPr>
          <w:b/>
        </w:rPr>
      </w:pPr>
    </w:p>
    <w:p w14:paraId="6C238661" w14:textId="77777777" w:rsidR="00C06D44" w:rsidRDefault="00987B99" w:rsidP="00852060">
      <w:pPr>
        <w:jc w:val="both"/>
      </w:pPr>
      <w:r>
        <w:t>T</w:t>
      </w:r>
      <w:r w:rsidR="00C06D44">
        <w:t>rajanje geografske označbe časovno ni omejeno</w:t>
      </w:r>
      <w:r>
        <w:t>. Z</w:t>
      </w:r>
      <w:r w:rsidR="00C06D44">
        <w:t xml:space="preserve">a vzdrževanje geografske označbe </w:t>
      </w:r>
      <w:r>
        <w:t xml:space="preserve">se </w:t>
      </w:r>
      <w:r w:rsidR="00C06D44">
        <w:t xml:space="preserve">ne plačuje pristojbin. </w:t>
      </w:r>
    </w:p>
    <w:p w14:paraId="29E7368B" w14:textId="77777777" w:rsidR="00C06D44" w:rsidRDefault="00C06D44" w:rsidP="00852060">
      <w:pPr>
        <w:jc w:val="both"/>
      </w:pPr>
    </w:p>
    <w:p w14:paraId="26243D5A" w14:textId="77777777" w:rsidR="00C06D44" w:rsidRDefault="00987B99" w:rsidP="00852060">
      <w:pPr>
        <w:jc w:val="both"/>
      </w:pPr>
      <w:r>
        <w:t>P</w:t>
      </w:r>
      <w:r w:rsidR="00C06D44">
        <w:t xml:space="preserve">o registraciji geografske označbe </w:t>
      </w:r>
      <w:r>
        <w:t xml:space="preserve">lahko </w:t>
      </w:r>
      <w:r w:rsidR="00C06D44">
        <w:t>vložnik zahteve za registracijo ali vsak proizvajalec, ki uporablja geografsko označbo skladno s predpisi, predlaga spremembo specifikacije izdelka. Spremembe specifikacije se delijo na spremembe na ravni EU ter na standardne spremembe, ki se preizkusijo na nacionalni ravni. Za postopek standardne spremembe, ki se vloži pri Uradu RS za intelektualno lastnino, se smiselno uporabljajo pravila o registracij</w:t>
      </w:r>
      <w:r>
        <w:t>i</w:t>
      </w:r>
      <w:r w:rsidR="00C06D44">
        <w:t xml:space="preserve"> geografske označbe. </w:t>
      </w:r>
    </w:p>
    <w:p w14:paraId="57526AC7" w14:textId="77777777" w:rsidR="00C06D44" w:rsidRDefault="00C06D44" w:rsidP="00852060">
      <w:pPr>
        <w:jc w:val="both"/>
      </w:pPr>
    </w:p>
    <w:p w14:paraId="0FD74045" w14:textId="122E455D" w:rsidR="00C06D44" w:rsidRDefault="00C06D44" w:rsidP="00C06D44">
      <w:pPr>
        <w:jc w:val="both"/>
        <w:rPr>
          <w:color w:val="000000"/>
          <w:shd w:val="clear" w:color="auto" w:fill="FFFFFF"/>
        </w:rPr>
      </w:pPr>
      <w:r>
        <w:t xml:space="preserve">Po registraciji geografske označbe se lahko vloži zahteva za njen izbris, če je bila registrirana v nasprotju </w:t>
      </w:r>
      <w:r>
        <w:lastRenderedPageBreak/>
        <w:t xml:space="preserve">z Uredbo (EU) 2023/2411 ali kadar ni več mogoče zagotoviti skladnosti izdelka s specifikacijo izdelka oziroma kadar v obdobju vsaj petih zaporednih let na trg ni bil dan noben izdelek s to geografsko označbo. </w:t>
      </w:r>
      <w:r w:rsidR="007A2FCE">
        <w:t xml:space="preserve">Poleg vložnika zahteve za registracijo lahko zahtevo za izbris geografske označbe pri Uradu RS za intelektualno lastnino vloži tudi vsaka fizična </w:t>
      </w:r>
      <w:r w:rsidR="007A2FCE">
        <w:rPr>
          <w:color w:val="000000"/>
          <w:shd w:val="clear" w:color="auto" w:fill="FFFFFF"/>
        </w:rPr>
        <w:t>ali pravna oseba s pravnim interesom</w:t>
      </w:r>
      <w:r w:rsidR="00552E7E">
        <w:rPr>
          <w:color w:val="000000"/>
          <w:shd w:val="clear" w:color="auto" w:fill="FFFFFF"/>
        </w:rPr>
        <w:t xml:space="preserve">. Za postopek izbrisa se smiselno uporabljajo določbe o registraciji geografske označbe. </w:t>
      </w:r>
    </w:p>
    <w:p w14:paraId="4FC940BA" w14:textId="77777777" w:rsidR="00987B99" w:rsidRDefault="00987B99" w:rsidP="00C06D44">
      <w:pPr>
        <w:jc w:val="both"/>
        <w:rPr>
          <w:color w:val="000000"/>
          <w:shd w:val="clear" w:color="auto" w:fill="FFFFFF"/>
        </w:rPr>
      </w:pPr>
    </w:p>
    <w:p w14:paraId="76C4F91B" w14:textId="77777777" w:rsidR="000B3932" w:rsidRDefault="000B3932" w:rsidP="00C06D44">
      <w:pPr>
        <w:jc w:val="both"/>
        <w:rPr>
          <w:color w:val="000000"/>
          <w:shd w:val="clear" w:color="auto" w:fill="FFFFFF"/>
        </w:rPr>
      </w:pPr>
    </w:p>
    <w:p w14:paraId="7D958355" w14:textId="77777777" w:rsidR="000B3932" w:rsidRPr="000B3932" w:rsidRDefault="000B3932" w:rsidP="00C06D44">
      <w:pPr>
        <w:jc w:val="both"/>
        <w:rPr>
          <w:b/>
          <w:color w:val="000000"/>
          <w:shd w:val="clear" w:color="auto" w:fill="FFFFFF"/>
        </w:rPr>
      </w:pPr>
      <w:r w:rsidRPr="000B3932">
        <w:rPr>
          <w:b/>
          <w:color w:val="000000"/>
          <w:shd w:val="clear" w:color="auto" w:fill="FFFFFF"/>
        </w:rPr>
        <w:t>Nadzor nad uporabo geografskih označb</w:t>
      </w:r>
    </w:p>
    <w:p w14:paraId="6BDC3DE6" w14:textId="77777777" w:rsidR="000B3932" w:rsidRDefault="000B3932" w:rsidP="00C06D44">
      <w:pPr>
        <w:jc w:val="both"/>
        <w:rPr>
          <w:color w:val="000000"/>
          <w:shd w:val="clear" w:color="auto" w:fill="FFFFFF"/>
        </w:rPr>
      </w:pPr>
    </w:p>
    <w:p w14:paraId="7B3FA1A7" w14:textId="1427B10B" w:rsidR="000B3932" w:rsidRPr="00DB2F2D" w:rsidRDefault="00987B99" w:rsidP="000B3932">
      <w:pPr>
        <w:jc w:val="both"/>
        <w:rPr>
          <w:rFonts w:cs="Arial"/>
        </w:rPr>
      </w:pPr>
      <w:r w:rsidRPr="000B3932">
        <w:rPr>
          <w:color w:val="000000"/>
          <w:shd w:val="clear" w:color="auto" w:fill="FFFFFF"/>
        </w:rPr>
        <w:t>Za nadzor nad uporabo geografskih označb na trgu bo pristojen Tržni inšpektorat RS.</w:t>
      </w:r>
      <w:r w:rsidR="000B3932">
        <w:rPr>
          <w:color w:val="000000"/>
          <w:shd w:val="clear" w:color="auto" w:fill="FFFFFF"/>
        </w:rPr>
        <w:t xml:space="preserve"> Poleg upravnih ukrepov za odpravo kršitev lahko kršitelju naloži tudi plačilo globe v višini od 4.000 do 40.000 eurov za pravne osebe, 2.000 do 30.000 eurov za </w:t>
      </w:r>
      <w:r w:rsidR="000B3932" w:rsidRPr="00DB2F2D">
        <w:rPr>
          <w:rFonts w:cs="Arial"/>
        </w:rPr>
        <w:t>samostojn</w:t>
      </w:r>
      <w:r w:rsidR="000B3932">
        <w:rPr>
          <w:rFonts w:cs="Arial"/>
        </w:rPr>
        <w:t xml:space="preserve">e </w:t>
      </w:r>
      <w:r w:rsidR="000B3932" w:rsidRPr="00DB2F2D">
        <w:rPr>
          <w:rFonts w:cs="Arial"/>
        </w:rPr>
        <w:t>podjetnik</w:t>
      </w:r>
      <w:r w:rsidR="000B3932">
        <w:rPr>
          <w:rFonts w:cs="Arial"/>
        </w:rPr>
        <w:t xml:space="preserve">e </w:t>
      </w:r>
      <w:r w:rsidR="000B3932" w:rsidRPr="00DB2F2D">
        <w:rPr>
          <w:rFonts w:cs="Arial"/>
        </w:rPr>
        <w:t>posamezni</w:t>
      </w:r>
      <w:r w:rsidR="000B3932">
        <w:rPr>
          <w:rFonts w:cs="Arial"/>
        </w:rPr>
        <w:t xml:space="preserve">ke </w:t>
      </w:r>
      <w:r w:rsidR="000B3932" w:rsidRPr="00DB2F2D">
        <w:rPr>
          <w:rFonts w:cs="Arial"/>
        </w:rPr>
        <w:t>ali posameznik</w:t>
      </w:r>
      <w:r w:rsidR="000B3932">
        <w:rPr>
          <w:rFonts w:cs="Arial"/>
        </w:rPr>
        <w:t>e</w:t>
      </w:r>
      <w:r w:rsidR="000B3932" w:rsidRPr="00DB2F2D">
        <w:rPr>
          <w:rFonts w:cs="Arial"/>
        </w:rPr>
        <w:t>, ki samostojno opravlja</w:t>
      </w:r>
      <w:r w:rsidR="000B3932">
        <w:rPr>
          <w:rFonts w:cs="Arial"/>
        </w:rPr>
        <w:t xml:space="preserve">jo </w:t>
      </w:r>
      <w:r w:rsidR="000B3932" w:rsidRPr="00DB2F2D">
        <w:rPr>
          <w:rFonts w:cs="Arial"/>
        </w:rPr>
        <w:t>dejavnost</w:t>
      </w:r>
      <w:r w:rsidR="000B3932">
        <w:rPr>
          <w:rFonts w:cs="Arial"/>
        </w:rPr>
        <w:t xml:space="preserve"> oziroma od 300 do 1.000 eurov za posameznike.</w:t>
      </w:r>
    </w:p>
    <w:p w14:paraId="532982AC" w14:textId="77777777" w:rsidR="000B3932" w:rsidRDefault="00987B99" w:rsidP="00C06D44">
      <w:pPr>
        <w:jc w:val="both"/>
        <w:rPr>
          <w:color w:val="000000"/>
          <w:shd w:val="clear" w:color="auto" w:fill="FFFFFF"/>
        </w:rPr>
      </w:pPr>
      <w:r w:rsidRPr="000B3932">
        <w:rPr>
          <w:color w:val="000000"/>
          <w:shd w:val="clear" w:color="auto" w:fill="FFFFFF"/>
        </w:rPr>
        <w:t xml:space="preserve"> </w:t>
      </w:r>
    </w:p>
    <w:p w14:paraId="7A86D5D3" w14:textId="77777777" w:rsidR="00987B99" w:rsidRPr="000B3932" w:rsidRDefault="000B3932" w:rsidP="00C06D44">
      <w:pPr>
        <w:jc w:val="both"/>
        <w:rPr>
          <w:color w:val="000000"/>
          <w:shd w:val="clear" w:color="auto" w:fill="FFFFFF"/>
        </w:rPr>
      </w:pPr>
      <w:r w:rsidRPr="000B3932">
        <w:rPr>
          <w:color w:val="000000"/>
          <w:shd w:val="clear" w:color="auto" w:fill="FFFFFF"/>
        </w:rPr>
        <w:t>Poleg tega lahko v</w:t>
      </w:r>
      <w:r w:rsidRPr="000B3932">
        <w:rPr>
          <w:rFonts w:cs="Arial"/>
          <w:color w:val="111111"/>
        </w:rPr>
        <w:t xml:space="preserve"> primeru kršitve pravic vsak upravičenec do geografske označbe pri Okrožnem sodišču v Ljubljani vloži tožbo zaradi kršitve pravic iz registrirane geografske označbe zoper osebo, ki neupravičeno uporablja registrirano geografsko označbo.</w:t>
      </w:r>
    </w:p>
    <w:p w14:paraId="21C5FB96" w14:textId="77777777" w:rsidR="00191C29" w:rsidRDefault="00191C29" w:rsidP="00C06D44">
      <w:pPr>
        <w:jc w:val="both"/>
        <w:rPr>
          <w:rFonts w:eastAsia="Times New Roman" w:cs="Arial"/>
          <w:color w:val="26324B"/>
          <w:lang w:eastAsia="sl-SI"/>
        </w:rPr>
      </w:pPr>
    </w:p>
    <w:p w14:paraId="43516DC1" w14:textId="77777777" w:rsidR="00A52C95" w:rsidRPr="000B3932" w:rsidRDefault="00A52C95" w:rsidP="00C06D44">
      <w:pPr>
        <w:jc w:val="both"/>
        <w:rPr>
          <w:rFonts w:eastAsia="Times New Roman" w:cs="Arial"/>
          <w:color w:val="26324B"/>
          <w:lang w:eastAsia="sl-SI"/>
        </w:rPr>
      </w:pPr>
    </w:p>
    <w:p w14:paraId="25EC4ACC" w14:textId="77777777" w:rsidR="00987B99" w:rsidRDefault="00A52C95" w:rsidP="00C06D44">
      <w:pPr>
        <w:jc w:val="both"/>
        <w:rPr>
          <w:rFonts w:eastAsia="Times New Roman" w:cs="Arial"/>
          <w:b/>
          <w:color w:val="26324B"/>
          <w:lang w:eastAsia="sl-SI"/>
        </w:rPr>
      </w:pPr>
      <w:r w:rsidRPr="00A52C95">
        <w:rPr>
          <w:rFonts w:eastAsia="Times New Roman" w:cs="Arial"/>
          <w:b/>
          <w:color w:val="26324B"/>
          <w:lang w:eastAsia="sl-SI"/>
        </w:rPr>
        <w:t>Zakonodaja</w:t>
      </w:r>
    </w:p>
    <w:p w14:paraId="74FE4B19" w14:textId="77777777" w:rsidR="00A52C95" w:rsidRDefault="00A52C95" w:rsidP="00C06D44">
      <w:pPr>
        <w:jc w:val="both"/>
        <w:rPr>
          <w:rFonts w:eastAsia="Times New Roman" w:cs="Arial"/>
          <w:b/>
          <w:color w:val="26324B"/>
          <w:lang w:eastAsia="sl-SI"/>
        </w:rPr>
      </w:pPr>
    </w:p>
    <w:p w14:paraId="5A93F9DD" w14:textId="77777777" w:rsidR="00A52C95" w:rsidRDefault="00A52C95" w:rsidP="00C06D44">
      <w:pPr>
        <w:jc w:val="both"/>
        <w:rPr>
          <w:rStyle w:val="Hiperpovezava"/>
        </w:rPr>
      </w:pPr>
      <w:r>
        <w:t xml:space="preserve">- </w:t>
      </w:r>
      <w:hyperlink r:id="rId8" w:history="1">
        <w:r w:rsidRPr="00283A03">
          <w:rPr>
            <w:rStyle w:val="Hiperpovezava"/>
          </w:rPr>
          <w:t>Uredb</w:t>
        </w:r>
        <w:r>
          <w:rPr>
            <w:rStyle w:val="Hiperpovezava"/>
          </w:rPr>
          <w:t>a</w:t>
        </w:r>
        <w:r w:rsidRPr="00283A03">
          <w:rPr>
            <w:rStyle w:val="Hiperpovezava"/>
          </w:rPr>
          <w:t xml:space="preserve"> (EU) 2023/2411 o geografskih označbah obrtnih in industrijskih izdelkov</w:t>
        </w:r>
      </w:hyperlink>
    </w:p>
    <w:p w14:paraId="79E56FD2" w14:textId="77777777" w:rsidR="005C3103" w:rsidRDefault="005C3103" w:rsidP="00C06D44">
      <w:pPr>
        <w:jc w:val="both"/>
        <w:rPr>
          <w:rFonts w:eastAsia="Times New Roman" w:cs="Arial"/>
          <w:b/>
          <w:color w:val="26324B"/>
          <w:lang w:eastAsia="sl-SI"/>
        </w:rPr>
      </w:pPr>
    </w:p>
    <w:p w14:paraId="71FFB1A3" w14:textId="77777777" w:rsidR="005C3103" w:rsidRDefault="00691F91" w:rsidP="00C06D44">
      <w:pPr>
        <w:jc w:val="both"/>
        <w:rPr>
          <w:rFonts w:eastAsia="Times New Roman" w:cs="Arial"/>
          <w:b/>
          <w:color w:val="26324B"/>
          <w:lang w:eastAsia="sl-SI"/>
        </w:rPr>
      </w:pPr>
      <w:r w:rsidRPr="00691F91">
        <w:rPr>
          <w:rFonts w:eastAsia="Times New Roman" w:cs="Arial"/>
          <w:b/>
          <w:color w:val="26324B"/>
          <w:lang w:eastAsia="sl-SI"/>
        </w:rPr>
        <w:t>Več informacij</w:t>
      </w:r>
      <w:r w:rsidR="005C3103" w:rsidRPr="00691F91">
        <w:rPr>
          <w:rFonts w:eastAsia="Times New Roman" w:cs="Arial"/>
          <w:b/>
          <w:color w:val="26324B"/>
          <w:lang w:eastAsia="sl-SI"/>
        </w:rPr>
        <w:t xml:space="preserve">: </w:t>
      </w:r>
    </w:p>
    <w:p w14:paraId="794EBF36" w14:textId="77777777" w:rsidR="00CE681A" w:rsidRPr="00691F91" w:rsidRDefault="00CE681A" w:rsidP="00C06D44">
      <w:pPr>
        <w:jc w:val="both"/>
        <w:rPr>
          <w:rFonts w:eastAsia="Times New Roman" w:cs="Arial"/>
          <w:b/>
          <w:color w:val="26324B"/>
          <w:lang w:eastAsia="sl-SI"/>
        </w:rPr>
      </w:pPr>
    </w:p>
    <w:p w14:paraId="5D0A6457" w14:textId="77777777" w:rsidR="00CE681A" w:rsidRDefault="00CE681A" w:rsidP="00C06D44">
      <w:pPr>
        <w:jc w:val="both"/>
        <w:rPr>
          <w:rFonts w:eastAsia="Times New Roman" w:cs="Arial"/>
          <w:color w:val="26324B"/>
          <w:lang w:eastAsia="sl-SI"/>
        </w:rPr>
      </w:pPr>
      <w:r>
        <w:rPr>
          <w:rFonts w:eastAsia="Times New Roman" w:cs="Arial"/>
          <w:color w:val="26324B"/>
          <w:lang w:eastAsia="sl-SI"/>
        </w:rPr>
        <w:t>Portal Urada EU za intelektualno lastnino:</w:t>
      </w:r>
      <w:r w:rsidR="0036451C">
        <w:rPr>
          <w:rFonts w:eastAsia="Times New Roman" w:cs="Arial"/>
          <w:color w:val="26324B"/>
          <w:lang w:eastAsia="sl-SI"/>
        </w:rPr>
        <w:t xml:space="preserve"> </w:t>
      </w:r>
    </w:p>
    <w:p w14:paraId="72B842D5" w14:textId="77777777" w:rsidR="005C3103" w:rsidRPr="0036451C" w:rsidRDefault="00460794" w:rsidP="00C06D44">
      <w:pPr>
        <w:jc w:val="both"/>
        <w:rPr>
          <w:rFonts w:eastAsia="Times New Roman" w:cs="Arial"/>
          <w:color w:val="26324B"/>
          <w:lang w:eastAsia="sl-SI"/>
        </w:rPr>
      </w:pPr>
      <w:hyperlink r:id="rId9" w:history="1">
        <w:r w:rsidR="00CE681A" w:rsidRPr="000E4FFE">
          <w:rPr>
            <w:rStyle w:val="Hiperpovezava"/>
            <w:rFonts w:eastAsia="Times New Roman" w:cs="Arial"/>
            <w:lang w:eastAsia="sl-SI"/>
          </w:rPr>
          <w:t>https://www.euipo.europa.eu/sl/gi-hub</w:t>
        </w:r>
      </w:hyperlink>
    </w:p>
    <w:p w14:paraId="21E8CE6E" w14:textId="77777777" w:rsidR="00CE681A" w:rsidRDefault="00CE681A" w:rsidP="00C06D44">
      <w:pPr>
        <w:jc w:val="both"/>
        <w:rPr>
          <w:rFonts w:eastAsia="Times New Roman" w:cs="Arial"/>
          <w:color w:val="26324B"/>
          <w:lang w:eastAsia="sl-SI"/>
        </w:rPr>
      </w:pPr>
    </w:p>
    <w:p w14:paraId="7B441EE9" w14:textId="77777777" w:rsidR="00CE681A" w:rsidRDefault="00CE681A" w:rsidP="00C06D44">
      <w:pPr>
        <w:jc w:val="both"/>
        <w:rPr>
          <w:rFonts w:eastAsia="Times New Roman" w:cs="Arial"/>
          <w:color w:val="26324B"/>
          <w:lang w:eastAsia="sl-SI"/>
        </w:rPr>
      </w:pPr>
      <w:r>
        <w:rPr>
          <w:rFonts w:eastAsia="Times New Roman" w:cs="Arial"/>
          <w:color w:val="26324B"/>
          <w:lang w:eastAsia="sl-SI"/>
        </w:rPr>
        <w:t xml:space="preserve">Spletna stran Evropske komisije: </w:t>
      </w:r>
    </w:p>
    <w:p w14:paraId="7F62BF63" w14:textId="77777777" w:rsidR="0036451C" w:rsidRDefault="00460794" w:rsidP="00C06D44">
      <w:pPr>
        <w:jc w:val="both"/>
        <w:rPr>
          <w:rFonts w:eastAsia="Times New Roman" w:cs="Arial"/>
          <w:color w:val="26324B"/>
          <w:lang w:eastAsia="sl-SI"/>
        </w:rPr>
      </w:pPr>
      <w:hyperlink r:id="rId10" w:history="1">
        <w:r w:rsidR="00352F14" w:rsidRPr="000E4FFE">
          <w:rPr>
            <w:rStyle w:val="Hiperpovezava"/>
            <w:rFonts w:eastAsia="Times New Roman" w:cs="Arial"/>
            <w:lang w:eastAsia="sl-SI"/>
          </w:rPr>
          <w:t>https://single-market-economy.ec.europa.eu/industry/strategy/intellectual-property/geographical-indications-craft-and-industrial-products_en?prefLang=sl&amp;etrans=sl</w:t>
        </w:r>
      </w:hyperlink>
    </w:p>
    <w:p w14:paraId="0A5524CA" w14:textId="77777777" w:rsidR="00DC0BE4" w:rsidRDefault="00DC0BE4" w:rsidP="00C06D44">
      <w:pPr>
        <w:jc w:val="both"/>
        <w:rPr>
          <w:rFonts w:eastAsia="Times New Roman" w:cs="Arial"/>
          <w:color w:val="26324B"/>
          <w:lang w:eastAsia="sl-SI"/>
        </w:rPr>
      </w:pPr>
    </w:p>
    <w:p w14:paraId="7F711B8A" w14:textId="77777777" w:rsidR="0036451C" w:rsidRDefault="0036451C" w:rsidP="00C06D44">
      <w:pPr>
        <w:jc w:val="both"/>
        <w:rPr>
          <w:rFonts w:eastAsia="Times New Roman" w:cs="Arial"/>
          <w:color w:val="26324B"/>
          <w:lang w:eastAsia="sl-SI"/>
        </w:rPr>
      </w:pPr>
    </w:p>
    <w:p w14:paraId="313A8C3F" w14:textId="77777777" w:rsidR="005C3103" w:rsidRPr="00A52C95" w:rsidRDefault="005C3103" w:rsidP="00C06D44">
      <w:pPr>
        <w:jc w:val="both"/>
        <w:rPr>
          <w:rFonts w:eastAsia="Times New Roman" w:cs="Arial"/>
          <w:b/>
          <w:color w:val="26324B"/>
          <w:lang w:eastAsia="sl-SI"/>
        </w:rPr>
      </w:pPr>
    </w:p>
    <w:sectPr w:rsidR="005C3103" w:rsidRPr="00A52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A2"/>
    <w:rsid w:val="000B3932"/>
    <w:rsid w:val="000D4E04"/>
    <w:rsid w:val="00111C71"/>
    <w:rsid w:val="00191C29"/>
    <w:rsid w:val="001E2176"/>
    <w:rsid w:val="00283A03"/>
    <w:rsid w:val="00352F14"/>
    <w:rsid w:val="0036451C"/>
    <w:rsid w:val="00371D3E"/>
    <w:rsid w:val="0044062A"/>
    <w:rsid w:val="00443A20"/>
    <w:rsid w:val="00460794"/>
    <w:rsid w:val="004B3E24"/>
    <w:rsid w:val="004C057A"/>
    <w:rsid w:val="00501157"/>
    <w:rsid w:val="00552E7E"/>
    <w:rsid w:val="00552F5A"/>
    <w:rsid w:val="005C3103"/>
    <w:rsid w:val="005D408C"/>
    <w:rsid w:val="005E0E5B"/>
    <w:rsid w:val="00630418"/>
    <w:rsid w:val="00691F91"/>
    <w:rsid w:val="00701C6C"/>
    <w:rsid w:val="00727AB6"/>
    <w:rsid w:val="007923F2"/>
    <w:rsid w:val="007932F7"/>
    <w:rsid w:val="007A2FCE"/>
    <w:rsid w:val="008262BE"/>
    <w:rsid w:val="008510ED"/>
    <w:rsid w:val="00852060"/>
    <w:rsid w:val="008667E4"/>
    <w:rsid w:val="008822A2"/>
    <w:rsid w:val="008D4A70"/>
    <w:rsid w:val="00941CEA"/>
    <w:rsid w:val="00987B99"/>
    <w:rsid w:val="00A44FC7"/>
    <w:rsid w:val="00A52C95"/>
    <w:rsid w:val="00A561C5"/>
    <w:rsid w:val="00A9703F"/>
    <w:rsid w:val="00B80C4D"/>
    <w:rsid w:val="00BF276E"/>
    <w:rsid w:val="00C06D44"/>
    <w:rsid w:val="00C31EEC"/>
    <w:rsid w:val="00C76534"/>
    <w:rsid w:val="00C83EB4"/>
    <w:rsid w:val="00C92A23"/>
    <w:rsid w:val="00CD1BC8"/>
    <w:rsid w:val="00CE681A"/>
    <w:rsid w:val="00DA5CA5"/>
    <w:rsid w:val="00DC0BE4"/>
    <w:rsid w:val="00E262E0"/>
    <w:rsid w:val="00E56A39"/>
    <w:rsid w:val="00E7250E"/>
    <w:rsid w:val="00EF29BF"/>
    <w:rsid w:val="00F402B3"/>
    <w:rsid w:val="00FA6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CB57"/>
  <w15:chartTrackingRefBased/>
  <w15:docId w15:val="{6B0755B5-5D5B-421B-85CA-0419F405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ahoma" w:hAnsi="Arial" w:cs="Courier New"/>
        <w:lang w:val="sl-SI"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1C6C"/>
    <w:pPr>
      <w:ind w:left="720"/>
      <w:contextualSpacing/>
    </w:pPr>
    <w:rPr>
      <w:rFonts w:ascii="Courier New" w:eastAsia="Courier New" w:hAnsi="Courier New"/>
    </w:rPr>
  </w:style>
  <w:style w:type="character" w:styleId="Krepko">
    <w:name w:val="Strong"/>
    <w:basedOn w:val="Privzetapisavaodstavka"/>
    <w:uiPriority w:val="22"/>
    <w:qFormat/>
    <w:rsid w:val="00727AB6"/>
    <w:rPr>
      <w:b/>
      <w:bCs/>
    </w:rPr>
  </w:style>
  <w:style w:type="character" w:styleId="Hiperpovezava">
    <w:name w:val="Hyperlink"/>
    <w:basedOn w:val="Privzetapisavaodstavka"/>
    <w:uiPriority w:val="99"/>
    <w:unhideWhenUsed/>
    <w:rsid w:val="00283A03"/>
    <w:rPr>
      <w:color w:val="0563C1" w:themeColor="hyperlink"/>
      <w:u w:val="single"/>
    </w:rPr>
  </w:style>
  <w:style w:type="character" w:customStyle="1" w:styleId="UnresolvedMention1">
    <w:name w:val="Unresolved Mention1"/>
    <w:basedOn w:val="Privzetapisavaodstavka"/>
    <w:uiPriority w:val="99"/>
    <w:semiHidden/>
    <w:unhideWhenUsed/>
    <w:rsid w:val="00283A03"/>
    <w:rPr>
      <w:color w:val="605E5C"/>
      <w:shd w:val="clear" w:color="auto" w:fill="E1DFDD"/>
    </w:rPr>
  </w:style>
  <w:style w:type="paragraph" w:styleId="Navadensplet">
    <w:name w:val="Normal (Web)"/>
    <w:basedOn w:val="Navaden"/>
    <w:uiPriority w:val="99"/>
    <w:semiHidden/>
    <w:unhideWhenUsed/>
    <w:rsid w:val="00191C29"/>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5C3103"/>
    <w:rPr>
      <w:color w:val="954F72" w:themeColor="followedHyperlink"/>
      <w:u w:val="single"/>
    </w:rPr>
  </w:style>
  <w:style w:type="character" w:styleId="Pripombasklic">
    <w:name w:val="annotation reference"/>
    <w:basedOn w:val="Privzetapisavaodstavka"/>
    <w:uiPriority w:val="99"/>
    <w:semiHidden/>
    <w:unhideWhenUsed/>
    <w:rsid w:val="008D4A70"/>
    <w:rPr>
      <w:sz w:val="16"/>
      <w:szCs w:val="16"/>
    </w:rPr>
  </w:style>
  <w:style w:type="paragraph" w:styleId="Pripombabesedilo">
    <w:name w:val="annotation text"/>
    <w:basedOn w:val="Navaden"/>
    <w:link w:val="PripombabesediloZnak"/>
    <w:uiPriority w:val="99"/>
    <w:semiHidden/>
    <w:unhideWhenUsed/>
    <w:rsid w:val="008D4A70"/>
  </w:style>
  <w:style w:type="character" w:customStyle="1" w:styleId="PripombabesediloZnak">
    <w:name w:val="Pripomba – besedilo Znak"/>
    <w:basedOn w:val="Privzetapisavaodstavka"/>
    <w:link w:val="Pripombabesedilo"/>
    <w:uiPriority w:val="99"/>
    <w:semiHidden/>
    <w:rsid w:val="008D4A70"/>
  </w:style>
  <w:style w:type="paragraph" w:styleId="Zadevapripombe">
    <w:name w:val="annotation subject"/>
    <w:basedOn w:val="Pripombabesedilo"/>
    <w:next w:val="Pripombabesedilo"/>
    <w:link w:val="ZadevapripombeZnak"/>
    <w:uiPriority w:val="99"/>
    <w:semiHidden/>
    <w:unhideWhenUsed/>
    <w:rsid w:val="008D4A70"/>
    <w:rPr>
      <w:b/>
      <w:bCs/>
    </w:rPr>
  </w:style>
  <w:style w:type="character" w:customStyle="1" w:styleId="ZadevapripombeZnak">
    <w:name w:val="Zadeva pripombe Znak"/>
    <w:basedOn w:val="PripombabesediloZnak"/>
    <w:link w:val="Zadevapripombe"/>
    <w:uiPriority w:val="99"/>
    <w:semiHidden/>
    <w:rsid w:val="008D4A70"/>
    <w:rPr>
      <w:b/>
      <w:bCs/>
    </w:rPr>
  </w:style>
  <w:style w:type="paragraph" w:styleId="Besedilooblaka">
    <w:name w:val="Balloon Text"/>
    <w:basedOn w:val="Navaden"/>
    <w:link w:val="BesedilooblakaZnak"/>
    <w:uiPriority w:val="99"/>
    <w:semiHidden/>
    <w:unhideWhenUsed/>
    <w:rsid w:val="008D4A7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D4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3029">
      <w:bodyDiv w:val="1"/>
      <w:marLeft w:val="0"/>
      <w:marRight w:val="0"/>
      <w:marTop w:val="0"/>
      <w:marBottom w:val="0"/>
      <w:divBdr>
        <w:top w:val="none" w:sz="0" w:space="0" w:color="auto"/>
        <w:left w:val="none" w:sz="0" w:space="0" w:color="auto"/>
        <w:bottom w:val="none" w:sz="0" w:space="0" w:color="auto"/>
        <w:right w:val="none" w:sz="0" w:space="0" w:color="auto"/>
      </w:divBdr>
    </w:div>
    <w:div w:id="352070242">
      <w:bodyDiv w:val="1"/>
      <w:marLeft w:val="0"/>
      <w:marRight w:val="0"/>
      <w:marTop w:val="0"/>
      <w:marBottom w:val="0"/>
      <w:divBdr>
        <w:top w:val="none" w:sz="0" w:space="0" w:color="auto"/>
        <w:left w:val="none" w:sz="0" w:space="0" w:color="auto"/>
        <w:bottom w:val="none" w:sz="0" w:space="0" w:color="auto"/>
        <w:right w:val="none" w:sz="0" w:space="0" w:color="auto"/>
      </w:divBdr>
    </w:div>
    <w:div w:id="484126319">
      <w:bodyDiv w:val="1"/>
      <w:marLeft w:val="0"/>
      <w:marRight w:val="0"/>
      <w:marTop w:val="0"/>
      <w:marBottom w:val="0"/>
      <w:divBdr>
        <w:top w:val="none" w:sz="0" w:space="0" w:color="auto"/>
        <w:left w:val="none" w:sz="0" w:space="0" w:color="auto"/>
        <w:bottom w:val="none" w:sz="0" w:space="0" w:color="auto"/>
        <w:right w:val="none" w:sz="0" w:space="0" w:color="auto"/>
      </w:divBdr>
      <w:divsChild>
        <w:div w:id="1388142586">
          <w:marLeft w:val="0"/>
          <w:marRight w:val="0"/>
          <w:marTop w:val="0"/>
          <w:marBottom w:val="0"/>
          <w:divBdr>
            <w:top w:val="none" w:sz="0" w:space="0" w:color="auto"/>
            <w:left w:val="none" w:sz="0" w:space="0" w:color="auto"/>
            <w:bottom w:val="none" w:sz="0" w:space="0" w:color="auto"/>
            <w:right w:val="none" w:sz="0" w:space="0" w:color="auto"/>
          </w:divBdr>
          <w:divsChild>
            <w:div w:id="2602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2673">
      <w:bodyDiv w:val="1"/>
      <w:marLeft w:val="0"/>
      <w:marRight w:val="0"/>
      <w:marTop w:val="0"/>
      <w:marBottom w:val="0"/>
      <w:divBdr>
        <w:top w:val="none" w:sz="0" w:space="0" w:color="auto"/>
        <w:left w:val="none" w:sz="0" w:space="0" w:color="auto"/>
        <w:bottom w:val="none" w:sz="0" w:space="0" w:color="auto"/>
        <w:right w:val="none" w:sz="0" w:space="0" w:color="auto"/>
      </w:divBdr>
    </w:div>
    <w:div w:id="1045712871">
      <w:bodyDiv w:val="1"/>
      <w:marLeft w:val="0"/>
      <w:marRight w:val="0"/>
      <w:marTop w:val="0"/>
      <w:marBottom w:val="0"/>
      <w:divBdr>
        <w:top w:val="none" w:sz="0" w:space="0" w:color="auto"/>
        <w:left w:val="none" w:sz="0" w:space="0" w:color="auto"/>
        <w:bottom w:val="none" w:sz="0" w:space="0" w:color="auto"/>
        <w:right w:val="none" w:sz="0" w:space="0" w:color="auto"/>
      </w:divBdr>
    </w:div>
    <w:div w:id="1641156692">
      <w:bodyDiv w:val="1"/>
      <w:marLeft w:val="0"/>
      <w:marRight w:val="0"/>
      <w:marTop w:val="0"/>
      <w:marBottom w:val="0"/>
      <w:divBdr>
        <w:top w:val="none" w:sz="0" w:space="0" w:color="auto"/>
        <w:left w:val="none" w:sz="0" w:space="0" w:color="auto"/>
        <w:bottom w:val="none" w:sz="0" w:space="0" w:color="auto"/>
        <w:right w:val="none" w:sz="0" w:space="0" w:color="auto"/>
      </w:divBdr>
    </w:div>
    <w:div w:id="18317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HTML/?uri=OJ:L_2023024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ur-lex.europa.eu/legal-content/SL/TXT/HTML/?uri=OJ:L_202302411" TargetMode="External"/><Relationship Id="rId11" Type="http://schemas.openxmlformats.org/officeDocument/2006/relationships/fontTable" Target="fontTable.xml"/><Relationship Id="rId5" Type="http://schemas.openxmlformats.org/officeDocument/2006/relationships/hyperlink" Target="https://eur-lex.europa.eu/legal-content/SL/TXT/HTML/?uri=OJ:L_202302411" TargetMode="External"/><Relationship Id="rId10" Type="http://schemas.openxmlformats.org/officeDocument/2006/relationships/hyperlink" Target="https://single-market-economy.ec.europa.eu/industry/strategy/intellectual-property/geographical-indications-craft-and-industrial-products_en?prefLang=sl&amp;etrans=sl" TargetMode="External"/><Relationship Id="rId4" Type="http://schemas.openxmlformats.org/officeDocument/2006/relationships/webSettings" Target="webSettings.xml"/><Relationship Id="rId9" Type="http://schemas.openxmlformats.org/officeDocument/2006/relationships/hyperlink" Target="https://www.euipo.europa.eu/sl/gi-hub"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0D83-C442-412B-8279-D15DA2BB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7213</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Urad RS za intelektualno lastnino</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Matjaz Jakin</dc:creator>
  <cp:keywords/>
  <dc:description/>
  <cp:lastModifiedBy>Ana Otoničar</cp:lastModifiedBy>
  <cp:revision>2</cp:revision>
  <dcterms:created xsi:type="dcterms:W3CDTF">2025-08-27T11:42:00Z</dcterms:created>
  <dcterms:modified xsi:type="dcterms:W3CDTF">2025-08-27T11:42:00Z</dcterms:modified>
</cp:coreProperties>
</file>