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AE38" w14:textId="77777777" w:rsidR="00050F89" w:rsidRDefault="00050F89" w:rsidP="00471462">
      <w:pPr>
        <w:jc w:val="both"/>
        <w:rPr>
          <w:b/>
          <w:bCs/>
          <w:sz w:val="32"/>
          <w:szCs w:val="32"/>
        </w:rPr>
      </w:pPr>
    </w:p>
    <w:p w14:paraId="4B88DF86" w14:textId="77777777" w:rsidR="00050F89" w:rsidRDefault="00050F89" w:rsidP="00471462">
      <w:pPr>
        <w:jc w:val="both"/>
        <w:rPr>
          <w:b/>
          <w:bCs/>
          <w:sz w:val="32"/>
          <w:szCs w:val="32"/>
        </w:rPr>
      </w:pPr>
    </w:p>
    <w:p w14:paraId="18B5A843" w14:textId="77777777" w:rsidR="00050F89" w:rsidRDefault="00050F89" w:rsidP="00471462">
      <w:pPr>
        <w:jc w:val="both"/>
        <w:rPr>
          <w:b/>
          <w:bCs/>
          <w:sz w:val="32"/>
          <w:szCs w:val="32"/>
        </w:rPr>
      </w:pPr>
    </w:p>
    <w:p w14:paraId="399C30E8" w14:textId="5CF406CC" w:rsidR="00DC51ED" w:rsidRPr="00471462" w:rsidRDefault="00471462" w:rsidP="00471462">
      <w:pPr>
        <w:jc w:val="both"/>
        <w:rPr>
          <w:b/>
          <w:bCs/>
          <w:sz w:val="32"/>
          <w:szCs w:val="32"/>
        </w:rPr>
      </w:pPr>
      <w:r w:rsidRPr="00471462">
        <w:rPr>
          <w:b/>
          <w:bCs/>
          <w:sz w:val="32"/>
          <w:szCs w:val="32"/>
        </w:rPr>
        <w:t>Razvoj kompetenc zaprtih oseb</w:t>
      </w:r>
    </w:p>
    <w:p w14:paraId="4B82AA48" w14:textId="3FA45F2F" w:rsidR="00471462" w:rsidRDefault="00471462" w:rsidP="00471462">
      <w:pPr>
        <w:jc w:val="both"/>
      </w:pPr>
    </w:p>
    <w:p w14:paraId="18ACCB19" w14:textId="5FE7DBD0" w:rsidR="00471462" w:rsidRDefault="00471462" w:rsidP="00471462">
      <w:pPr>
        <w:jc w:val="both"/>
      </w:pPr>
      <w:r w:rsidRPr="00471462">
        <w:rPr>
          <w:b/>
          <w:bCs/>
        </w:rPr>
        <w:t>Sklad</w:t>
      </w:r>
      <w:r>
        <w:t>: ESS+</w:t>
      </w:r>
    </w:p>
    <w:p w14:paraId="351D1BD0" w14:textId="77777777" w:rsidR="00471462" w:rsidRDefault="00471462" w:rsidP="00471462">
      <w:pPr>
        <w:jc w:val="both"/>
      </w:pPr>
      <w:r w:rsidRPr="00471462">
        <w:rPr>
          <w:b/>
          <w:bCs/>
        </w:rPr>
        <w:t>Cilj politike</w:t>
      </w:r>
      <w:r>
        <w:t>: CP</w:t>
      </w:r>
      <w:r w:rsidRPr="00471462">
        <w:t xml:space="preserve"> 4: Bolj socialna in vključujoča Evropa za izvajanje evropskega stebra socialnih pravic</w:t>
      </w:r>
      <w:r>
        <w:t xml:space="preserve">. </w:t>
      </w:r>
    </w:p>
    <w:p w14:paraId="58DDA25F" w14:textId="74FFDA3F" w:rsidR="00471462" w:rsidRDefault="00471462" w:rsidP="00471462">
      <w:pPr>
        <w:jc w:val="both"/>
      </w:pPr>
      <w:r w:rsidRPr="00471462">
        <w:rPr>
          <w:b/>
          <w:bCs/>
        </w:rPr>
        <w:t>Prednostna naloga</w:t>
      </w:r>
      <w:r>
        <w:t>: PN7 d</w:t>
      </w:r>
      <w:r w:rsidRPr="00471462">
        <w:t>olgotrajna oskrba in zdravje ter socialna vključenost</w:t>
      </w:r>
      <w:r w:rsidR="00374F67">
        <w:t>.</w:t>
      </w:r>
    </w:p>
    <w:p w14:paraId="34DB4D82" w14:textId="6B5B8629" w:rsidR="00471462" w:rsidRPr="00471462" w:rsidRDefault="00471462" w:rsidP="00471462">
      <w:pPr>
        <w:jc w:val="both"/>
      </w:pPr>
      <w:r w:rsidRPr="00471462">
        <w:rPr>
          <w:b/>
          <w:bCs/>
        </w:rPr>
        <w:t>Specifični cilj</w:t>
      </w:r>
      <w:r>
        <w:t xml:space="preserve">: </w:t>
      </w:r>
      <w:r w:rsidRPr="00471462">
        <w:t>ESO4.12. Spodbujanje socialnega vključevanja oseb, izpostavljenih tveganju revščine ali socialni izključenosti, vključno z najbolj ogroženimi osebami in otroki (ESS+).</w:t>
      </w:r>
    </w:p>
    <w:p w14:paraId="6304D468" w14:textId="6AAAD738" w:rsidR="00471462" w:rsidRDefault="00471462" w:rsidP="00471462">
      <w:pPr>
        <w:jc w:val="both"/>
      </w:pPr>
      <w:r w:rsidRPr="00471462">
        <w:rPr>
          <w:b/>
          <w:bCs/>
        </w:rPr>
        <w:t>Trajanje projekta</w:t>
      </w:r>
      <w:r>
        <w:t>: 2.12.2024 – 31.12.2029</w:t>
      </w:r>
    </w:p>
    <w:p w14:paraId="68DF0C8E" w14:textId="354F40B9" w:rsidR="00471462" w:rsidRDefault="00471462" w:rsidP="00471462">
      <w:pPr>
        <w:jc w:val="both"/>
      </w:pPr>
      <w:r w:rsidRPr="00471462">
        <w:rPr>
          <w:b/>
          <w:bCs/>
        </w:rPr>
        <w:t>Vrednost projekta</w:t>
      </w:r>
      <w:r>
        <w:t xml:space="preserve">: 4.478.765,00 EUR (od tega podpora Evropske unije 3.129.313,11 EUR in nacionalni javni prispevek iz državnega proračuna 1.349.451,89 EUR. </w:t>
      </w:r>
    </w:p>
    <w:p w14:paraId="1A84D724" w14:textId="77777777" w:rsidR="00471462" w:rsidRDefault="00471462" w:rsidP="00471462">
      <w:pPr>
        <w:jc w:val="both"/>
      </w:pPr>
    </w:p>
    <w:p w14:paraId="6E74DE72" w14:textId="5F38DDD9" w:rsidR="00471462" w:rsidRPr="00471462" w:rsidRDefault="00471462" w:rsidP="00471462">
      <w:pPr>
        <w:jc w:val="both"/>
        <w:rPr>
          <w:b/>
          <w:bCs/>
        </w:rPr>
      </w:pPr>
      <w:r w:rsidRPr="00471462">
        <w:rPr>
          <w:b/>
          <w:bCs/>
        </w:rPr>
        <w:t xml:space="preserve">Opis projekta: </w:t>
      </w:r>
    </w:p>
    <w:p w14:paraId="5ACB677B" w14:textId="765A1583" w:rsidR="00471462" w:rsidRDefault="00471462" w:rsidP="00471462">
      <w:pPr>
        <w:jc w:val="both"/>
      </w:pPr>
      <w:r w:rsidRPr="00471462">
        <w:t>Namen operacije je širitev nabora programov in uporabnikov usposabljanj za delo, delovnih terapij in specialnih obravnav za vključevanje zaprtih oseb z omejitvami za aktivno vključevanje v družbo</w:t>
      </w:r>
      <w:r w:rsidR="00374F67">
        <w:t>. To se bo zagotavljalo</w:t>
      </w:r>
      <w:r w:rsidRPr="00471462">
        <w:t xml:space="preserve"> s prilagojeno in bolj frekventno delovno terapijo, s katero se bo zaprtim osebam omogočilo postopno, ciljno usmerjeno, individualno prilagajanje delovnemu okolju, delovnim pogojem ter razvoj delovnih veščin, spretnosti, vzdržljivosti, kompetenc in resocializacijo ter vključevanje zaprtih oseb v delo, skladno z zakonskimi in internimi akti, ki določajo način zaposlovanja zaprtih oseb med prestajanjem kazni zapora.</w:t>
      </w:r>
    </w:p>
    <w:p w14:paraId="62C2DDF9" w14:textId="67E86F5C" w:rsidR="00471462" w:rsidRDefault="00471462" w:rsidP="00471462">
      <w:pPr>
        <w:jc w:val="both"/>
      </w:pPr>
      <w:r w:rsidRPr="00471462">
        <w:t xml:space="preserve">Cilj operacije je omogočiti zaprtim osebam, </w:t>
      </w:r>
      <w:r w:rsidR="00374F67">
        <w:t>med katere se uvrščajo</w:t>
      </w:r>
      <w:r w:rsidRPr="00471462">
        <w:t xml:space="preserve"> tudi mladoletniki z izrečenim</w:t>
      </w:r>
      <w:r w:rsidR="008838D8">
        <w:t xml:space="preserve"> vzgojnim</w:t>
      </w:r>
      <w:r w:rsidRPr="00471462">
        <w:t xml:space="preserve"> ukrepom oddaje v prevzgojni dom, da že med prestajanjem kazni dosežejo spremembe v stališčih in vedenju, da razvijejo socialne veščine in delovne kompetence in tako posledično izboljšajo svojo socialno </w:t>
      </w:r>
      <w:r w:rsidR="0055513F">
        <w:t>vključenost</w:t>
      </w:r>
      <w:r w:rsidRPr="00471462">
        <w:t>, da se bodo lahko po prestani kazni lažje uveljavili v družbi, vstopili na trg dela in se zaposlil</w:t>
      </w:r>
      <w:r w:rsidR="00374F67">
        <w:t>i</w:t>
      </w:r>
      <w:r w:rsidRPr="00471462">
        <w:t xml:space="preserve">, izboljšali svojo socialno mrežo, se opolnomočili in izboljšali kvaliteto življenja. </w:t>
      </w:r>
      <w:r>
        <w:t>Po</w:t>
      </w:r>
      <w:r w:rsidR="00665819">
        <w:t xml:space="preserve">leg </w:t>
      </w:r>
      <w:r>
        <w:t xml:space="preserve">tega operacija omogoča </w:t>
      </w:r>
      <w:r w:rsidRPr="00471462">
        <w:t xml:space="preserve">ciljnim skupinam operacije razvoj in </w:t>
      </w:r>
      <w:r>
        <w:t>nadgradnjo</w:t>
      </w:r>
      <w:r w:rsidRPr="00471462">
        <w:t xml:space="preserve"> delovnih kompetenc,</w:t>
      </w:r>
      <w:r w:rsidR="008838D8">
        <w:t xml:space="preserve"> dvig</w:t>
      </w:r>
      <w:r w:rsidRPr="00471462">
        <w:t xml:space="preserve"> ravni temeljnega znanja in usposobljenosti, ter s tem lažjo vrnitev v družbo</w:t>
      </w:r>
      <w:r w:rsidR="00374F67">
        <w:t xml:space="preserve"> po prestani kazni</w:t>
      </w:r>
      <w:r w:rsidRPr="00471462">
        <w:t>, izboljšanje samopodobe, humanizacij</w:t>
      </w:r>
      <w:r w:rsidR="00374F67">
        <w:t>o</w:t>
      </w:r>
      <w:r w:rsidRPr="00471462">
        <w:t xml:space="preserve"> in s tem odvrnitev od kriminalnih dejanj.</w:t>
      </w:r>
    </w:p>
    <w:sectPr w:rsidR="004714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D517" w14:textId="77777777" w:rsidR="00471462" w:rsidRDefault="00471462" w:rsidP="00471462">
      <w:pPr>
        <w:spacing w:after="0" w:line="240" w:lineRule="auto"/>
      </w:pPr>
      <w:r>
        <w:separator/>
      </w:r>
    </w:p>
  </w:endnote>
  <w:endnote w:type="continuationSeparator" w:id="0">
    <w:p w14:paraId="1391192C" w14:textId="77777777" w:rsidR="00471462" w:rsidRDefault="00471462" w:rsidP="0047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F69B" w14:textId="77777777" w:rsidR="00471462" w:rsidRDefault="00471462" w:rsidP="00471462">
      <w:pPr>
        <w:spacing w:after="0" w:line="240" w:lineRule="auto"/>
      </w:pPr>
      <w:r>
        <w:separator/>
      </w:r>
    </w:p>
  </w:footnote>
  <w:footnote w:type="continuationSeparator" w:id="0">
    <w:p w14:paraId="454754ED" w14:textId="77777777" w:rsidR="00471462" w:rsidRDefault="00471462" w:rsidP="0047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B9B8" w14:textId="381A1BFB" w:rsidR="00471462" w:rsidRDefault="00471462" w:rsidP="00471462">
    <w:pPr>
      <w:pStyle w:val="Glava"/>
      <w:tabs>
        <w:tab w:val="clear" w:pos="9072"/>
        <w:tab w:val="left" w:pos="5865"/>
      </w:tabs>
    </w:pPr>
    <w:r>
      <w:rPr>
        <w:noProof/>
      </w:rPr>
      <w:drawing>
        <wp:inline distT="0" distB="0" distL="0" distR="0" wp14:anchorId="7A25B1E7" wp14:editId="054D7F2C">
          <wp:extent cx="2390775" cy="572770"/>
          <wp:effectExtent l="0" t="0" r="9525" b="0"/>
          <wp:docPr id="132645380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1535854" wp14:editId="2598F122">
          <wp:extent cx="1247775" cy="676910"/>
          <wp:effectExtent l="0" t="0" r="9525" b="8890"/>
          <wp:docPr id="26849082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D0A5B" wp14:editId="50A1CBC6">
          <wp:extent cx="2057400" cy="533375"/>
          <wp:effectExtent l="0" t="0" r="0" b="635"/>
          <wp:docPr id="98136904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682" cy="543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62"/>
    <w:rsid w:val="00050F89"/>
    <w:rsid w:val="00182B2A"/>
    <w:rsid w:val="00374F67"/>
    <w:rsid w:val="00471462"/>
    <w:rsid w:val="0055513F"/>
    <w:rsid w:val="00665819"/>
    <w:rsid w:val="008838D8"/>
    <w:rsid w:val="00A95409"/>
    <w:rsid w:val="00D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2BFAF"/>
  <w15:chartTrackingRefBased/>
  <w15:docId w15:val="{F05D1AF8-03E0-44EF-9BC3-9D66CFF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1462"/>
  </w:style>
  <w:style w:type="paragraph" w:styleId="Noga">
    <w:name w:val="footer"/>
    <w:basedOn w:val="Navaden"/>
    <w:link w:val="NogaZnak"/>
    <w:uiPriority w:val="99"/>
    <w:unhideWhenUsed/>
    <w:rsid w:val="0047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Turk</dc:creator>
  <cp:keywords/>
  <dc:description/>
  <cp:lastModifiedBy>Ksenja Lampe</cp:lastModifiedBy>
  <cp:revision>4</cp:revision>
  <dcterms:created xsi:type="dcterms:W3CDTF">2024-12-04T09:59:00Z</dcterms:created>
  <dcterms:modified xsi:type="dcterms:W3CDTF">2024-12-04T10:02:00Z</dcterms:modified>
</cp:coreProperties>
</file>