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562456D8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747CD6">
        <w:rPr>
          <w:rFonts w:cs="Arial"/>
          <w:b/>
          <w:sz w:val="20"/>
          <w:szCs w:val="20"/>
        </w:rPr>
        <w:t xml:space="preserve">16. 6. </w:t>
      </w:r>
      <w:r w:rsidR="00EA7B3A" w:rsidRPr="007C333B">
        <w:rPr>
          <w:rFonts w:cs="Arial"/>
          <w:b/>
          <w:sz w:val="20"/>
          <w:szCs w:val="20"/>
        </w:rPr>
        <w:t>202</w:t>
      </w:r>
      <w:r w:rsidR="00AC422A">
        <w:rPr>
          <w:rFonts w:cs="Arial"/>
          <w:b/>
          <w:sz w:val="20"/>
          <w:szCs w:val="20"/>
        </w:rPr>
        <w:t>5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80093" w:rsidRPr="007C333B" w14:paraId="4D0A6616" w14:textId="77777777" w:rsidTr="00D76C17">
        <w:tc>
          <w:tcPr>
            <w:tcW w:w="562" w:type="dxa"/>
          </w:tcPr>
          <w:p w14:paraId="01ACC50C" w14:textId="706E55B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5519D8F9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480093" w:rsidRPr="007C333B" w14:paraId="5AD739A7" w14:textId="77777777" w:rsidTr="00D76C17">
        <w:tc>
          <w:tcPr>
            <w:tcW w:w="562" w:type="dxa"/>
          </w:tcPr>
          <w:p w14:paraId="70F8012E" w14:textId="304E5FF4" w:rsidR="00480093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7BA3970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80093" w:rsidRPr="007C333B" w14:paraId="1BA1114D" w14:textId="77777777" w:rsidTr="00D76C17">
        <w:tc>
          <w:tcPr>
            <w:tcW w:w="562" w:type="dxa"/>
          </w:tcPr>
          <w:p w14:paraId="6C8164BD" w14:textId="77C02FCC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15F5FAFF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480093" w:rsidRPr="007C333B" w14:paraId="585C1429" w14:textId="77777777" w:rsidTr="00D76C17">
        <w:tc>
          <w:tcPr>
            <w:tcW w:w="562" w:type="dxa"/>
          </w:tcPr>
          <w:p w14:paraId="6F2D0503" w14:textId="6C6A11A3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6AD9C0DE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80093" w:rsidRPr="007C333B" w14:paraId="2761F093" w14:textId="77777777" w:rsidTr="00D76C17">
        <w:tc>
          <w:tcPr>
            <w:tcW w:w="562" w:type="dxa"/>
          </w:tcPr>
          <w:p w14:paraId="2EA42AE6" w14:textId="7519E278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3C9041C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80093" w:rsidRPr="007C333B" w14:paraId="48EB1ABA" w14:textId="77777777" w:rsidTr="00D76C17">
        <w:tc>
          <w:tcPr>
            <w:tcW w:w="562" w:type="dxa"/>
          </w:tcPr>
          <w:p w14:paraId="2FEBA4DC" w14:textId="7D120E3A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54BD5B32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80093" w:rsidRPr="007C333B" w14:paraId="32F15C53" w14:textId="77777777" w:rsidTr="00D76C17">
        <w:tc>
          <w:tcPr>
            <w:tcW w:w="562" w:type="dxa"/>
          </w:tcPr>
          <w:p w14:paraId="399F7606" w14:textId="38B8B1F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31DAB1D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480093" w:rsidRPr="007C333B" w14:paraId="09915858" w14:textId="77777777" w:rsidTr="00D76C17">
        <w:tc>
          <w:tcPr>
            <w:tcW w:w="562" w:type="dxa"/>
          </w:tcPr>
          <w:p w14:paraId="7BEF36B5" w14:textId="20913EE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4C03917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80093" w:rsidRPr="007C333B" w14:paraId="0FB0928F" w14:textId="77777777" w:rsidTr="00D76C17">
        <w:tc>
          <w:tcPr>
            <w:tcW w:w="562" w:type="dxa"/>
          </w:tcPr>
          <w:p w14:paraId="23081AFE" w14:textId="7F2717C1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795B1FB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80093" w:rsidRPr="007C333B" w14:paraId="4555EA30" w14:textId="77777777" w:rsidTr="00D76C17">
        <w:tc>
          <w:tcPr>
            <w:tcW w:w="562" w:type="dxa"/>
          </w:tcPr>
          <w:p w14:paraId="699EE6F6" w14:textId="19C7404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7DAD093D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80093" w:rsidRPr="007C333B" w14:paraId="5FD3677B" w14:textId="77777777" w:rsidTr="00D76C17">
        <w:tc>
          <w:tcPr>
            <w:tcW w:w="562" w:type="dxa"/>
          </w:tcPr>
          <w:p w14:paraId="37AA93B9" w14:textId="0BF98C5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5EAB8A5B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480093" w:rsidRPr="007C333B" w14:paraId="4448E0F0" w14:textId="77777777" w:rsidTr="00D76C17">
        <w:tc>
          <w:tcPr>
            <w:tcW w:w="562" w:type="dxa"/>
          </w:tcPr>
          <w:p w14:paraId="50740020" w14:textId="7F89569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5479903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480093" w:rsidRPr="007C333B" w14:paraId="438A80AF" w14:textId="77777777" w:rsidTr="00D76C17">
        <w:tc>
          <w:tcPr>
            <w:tcW w:w="562" w:type="dxa"/>
          </w:tcPr>
          <w:p w14:paraId="5CCF06C6" w14:textId="52CCDF03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6EF9F67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480093" w:rsidRPr="007C333B" w14:paraId="7C7F0613" w14:textId="77777777" w:rsidTr="00D76C17">
        <w:tc>
          <w:tcPr>
            <w:tcW w:w="562" w:type="dxa"/>
          </w:tcPr>
          <w:p w14:paraId="7B4B679A" w14:textId="18945A6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6A4651F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480093" w:rsidRPr="007C333B" w14:paraId="48A3060B" w14:textId="77777777" w:rsidTr="00D76C17">
        <w:tc>
          <w:tcPr>
            <w:tcW w:w="562" w:type="dxa"/>
          </w:tcPr>
          <w:p w14:paraId="257B79EF" w14:textId="0E5D9D0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26BE3D8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480093" w:rsidRPr="007C333B" w14:paraId="71C772C9" w14:textId="77777777" w:rsidTr="00D76C17">
        <w:tc>
          <w:tcPr>
            <w:tcW w:w="562" w:type="dxa"/>
          </w:tcPr>
          <w:p w14:paraId="0FDBCB04" w14:textId="385DED6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37C15E4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C17E756" w14:textId="432BC8BF" w:rsidR="00480093" w:rsidRPr="00480093" w:rsidRDefault="007B0AC1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r w:rsidRPr="007B0AC1">
        <w:rPr>
          <w:rStyle w:val="Hiperpovezava"/>
          <w:rFonts w:cs="Times New Roman"/>
          <w:sz w:val="20"/>
          <w:szCs w:val="20"/>
        </w:rPr>
        <w:t>https://eur-lex.europa.eu/legal-content/EN/TXT/?uri=CELEX%3A32024R0163&amp;qid=1707732612711</w:t>
      </w: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7D6A852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>je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5367AB" w:rsidRPr="007C333B" w14:paraId="3BCBC233" w14:textId="77777777" w:rsidTr="006A454B">
        <w:tc>
          <w:tcPr>
            <w:tcW w:w="704" w:type="dxa"/>
          </w:tcPr>
          <w:p w14:paraId="0B281F55" w14:textId="259BDD81" w:rsidR="008B4124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D46AF9C" w14:textId="4592ED49" w:rsidR="005367AB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565E13" w:rsidRPr="007C333B" w14:paraId="0EC6E953" w14:textId="77777777" w:rsidTr="006A454B">
        <w:tc>
          <w:tcPr>
            <w:tcW w:w="704" w:type="dxa"/>
          </w:tcPr>
          <w:p w14:paraId="13AED22E" w14:textId="379D0CF4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34C1EDA7" w14:textId="18959EAD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Angola</w:t>
            </w:r>
          </w:p>
        </w:tc>
      </w:tr>
      <w:tr w:rsidR="00565E13" w:rsidRPr="007C333B" w14:paraId="1B58E6A1" w14:textId="77777777" w:rsidTr="006A454B">
        <w:tc>
          <w:tcPr>
            <w:tcW w:w="704" w:type="dxa"/>
          </w:tcPr>
          <w:p w14:paraId="1EBA246A" w14:textId="1F06AF1B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6613A975" w14:textId="0045E1EC" w:rsidR="00565E13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44410B" w:rsidRPr="007C333B" w14:paraId="379C6E9C" w14:textId="77777777" w:rsidTr="006A454B">
        <w:tc>
          <w:tcPr>
            <w:tcW w:w="704" w:type="dxa"/>
          </w:tcPr>
          <w:p w14:paraId="1139CE43" w14:textId="58ECEABF" w:rsidR="0044410B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71AA917D" w14:textId="295983EA" w:rsidR="0044410B" w:rsidRPr="00F37F21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F21">
              <w:rPr>
                <w:sz w:val="20"/>
                <w:szCs w:val="20"/>
              </w:rPr>
              <w:t>Bolivija</w:t>
            </w:r>
          </w:p>
        </w:tc>
      </w:tr>
      <w:tr w:rsidR="0044410B" w:rsidRPr="007C333B" w14:paraId="223A6E04" w14:textId="77777777" w:rsidTr="006A454B">
        <w:tc>
          <w:tcPr>
            <w:tcW w:w="704" w:type="dxa"/>
          </w:tcPr>
          <w:p w14:paraId="55EA8B6E" w14:textId="13F67B3B" w:rsidR="0044410B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1F3D4E1" w14:textId="41826BDA" w:rsidR="0044410B" w:rsidRPr="00F37F21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F21">
              <w:rPr>
                <w:sz w:val="20"/>
                <w:szCs w:val="20"/>
              </w:rPr>
              <w:t>Britanski Deviški otoki</w:t>
            </w:r>
          </w:p>
        </w:tc>
      </w:tr>
      <w:tr w:rsidR="005367AB" w:rsidRPr="007C333B" w14:paraId="4EAC488A" w14:textId="77777777" w:rsidTr="006A454B">
        <w:tc>
          <w:tcPr>
            <w:tcW w:w="704" w:type="dxa"/>
          </w:tcPr>
          <w:p w14:paraId="12E5DFCB" w14:textId="0D9B1F6B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7C72A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5367AB" w:rsidRPr="007C333B" w14:paraId="298632B8" w14:textId="77777777" w:rsidTr="006A454B">
        <w:tc>
          <w:tcPr>
            <w:tcW w:w="704" w:type="dxa"/>
          </w:tcPr>
          <w:p w14:paraId="4267C2EE" w14:textId="0C661EEC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21ADF469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5367AB" w:rsidRPr="007C333B" w14:paraId="5DE2D9DA" w14:textId="77777777" w:rsidTr="006A454B">
        <w:tc>
          <w:tcPr>
            <w:tcW w:w="704" w:type="dxa"/>
          </w:tcPr>
          <w:p w14:paraId="1C5476C4" w14:textId="2372811D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6F5D0056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5367AB" w:rsidRPr="007C333B" w14:paraId="24D29C3C" w14:textId="77777777" w:rsidTr="006A454B">
        <w:tc>
          <w:tcPr>
            <w:tcW w:w="704" w:type="dxa"/>
          </w:tcPr>
          <w:p w14:paraId="7FFB4DC0" w14:textId="199776CF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66E2C5F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5367AB" w:rsidRPr="007C333B" w14:paraId="38DA3648" w14:textId="77777777" w:rsidTr="006A454B">
        <w:tc>
          <w:tcPr>
            <w:tcW w:w="704" w:type="dxa"/>
          </w:tcPr>
          <w:p w14:paraId="7B87559E" w14:textId="283D3688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11EC7F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5367AB" w:rsidRPr="007C333B" w14:paraId="37E0DA30" w14:textId="77777777" w:rsidTr="006A454B">
        <w:tc>
          <w:tcPr>
            <w:tcW w:w="704" w:type="dxa"/>
          </w:tcPr>
          <w:p w14:paraId="266129F2" w14:textId="78B7D3EE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7892EED2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5367AB" w:rsidRPr="007C333B" w14:paraId="23F56D1D" w14:textId="77777777" w:rsidTr="006A454B">
        <w:tc>
          <w:tcPr>
            <w:tcW w:w="704" w:type="dxa"/>
          </w:tcPr>
          <w:p w14:paraId="481F2C7E" w14:textId="20935F70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6EFABB6E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5367AB" w:rsidRPr="007C333B" w14:paraId="5555B295" w14:textId="77777777" w:rsidTr="006A454B">
        <w:tc>
          <w:tcPr>
            <w:tcW w:w="704" w:type="dxa"/>
          </w:tcPr>
          <w:p w14:paraId="1967B8A5" w14:textId="174BDCF5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3B2353E1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5367AB" w:rsidRPr="007C333B" w14:paraId="03306646" w14:textId="77777777" w:rsidTr="006A454B">
        <w:tc>
          <w:tcPr>
            <w:tcW w:w="704" w:type="dxa"/>
          </w:tcPr>
          <w:p w14:paraId="53B0E1C8" w14:textId="44C43C16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43D2A5D3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8A1E39" w:rsidRPr="007C333B" w14:paraId="3F368A86" w14:textId="77777777" w:rsidTr="006A454B">
        <w:tc>
          <w:tcPr>
            <w:tcW w:w="704" w:type="dxa"/>
          </w:tcPr>
          <w:p w14:paraId="0965D8BB" w14:textId="752709BC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3383ADA" w14:textId="283C23FB" w:rsidR="008A1E39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AC422A" w:rsidRPr="007C333B" w14:paraId="5727FB38" w14:textId="77777777" w:rsidTr="006A454B">
        <w:tc>
          <w:tcPr>
            <w:tcW w:w="704" w:type="dxa"/>
          </w:tcPr>
          <w:p w14:paraId="3D16E3BF" w14:textId="15EB9B16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322BD8C6" w14:textId="5D128D6D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8A1E39" w:rsidRPr="007C333B" w14:paraId="4C23C63F" w14:textId="77777777" w:rsidTr="006A454B">
        <w:tc>
          <w:tcPr>
            <w:tcW w:w="704" w:type="dxa"/>
          </w:tcPr>
          <w:p w14:paraId="6442B84B" w14:textId="1CEC1AFE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6EA507A9" w14:textId="435BE640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8A1E39" w:rsidRPr="007C333B" w14:paraId="530DED5C" w14:textId="77777777" w:rsidTr="006A454B">
        <w:tc>
          <w:tcPr>
            <w:tcW w:w="704" w:type="dxa"/>
          </w:tcPr>
          <w:p w14:paraId="5A7D4BDD" w14:textId="02260EC8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6EE6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13D45001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8A1E39" w:rsidRPr="007C333B" w14:paraId="3F5A7E54" w14:textId="77777777" w:rsidTr="006A454B">
        <w:tc>
          <w:tcPr>
            <w:tcW w:w="704" w:type="dxa"/>
          </w:tcPr>
          <w:p w14:paraId="5857C8B3" w14:textId="0675E26A" w:rsidR="008A1E39" w:rsidRPr="00E018C6" w:rsidRDefault="00B86EE6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3ABB528B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Monako</w:t>
            </w:r>
          </w:p>
        </w:tc>
      </w:tr>
      <w:tr w:rsidR="008A1E39" w:rsidRPr="007C333B" w14:paraId="7FAFD57F" w14:textId="77777777" w:rsidTr="006A454B">
        <w:tc>
          <w:tcPr>
            <w:tcW w:w="704" w:type="dxa"/>
          </w:tcPr>
          <w:p w14:paraId="0DAD4292" w14:textId="6D4BAEFF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4ADF9DA6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8A1E39" w:rsidRPr="007C333B" w14:paraId="74396D80" w14:textId="77777777" w:rsidTr="006A454B">
        <w:tc>
          <w:tcPr>
            <w:tcW w:w="704" w:type="dxa"/>
          </w:tcPr>
          <w:p w14:paraId="487FEED0" w14:textId="18EC8303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6EF97CE6" w14:textId="2741D17B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Namibija</w:t>
            </w:r>
          </w:p>
        </w:tc>
      </w:tr>
      <w:tr w:rsidR="00AC422A" w:rsidRPr="007C333B" w14:paraId="0BAA1AFE" w14:textId="77777777" w:rsidTr="006A454B">
        <w:tc>
          <w:tcPr>
            <w:tcW w:w="704" w:type="dxa"/>
          </w:tcPr>
          <w:p w14:paraId="2F1CC8BD" w14:textId="4CDAA227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E4DD9D1" w14:textId="4DF6EB15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Nepal</w:t>
            </w:r>
          </w:p>
        </w:tc>
      </w:tr>
      <w:tr w:rsidR="008A1E39" w:rsidRPr="007C333B" w14:paraId="609B94DF" w14:textId="77777777" w:rsidTr="006A454B">
        <w:tc>
          <w:tcPr>
            <w:tcW w:w="704" w:type="dxa"/>
          </w:tcPr>
          <w:p w14:paraId="179E746E" w14:textId="545C335B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34E56D37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8A1E39" w:rsidRPr="007C333B" w14:paraId="2240E412" w14:textId="77777777" w:rsidTr="006A454B">
        <w:tc>
          <w:tcPr>
            <w:tcW w:w="704" w:type="dxa"/>
          </w:tcPr>
          <w:p w14:paraId="4BAB0A33" w14:textId="4168F060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7BB32289" w14:textId="11175AE9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8A1E39" w:rsidRPr="007C333B" w14:paraId="68D65D08" w14:textId="77777777" w:rsidTr="006A454B">
        <w:tc>
          <w:tcPr>
            <w:tcW w:w="704" w:type="dxa"/>
          </w:tcPr>
          <w:p w14:paraId="2E7A5B96" w14:textId="64EDEA1D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7184330" w14:textId="57BB644E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Slonokoščena obala</w:t>
            </w:r>
          </w:p>
        </w:tc>
      </w:tr>
      <w:tr w:rsidR="008A1E39" w:rsidRPr="007C333B" w14:paraId="33620F40" w14:textId="77777777" w:rsidTr="006A454B">
        <w:tc>
          <w:tcPr>
            <w:tcW w:w="704" w:type="dxa"/>
          </w:tcPr>
          <w:p w14:paraId="0FE15C11" w14:textId="7C31EC0E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5395C2E1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Venezuela</w:t>
            </w:r>
          </w:p>
        </w:tc>
      </w:tr>
      <w:tr w:rsidR="008A1E39" w:rsidRPr="007C333B" w14:paraId="0CBA6F6E" w14:textId="77777777" w:rsidTr="006A454B">
        <w:tc>
          <w:tcPr>
            <w:tcW w:w="704" w:type="dxa"/>
          </w:tcPr>
          <w:p w14:paraId="53EFD819" w14:textId="1FEC074E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33422CB8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54D420E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</w:p>
    <w:p w14:paraId="27C6BEC5" w14:textId="77777777" w:rsidR="005C587C" w:rsidRPr="005C587C" w:rsidRDefault="00852EA2" w:rsidP="00915A59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8" w:history="1">
        <w:proofErr w:type="spellStart"/>
        <w:r w:rsidR="005C587C" w:rsidRPr="005C587C">
          <w:rPr>
            <w:rStyle w:val="Hiperpovezava"/>
            <w:sz w:val="20"/>
            <w:szCs w:val="20"/>
          </w:rPr>
          <w:t>Jurisdictions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</w:t>
        </w:r>
        <w:proofErr w:type="spellStart"/>
        <w:r w:rsidR="005C587C" w:rsidRPr="005C587C">
          <w:rPr>
            <w:rStyle w:val="Hiperpovezava"/>
            <w:sz w:val="20"/>
            <w:szCs w:val="20"/>
          </w:rPr>
          <w:t>under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</w:t>
        </w:r>
        <w:proofErr w:type="spellStart"/>
        <w:r w:rsidR="005C587C" w:rsidRPr="005C587C">
          <w:rPr>
            <w:rStyle w:val="Hiperpovezava"/>
            <w:sz w:val="20"/>
            <w:szCs w:val="20"/>
          </w:rPr>
          <w:t>Increased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Monitoring - 13 </w:t>
        </w:r>
        <w:proofErr w:type="spellStart"/>
        <w:r w:rsidR="005C587C" w:rsidRPr="005C587C">
          <w:rPr>
            <w:rStyle w:val="Hiperpovezava"/>
            <w:sz w:val="20"/>
            <w:szCs w:val="20"/>
          </w:rPr>
          <w:t>June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2025</w:t>
        </w:r>
      </w:hyperlink>
      <w:r w:rsidR="005C587C" w:rsidRPr="005C587C">
        <w:rPr>
          <w:rStyle w:val="Hiperpovezava"/>
          <w:sz w:val="20"/>
          <w:szCs w:val="20"/>
        </w:rPr>
        <w:t xml:space="preserve"> </w:t>
      </w:r>
    </w:p>
    <w:p w14:paraId="74FB918B" w14:textId="3BEC7E47" w:rsidR="00E76AC2" w:rsidRDefault="00852EA2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9" w:history="1">
        <w:r w:rsidR="008A01D6" w:rsidRPr="00AE31AE">
          <w:rPr>
            <w:rStyle w:val="Hiperpovezava"/>
            <w:sz w:val="20"/>
            <w:szCs w:val="20"/>
          </w:rPr>
          <w:t>https://www.fatf-gafi.org/content/fatf-gafi/en/publications/High-risk-and-other-monitored-jurisdictions/Call-for-action-june-2025.html</w:t>
        </w:r>
      </w:hyperlink>
    </w:p>
    <w:p w14:paraId="406F255C" w14:textId="77777777" w:rsidR="008A01D6" w:rsidRPr="008A01D6" w:rsidRDefault="008A01D6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lastRenderedPageBreak/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3E80E483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</w:t>
      </w:r>
      <w:r w:rsidR="00BD7EF3">
        <w:rPr>
          <w:sz w:val="20"/>
          <w:szCs w:val="20"/>
        </w:rPr>
        <w:t xml:space="preserve">da </w:t>
      </w:r>
      <w:r w:rsidRPr="007C333B">
        <w:rPr>
          <w:sz w:val="20"/>
          <w:szCs w:val="20"/>
        </w:rPr>
        <w:t xml:space="preserve">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E0203C" w:rsidRPr="007C333B" w14:paraId="75F336C1" w14:textId="77777777" w:rsidTr="003A656A">
        <w:tc>
          <w:tcPr>
            <w:tcW w:w="562" w:type="dxa"/>
          </w:tcPr>
          <w:p w14:paraId="5A1764CF" w14:textId="6B1DAA1C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504E915B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BE1C9F" w:rsidRPr="007C333B" w14:paraId="092903F4" w14:textId="77777777" w:rsidTr="003A656A">
        <w:tc>
          <w:tcPr>
            <w:tcW w:w="562" w:type="dxa"/>
          </w:tcPr>
          <w:p w14:paraId="73AE6E00" w14:textId="6771E420" w:rsidR="00BE1C9F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5BEF0D0" w14:textId="2488BE49" w:rsidR="00BE1C9F" w:rsidRPr="00F37F21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7F21">
              <w:rPr>
                <w:rFonts w:cs="Arial"/>
                <w:sz w:val="20"/>
                <w:szCs w:val="20"/>
              </w:rPr>
              <w:t>Črna gora</w:t>
            </w:r>
          </w:p>
        </w:tc>
      </w:tr>
      <w:tr w:rsidR="00BE1C9F" w:rsidRPr="007C333B" w14:paraId="6DFC0BC1" w14:textId="77777777" w:rsidTr="003A656A">
        <w:tc>
          <w:tcPr>
            <w:tcW w:w="562" w:type="dxa"/>
          </w:tcPr>
          <w:p w14:paraId="72347ACF" w14:textId="17497D4A" w:rsidR="00BE1C9F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2583BD3" w14:textId="6F3DDD4C" w:rsidR="00BE1C9F" w:rsidRPr="00F37F21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7F21">
              <w:rPr>
                <w:rFonts w:cs="Arial"/>
                <w:sz w:val="20"/>
                <w:szCs w:val="20"/>
              </w:rPr>
              <w:t>Jordanija</w:t>
            </w:r>
          </w:p>
        </w:tc>
      </w:tr>
      <w:tr w:rsidR="00E0203C" w:rsidRPr="007C333B" w14:paraId="5619705E" w14:textId="77777777" w:rsidTr="003A656A">
        <w:tc>
          <w:tcPr>
            <w:tcW w:w="562" w:type="dxa"/>
          </w:tcPr>
          <w:p w14:paraId="19CE3DDE" w14:textId="4801DEBB" w:rsidR="00E0203C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5D210068" w14:textId="712B30A3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E0203C" w:rsidRPr="007C333B" w14:paraId="2FF16F0A" w14:textId="77777777" w:rsidTr="003A656A">
        <w:tc>
          <w:tcPr>
            <w:tcW w:w="562" w:type="dxa"/>
          </w:tcPr>
          <w:p w14:paraId="5A099213" w14:textId="18A5DCBF" w:rsidR="00E0203C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652AA464" w14:textId="4CC318E5" w:rsidR="00E0203C" w:rsidRPr="007C333B" w:rsidRDefault="00505174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E0203C" w:rsidRPr="007C333B" w14:paraId="78E8C3BB" w14:textId="77777777" w:rsidTr="003A656A">
        <w:tc>
          <w:tcPr>
            <w:tcW w:w="562" w:type="dxa"/>
          </w:tcPr>
          <w:p w14:paraId="77EC5048" w14:textId="0F9D57F5" w:rsidR="00E0203C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896B69E" w14:textId="38254FDB" w:rsidR="00E0203C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BE1C9F" w:rsidRPr="007C333B" w14:paraId="77CEEB31" w14:textId="77777777" w:rsidTr="003A656A">
        <w:tc>
          <w:tcPr>
            <w:tcW w:w="562" w:type="dxa"/>
          </w:tcPr>
          <w:p w14:paraId="56F2D94A" w14:textId="22440808" w:rsidR="00BE1C9F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3D86CF63" w14:textId="786C1B6C" w:rsidR="00BE1C9F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E0203C" w:rsidRPr="007C333B" w14:paraId="0F2CC3F1" w14:textId="77777777" w:rsidTr="003A656A">
        <w:tc>
          <w:tcPr>
            <w:tcW w:w="562" w:type="dxa"/>
          </w:tcPr>
          <w:p w14:paraId="740BABE5" w14:textId="1867B9BC" w:rsidR="00E0203C" w:rsidRDefault="00BE1C9F" w:rsidP="00E020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73BC0585" w14:textId="76B8C4AE" w:rsidR="00E0203C" w:rsidRDefault="00E0203C" w:rsidP="00E0203C">
            <w:pPr>
              <w:spacing w:line="276" w:lineRule="auto"/>
              <w:rPr>
                <w:sz w:val="20"/>
                <w:szCs w:val="20"/>
              </w:rPr>
            </w:pPr>
            <w:r w:rsidRPr="00E0203C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2B93254D" w14:textId="6EEF6487" w:rsidR="00336A04" w:rsidRDefault="00852EA2" w:rsidP="003B7156">
      <w:pPr>
        <w:pStyle w:val="Default"/>
        <w:spacing w:line="276" w:lineRule="auto"/>
        <w:jc w:val="both"/>
        <w:rPr>
          <w:sz w:val="20"/>
          <w:szCs w:val="20"/>
        </w:rPr>
      </w:pPr>
      <w:hyperlink r:id="rId10" w:history="1">
        <w:r w:rsidR="003B7156" w:rsidRPr="00AE31AE">
          <w:rPr>
            <w:rStyle w:val="Hiperpovezava"/>
            <w:sz w:val="20"/>
            <w:szCs w:val="20"/>
          </w:rPr>
          <w:t>https://web-archive.oecd.org/tax/transparency/documents/global-forum-annual-report-2024.pdf</w:t>
        </w:r>
      </w:hyperlink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7535AE" w:rsidRPr="007C333B" w14:paraId="7C6CDB9F" w14:textId="77777777" w:rsidTr="00E71735">
        <w:tc>
          <w:tcPr>
            <w:tcW w:w="562" w:type="dxa"/>
          </w:tcPr>
          <w:p w14:paraId="4EDCE62E" w14:textId="65A566FB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B7757B8" w14:textId="3633CF1D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906A88" w:rsidRPr="007C333B" w14:paraId="1B32955E" w14:textId="77777777" w:rsidTr="00E71735">
        <w:tc>
          <w:tcPr>
            <w:tcW w:w="562" w:type="dxa"/>
          </w:tcPr>
          <w:p w14:paraId="516E3D89" w14:textId="049EAAA6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51113D5" w14:textId="37C29058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906A88" w:rsidRPr="007C333B" w14:paraId="75126A9A" w14:textId="77777777" w:rsidTr="00E71735">
        <w:tc>
          <w:tcPr>
            <w:tcW w:w="562" w:type="dxa"/>
          </w:tcPr>
          <w:p w14:paraId="39321CB7" w14:textId="278D3640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5F8CE62" w14:textId="3E285B28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Gvam</w:t>
            </w:r>
            <w:proofErr w:type="spellEnd"/>
          </w:p>
        </w:tc>
      </w:tr>
      <w:tr w:rsidR="00906A88" w:rsidRPr="007C333B" w14:paraId="213E74FA" w14:textId="77777777" w:rsidTr="00E71735">
        <w:tc>
          <w:tcPr>
            <w:tcW w:w="562" w:type="dxa"/>
          </w:tcPr>
          <w:p w14:paraId="3DD7C8D3" w14:textId="5CBB398E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BA9EEE4" w14:textId="2D3DE98B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Palav</w:t>
            </w:r>
            <w:proofErr w:type="spellEnd"/>
          </w:p>
        </w:tc>
      </w:tr>
      <w:tr w:rsidR="00906A88" w:rsidRPr="007C333B" w14:paraId="26923769" w14:textId="77777777" w:rsidTr="00E71735">
        <w:tc>
          <w:tcPr>
            <w:tcW w:w="562" w:type="dxa"/>
          </w:tcPr>
          <w:p w14:paraId="297D4C22" w14:textId="1A5AB8C9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16DA651" w14:textId="3B35556F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906A88" w:rsidRPr="007C333B" w14:paraId="751B3C3C" w14:textId="77777777" w:rsidTr="00E71735">
        <w:tc>
          <w:tcPr>
            <w:tcW w:w="562" w:type="dxa"/>
          </w:tcPr>
          <w:p w14:paraId="615E125A" w14:textId="4820597B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26483A5" w14:textId="081B584C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906A88" w:rsidRPr="007C333B" w14:paraId="080D2C82" w14:textId="77777777" w:rsidTr="00E71735">
        <w:tc>
          <w:tcPr>
            <w:tcW w:w="562" w:type="dxa"/>
          </w:tcPr>
          <w:p w14:paraId="34798CF4" w14:textId="04996BBC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0E2CE32" w14:textId="1C170E57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906A88" w:rsidRPr="007C333B" w14:paraId="1D6322D9" w14:textId="77777777" w:rsidTr="00E71735">
        <w:tc>
          <w:tcPr>
            <w:tcW w:w="562" w:type="dxa"/>
          </w:tcPr>
          <w:p w14:paraId="35D32BC5" w14:textId="7DB2616D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7C71309E" w14:textId="3B8DD1F5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906A88" w:rsidRPr="007C333B" w14:paraId="2E4B9E55" w14:textId="77777777" w:rsidTr="00E71735">
        <w:tc>
          <w:tcPr>
            <w:tcW w:w="562" w:type="dxa"/>
          </w:tcPr>
          <w:p w14:paraId="01422E09" w14:textId="0ECF4ECF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62ECB794" w14:textId="4ABC803E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3FE4343D" w14:textId="6773E915" w:rsidR="007535AE" w:rsidRPr="00906A88" w:rsidRDefault="00852EA2" w:rsidP="00906A88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11" w:history="1">
        <w:r w:rsidR="00906A88" w:rsidRPr="00906A88">
          <w:rPr>
            <w:rStyle w:val="Hiperpovezava"/>
            <w:sz w:val="20"/>
            <w:szCs w:val="20"/>
          </w:rPr>
          <w:t>https://eur-lex.europa.eu/legal-content/EN/TXT/?uri=CELEX%3A52024XG06322&amp;qid=1730725567140</w:t>
        </w:r>
      </w:hyperlink>
    </w:p>
    <w:p w14:paraId="6CD7D97F" w14:textId="77777777" w:rsidR="00906A88" w:rsidRDefault="00906A88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lastRenderedPageBreak/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Laos</w:t>
            </w:r>
          </w:p>
        </w:tc>
      </w:tr>
      <w:tr w:rsidR="000734B1" w:rsidRPr="007C333B" w14:paraId="171F82D0" w14:textId="77777777" w:rsidTr="007D7034">
        <w:tc>
          <w:tcPr>
            <w:tcW w:w="562" w:type="dxa"/>
          </w:tcPr>
          <w:p w14:paraId="2A6BB6FB" w14:textId="58A3F406" w:rsid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1578F42" w14:textId="08AC64CE" w:rsidR="000734B1" w:rsidRP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Libanon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299323AE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9E5B7F9" w14:textId="2351D36E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1EC77A8A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7F084A8" w14:textId="5FE75C9C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625AE252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6844ACE" w14:textId="1989A978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23AA61BE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47FC00B" w14:textId="4A517978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Peru</w:t>
            </w:r>
          </w:p>
        </w:tc>
      </w:tr>
      <w:tr w:rsidR="003C6882" w:rsidRPr="007C333B" w14:paraId="0BD5AF2D" w14:textId="77777777" w:rsidTr="007D7034">
        <w:tc>
          <w:tcPr>
            <w:tcW w:w="562" w:type="dxa"/>
          </w:tcPr>
          <w:p w14:paraId="76C33766" w14:textId="20E0EDFA" w:rsidR="003C6882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A312E9A" w14:textId="40826E5A" w:rsidR="003C6882" w:rsidRPr="000734B1" w:rsidRDefault="003C688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Sirija</w:t>
            </w:r>
          </w:p>
        </w:tc>
      </w:tr>
      <w:tr w:rsidR="000734B1" w:rsidRPr="007C333B" w14:paraId="0EE4DCED" w14:textId="77777777" w:rsidTr="007D7034">
        <w:tc>
          <w:tcPr>
            <w:tcW w:w="562" w:type="dxa"/>
          </w:tcPr>
          <w:p w14:paraId="43E26EA4" w14:textId="220F218D" w:rsid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60BB5CD2" w14:textId="166052D8" w:rsidR="000734B1" w:rsidRP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Tajska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7AFE580" w14:textId="36B48A47" w:rsidR="00071DFC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2D584D8C" w14:textId="4D3A91FC" w:rsidR="00071DFC" w:rsidRDefault="00852EA2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071DFC" w:rsidRPr="002D2B70">
          <w:rPr>
            <w:rStyle w:val="Hiperpovezava"/>
            <w:rFonts w:cs="Arial"/>
            <w:sz w:val="20"/>
            <w:szCs w:val="20"/>
          </w:rPr>
          <w:t>https://www.unodc.org/unodc/en/data-and-analysis/world-drug-report-2024.html</w:t>
        </w:r>
      </w:hyperlink>
    </w:p>
    <w:p w14:paraId="3155B136" w14:textId="77777777" w:rsidR="00071DFC" w:rsidRPr="007C333B" w:rsidRDefault="00071DFC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lastRenderedPageBreak/>
        <w:t>Vir:</w:t>
      </w:r>
    </w:p>
    <w:p w14:paraId="4534C9DB" w14:textId="719F6EB5" w:rsidR="005C689C" w:rsidRPr="007C333B" w:rsidRDefault="00852EA2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3" w:history="1">
        <w:r w:rsidR="00071DFC" w:rsidRPr="002D2B70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852EA2" w:rsidP="0046414E">
      <w:pPr>
        <w:spacing w:line="276" w:lineRule="auto"/>
        <w:rPr>
          <w:rFonts w:cs="Arial"/>
          <w:sz w:val="20"/>
          <w:szCs w:val="20"/>
        </w:rPr>
      </w:pPr>
      <w:hyperlink r:id="rId14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64C835E4" w14:textId="02C722D6" w:rsidR="00753F4E" w:rsidRPr="00245772" w:rsidRDefault="00925FA8" w:rsidP="005A3BA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lastRenderedPageBreak/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sectPr w:rsidR="00753F4E" w:rsidRPr="00245772" w:rsidSect="0049041F">
      <w:headerReference w:type="default" r:id="rId15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C39" w14:textId="77777777" w:rsidR="00571F35" w:rsidRDefault="00571F35" w:rsidP="00870654">
      <w:r>
        <w:separator/>
      </w:r>
    </w:p>
  </w:endnote>
  <w:endnote w:type="continuationSeparator" w:id="0">
    <w:p w14:paraId="5CB8D4A6" w14:textId="77777777" w:rsidR="00571F35" w:rsidRDefault="00571F35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693B" w14:textId="77777777" w:rsidR="00571F35" w:rsidRDefault="00571F35" w:rsidP="00870654">
      <w:r>
        <w:separator/>
      </w:r>
    </w:p>
  </w:footnote>
  <w:footnote w:type="continuationSeparator" w:id="0">
    <w:p w14:paraId="007B77E5" w14:textId="77777777" w:rsidR="00571F35" w:rsidRDefault="00571F35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1DFC"/>
    <w:rsid w:val="000734B1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3D99"/>
    <w:rsid w:val="001B6F1C"/>
    <w:rsid w:val="001C7464"/>
    <w:rsid w:val="001C78AD"/>
    <w:rsid w:val="001D0528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34285"/>
    <w:rsid w:val="00242972"/>
    <w:rsid w:val="00242E42"/>
    <w:rsid w:val="0024577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74348"/>
    <w:rsid w:val="00295878"/>
    <w:rsid w:val="00297054"/>
    <w:rsid w:val="002A104D"/>
    <w:rsid w:val="002A6C9C"/>
    <w:rsid w:val="002B23EA"/>
    <w:rsid w:val="002B5B4E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66F87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B7156"/>
    <w:rsid w:val="003C4AC3"/>
    <w:rsid w:val="003C5ADA"/>
    <w:rsid w:val="003C6882"/>
    <w:rsid w:val="003D1376"/>
    <w:rsid w:val="003D1679"/>
    <w:rsid w:val="003D2A0B"/>
    <w:rsid w:val="003E2A4D"/>
    <w:rsid w:val="003F515D"/>
    <w:rsid w:val="003F72AB"/>
    <w:rsid w:val="003F7A99"/>
    <w:rsid w:val="0040121D"/>
    <w:rsid w:val="00401BC3"/>
    <w:rsid w:val="00405F54"/>
    <w:rsid w:val="004069BB"/>
    <w:rsid w:val="004103AC"/>
    <w:rsid w:val="00412568"/>
    <w:rsid w:val="00414B43"/>
    <w:rsid w:val="00427FF2"/>
    <w:rsid w:val="00440758"/>
    <w:rsid w:val="0044410B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093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5174"/>
    <w:rsid w:val="00506072"/>
    <w:rsid w:val="00507C34"/>
    <w:rsid w:val="005101D6"/>
    <w:rsid w:val="005115D2"/>
    <w:rsid w:val="0051779D"/>
    <w:rsid w:val="0052511C"/>
    <w:rsid w:val="00525424"/>
    <w:rsid w:val="00527F7D"/>
    <w:rsid w:val="005367AB"/>
    <w:rsid w:val="00540DCD"/>
    <w:rsid w:val="00540DCF"/>
    <w:rsid w:val="005459D7"/>
    <w:rsid w:val="00560B5A"/>
    <w:rsid w:val="00561F96"/>
    <w:rsid w:val="00565E13"/>
    <w:rsid w:val="00567700"/>
    <w:rsid w:val="00570B5E"/>
    <w:rsid w:val="00571EA4"/>
    <w:rsid w:val="00571F35"/>
    <w:rsid w:val="005834EC"/>
    <w:rsid w:val="00587B70"/>
    <w:rsid w:val="005906ED"/>
    <w:rsid w:val="00593277"/>
    <w:rsid w:val="0059657D"/>
    <w:rsid w:val="005A3BA4"/>
    <w:rsid w:val="005B07BC"/>
    <w:rsid w:val="005B6C1F"/>
    <w:rsid w:val="005C0C8A"/>
    <w:rsid w:val="005C2075"/>
    <w:rsid w:val="005C587C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A6CAA"/>
    <w:rsid w:val="006A73F5"/>
    <w:rsid w:val="006A7B45"/>
    <w:rsid w:val="006B13BE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24EDC"/>
    <w:rsid w:val="007331F7"/>
    <w:rsid w:val="007348FA"/>
    <w:rsid w:val="00747CD6"/>
    <w:rsid w:val="007505EE"/>
    <w:rsid w:val="007535A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1AB4"/>
    <w:rsid w:val="00792359"/>
    <w:rsid w:val="007926CE"/>
    <w:rsid w:val="00792B2A"/>
    <w:rsid w:val="007936E4"/>
    <w:rsid w:val="007974CD"/>
    <w:rsid w:val="007A2048"/>
    <w:rsid w:val="007A2D6C"/>
    <w:rsid w:val="007A54FE"/>
    <w:rsid w:val="007B0AC1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2EA2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A01D6"/>
    <w:rsid w:val="008A1E39"/>
    <w:rsid w:val="008B07AE"/>
    <w:rsid w:val="008B4124"/>
    <w:rsid w:val="008C2399"/>
    <w:rsid w:val="008C257B"/>
    <w:rsid w:val="008D0C06"/>
    <w:rsid w:val="008D1B45"/>
    <w:rsid w:val="008D3256"/>
    <w:rsid w:val="008D4617"/>
    <w:rsid w:val="008D70C9"/>
    <w:rsid w:val="008D7F54"/>
    <w:rsid w:val="008E12D1"/>
    <w:rsid w:val="008E24F0"/>
    <w:rsid w:val="008E3AF9"/>
    <w:rsid w:val="008F3590"/>
    <w:rsid w:val="008F5E5A"/>
    <w:rsid w:val="00906A88"/>
    <w:rsid w:val="00915A59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758D8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106E"/>
    <w:rsid w:val="00A42890"/>
    <w:rsid w:val="00A43E3F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422A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260D8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86EE6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D7EF3"/>
    <w:rsid w:val="00BE1C9F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43D3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E559D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1D79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D7B30"/>
    <w:rsid w:val="00DE2486"/>
    <w:rsid w:val="00DF1B17"/>
    <w:rsid w:val="00DF6EE4"/>
    <w:rsid w:val="00E018C6"/>
    <w:rsid w:val="00E0203C"/>
    <w:rsid w:val="00E0735F"/>
    <w:rsid w:val="00E07714"/>
    <w:rsid w:val="00E11BAC"/>
    <w:rsid w:val="00E21C73"/>
    <w:rsid w:val="00E231E7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76AC2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01F0"/>
    <w:rsid w:val="00F04472"/>
    <w:rsid w:val="00F069EC"/>
    <w:rsid w:val="00F1609F"/>
    <w:rsid w:val="00F2087A"/>
    <w:rsid w:val="00F21880"/>
    <w:rsid w:val="00F32024"/>
    <w:rsid w:val="00F321D3"/>
    <w:rsid w:val="00F37742"/>
    <w:rsid w:val="00F37F21"/>
    <w:rsid w:val="00F40C0D"/>
    <w:rsid w:val="00F4262F"/>
    <w:rsid w:val="00F44F04"/>
    <w:rsid w:val="00F53035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0E30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content/fatf-gafi/en/publications/High-risk-and-other-monitored-jurisdictions/increased-monitoring-june-2025.html" TargetMode="External"/><Relationship Id="rId13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unodc/en/data-and-analysis/world-drug-report-202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52024XG06322&amp;qid=17307255671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-archive.oecd.org/tax/transparency/documents/global-forum-annual-report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High-risk-and-other-monitored-jurisdictions/Call-for-action-june-2025.html" TargetMode="External"/><Relationship Id="rId14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11601</Characters>
  <Application>Microsoft Office Word</Application>
  <DocSecurity>4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2025-06-16T10:57:00Z</dcterms:created>
  <dcterms:modified xsi:type="dcterms:W3CDTF">2025-06-16T10:57:00Z</dcterms:modified>
</cp:coreProperties>
</file>