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13B" w14:textId="77777777" w:rsidR="0046414E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62A94911" w14:textId="77777777" w:rsidR="0046414E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SEZNAM </w:t>
      </w:r>
      <w:r w:rsidR="00925FA8" w:rsidRPr="00E9667D">
        <w:rPr>
          <w:rFonts w:cs="Arial"/>
          <w:b/>
          <w:szCs w:val="22"/>
        </w:rPr>
        <w:t>DRŽAV,</w:t>
      </w:r>
    </w:p>
    <w:p w14:paraId="1364F9B4" w14:textId="77777777" w:rsidR="0046414E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 </w:t>
      </w:r>
      <w:r w:rsidR="006C3ACE">
        <w:rPr>
          <w:rFonts w:cs="Arial"/>
          <w:b/>
          <w:szCs w:val="22"/>
        </w:rPr>
        <w:t>V ZVE</w:t>
      </w:r>
      <w:r w:rsidR="00F44F04">
        <w:rPr>
          <w:rFonts w:cs="Arial"/>
          <w:b/>
          <w:szCs w:val="22"/>
        </w:rPr>
        <w:t>Z</w:t>
      </w:r>
      <w:r w:rsidR="006C3ACE">
        <w:rPr>
          <w:rFonts w:cs="Arial"/>
          <w:b/>
          <w:szCs w:val="22"/>
        </w:rPr>
        <w:t xml:space="preserve">I S KATERIMI OBSTAJA </w:t>
      </w:r>
      <w:r w:rsidR="005115D2">
        <w:rPr>
          <w:rFonts w:cs="Arial"/>
          <w:b/>
          <w:szCs w:val="22"/>
        </w:rPr>
        <w:t xml:space="preserve">VISOKO IN POVEČANO </w:t>
      </w:r>
      <w:r w:rsidR="006C3ACE">
        <w:rPr>
          <w:rFonts w:cs="Arial"/>
          <w:b/>
          <w:szCs w:val="22"/>
        </w:rPr>
        <w:t>TVEGANJE</w:t>
      </w:r>
    </w:p>
    <w:p w14:paraId="23CC30C7" w14:textId="77777777" w:rsidR="00925FA8" w:rsidRPr="00E9667D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>ZA POJAV PRANJA D</w:t>
      </w:r>
      <w:r w:rsidR="00925FA8" w:rsidRPr="00E9667D">
        <w:rPr>
          <w:rFonts w:cs="Arial"/>
          <w:b/>
          <w:szCs w:val="22"/>
        </w:rPr>
        <w:t>E</w:t>
      </w:r>
      <w:r w:rsidRPr="00E9667D">
        <w:rPr>
          <w:rFonts w:cs="Arial"/>
          <w:b/>
          <w:szCs w:val="22"/>
        </w:rPr>
        <w:t>N</w:t>
      </w:r>
      <w:r w:rsidR="00925FA8" w:rsidRPr="00E9667D">
        <w:rPr>
          <w:rFonts w:cs="Arial"/>
          <w:b/>
          <w:szCs w:val="22"/>
        </w:rPr>
        <w:t>ARJA ALI FINANCIRANJA TERORIZMA</w:t>
      </w:r>
    </w:p>
    <w:p w14:paraId="6B781995" w14:textId="77777777" w:rsidR="008F3590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(zadnja sprememba: </w:t>
      </w:r>
      <w:r w:rsidR="002D7CDD">
        <w:rPr>
          <w:rFonts w:cs="Arial"/>
          <w:b/>
          <w:szCs w:val="22"/>
        </w:rPr>
        <w:t>15.2</w:t>
      </w:r>
      <w:r w:rsidR="00EA7B3A">
        <w:rPr>
          <w:rFonts w:cs="Arial"/>
          <w:b/>
          <w:szCs w:val="22"/>
        </w:rPr>
        <w:t>.2023</w:t>
      </w:r>
      <w:r w:rsidRPr="00E9667D">
        <w:rPr>
          <w:rFonts w:cs="Arial"/>
          <w:b/>
          <w:szCs w:val="22"/>
        </w:rPr>
        <w:t>)</w:t>
      </w:r>
    </w:p>
    <w:p w14:paraId="797A5A6B" w14:textId="77777777" w:rsidR="0046414E" w:rsidRPr="00E9667D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Cs w:val="22"/>
        </w:rPr>
      </w:pPr>
    </w:p>
    <w:p w14:paraId="65EBAD49" w14:textId="77777777" w:rsidR="008C2399" w:rsidRDefault="008C2399" w:rsidP="0046414E">
      <w:pPr>
        <w:spacing w:line="276" w:lineRule="auto"/>
        <w:rPr>
          <w:rFonts w:cs="Arial"/>
          <w:color w:val="FF0000"/>
          <w:szCs w:val="22"/>
        </w:rPr>
      </w:pPr>
    </w:p>
    <w:p w14:paraId="1D63B173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149B39C9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22047F8E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219E3285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4D04DA2E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4E32E396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1151D945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0C08F580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4EBEE346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0C21E1FA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0AE6FCBB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5A7A3B4B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</w:t>
      </w:r>
      <w:r w:rsidR="007926CE">
        <w:rPr>
          <w:rFonts w:cs="Arial"/>
          <w:szCs w:val="22"/>
        </w:rPr>
        <w:t>5</w:t>
      </w:r>
      <w:r w:rsidR="001B6F1C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1E419047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5448BA13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05175348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6AE2A59B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</w:t>
      </w:r>
      <w:r w:rsidR="007926CE">
        <w:rPr>
          <w:rFonts w:cs="Arial"/>
          <w:szCs w:val="22"/>
        </w:rPr>
        <w:t>2</w:t>
      </w:r>
      <w:r w:rsidR="00673094">
        <w:rPr>
          <w:rFonts w:cs="Arial"/>
          <w:szCs w:val="22"/>
        </w:rPr>
        <w:t xml:space="preserve">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</w:t>
      </w:r>
      <w:r w:rsidR="007926CE">
        <w:rPr>
          <w:rFonts w:cs="Arial"/>
          <w:szCs w:val="22"/>
        </w:rPr>
        <w:t>5</w:t>
      </w:r>
      <w:r w:rsidR="007F1CE1">
        <w:rPr>
          <w:rFonts w:cs="Arial"/>
          <w:szCs w:val="22"/>
        </w:rPr>
        <w:t>. člena ZPPDFT-</w:t>
      </w:r>
      <w:r w:rsidR="007926CE">
        <w:rPr>
          <w:rFonts w:cs="Arial"/>
          <w:szCs w:val="22"/>
        </w:rPr>
        <w:t>2</w:t>
      </w:r>
      <w:r w:rsidR="007F1CE1">
        <w:rPr>
          <w:rFonts w:cs="Arial"/>
          <w:szCs w:val="22"/>
        </w:rPr>
        <w:t xml:space="preserve">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13F80AD8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2DC4CAB9" w14:textId="77777777" w:rsidR="009D2CB1" w:rsidRDefault="009D2CB1" w:rsidP="0046414E">
      <w:pPr>
        <w:spacing w:line="276" w:lineRule="auto"/>
        <w:rPr>
          <w:rFonts w:cs="Arial"/>
          <w:szCs w:val="22"/>
        </w:rPr>
      </w:pPr>
    </w:p>
    <w:p w14:paraId="71A1F545" w14:textId="77777777" w:rsidR="004923A3" w:rsidRPr="004923A3" w:rsidRDefault="004923A3" w:rsidP="00055403">
      <w:pPr>
        <w:pStyle w:val="Naslov3"/>
        <w:numPr>
          <w:ilvl w:val="0"/>
          <w:numId w:val="14"/>
        </w:numPr>
        <w:rPr>
          <w:szCs w:val="22"/>
        </w:rPr>
      </w:pPr>
      <w:r>
        <w:t>DRŽAV</w:t>
      </w:r>
      <w:r w:rsidR="003D2A0B">
        <w:t>E Z VISOKIM TVEGANJEM</w:t>
      </w:r>
    </w:p>
    <w:p w14:paraId="6D4B3EA4" w14:textId="77777777" w:rsidR="00071244" w:rsidRDefault="00071244" w:rsidP="0046414E">
      <w:pPr>
        <w:pStyle w:val="Default"/>
        <w:spacing w:after="17" w:line="276" w:lineRule="auto"/>
        <w:rPr>
          <w:sz w:val="22"/>
          <w:szCs w:val="22"/>
        </w:rPr>
      </w:pPr>
    </w:p>
    <w:p w14:paraId="7AAF0D0A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28943564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58D10170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653103CC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246B8858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4C5A6CA3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44068CCB" w14:textId="77777777" w:rsidR="004923A3" w:rsidRDefault="00EA7B3A" w:rsidP="00D6219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Šesti</w:t>
      </w:r>
      <w:r w:rsidR="004923A3" w:rsidRPr="00F904DB">
        <w:rPr>
          <w:sz w:val="22"/>
          <w:szCs w:val="22"/>
        </w:rPr>
        <w:t xml:space="preserve"> odstavek 5</w:t>
      </w:r>
      <w:r w:rsidR="007926CE">
        <w:rPr>
          <w:sz w:val="22"/>
          <w:szCs w:val="22"/>
        </w:rPr>
        <w:t>5</w:t>
      </w:r>
      <w:r w:rsidR="004923A3" w:rsidRPr="00F904DB">
        <w:rPr>
          <w:sz w:val="22"/>
          <w:szCs w:val="22"/>
        </w:rPr>
        <w:t>. člena ZPPDFT-</w:t>
      </w:r>
      <w:r w:rsidR="007926CE">
        <w:rPr>
          <w:sz w:val="22"/>
          <w:szCs w:val="22"/>
        </w:rPr>
        <w:t>2</w:t>
      </w:r>
      <w:r w:rsidR="004923A3" w:rsidRPr="00F904DB">
        <w:rPr>
          <w:sz w:val="22"/>
          <w:szCs w:val="22"/>
        </w:rPr>
        <w:t xml:space="preserve"> določa, da se za visoko tvegane države iz 1. točke tretjega odstavka </w:t>
      </w:r>
      <w:r w:rsidR="007926CE">
        <w:rPr>
          <w:sz w:val="22"/>
          <w:szCs w:val="22"/>
        </w:rPr>
        <w:t xml:space="preserve">55. člena </w:t>
      </w:r>
      <w:r w:rsidR="004923A3" w:rsidRPr="00F904DB">
        <w:rPr>
          <w:sz w:val="22"/>
          <w:szCs w:val="22"/>
        </w:rPr>
        <w:t>ZPPDFT-</w:t>
      </w:r>
      <w:r w:rsidR="007926CE">
        <w:rPr>
          <w:sz w:val="22"/>
          <w:szCs w:val="22"/>
        </w:rPr>
        <w:t>2</w:t>
      </w:r>
      <w:r w:rsidR="004923A3" w:rsidRPr="00F904DB">
        <w:rPr>
          <w:sz w:val="22"/>
          <w:szCs w:val="22"/>
        </w:rPr>
        <w:t xml:space="preserve"> upošteva delegiran akt Evropske komisije.</w:t>
      </w:r>
      <w:r w:rsidR="004923A3"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 w:rsidR="004923A3">
        <w:rPr>
          <w:sz w:val="22"/>
          <w:szCs w:val="22"/>
        </w:rPr>
        <w:t xml:space="preserve"> </w:t>
      </w:r>
    </w:p>
    <w:p w14:paraId="4A5430F2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1AE68EA8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>št. 2018/105, št. 2018/212, št. 2018/1467, št. 2020/855</w:t>
      </w:r>
      <w:r w:rsidR="004F5CCC">
        <w:rPr>
          <w:sz w:val="22"/>
          <w:szCs w:val="22"/>
        </w:rPr>
        <w:t xml:space="preserve">, št. </w:t>
      </w:r>
      <w:r w:rsidR="009D53E2">
        <w:rPr>
          <w:sz w:val="22"/>
          <w:szCs w:val="22"/>
        </w:rPr>
        <w:t>2021/37</w:t>
      </w:r>
      <w:r w:rsidR="004F5CCC">
        <w:rPr>
          <w:sz w:val="22"/>
          <w:szCs w:val="22"/>
        </w:rPr>
        <w:t xml:space="preserve"> in nazadnje št. 2022/229</w:t>
      </w:r>
      <w:r w:rsidR="009D53E2">
        <w:rPr>
          <w:sz w:val="22"/>
          <w:szCs w:val="22"/>
        </w:rPr>
        <w:t xml:space="preserve">, </w:t>
      </w:r>
      <w:r w:rsidR="003A72CF">
        <w:rPr>
          <w:sz w:val="22"/>
          <w:szCs w:val="22"/>
        </w:rPr>
        <w:t xml:space="preserve">ki je stopila v veljavo dne </w:t>
      </w:r>
      <w:r w:rsidR="004F5CCC">
        <w:rPr>
          <w:sz w:val="22"/>
          <w:szCs w:val="22"/>
        </w:rPr>
        <w:t>14. 3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</w:t>
      </w:r>
      <w:r w:rsidR="004F5CCC">
        <w:rPr>
          <w:color w:val="auto"/>
          <w:sz w:val="22"/>
          <w:szCs w:val="22"/>
        </w:rPr>
        <w:t>2</w:t>
      </w:r>
      <w:r w:rsidR="003A72CF">
        <w:rPr>
          <w:sz w:val="22"/>
          <w:szCs w:val="22"/>
        </w:rPr>
        <w:t xml:space="preserve">. </w:t>
      </w:r>
    </w:p>
    <w:p w14:paraId="19FB753C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5ECD4D18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05138ACF" w14:textId="77777777" w:rsidR="0037166B" w:rsidRPr="00E9667D" w:rsidRDefault="0037166B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55403" w:rsidRPr="007C333B" w14:paraId="21C1D7BF" w14:textId="77777777" w:rsidTr="00856E82">
        <w:tc>
          <w:tcPr>
            <w:tcW w:w="4219" w:type="dxa"/>
          </w:tcPr>
          <w:p w14:paraId="538B4ACF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055403" w:rsidRPr="007C333B" w14:paraId="23B94CE5" w14:textId="77777777" w:rsidTr="00856E82">
        <w:tc>
          <w:tcPr>
            <w:tcW w:w="4219" w:type="dxa"/>
          </w:tcPr>
          <w:p w14:paraId="247E7E20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055403" w:rsidRPr="007C333B" w14:paraId="075104EC" w14:textId="77777777" w:rsidTr="00856E82">
        <w:tc>
          <w:tcPr>
            <w:tcW w:w="4219" w:type="dxa"/>
          </w:tcPr>
          <w:p w14:paraId="16C7BAAC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055403" w:rsidRPr="007C333B" w14:paraId="26FAAD4D" w14:textId="77777777" w:rsidTr="00856E82">
        <w:tc>
          <w:tcPr>
            <w:tcW w:w="4219" w:type="dxa"/>
          </w:tcPr>
          <w:p w14:paraId="4A367A32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055403" w:rsidRPr="007C333B" w14:paraId="4FFFF7D9" w14:textId="77777777" w:rsidTr="00856E82">
        <w:tc>
          <w:tcPr>
            <w:tcW w:w="4219" w:type="dxa"/>
          </w:tcPr>
          <w:p w14:paraId="79D73457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055403" w:rsidRPr="007C333B" w14:paraId="49A7649F" w14:textId="77777777" w:rsidTr="00856E82">
        <w:tc>
          <w:tcPr>
            <w:tcW w:w="4219" w:type="dxa"/>
          </w:tcPr>
          <w:p w14:paraId="29D41E9E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055403" w:rsidRPr="007C333B" w14:paraId="6DD0C957" w14:textId="77777777" w:rsidTr="00856E82">
        <w:tc>
          <w:tcPr>
            <w:tcW w:w="4219" w:type="dxa"/>
          </w:tcPr>
          <w:p w14:paraId="35CBFDB5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055403" w:rsidRPr="007C333B" w14:paraId="22D74924" w14:textId="77777777" w:rsidTr="00856E82">
        <w:tc>
          <w:tcPr>
            <w:tcW w:w="4219" w:type="dxa"/>
          </w:tcPr>
          <w:p w14:paraId="7DC8FE78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055403" w:rsidRPr="007C333B" w14:paraId="66963B33" w14:textId="77777777" w:rsidTr="00856E82">
        <w:tc>
          <w:tcPr>
            <w:tcW w:w="4219" w:type="dxa"/>
          </w:tcPr>
          <w:p w14:paraId="381DB42F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055403" w:rsidRPr="007C333B" w14:paraId="79E8DC9B" w14:textId="77777777" w:rsidTr="00856E82">
        <w:tc>
          <w:tcPr>
            <w:tcW w:w="4219" w:type="dxa"/>
          </w:tcPr>
          <w:p w14:paraId="2C6A0259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055403" w:rsidRPr="007C333B" w14:paraId="1DA2074A" w14:textId="77777777" w:rsidTr="00856E82">
        <w:tc>
          <w:tcPr>
            <w:tcW w:w="4219" w:type="dxa"/>
          </w:tcPr>
          <w:p w14:paraId="75642310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055403" w:rsidRPr="007C333B" w14:paraId="17C43498" w14:textId="77777777" w:rsidTr="00856E82">
        <w:tc>
          <w:tcPr>
            <w:tcW w:w="4219" w:type="dxa"/>
          </w:tcPr>
          <w:p w14:paraId="6BFE59B4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055403" w:rsidRPr="007C333B" w14:paraId="0EF2F229" w14:textId="77777777" w:rsidTr="00856E82">
        <w:tc>
          <w:tcPr>
            <w:tcW w:w="4219" w:type="dxa"/>
          </w:tcPr>
          <w:p w14:paraId="5D227BC4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055403" w:rsidRPr="007C333B" w14:paraId="6633B3C0" w14:textId="77777777" w:rsidTr="00856E82">
        <w:tc>
          <w:tcPr>
            <w:tcW w:w="4219" w:type="dxa"/>
          </w:tcPr>
          <w:p w14:paraId="1940CE36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055403" w:rsidRPr="007C333B" w14:paraId="1DB1BF7F" w14:textId="77777777" w:rsidTr="00856E82">
        <w:tc>
          <w:tcPr>
            <w:tcW w:w="4219" w:type="dxa"/>
          </w:tcPr>
          <w:p w14:paraId="6883A730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055403" w:rsidRPr="007C333B" w14:paraId="37BCF62C" w14:textId="77777777" w:rsidTr="00856E82">
        <w:tc>
          <w:tcPr>
            <w:tcW w:w="4219" w:type="dxa"/>
          </w:tcPr>
          <w:p w14:paraId="470C238F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055403" w:rsidRPr="007C333B" w14:paraId="22682A0D" w14:textId="77777777" w:rsidTr="00856E82">
        <w:tc>
          <w:tcPr>
            <w:tcW w:w="4219" w:type="dxa"/>
          </w:tcPr>
          <w:p w14:paraId="673CCBED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Nikaragva</w:t>
            </w:r>
          </w:p>
        </w:tc>
      </w:tr>
      <w:tr w:rsidR="00055403" w:rsidRPr="007C333B" w14:paraId="6022D82D" w14:textId="77777777" w:rsidTr="00856E82">
        <w:tc>
          <w:tcPr>
            <w:tcW w:w="4219" w:type="dxa"/>
          </w:tcPr>
          <w:p w14:paraId="1121FE3B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kistan</w:t>
            </w:r>
          </w:p>
        </w:tc>
      </w:tr>
      <w:tr w:rsidR="00055403" w:rsidRPr="007C333B" w14:paraId="38EBB836" w14:textId="77777777" w:rsidTr="00856E82">
        <w:tc>
          <w:tcPr>
            <w:tcW w:w="4219" w:type="dxa"/>
          </w:tcPr>
          <w:p w14:paraId="33CC1FC6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055403" w:rsidRPr="007C333B" w14:paraId="0B6036B7" w14:textId="77777777" w:rsidTr="00856E82">
        <w:tc>
          <w:tcPr>
            <w:tcW w:w="4219" w:type="dxa"/>
          </w:tcPr>
          <w:p w14:paraId="4606BBD2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055403" w:rsidRPr="007C333B" w14:paraId="30E08DFC" w14:textId="77777777" w:rsidTr="00856E82">
        <w:tc>
          <w:tcPr>
            <w:tcW w:w="4219" w:type="dxa"/>
          </w:tcPr>
          <w:p w14:paraId="051FD2A4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055403" w:rsidRPr="007C333B" w14:paraId="5768D159" w14:textId="77777777" w:rsidTr="00856E82">
        <w:tc>
          <w:tcPr>
            <w:tcW w:w="4219" w:type="dxa"/>
          </w:tcPr>
          <w:p w14:paraId="31B3BD10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055403" w:rsidRPr="007C333B" w14:paraId="4B04DF00" w14:textId="77777777" w:rsidTr="00856E82">
        <w:tc>
          <w:tcPr>
            <w:tcW w:w="4219" w:type="dxa"/>
          </w:tcPr>
          <w:p w14:paraId="6B34288F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055403" w:rsidRPr="007C333B" w14:paraId="35958C06" w14:textId="77777777" w:rsidTr="00856E82">
        <w:tc>
          <w:tcPr>
            <w:tcW w:w="4219" w:type="dxa"/>
          </w:tcPr>
          <w:p w14:paraId="14EBCFF4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055403" w:rsidRPr="007C333B" w14:paraId="653FA0EC" w14:textId="77777777" w:rsidTr="00856E82">
        <w:tc>
          <w:tcPr>
            <w:tcW w:w="4219" w:type="dxa"/>
          </w:tcPr>
          <w:p w14:paraId="4529877D" w14:textId="77777777" w:rsidR="00055403" w:rsidRPr="007C333B" w:rsidRDefault="00055403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2BB7EAD9" w14:textId="7777777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49B95069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654EB438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1764ADA6" w14:textId="77777777" w:rsidR="00FE69B4" w:rsidRDefault="00000000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="0037166B" w:rsidRPr="00A276C1">
          <w:rPr>
            <w:rStyle w:val="Hiperpovezava"/>
            <w:sz w:val="20"/>
            <w:szCs w:val="20"/>
          </w:rPr>
          <w:t>https://eur-lex.europa.eu/legal-content/SL/TXT/?uri=CELEX%3A32016R1675</w:t>
        </w:r>
      </w:hyperlink>
    </w:p>
    <w:p w14:paraId="0C6682F6" w14:textId="77777777" w:rsidR="00FE69B4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https://eur-lex.europa.eu/legal-content/SL/TXT/?uri=CELEX%3A32018R0105</w:t>
        </w:r>
      </w:hyperlink>
    </w:p>
    <w:p w14:paraId="53BAE00C" w14:textId="77777777" w:rsidR="00FE69B4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https://eur-lex.europa.eu/legal-content/SL/TXT/?uri=CELEX%3A32018R0212</w:t>
        </w:r>
      </w:hyperlink>
    </w:p>
    <w:p w14:paraId="43320D8B" w14:textId="77777777" w:rsidR="00FE69B4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https://eur-lex.europa.eu/legal-content/SL/TXT/?uri=CELEX%3A32018R1467</w:t>
        </w:r>
      </w:hyperlink>
    </w:p>
    <w:p w14:paraId="723E5786" w14:textId="77777777" w:rsidR="00FE69B4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="0037166B"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https://eur-lex.europa.eu/legal-content/SL/TXT/?uri=uriserv:OJ.L_.2020.195.01.0001.01.SLV&amp;toc=OJ:L:2020:195:TOC</w:t>
        </w:r>
      </w:hyperlink>
    </w:p>
    <w:p w14:paraId="5CB09B33" w14:textId="77777777" w:rsidR="0066020E" w:rsidRDefault="0000000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="0066020E" w:rsidRPr="00A276C1">
          <w:rPr>
            <w:rStyle w:val="Hiperpovezava"/>
            <w:rFonts w:cs="Times New Roman"/>
            <w:sz w:val="20"/>
            <w:szCs w:val="20"/>
          </w:rPr>
          <w:t>https://eur-lex.europa.eu/legal-content/EN/TXT/?uri=celex%3A32021R0037</w:t>
        </w:r>
      </w:hyperlink>
    </w:p>
    <w:p w14:paraId="7E3EE68A" w14:textId="77777777" w:rsidR="00A06430" w:rsidRDefault="0000000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4" w:history="1">
        <w:r w:rsidR="00A06430" w:rsidRPr="00895104">
          <w:rPr>
            <w:rStyle w:val="Hiperpovezava"/>
            <w:rFonts w:cs="Times New Roman"/>
            <w:sz w:val="20"/>
            <w:szCs w:val="20"/>
          </w:rPr>
          <w:t>https://eur-lex.europa.eu/legal-content/EN/TXT/?uri=CELEX%3A32022R0229&amp;qid=1646389079510</w:t>
        </w:r>
      </w:hyperlink>
    </w:p>
    <w:p w14:paraId="4E1F355E" w14:textId="77777777" w:rsidR="00A06430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1E4F2D18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5E81B24E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30A24A35" w14:textId="77777777" w:rsidR="004923A3" w:rsidRPr="00637420" w:rsidRDefault="004923A3" w:rsidP="00055403">
      <w:pPr>
        <w:pStyle w:val="Naslov3"/>
        <w:numPr>
          <w:ilvl w:val="0"/>
          <w:numId w:val="14"/>
        </w:numPr>
      </w:pPr>
      <w:r>
        <w:t>DRŽAV</w:t>
      </w:r>
      <w:r w:rsidR="003D2A0B">
        <w:t>E S POVEČANIM TVEGANJEM</w:t>
      </w:r>
    </w:p>
    <w:p w14:paraId="5D058DFF" w14:textId="77777777" w:rsidR="007F7B13" w:rsidRDefault="007F7B1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9255910" w14:textId="77777777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</w:t>
      </w:r>
      <w:r w:rsidR="007926CE">
        <w:rPr>
          <w:sz w:val="22"/>
          <w:szCs w:val="22"/>
        </w:rPr>
        <w:t>2</w:t>
      </w:r>
      <w:r w:rsidRPr="00D60E27">
        <w:rPr>
          <w:sz w:val="22"/>
          <w:szCs w:val="22"/>
        </w:rPr>
        <w:t xml:space="preserve">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68D68417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</w:t>
      </w:r>
      <w:r w:rsidR="007926C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člena </w:t>
      </w:r>
      <w:r w:rsidR="007926CE">
        <w:rPr>
          <w:b/>
          <w:sz w:val="22"/>
          <w:szCs w:val="22"/>
        </w:rPr>
        <w:t xml:space="preserve">ZPPDFT-2 </w:t>
      </w:r>
      <w:r>
        <w:rPr>
          <w:b/>
          <w:sz w:val="22"/>
          <w:szCs w:val="22"/>
        </w:rPr>
        <w:t>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089658ED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</w:t>
      </w:r>
      <w:r w:rsidR="007926C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členu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0ADE2529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zvezi s transakcijami sporočiti Uradu podatke iz drugega odstavka </w:t>
      </w:r>
      <w:r w:rsidR="007926CE">
        <w:rPr>
          <w:b/>
          <w:sz w:val="22"/>
          <w:szCs w:val="22"/>
        </w:rPr>
        <w:t>75</w:t>
      </w:r>
      <w:r>
        <w:rPr>
          <w:b/>
          <w:sz w:val="22"/>
          <w:szCs w:val="22"/>
        </w:rPr>
        <w:t>. člena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</w:p>
    <w:p w14:paraId="07445E0E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 prisotnosti drugih indikatorjev v skladu z </w:t>
      </w:r>
      <w:r w:rsidR="007926CE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. členom ZPPDFT-</w:t>
      </w:r>
      <w:r w:rsidR="007926C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sporočiti Uradu podatke o sumljivi transakciji.</w:t>
      </w:r>
    </w:p>
    <w:p w14:paraId="64D8EF7D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71687549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4F685A6B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7161A019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4947C822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Action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61D58D4D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589AB1B7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 xml:space="preserve">dne </w:t>
      </w:r>
      <w:r w:rsidR="00EA7B3A">
        <w:rPr>
          <w:sz w:val="22"/>
          <w:szCs w:val="22"/>
        </w:rPr>
        <w:t>17. 6. 2022 in 21. 10. 2022</w:t>
      </w:r>
      <w:r w:rsidR="002118D6">
        <w:rPr>
          <w:sz w:val="22"/>
          <w:szCs w:val="22"/>
        </w:rPr>
        <w:t xml:space="preserve"> javno 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41A0A527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4AECA3AE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7350343B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70047" w:rsidRPr="007C333B" w14:paraId="3DB76180" w14:textId="77777777" w:rsidTr="00856E82">
        <w:tc>
          <w:tcPr>
            <w:tcW w:w="4219" w:type="dxa"/>
          </w:tcPr>
          <w:p w14:paraId="1BD7B7EB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lbanija</w:t>
            </w:r>
          </w:p>
        </w:tc>
      </w:tr>
      <w:tr w:rsidR="00470047" w:rsidRPr="007C333B" w14:paraId="6EF7BB97" w14:textId="77777777" w:rsidTr="00856E82">
        <w:tc>
          <w:tcPr>
            <w:tcW w:w="4219" w:type="dxa"/>
          </w:tcPr>
          <w:p w14:paraId="3F244F01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470047" w:rsidRPr="007C333B" w14:paraId="4C37F89B" w14:textId="77777777" w:rsidTr="00856E82">
        <w:tc>
          <w:tcPr>
            <w:tcW w:w="4219" w:type="dxa"/>
          </w:tcPr>
          <w:p w14:paraId="30E49514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470047" w:rsidRPr="007C333B" w14:paraId="05129544" w14:textId="77777777" w:rsidTr="00856E82">
        <w:tc>
          <w:tcPr>
            <w:tcW w:w="4219" w:type="dxa"/>
          </w:tcPr>
          <w:p w14:paraId="1A493212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470047" w:rsidRPr="007C333B" w14:paraId="33F7885D" w14:textId="77777777" w:rsidTr="00856E82">
        <w:tc>
          <w:tcPr>
            <w:tcW w:w="4219" w:type="dxa"/>
          </w:tcPr>
          <w:p w14:paraId="34F4F213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470047" w:rsidRPr="007C333B" w14:paraId="6EE861CA" w14:textId="77777777" w:rsidTr="00856E82">
        <w:tc>
          <w:tcPr>
            <w:tcW w:w="4219" w:type="dxa"/>
          </w:tcPr>
          <w:p w14:paraId="3A3719DF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470047" w:rsidRPr="007C333B" w14:paraId="6966E372" w14:textId="77777777" w:rsidTr="00856E82">
        <w:tc>
          <w:tcPr>
            <w:tcW w:w="4219" w:type="dxa"/>
          </w:tcPr>
          <w:p w14:paraId="63FC842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470047" w:rsidRPr="007C333B" w14:paraId="7F058CC9" w14:textId="77777777" w:rsidTr="00856E82">
        <w:tc>
          <w:tcPr>
            <w:tcW w:w="4219" w:type="dxa"/>
          </w:tcPr>
          <w:p w14:paraId="2B30825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470047" w:rsidRPr="007C333B" w14:paraId="265E7EE9" w14:textId="77777777" w:rsidTr="00856E82">
        <w:tc>
          <w:tcPr>
            <w:tcW w:w="4219" w:type="dxa"/>
          </w:tcPr>
          <w:p w14:paraId="12F6EFE9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470047" w:rsidRPr="007C333B" w14:paraId="733C5D18" w14:textId="77777777" w:rsidTr="00856E82">
        <w:tc>
          <w:tcPr>
            <w:tcW w:w="4219" w:type="dxa"/>
          </w:tcPr>
          <w:p w14:paraId="12376C24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470047" w:rsidRPr="007C333B" w14:paraId="51ECEDE7" w14:textId="77777777" w:rsidTr="00856E82">
        <w:tc>
          <w:tcPr>
            <w:tcW w:w="4219" w:type="dxa"/>
          </w:tcPr>
          <w:p w14:paraId="6DCC4E83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70047" w:rsidRPr="007C333B" w14:paraId="16FD4091" w14:textId="77777777" w:rsidTr="00856E82">
        <w:tc>
          <w:tcPr>
            <w:tcW w:w="4219" w:type="dxa"/>
          </w:tcPr>
          <w:p w14:paraId="096F8991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470047" w:rsidRPr="007C333B" w14:paraId="59BA8BEC" w14:textId="77777777" w:rsidTr="00856E82">
        <w:tc>
          <w:tcPr>
            <w:tcW w:w="4219" w:type="dxa"/>
          </w:tcPr>
          <w:p w14:paraId="0CA2B9B2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70047" w:rsidRPr="007C333B" w14:paraId="07765997" w14:textId="77777777" w:rsidTr="00856E82">
        <w:tc>
          <w:tcPr>
            <w:tcW w:w="4219" w:type="dxa"/>
          </w:tcPr>
          <w:p w14:paraId="6496C7A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470047" w:rsidRPr="007C333B" w14:paraId="5AE212B3" w14:textId="77777777" w:rsidTr="00856E82">
        <w:tc>
          <w:tcPr>
            <w:tcW w:w="4219" w:type="dxa"/>
          </w:tcPr>
          <w:p w14:paraId="6257BC5C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Kambodža</w:t>
            </w:r>
          </w:p>
        </w:tc>
      </w:tr>
      <w:tr w:rsidR="00470047" w:rsidRPr="007C333B" w14:paraId="10F485C4" w14:textId="77777777" w:rsidTr="00856E82">
        <w:tc>
          <w:tcPr>
            <w:tcW w:w="4219" w:type="dxa"/>
          </w:tcPr>
          <w:p w14:paraId="2DF451D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70047" w:rsidRPr="007C333B" w14:paraId="4B1A86EE" w14:textId="77777777" w:rsidTr="00856E82">
        <w:tc>
          <w:tcPr>
            <w:tcW w:w="4219" w:type="dxa"/>
          </w:tcPr>
          <w:p w14:paraId="0FBC6FD2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Maroko</w:t>
            </w:r>
          </w:p>
        </w:tc>
      </w:tr>
      <w:tr w:rsidR="00470047" w:rsidRPr="007C333B" w14:paraId="396FDED9" w14:textId="77777777" w:rsidTr="00856E82">
        <w:tc>
          <w:tcPr>
            <w:tcW w:w="4219" w:type="dxa"/>
          </w:tcPr>
          <w:p w14:paraId="53B748C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70047" w:rsidRPr="007C333B" w14:paraId="06F25BF0" w14:textId="77777777" w:rsidTr="00856E82">
        <w:tc>
          <w:tcPr>
            <w:tcW w:w="4219" w:type="dxa"/>
          </w:tcPr>
          <w:p w14:paraId="13C4FB8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470047" w:rsidRPr="007C333B" w14:paraId="7C127A38" w14:textId="77777777" w:rsidTr="00856E82">
        <w:tc>
          <w:tcPr>
            <w:tcW w:w="4219" w:type="dxa"/>
          </w:tcPr>
          <w:p w14:paraId="1ABDBD43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70047" w:rsidRPr="007C333B" w14:paraId="325BB5BB" w14:textId="77777777" w:rsidTr="00856E82">
        <w:tc>
          <w:tcPr>
            <w:tcW w:w="4219" w:type="dxa"/>
          </w:tcPr>
          <w:p w14:paraId="6BE7B01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70047" w:rsidRPr="007C333B" w14:paraId="505B84A8" w14:textId="77777777" w:rsidTr="00856E82">
        <w:tc>
          <w:tcPr>
            <w:tcW w:w="4219" w:type="dxa"/>
          </w:tcPr>
          <w:p w14:paraId="03578A2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70047" w:rsidRPr="007C333B" w14:paraId="43A9723B" w14:textId="77777777" w:rsidTr="00856E82">
        <w:tc>
          <w:tcPr>
            <w:tcW w:w="4219" w:type="dxa"/>
          </w:tcPr>
          <w:p w14:paraId="61FD0B5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470047" w:rsidRPr="007C333B" w14:paraId="737E4690" w14:textId="77777777" w:rsidTr="00856E82">
        <w:tc>
          <w:tcPr>
            <w:tcW w:w="4219" w:type="dxa"/>
          </w:tcPr>
          <w:p w14:paraId="569028E9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470047" w:rsidRPr="007C333B" w14:paraId="373F78F2" w14:textId="77777777" w:rsidTr="00856E82">
        <w:tc>
          <w:tcPr>
            <w:tcW w:w="4219" w:type="dxa"/>
          </w:tcPr>
          <w:p w14:paraId="4E65ECEF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470047" w:rsidRPr="007C333B" w14:paraId="0B5A97AD" w14:textId="77777777" w:rsidTr="00856E82">
        <w:tc>
          <w:tcPr>
            <w:tcW w:w="4219" w:type="dxa"/>
          </w:tcPr>
          <w:p w14:paraId="190FB9E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0CFC6F66" w14:textId="77777777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4B4A4B09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7C2D6DD6" w14:textId="77777777" w:rsidR="00BC424F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5" w:history="1">
        <w:r w:rsidR="00BC424F"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https://www.fatf-gafi.org/publications/high-risk-and-other-monitored-jurisdictions/documents/increased-monitoring-october-2022.html</w:t>
        </w:r>
      </w:hyperlink>
    </w:p>
    <w:p w14:paraId="75DB9536" w14:textId="77777777" w:rsidR="00BC424F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6" w:history="1">
        <w:r w:rsidR="009321FE"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https://www.fatf-gafi.org/publications/high-risk-and-other-monitored-jurisdictions/documents/increased-monitoring-june-2022.html</w:t>
        </w:r>
      </w:hyperlink>
    </w:p>
    <w:p w14:paraId="03F83D2B" w14:textId="77777777" w:rsidR="009321FE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7" w:history="1">
        <w:r w:rsidR="00792359" w:rsidRPr="00317754">
          <w:rPr>
            <w:rStyle w:val="Hiperpovezava"/>
            <w:rFonts w:cs="Arial"/>
            <w:sz w:val="20"/>
            <w:szCs w:val="20"/>
          </w:rPr>
          <w:t>https://www.fatf-gafi.org/publications/high-risk-and-other-monitored-jurisdictions/documents/call-for-action-october-2022.html</w:t>
        </w:r>
      </w:hyperlink>
    </w:p>
    <w:p w14:paraId="654F5A88" w14:textId="77777777" w:rsidR="00587B70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30511149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3110FD5B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73D44BBF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326AC75D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for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>nd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456F00B1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4E7A7232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4A7BD795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70047" w:rsidRPr="007C333B" w14:paraId="2578C090" w14:textId="77777777" w:rsidTr="00856E82">
        <w:tc>
          <w:tcPr>
            <w:tcW w:w="2689" w:type="dxa"/>
          </w:tcPr>
          <w:p w14:paraId="3A8BEFBC" w14:textId="77777777" w:rsidR="00470047" w:rsidRPr="007C333B" w:rsidRDefault="00470047" w:rsidP="00856E8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470047" w:rsidRPr="007C333B" w14:paraId="5FEB3437" w14:textId="77777777" w:rsidTr="00856E82">
        <w:tc>
          <w:tcPr>
            <w:tcW w:w="2689" w:type="dxa"/>
          </w:tcPr>
          <w:p w14:paraId="24800FCF" w14:textId="77777777" w:rsidR="00470047" w:rsidRPr="007C333B" w:rsidRDefault="00470047" w:rsidP="00856E8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470047" w:rsidRPr="007C333B" w14:paraId="5726B83E" w14:textId="77777777" w:rsidTr="00856E82">
        <w:tc>
          <w:tcPr>
            <w:tcW w:w="2689" w:type="dxa"/>
          </w:tcPr>
          <w:p w14:paraId="5D3F0EC6" w14:textId="77777777" w:rsidR="00470047" w:rsidRPr="007C333B" w:rsidRDefault="00470047" w:rsidP="00856E82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470047" w:rsidRPr="007C333B" w14:paraId="05A57A01" w14:textId="77777777" w:rsidTr="00856E82">
        <w:tc>
          <w:tcPr>
            <w:tcW w:w="2689" w:type="dxa"/>
          </w:tcPr>
          <w:p w14:paraId="0376F519" w14:textId="77777777" w:rsidR="00470047" w:rsidRPr="007C333B" w:rsidRDefault="00470047" w:rsidP="00856E8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61AFF65D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368B39CC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16350767" w14:textId="77777777" w:rsidR="00EF23E8" w:rsidRDefault="00000000" w:rsidP="0046414E">
      <w:pPr>
        <w:spacing w:line="276" w:lineRule="auto"/>
        <w:rPr>
          <w:rFonts w:cs="Arial"/>
          <w:szCs w:val="22"/>
        </w:rPr>
      </w:pPr>
      <w:hyperlink r:id="rId18" w:history="1">
        <w:r w:rsidR="005C689C" w:rsidRPr="00A276C1">
          <w:rPr>
            <w:rStyle w:val="Hiperpovezava"/>
            <w:rFonts w:cs="Arial"/>
            <w:szCs w:val="22"/>
          </w:rPr>
          <w:t>http://www.oecd.org/tax/transparency/documents/global-forum-annual-report-2020.pdf</w:t>
        </w:r>
      </w:hyperlink>
    </w:p>
    <w:p w14:paraId="0B69A80E" w14:textId="77777777" w:rsidR="00336A04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F60C5F3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6E96E333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2D971955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18B3AAD2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>davčnih 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3FAD0511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6BA841A7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30EB93C3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70047" w:rsidRPr="007C333B" w14:paraId="57368819" w14:textId="77777777" w:rsidTr="00856E82">
        <w:tc>
          <w:tcPr>
            <w:tcW w:w="4219" w:type="dxa"/>
          </w:tcPr>
          <w:p w14:paraId="0C0FDA4E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470047" w:rsidRPr="007C333B" w14:paraId="1E250B33" w14:textId="77777777" w:rsidTr="00856E82">
        <w:tc>
          <w:tcPr>
            <w:tcW w:w="4219" w:type="dxa"/>
          </w:tcPr>
          <w:p w14:paraId="621015E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470047" w:rsidRPr="007C333B" w14:paraId="2F3158FC" w14:textId="77777777" w:rsidTr="00856E82">
        <w:tc>
          <w:tcPr>
            <w:tcW w:w="4219" w:type="dxa"/>
          </w:tcPr>
          <w:p w14:paraId="0E2B538F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470047" w:rsidRPr="007C333B" w14:paraId="231B4D4B" w14:textId="77777777" w:rsidTr="00856E82">
        <w:tc>
          <w:tcPr>
            <w:tcW w:w="4219" w:type="dxa"/>
          </w:tcPr>
          <w:p w14:paraId="132F92B1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470047" w:rsidRPr="007C333B" w14:paraId="30AE373C" w14:textId="77777777" w:rsidTr="00856E82">
        <w:tc>
          <w:tcPr>
            <w:tcW w:w="4219" w:type="dxa"/>
          </w:tcPr>
          <w:p w14:paraId="69710A8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470047" w:rsidRPr="007C333B" w14:paraId="10068D07" w14:textId="77777777" w:rsidTr="00856E82">
        <w:tc>
          <w:tcPr>
            <w:tcW w:w="4219" w:type="dxa"/>
          </w:tcPr>
          <w:p w14:paraId="2689D03D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470047" w:rsidRPr="007C333B" w14:paraId="1A3CAA4C" w14:textId="77777777" w:rsidTr="00856E82">
        <w:tc>
          <w:tcPr>
            <w:tcW w:w="4219" w:type="dxa"/>
          </w:tcPr>
          <w:p w14:paraId="665D095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470047" w:rsidRPr="007C333B" w14:paraId="42A54CE7" w14:textId="77777777" w:rsidTr="00856E82">
        <w:tc>
          <w:tcPr>
            <w:tcW w:w="4219" w:type="dxa"/>
          </w:tcPr>
          <w:p w14:paraId="245DEEF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470047" w:rsidRPr="007C333B" w14:paraId="15C9243E" w14:textId="77777777" w:rsidTr="00856E82">
        <w:tc>
          <w:tcPr>
            <w:tcW w:w="4219" w:type="dxa"/>
          </w:tcPr>
          <w:p w14:paraId="5A84053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470047" w:rsidRPr="007C333B" w14:paraId="2B42670E" w14:textId="77777777" w:rsidTr="00856E82">
        <w:tc>
          <w:tcPr>
            <w:tcW w:w="4219" w:type="dxa"/>
          </w:tcPr>
          <w:p w14:paraId="60800B6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470047" w:rsidRPr="007C333B" w14:paraId="7A8203C1" w14:textId="77777777" w:rsidTr="00856E82">
        <w:tc>
          <w:tcPr>
            <w:tcW w:w="4219" w:type="dxa"/>
          </w:tcPr>
          <w:p w14:paraId="2D78487F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470047" w:rsidRPr="007C333B" w14:paraId="19FD9F51" w14:textId="77777777" w:rsidTr="00856E82">
        <w:tc>
          <w:tcPr>
            <w:tcW w:w="4219" w:type="dxa"/>
          </w:tcPr>
          <w:p w14:paraId="68D6F839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470047" w:rsidRPr="007C333B" w14:paraId="6AE2A010" w14:textId="77777777" w:rsidTr="00856E82">
        <w:tc>
          <w:tcPr>
            <w:tcW w:w="4219" w:type="dxa"/>
          </w:tcPr>
          <w:p w14:paraId="31D59C8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470047" w:rsidRPr="007C333B" w14:paraId="5069AC35" w14:textId="77777777" w:rsidTr="00856E82">
        <w:tc>
          <w:tcPr>
            <w:tcW w:w="4219" w:type="dxa"/>
          </w:tcPr>
          <w:p w14:paraId="1323686C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470047" w:rsidRPr="007C333B" w14:paraId="051E3997" w14:textId="77777777" w:rsidTr="00856E82">
        <w:tc>
          <w:tcPr>
            <w:tcW w:w="4219" w:type="dxa"/>
          </w:tcPr>
          <w:p w14:paraId="01005735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470047" w:rsidRPr="007C333B" w14:paraId="1098C62A" w14:textId="77777777" w:rsidTr="00856E82">
        <w:tc>
          <w:tcPr>
            <w:tcW w:w="4219" w:type="dxa"/>
          </w:tcPr>
          <w:p w14:paraId="73940535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3BB2AAA1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048A540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0DF85C06" w14:textId="77777777" w:rsidR="0003043E" w:rsidRDefault="00000000" w:rsidP="0046414E">
      <w:pPr>
        <w:spacing w:line="276" w:lineRule="auto"/>
        <w:rPr>
          <w:rFonts w:cs="Arial"/>
          <w:szCs w:val="22"/>
        </w:rPr>
      </w:pPr>
      <w:hyperlink r:id="rId19" w:history="1">
        <w:r w:rsidR="0003043E" w:rsidRPr="00317754">
          <w:rPr>
            <w:rStyle w:val="Hiperpovezava"/>
            <w:rFonts w:cs="Arial"/>
            <w:szCs w:val="22"/>
          </w:rPr>
          <w:t>https://www.consilium.europa.eu/en/policies/eu-list-of-non-cooperative-jurisdictions/</w:t>
        </w:r>
      </w:hyperlink>
    </w:p>
    <w:p w14:paraId="0BEF0882" w14:textId="77777777" w:rsidR="006F099E" w:rsidRDefault="00000000" w:rsidP="0046414E">
      <w:pPr>
        <w:spacing w:line="276" w:lineRule="auto"/>
        <w:rPr>
          <w:rFonts w:cs="Arial"/>
          <w:szCs w:val="22"/>
        </w:rPr>
      </w:pPr>
      <w:hyperlink r:id="rId20" w:history="1">
        <w:r w:rsidR="005C2075" w:rsidRPr="00A9023D">
          <w:rPr>
            <w:rStyle w:val="Hiperpovezava"/>
            <w:rFonts w:cs="Arial"/>
            <w:szCs w:val="22"/>
          </w:rPr>
          <w:t>https://data.consilium.europa.eu/doc/document/ST-6375-2023-INIT/en/pdf</w:t>
        </w:r>
      </w:hyperlink>
    </w:p>
    <w:p w14:paraId="6C260AC9" w14:textId="77777777" w:rsidR="005C2075" w:rsidRDefault="005C2075" w:rsidP="0046414E">
      <w:pPr>
        <w:spacing w:line="276" w:lineRule="auto"/>
        <w:rPr>
          <w:rFonts w:cs="Arial"/>
          <w:szCs w:val="22"/>
        </w:rPr>
      </w:pPr>
    </w:p>
    <w:p w14:paraId="0A78BDA1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550F7FA9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4EA15CBF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1F6FE9E0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and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</w:t>
      </w:r>
      <w:r w:rsidR="00856602">
        <w:rPr>
          <w:rFonts w:cs="Arial"/>
          <w:szCs w:val="22"/>
        </w:rPr>
        <w:t xml:space="preserve">, </w:t>
      </w:r>
      <w:r w:rsidR="00BA0F7E">
        <w:rPr>
          <w:rFonts w:cs="Arial"/>
          <w:szCs w:val="22"/>
        </w:rPr>
        <w:t>kokaina</w:t>
      </w:r>
      <w:r w:rsidR="00856602">
        <w:rPr>
          <w:rFonts w:cs="Arial"/>
          <w:szCs w:val="22"/>
        </w:rPr>
        <w:t xml:space="preserve"> in marihuane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</w:t>
      </w:r>
      <w:r w:rsidR="00720725">
        <w:rPr>
          <w:rFonts w:cs="Arial"/>
          <w:szCs w:val="22"/>
        </w:rPr>
        <w:t>21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236BEBBA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7E3EFEA1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51BB724E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70047" w:rsidRPr="007C333B" w14:paraId="0A5582F7" w14:textId="77777777" w:rsidTr="00856E82">
        <w:tc>
          <w:tcPr>
            <w:tcW w:w="4219" w:type="dxa"/>
          </w:tcPr>
          <w:p w14:paraId="0F09E9A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470047" w:rsidRPr="007C333B" w14:paraId="172F49AA" w14:textId="77777777" w:rsidTr="00856E82">
        <w:tc>
          <w:tcPr>
            <w:tcW w:w="4219" w:type="dxa"/>
          </w:tcPr>
          <w:p w14:paraId="0D8DE24D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470047" w:rsidRPr="007C333B" w14:paraId="38C10149" w14:textId="77777777" w:rsidTr="00856E82">
        <w:tc>
          <w:tcPr>
            <w:tcW w:w="4219" w:type="dxa"/>
          </w:tcPr>
          <w:p w14:paraId="0C29C04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470047" w:rsidRPr="007C333B" w14:paraId="466F2CB0" w14:textId="77777777" w:rsidTr="00856E82">
        <w:tc>
          <w:tcPr>
            <w:tcW w:w="4219" w:type="dxa"/>
          </w:tcPr>
          <w:p w14:paraId="5F5B2389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470047" w:rsidRPr="007C333B" w14:paraId="0254E60F" w14:textId="77777777" w:rsidTr="00856E82">
        <w:tc>
          <w:tcPr>
            <w:tcW w:w="4219" w:type="dxa"/>
          </w:tcPr>
          <w:p w14:paraId="321247B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470047" w:rsidRPr="007C333B" w14:paraId="45CFA0F3" w14:textId="77777777" w:rsidTr="00856E82">
        <w:tc>
          <w:tcPr>
            <w:tcW w:w="4219" w:type="dxa"/>
          </w:tcPr>
          <w:p w14:paraId="0E0A8CFE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470047" w:rsidRPr="007C333B" w14:paraId="46E2D12C" w14:textId="77777777" w:rsidTr="00856E82">
        <w:tc>
          <w:tcPr>
            <w:tcW w:w="4219" w:type="dxa"/>
          </w:tcPr>
          <w:p w14:paraId="495E6F5B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470047" w:rsidRPr="007C333B" w14:paraId="5EAD9E99" w14:textId="77777777" w:rsidTr="00856E82">
        <w:tc>
          <w:tcPr>
            <w:tcW w:w="4219" w:type="dxa"/>
          </w:tcPr>
          <w:p w14:paraId="067F5A0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73A3DA8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705C3CD5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1D96A4C7" w14:textId="77777777" w:rsidR="00455185" w:rsidRDefault="00455185" w:rsidP="0046414E">
      <w:pPr>
        <w:spacing w:line="276" w:lineRule="auto"/>
        <w:rPr>
          <w:rFonts w:cs="Arial"/>
          <w:szCs w:val="22"/>
        </w:rPr>
      </w:pPr>
    </w:p>
    <w:p w14:paraId="373C2143" w14:textId="77777777" w:rsidR="002D6B80" w:rsidRDefault="00000000" w:rsidP="0046414E">
      <w:pPr>
        <w:spacing w:line="276" w:lineRule="auto"/>
        <w:rPr>
          <w:rFonts w:cs="Arial"/>
          <w:szCs w:val="22"/>
        </w:rPr>
      </w:pPr>
      <w:hyperlink r:id="rId21" w:history="1">
        <w:r w:rsidR="002D6B80"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18D4DF4F" w14:textId="77777777" w:rsidR="002D6B80" w:rsidRDefault="00000000" w:rsidP="0046414E">
      <w:pPr>
        <w:spacing w:line="276" w:lineRule="auto"/>
        <w:rPr>
          <w:rFonts w:cs="Arial"/>
          <w:szCs w:val="22"/>
        </w:rPr>
      </w:pPr>
      <w:hyperlink r:id="rId22" w:history="1">
        <w:r w:rsidR="00CC3AFE"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3987969E" w14:textId="77777777" w:rsidR="00CC3AFE" w:rsidRDefault="00CC3AFE" w:rsidP="0046414E">
      <w:pPr>
        <w:spacing w:line="276" w:lineRule="auto"/>
        <w:rPr>
          <w:rFonts w:cs="Arial"/>
          <w:szCs w:val="22"/>
        </w:rPr>
      </w:pPr>
    </w:p>
    <w:p w14:paraId="21A9F8BA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10B7BC6F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73C49F06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5915ABEE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2F71A1F4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355ED4F9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121D2B4D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70047" w:rsidRPr="007C333B" w14:paraId="50B0B326" w14:textId="77777777" w:rsidTr="00856E82">
        <w:tc>
          <w:tcPr>
            <w:tcW w:w="4219" w:type="dxa"/>
          </w:tcPr>
          <w:p w14:paraId="2E24B14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470047" w:rsidRPr="007C333B" w14:paraId="0EF163E6" w14:textId="77777777" w:rsidTr="00856E82">
        <w:tc>
          <w:tcPr>
            <w:tcW w:w="4219" w:type="dxa"/>
          </w:tcPr>
          <w:p w14:paraId="25D59CE9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470047" w:rsidRPr="007C333B" w14:paraId="4BBFEC9A" w14:textId="77777777" w:rsidTr="00856E82">
        <w:tc>
          <w:tcPr>
            <w:tcW w:w="4219" w:type="dxa"/>
          </w:tcPr>
          <w:p w14:paraId="5D922C72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470047" w:rsidRPr="007C333B" w14:paraId="0BA5B1F2" w14:textId="77777777" w:rsidTr="00856E82">
        <w:tc>
          <w:tcPr>
            <w:tcW w:w="4219" w:type="dxa"/>
          </w:tcPr>
          <w:p w14:paraId="1CE4ABF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470047" w:rsidRPr="007C333B" w14:paraId="4799AA68" w14:textId="77777777" w:rsidTr="00856E82">
        <w:tc>
          <w:tcPr>
            <w:tcW w:w="4219" w:type="dxa"/>
          </w:tcPr>
          <w:p w14:paraId="6EA83F84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470047" w:rsidRPr="007C333B" w14:paraId="2CF3343F" w14:textId="77777777" w:rsidTr="00856E82">
        <w:tc>
          <w:tcPr>
            <w:tcW w:w="4219" w:type="dxa"/>
          </w:tcPr>
          <w:p w14:paraId="6D2B3092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470047" w:rsidRPr="007C333B" w14:paraId="62AA08DD" w14:textId="77777777" w:rsidTr="00856E82">
        <w:tc>
          <w:tcPr>
            <w:tcW w:w="4219" w:type="dxa"/>
          </w:tcPr>
          <w:p w14:paraId="09281B4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470047" w:rsidRPr="007C333B" w14:paraId="4A440083" w14:textId="77777777" w:rsidTr="00856E82">
        <w:tc>
          <w:tcPr>
            <w:tcW w:w="4219" w:type="dxa"/>
          </w:tcPr>
          <w:p w14:paraId="3023035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470047" w:rsidRPr="007C333B" w14:paraId="4E6FDB86" w14:textId="77777777" w:rsidTr="00856E82">
        <w:tc>
          <w:tcPr>
            <w:tcW w:w="4219" w:type="dxa"/>
          </w:tcPr>
          <w:p w14:paraId="2DD48E9D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470047" w:rsidRPr="007C333B" w14:paraId="6BBBC8A8" w14:textId="77777777" w:rsidTr="00856E82">
        <w:tc>
          <w:tcPr>
            <w:tcW w:w="4219" w:type="dxa"/>
          </w:tcPr>
          <w:p w14:paraId="3445904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470047" w:rsidRPr="007C333B" w14:paraId="0EBDE9F8" w14:textId="77777777" w:rsidTr="00856E82">
        <w:tc>
          <w:tcPr>
            <w:tcW w:w="4219" w:type="dxa"/>
          </w:tcPr>
          <w:p w14:paraId="1E0DB3F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470047" w:rsidRPr="007C333B" w14:paraId="016895A3" w14:textId="77777777" w:rsidTr="00856E82">
        <w:tc>
          <w:tcPr>
            <w:tcW w:w="4219" w:type="dxa"/>
          </w:tcPr>
          <w:p w14:paraId="26C57D6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470047" w:rsidRPr="007C333B" w14:paraId="78CF3A75" w14:textId="77777777" w:rsidTr="00856E82">
        <w:tc>
          <w:tcPr>
            <w:tcW w:w="4219" w:type="dxa"/>
          </w:tcPr>
          <w:p w14:paraId="2441510E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470047" w:rsidRPr="007C333B" w14:paraId="1D7E41D0" w14:textId="77777777" w:rsidTr="00856E82">
        <w:tc>
          <w:tcPr>
            <w:tcW w:w="4219" w:type="dxa"/>
          </w:tcPr>
          <w:p w14:paraId="4102A4EF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470047" w:rsidRPr="007C333B" w14:paraId="5C9AA1C2" w14:textId="77777777" w:rsidTr="00856E82">
        <w:tc>
          <w:tcPr>
            <w:tcW w:w="4219" w:type="dxa"/>
          </w:tcPr>
          <w:p w14:paraId="0FAF8C0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470047" w:rsidRPr="007C333B" w14:paraId="303F32FC" w14:textId="77777777" w:rsidTr="00856E82">
        <w:tc>
          <w:tcPr>
            <w:tcW w:w="4219" w:type="dxa"/>
          </w:tcPr>
          <w:p w14:paraId="333C6D7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470047" w:rsidRPr="007C333B" w14:paraId="57CACD55" w14:textId="77777777" w:rsidTr="00856E82">
        <w:tc>
          <w:tcPr>
            <w:tcW w:w="4219" w:type="dxa"/>
          </w:tcPr>
          <w:p w14:paraId="0393CA7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470047" w:rsidRPr="007C333B" w14:paraId="5DA750D8" w14:textId="77777777" w:rsidTr="00856E82">
        <w:tc>
          <w:tcPr>
            <w:tcW w:w="4219" w:type="dxa"/>
          </w:tcPr>
          <w:p w14:paraId="1A34262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470047" w:rsidRPr="007C333B" w14:paraId="7442F6D1" w14:textId="77777777" w:rsidTr="00856E82">
        <w:tc>
          <w:tcPr>
            <w:tcW w:w="4219" w:type="dxa"/>
          </w:tcPr>
          <w:p w14:paraId="76D569A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99D5564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13E1AAF5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5368335F" w14:textId="77777777" w:rsidR="005C689C" w:rsidRDefault="00000000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23" w:history="1">
        <w:r w:rsidR="00020115" w:rsidRPr="000E42D5">
          <w:rPr>
            <w:rStyle w:val="Hiperpovezava"/>
            <w:sz w:val="22"/>
            <w:szCs w:val="22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5F87B075" w14:textId="77777777" w:rsidR="00020115" w:rsidRDefault="00020115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73895663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76C404A7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58F38210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and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10D18259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50823E56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2F9E5750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70047" w:rsidRPr="007C333B" w14:paraId="519EFBA1" w14:textId="77777777" w:rsidTr="00856E82">
        <w:tc>
          <w:tcPr>
            <w:tcW w:w="4219" w:type="dxa"/>
          </w:tcPr>
          <w:p w14:paraId="293E2F08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470047" w:rsidRPr="007C333B" w14:paraId="30221D8A" w14:textId="77777777" w:rsidTr="00856E82">
        <w:tc>
          <w:tcPr>
            <w:tcW w:w="4219" w:type="dxa"/>
          </w:tcPr>
          <w:p w14:paraId="5B283264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Alžirija</w:t>
            </w:r>
          </w:p>
        </w:tc>
      </w:tr>
      <w:tr w:rsidR="00470047" w:rsidRPr="007C333B" w14:paraId="0D8D92C7" w14:textId="77777777" w:rsidTr="00856E82">
        <w:tc>
          <w:tcPr>
            <w:tcW w:w="4219" w:type="dxa"/>
          </w:tcPr>
          <w:p w14:paraId="27D41099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470047" w:rsidRPr="007C333B" w14:paraId="63518773" w14:textId="77777777" w:rsidTr="00856E82">
        <w:tc>
          <w:tcPr>
            <w:tcW w:w="4219" w:type="dxa"/>
          </w:tcPr>
          <w:p w14:paraId="0B44A3EE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470047" w:rsidRPr="007C333B" w14:paraId="516538FE" w14:textId="77777777" w:rsidTr="00856E82">
        <w:tc>
          <w:tcPr>
            <w:tcW w:w="4219" w:type="dxa"/>
          </w:tcPr>
          <w:p w14:paraId="49C62423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470047" w:rsidRPr="007C333B" w14:paraId="75C40837" w14:textId="77777777" w:rsidTr="00856E82">
        <w:tc>
          <w:tcPr>
            <w:tcW w:w="4219" w:type="dxa"/>
          </w:tcPr>
          <w:p w14:paraId="33483FC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470047" w:rsidRPr="007C333B" w14:paraId="3DE67808" w14:textId="77777777" w:rsidTr="00856E82">
        <w:tc>
          <w:tcPr>
            <w:tcW w:w="4219" w:type="dxa"/>
          </w:tcPr>
          <w:p w14:paraId="7C7C0C08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470047" w:rsidRPr="007C333B" w14:paraId="4CB20F67" w14:textId="77777777" w:rsidTr="00856E82">
        <w:tc>
          <w:tcPr>
            <w:tcW w:w="4219" w:type="dxa"/>
          </w:tcPr>
          <w:p w14:paraId="4D979EC0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470047" w:rsidRPr="007C333B" w14:paraId="086C9B1D" w14:textId="77777777" w:rsidTr="00856E82">
        <w:tc>
          <w:tcPr>
            <w:tcW w:w="4219" w:type="dxa"/>
          </w:tcPr>
          <w:p w14:paraId="6605D295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470047" w:rsidRPr="007C333B" w14:paraId="6898D550" w14:textId="77777777" w:rsidTr="00856E82">
        <w:tc>
          <w:tcPr>
            <w:tcW w:w="4219" w:type="dxa"/>
          </w:tcPr>
          <w:p w14:paraId="49875A1D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470047" w:rsidRPr="007C333B" w14:paraId="04D1983B" w14:textId="77777777" w:rsidTr="00856E82">
        <w:tc>
          <w:tcPr>
            <w:tcW w:w="4219" w:type="dxa"/>
          </w:tcPr>
          <w:p w14:paraId="4A3C428B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470047" w:rsidRPr="007C333B" w14:paraId="10C047E8" w14:textId="77777777" w:rsidTr="00856E82">
        <w:tc>
          <w:tcPr>
            <w:tcW w:w="4219" w:type="dxa"/>
          </w:tcPr>
          <w:p w14:paraId="77C9B8B7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470047" w:rsidRPr="007C333B" w14:paraId="1EEA3652" w14:textId="77777777" w:rsidTr="00856E82">
        <w:tc>
          <w:tcPr>
            <w:tcW w:w="4219" w:type="dxa"/>
          </w:tcPr>
          <w:p w14:paraId="3B9359D6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470047" w:rsidRPr="007C333B" w14:paraId="21EB97D8" w14:textId="77777777" w:rsidTr="00856E82">
        <w:tc>
          <w:tcPr>
            <w:tcW w:w="4219" w:type="dxa"/>
          </w:tcPr>
          <w:p w14:paraId="1A329785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470047" w:rsidRPr="007C333B" w14:paraId="669BB9CA" w14:textId="77777777" w:rsidTr="00856E82">
        <w:tc>
          <w:tcPr>
            <w:tcW w:w="4219" w:type="dxa"/>
          </w:tcPr>
          <w:p w14:paraId="662CFABB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470047" w:rsidRPr="007C333B" w14:paraId="707A91A2" w14:textId="77777777" w:rsidTr="00856E82">
        <w:tc>
          <w:tcPr>
            <w:tcW w:w="4219" w:type="dxa"/>
          </w:tcPr>
          <w:p w14:paraId="7F335CC3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470047" w:rsidRPr="007C333B" w14:paraId="7AF11FE7" w14:textId="77777777" w:rsidTr="00856E82">
        <w:tc>
          <w:tcPr>
            <w:tcW w:w="4219" w:type="dxa"/>
          </w:tcPr>
          <w:p w14:paraId="2931EA2A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470047" w:rsidRPr="007C333B" w14:paraId="3548FF26" w14:textId="77777777" w:rsidTr="00856E82">
        <w:tc>
          <w:tcPr>
            <w:tcW w:w="4219" w:type="dxa"/>
          </w:tcPr>
          <w:p w14:paraId="0F61C82C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470047" w:rsidRPr="007C333B" w14:paraId="2DCC5978" w14:textId="77777777" w:rsidTr="00856E82">
        <w:tc>
          <w:tcPr>
            <w:tcW w:w="4219" w:type="dxa"/>
          </w:tcPr>
          <w:p w14:paraId="4C71335D" w14:textId="77777777" w:rsidR="00470047" w:rsidRPr="007C333B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470047" w:rsidRPr="007C333B" w14:paraId="3E9AC999" w14:textId="77777777" w:rsidTr="00856E82">
        <w:tc>
          <w:tcPr>
            <w:tcW w:w="4219" w:type="dxa"/>
          </w:tcPr>
          <w:p w14:paraId="13910C8A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470047" w:rsidRPr="007C333B" w14:paraId="2AB5C6DE" w14:textId="77777777" w:rsidTr="00856E82">
        <w:tc>
          <w:tcPr>
            <w:tcW w:w="4219" w:type="dxa"/>
          </w:tcPr>
          <w:p w14:paraId="5334C6A7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470047" w:rsidRPr="007C333B" w14:paraId="44F97A19" w14:textId="77777777" w:rsidTr="00856E82">
        <w:tc>
          <w:tcPr>
            <w:tcW w:w="4219" w:type="dxa"/>
          </w:tcPr>
          <w:p w14:paraId="1A9AF018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470047" w:rsidRPr="007C333B" w14:paraId="42026531" w14:textId="77777777" w:rsidTr="00856E82">
        <w:tc>
          <w:tcPr>
            <w:tcW w:w="4219" w:type="dxa"/>
          </w:tcPr>
          <w:p w14:paraId="31CDDF75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470047" w:rsidRPr="007C333B" w14:paraId="66A3432F" w14:textId="77777777" w:rsidTr="00856E82">
        <w:tc>
          <w:tcPr>
            <w:tcW w:w="4219" w:type="dxa"/>
          </w:tcPr>
          <w:p w14:paraId="70F0F2E6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470047" w:rsidRPr="007C333B" w14:paraId="04D0A4AE" w14:textId="77777777" w:rsidTr="00856E82">
        <w:tc>
          <w:tcPr>
            <w:tcW w:w="4219" w:type="dxa"/>
          </w:tcPr>
          <w:p w14:paraId="205555FE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470047" w:rsidRPr="007C333B" w14:paraId="64413DBB" w14:textId="77777777" w:rsidTr="00856E82">
        <w:tc>
          <w:tcPr>
            <w:tcW w:w="4219" w:type="dxa"/>
          </w:tcPr>
          <w:p w14:paraId="534A4B8D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470047" w:rsidRPr="007C333B" w14:paraId="72533813" w14:textId="77777777" w:rsidTr="00856E82">
        <w:tc>
          <w:tcPr>
            <w:tcW w:w="4219" w:type="dxa"/>
          </w:tcPr>
          <w:p w14:paraId="35EA2326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470047" w:rsidRPr="007C333B" w14:paraId="46BA5EEA" w14:textId="77777777" w:rsidTr="00856E82">
        <w:tc>
          <w:tcPr>
            <w:tcW w:w="4219" w:type="dxa"/>
          </w:tcPr>
          <w:p w14:paraId="7D9B37D8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470047" w:rsidRPr="007C333B" w14:paraId="5CF0C523" w14:textId="77777777" w:rsidTr="00856E82">
        <w:tc>
          <w:tcPr>
            <w:tcW w:w="4219" w:type="dxa"/>
          </w:tcPr>
          <w:p w14:paraId="76D8242D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470047" w:rsidRPr="007C333B" w14:paraId="5752EC27" w14:textId="77777777" w:rsidTr="00856E82">
        <w:tc>
          <w:tcPr>
            <w:tcW w:w="4219" w:type="dxa"/>
          </w:tcPr>
          <w:p w14:paraId="1BC7B40C" w14:textId="77777777" w:rsidR="00470047" w:rsidRDefault="00470047" w:rsidP="00856E8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1345A1AC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7157F276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55FD94CC" w14:textId="77777777" w:rsidR="000C0025" w:rsidRDefault="00000000" w:rsidP="0046414E">
      <w:pPr>
        <w:spacing w:line="276" w:lineRule="auto"/>
        <w:rPr>
          <w:rFonts w:cs="Arial"/>
          <w:szCs w:val="22"/>
        </w:rPr>
      </w:pPr>
      <w:hyperlink r:id="rId24" w:anchor="/main" w:history="1">
        <w:r w:rsidR="0049041F" w:rsidRPr="00352F28">
          <w:rPr>
            <w:rStyle w:val="Hiperpovezava"/>
            <w:rFonts w:cs="Arial"/>
            <w:szCs w:val="22"/>
          </w:rPr>
          <w:t>https://www.sanctionsmap.eu/#/main</w:t>
        </w:r>
      </w:hyperlink>
    </w:p>
    <w:p w14:paraId="7C4240BB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14BA31FC" w14:textId="77777777" w:rsidR="00925FA8" w:rsidRPr="00E9667D" w:rsidRDefault="00925FA8" w:rsidP="00256CB4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</w:p>
    <w:p w14:paraId="4502F082" w14:textId="20477BA7" w:rsidR="005C689C" w:rsidRDefault="00336A04" w:rsidP="0046414E">
      <w:pPr>
        <w:spacing w:line="276" w:lineRule="auto"/>
        <w:rPr>
          <w:rFonts w:cs="Arial"/>
          <w:b/>
          <w:i/>
          <w:szCs w:val="22"/>
        </w:rPr>
      </w:pPr>
      <w:r>
        <w:rPr>
          <w:rFonts w:cs="Arial"/>
          <w:szCs w:val="22"/>
        </w:rPr>
        <w:br w:type="page"/>
      </w:r>
    </w:p>
    <w:p w14:paraId="74DA3464" w14:textId="77777777" w:rsidR="00753F4E" w:rsidRDefault="00753F4E" w:rsidP="0046414E">
      <w:pPr>
        <w:spacing w:line="276" w:lineRule="auto"/>
        <w:rPr>
          <w:rFonts w:cs="Arial"/>
          <w:szCs w:val="22"/>
        </w:rPr>
      </w:pPr>
    </w:p>
    <w:sectPr w:rsidR="00753F4E" w:rsidSect="0049041F">
      <w:headerReference w:type="default" r:id="rId25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DE74" w14:textId="77777777" w:rsidR="00203C7D" w:rsidRDefault="00203C7D" w:rsidP="00870654">
      <w:r>
        <w:separator/>
      </w:r>
    </w:p>
  </w:endnote>
  <w:endnote w:type="continuationSeparator" w:id="0">
    <w:p w14:paraId="2F2CCA61" w14:textId="77777777" w:rsidR="00203C7D" w:rsidRDefault="00203C7D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32E4" w14:textId="77777777" w:rsidR="00203C7D" w:rsidRDefault="00203C7D" w:rsidP="00870654">
      <w:r>
        <w:separator/>
      </w:r>
    </w:p>
  </w:footnote>
  <w:footnote w:type="continuationSeparator" w:id="0">
    <w:p w14:paraId="1ECE3C8B" w14:textId="77777777" w:rsidR="00203C7D" w:rsidRDefault="00203C7D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A106" w14:textId="77777777" w:rsidR="00F4262F" w:rsidRDefault="00F4262F">
    <w:pPr>
      <w:pStyle w:val="Glava"/>
    </w:pPr>
  </w:p>
  <w:p w14:paraId="23550E57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1E44"/>
    <w:multiLevelType w:val="hybridMultilevel"/>
    <w:tmpl w:val="C598D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92128">
    <w:abstractNumId w:val="4"/>
  </w:num>
  <w:num w:numId="2" w16cid:durableId="1882667127">
    <w:abstractNumId w:val="6"/>
  </w:num>
  <w:num w:numId="3" w16cid:durableId="1594588105">
    <w:abstractNumId w:val="8"/>
  </w:num>
  <w:num w:numId="4" w16cid:durableId="407114396">
    <w:abstractNumId w:val="5"/>
  </w:num>
  <w:num w:numId="5" w16cid:durableId="558907816">
    <w:abstractNumId w:val="9"/>
  </w:num>
  <w:num w:numId="6" w16cid:durableId="371418723">
    <w:abstractNumId w:val="11"/>
  </w:num>
  <w:num w:numId="7" w16cid:durableId="646859482">
    <w:abstractNumId w:val="12"/>
  </w:num>
  <w:num w:numId="8" w16cid:durableId="1179585065">
    <w:abstractNumId w:val="0"/>
  </w:num>
  <w:num w:numId="9" w16cid:durableId="184248580">
    <w:abstractNumId w:val="3"/>
  </w:num>
  <w:num w:numId="10" w16cid:durableId="475149545">
    <w:abstractNumId w:val="13"/>
  </w:num>
  <w:num w:numId="11" w16cid:durableId="246885173">
    <w:abstractNumId w:val="2"/>
  </w:num>
  <w:num w:numId="12" w16cid:durableId="1122263085">
    <w:abstractNumId w:val="10"/>
  </w:num>
  <w:num w:numId="13" w16cid:durableId="1751274653">
    <w:abstractNumId w:val="1"/>
  </w:num>
  <w:num w:numId="14" w16cid:durableId="32578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579F"/>
    <w:rsid w:val="0004792E"/>
    <w:rsid w:val="00047DD7"/>
    <w:rsid w:val="00055403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2064"/>
    <w:rsid w:val="00196157"/>
    <w:rsid w:val="001A2FA9"/>
    <w:rsid w:val="001A6A9D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3C7D"/>
    <w:rsid w:val="002063BD"/>
    <w:rsid w:val="00207E9C"/>
    <w:rsid w:val="00210452"/>
    <w:rsid w:val="002118D6"/>
    <w:rsid w:val="00220544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6A04"/>
    <w:rsid w:val="00350DFA"/>
    <w:rsid w:val="0035361B"/>
    <w:rsid w:val="0035739F"/>
    <w:rsid w:val="00357CB9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0047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61F2"/>
    <w:rsid w:val="004C6B71"/>
    <w:rsid w:val="004D276D"/>
    <w:rsid w:val="004D2C6C"/>
    <w:rsid w:val="004E4D72"/>
    <w:rsid w:val="004E7161"/>
    <w:rsid w:val="004F5CCC"/>
    <w:rsid w:val="00506072"/>
    <w:rsid w:val="005115D2"/>
    <w:rsid w:val="0051779D"/>
    <w:rsid w:val="0052511C"/>
    <w:rsid w:val="00527F7D"/>
    <w:rsid w:val="00540DCD"/>
    <w:rsid w:val="00540DCF"/>
    <w:rsid w:val="005459D7"/>
    <w:rsid w:val="00560B5A"/>
    <w:rsid w:val="00567700"/>
    <w:rsid w:val="00570B5E"/>
    <w:rsid w:val="005834EC"/>
    <w:rsid w:val="00587B70"/>
    <w:rsid w:val="00593277"/>
    <w:rsid w:val="0059657D"/>
    <w:rsid w:val="005B07BC"/>
    <w:rsid w:val="005B6C1F"/>
    <w:rsid w:val="005C0C8A"/>
    <w:rsid w:val="005C2075"/>
    <w:rsid w:val="005C689C"/>
    <w:rsid w:val="005D3BE8"/>
    <w:rsid w:val="005D3D8D"/>
    <w:rsid w:val="005E3DA6"/>
    <w:rsid w:val="005E3F1A"/>
    <w:rsid w:val="005E5F95"/>
    <w:rsid w:val="005E621A"/>
    <w:rsid w:val="005F1D29"/>
    <w:rsid w:val="00601575"/>
    <w:rsid w:val="0060182A"/>
    <w:rsid w:val="00601DBB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E446C"/>
    <w:rsid w:val="006E5E8B"/>
    <w:rsid w:val="006F099E"/>
    <w:rsid w:val="006F4020"/>
    <w:rsid w:val="006F4418"/>
    <w:rsid w:val="0070516B"/>
    <w:rsid w:val="00705EDB"/>
    <w:rsid w:val="00712387"/>
    <w:rsid w:val="00713683"/>
    <w:rsid w:val="00715EFE"/>
    <w:rsid w:val="00720725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659F"/>
    <w:rsid w:val="007D5D38"/>
    <w:rsid w:val="007D6809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4617"/>
    <w:rsid w:val="008D70C9"/>
    <w:rsid w:val="008E12D1"/>
    <w:rsid w:val="008E24F0"/>
    <w:rsid w:val="008E3AF9"/>
    <w:rsid w:val="008F3590"/>
    <w:rsid w:val="008F5E5A"/>
    <w:rsid w:val="009165A9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2AD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6150"/>
    <w:rsid w:val="00A3782C"/>
    <w:rsid w:val="00A42890"/>
    <w:rsid w:val="00A473E1"/>
    <w:rsid w:val="00A47536"/>
    <w:rsid w:val="00A51BB5"/>
    <w:rsid w:val="00A616F2"/>
    <w:rsid w:val="00A61B26"/>
    <w:rsid w:val="00A747E6"/>
    <w:rsid w:val="00A7725A"/>
    <w:rsid w:val="00A877A0"/>
    <w:rsid w:val="00A87F96"/>
    <w:rsid w:val="00A92EA8"/>
    <w:rsid w:val="00A9486D"/>
    <w:rsid w:val="00AA24E5"/>
    <w:rsid w:val="00AA65FB"/>
    <w:rsid w:val="00AA73EE"/>
    <w:rsid w:val="00AB70A4"/>
    <w:rsid w:val="00AD5573"/>
    <w:rsid w:val="00AD6A44"/>
    <w:rsid w:val="00AE3F45"/>
    <w:rsid w:val="00AE466F"/>
    <w:rsid w:val="00AF02A0"/>
    <w:rsid w:val="00AF2097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40A3"/>
    <w:rsid w:val="00CC6CBE"/>
    <w:rsid w:val="00CD5B95"/>
    <w:rsid w:val="00CD6A46"/>
    <w:rsid w:val="00CD6E8E"/>
    <w:rsid w:val="00CE322F"/>
    <w:rsid w:val="00CE5454"/>
    <w:rsid w:val="00CF0859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A2A4F"/>
    <w:rsid w:val="00DA3FBD"/>
    <w:rsid w:val="00DA644C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21C73"/>
    <w:rsid w:val="00E236C2"/>
    <w:rsid w:val="00E25BE8"/>
    <w:rsid w:val="00E27982"/>
    <w:rsid w:val="00E34521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A7B3A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568E6"/>
    <w:rsid w:val="00F62A8A"/>
    <w:rsid w:val="00F650E7"/>
    <w:rsid w:val="00F6562F"/>
    <w:rsid w:val="00F710A4"/>
    <w:rsid w:val="00F724B8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B6EE6"/>
  <w15:chartTrackingRefBased/>
  <w15:docId w15:val="{B2DD112A-C2DE-454B-9522-B5249C4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://www.oecd.org/tax/transparency/documents/global-forum-annual-report-20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odc.org/res/wdr2021/field/WDR21_Booklet_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www.fatf-gafi.org/publications/high-risk-and-other-monitored-jurisdictions/documents/call-for-action-october-2022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tf-gafi.org/publications/high-risk-and-other-monitored-jurisdictions/documents/increased-monitoring-june-2022.html" TargetMode="External"/><Relationship Id="rId20" Type="http://schemas.openxmlformats.org/officeDocument/2006/relationships/hyperlink" Target="https://data.consilium.europa.eu/doc/document/ST-6375-2023-INIT/en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24" Type="http://schemas.openxmlformats.org/officeDocument/2006/relationships/hyperlink" Target="https://www.sanctionsmap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tf-gafi.org/publications/high-risk-and-other-monitored-jurisdictions/documents/increased-monitoring-october-2022.html" TargetMode="External"/><Relationship Id="rId23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s://www.consilium.europa.eu/en/policies/eu-list-of-non-cooperative-jurisdi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s://eur-lex.europa.eu/legal-content/EN/TXT/?uri=CELEX%3A32022R0229&amp;qid=1646389079510" TargetMode="External"/><Relationship Id="rId22" Type="http://schemas.openxmlformats.org/officeDocument/2006/relationships/hyperlink" Target="https://www.unodc.org/res/wdr2021/field/WDR21_Booklet_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14289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3801124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https://www.fatf-gafi.org/publications/high-risk-and-other-monitored-jurisdictions/documents/call-for-action-october-2022.html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https://www.fatf-gafi.org/publications/high-risk-and-other-monitored-jurisdictions/documents/increased-monitoring-june-2022.html</vt:lpwstr>
      </vt:variant>
      <vt:variant>
        <vt:lpwstr/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https://www.fatf-gafi.org/publications/high-risk-and-other-monitored-jurisdictions/documents/increased-monitoring-october-2022.html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2</cp:revision>
  <cp:lastPrinted>2021-08-09T11:50:00Z</cp:lastPrinted>
  <dcterms:created xsi:type="dcterms:W3CDTF">2023-05-09T06:14:00Z</dcterms:created>
  <dcterms:modified xsi:type="dcterms:W3CDTF">2023-05-09T06:14:00Z</dcterms:modified>
</cp:coreProperties>
</file>