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0D016" w14:textId="77777777" w:rsidR="00164DBB" w:rsidRPr="00424274" w:rsidRDefault="00164DBB" w:rsidP="00D21F86">
      <w:pPr>
        <w:pStyle w:val="Glava"/>
        <w:tabs>
          <w:tab w:val="clear" w:pos="4153"/>
          <w:tab w:val="clear" w:pos="8306"/>
        </w:tabs>
        <w:spacing w:line="276" w:lineRule="auto"/>
        <w:rPr>
          <w:rFonts w:ascii="Arial" w:hAnsi="Arial"/>
          <w:sz w:val="20"/>
        </w:rPr>
      </w:pPr>
    </w:p>
    <w:p w14:paraId="08DBBC94" w14:textId="77777777" w:rsidR="00851C49" w:rsidRPr="00424274" w:rsidRDefault="00815D98" w:rsidP="00D21F86">
      <w:pPr>
        <w:pStyle w:val="Glava"/>
        <w:tabs>
          <w:tab w:val="clear" w:pos="4153"/>
          <w:tab w:val="clear" w:pos="8306"/>
        </w:tabs>
        <w:spacing w:line="276" w:lineRule="auto"/>
        <w:rPr>
          <w:rFonts w:ascii="Arial" w:hAnsi="Arial"/>
          <w:sz w:val="20"/>
        </w:rPr>
      </w:pPr>
      <w:r w:rsidRPr="00424274">
        <w:rPr>
          <w:rFonts w:ascii="Arial" w:hAnsi="Arial"/>
          <w:noProof/>
          <w:sz w:val="20"/>
          <w:lang w:eastAsia="sl-SI"/>
        </w:rPr>
        <w:drawing>
          <wp:anchor distT="0" distB="0" distL="114300" distR="114300" simplePos="0" relativeHeight="251658752" behindDoc="1" locked="0" layoutInCell="1" allowOverlap="1" wp14:anchorId="54A04AA3" wp14:editId="245C21DD">
            <wp:simplePos x="0" y="0"/>
            <wp:positionH relativeFrom="page">
              <wp:posOffset>76200</wp:posOffset>
            </wp:positionH>
            <wp:positionV relativeFrom="page">
              <wp:posOffset>792480</wp:posOffset>
            </wp:positionV>
            <wp:extent cx="4319270" cy="1342390"/>
            <wp:effectExtent l="0" t="0" r="5080" b="0"/>
            <wp:wrapNone/>
            <wp:docPr id="11" name="Picture 6" descr="0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2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9270" cy="1342390"/>
                    </a:xfrm>
                    <a:prstGeom prst="rect">
                      <a:avLst/>
                    </a:prstGeom>
                    <a:noFill/>
                  </pic:spPr>
                </pic:pic>
              </a:graphicData>
            </a:graphic>
          </wp:anchor>
        </w:drawing>
      </w:r>
      <w:r w:rsidR="00F82C33" w:rsidRPr="00424274">
        <w:rPr>
          <w:rFonts w:ascii="Arial" w:hAnsi="Arial"/>
          <w:noProof/>
          <w:sz w:val="20"/>
          <w:lang w:eastAsia="sl-SI"/>
        </w:rPr>
        <mc:AlternateContent>
          <mc:Choice Requires="wps">
            <w:drawing>
              <wp:anchor distT="360045" distB="360045" distL="0" distR="0" simplePos="0" relativeHeight="251656704" behindDoc="0" locked="0" layoutInCell="1" allowOverlap="0" wp14:anchorId="7D8BDC2B" wp14:editId="798A695C">
                <wp:simplePos x="0" y="0"/>
                <wp:positionH relativeFrom="page">
                  <wp:posOffset>4899660</wp:posOffset>
                </wp:positionH>
                <wp:positionV relativeFrom="page">
                  <wp:posOffset>594360</wp:posOffset>
                </wp:positionV>
                <wp:extent cx="1723390" cy="303530"/>
                <wp:effectExtent l="0" t="0" r="10160" b="1270"/>
                <wp:wrapTopAndBottom/>
                <wp:docPr id="12" name="Text Box 2"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90867" w14:textId="77777777" w:rsidR="00BB21A2" w:rsidRPr="00FC0087" w:rsidRDefault="00BB21A2" w:rsidP="00B204FE">
                            <w:pPr>
                              <w:rPr>
                                <w:rFonts w:ascii="Arial" w:hAnsi="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BDC2B" id="_x0000_t202" coordsize="21600,21600" o:spt="202" path="m,l,21600r21600,l21600,xe">
                <v:stroke joinstyle="miter"/>
                <v:path gradientshapeok="t" o:connecttype="rect"/>
              </v:shapetype>
              <v:shape id="Text Box 2" o:spid="_x0000_s1026" type="#_x0000_t202" alt="Prostor za vnos naslovnika&#10;" style="position:absolute;left:0;text-align:left;margin-left:385.8pt;margin-top:46.8pt;width:135.7pt;height:23.9pt;z-index:251656704;visibility:visible;mso-wrap-style:square;mso-width-percent:0;mso-height-percent:0;mso-wrap-distance-left:0;mso-wrap-distance-top:28.35pt;mso-wrap-distance-right:0;mso-wrap-distance-bottom:28.3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" o:allowoverlap="f" filled="f" stroked="f">
                <v:textbox inset="0,0,0,0">
                  <w:txbxContent>
                    <w:p w14:paraId="5C390867" w14:textId="77777777" w:rsidR="00BB21A2" w:rsidRPr="00FC0087" w:rsidRDefault="00BB21A2" w:rsidP="00B204FE">
                      <w:pPr>
                        <w:rPr>
                          <w:rFonts w:ascii="Arial" w:hAnsi="Arial"/>
                          <w:sz w:val="16"/>
                          <w:szCs w:val="16"/>
                        </w:rPr>
                      </w:pPr>
                    </w:p>
                  </w:txbxContent>
                </v:textbox>
                <w10:wrap type="topAndBottom" anchorx="page" anchory="page"/>
              </v:shape>
            </w:pict>
          </mc:Fallback>
        </mc:AlternateContent>
      </w:r>
      <w:r w:rsidRPr="00424274">
        <w:rPr>
          <w:rFonts w:ascii="Arial" w:hAnsi="Arial"/>
          <w:noProof/>
          <w:sz w:val="20"/>
          <w:lang w:eastAsia="sl-SI"/>
        </w:rPr>
        <w:drawing>
          <wp:anchor distT="0" distB="0" distL="114300" distR="114300" simplePos="0" relativeHeight="251657728" behindDoc="1" locked="0" layoutInCell="1" allowOverlap="1" wp14:anchorId="4DF8E57B" wp14:editId="608891A6">
            <wp:simplePos x="0" y="0"/>
            <wp:positionH relativeFrom="page">
              <wp:posOffset>0</wp:posOffset>
            </wp:positionH>
            <wp:positionV relativeFrom="page">
              <wp:posOffset>647700</wp:posOffset>
            </wp:positionV>
            <wp:extent cx="4319270" cy="1342390"/>
            <wp:effectExtent l="0" t="0" r="5080" b="0"/>
            <wp:wrapNone/>
            <wp:docPr id="9" name="Picture 33" descr="0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02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9270" cy="1342390"/>
                    </a:xfrm>
                    <a:prstGeom prst="rect">
                      <a:avLst/>
                    </a:prstGeom>
                    <a:noFill/>
                  </pic:spPr>
                </pic:pic>
              </a:graphicData>
            </a:graphic>
          </wp:anchor>
        </w:drawing>
      </w:r>
    </w:p>
    <w:p w14:paraId="70DE3269" w14:textId="77777777" w:rsidR="00851C49" w:rsidRPr="00424274" w:rsidRDefault="00851C49" w:rsidP="00D21F86">
      <w:pPr>
        <w:spacing w:line="276" w:lineRule="auto"/>
        <w:rPr>
          <w:rFonts w:ascii="Arial" w:hAnsi="Arial"/>
          <w:sz w:val="20"/>
        </w:rPr>
      </w:pPr>
    </w:p>
    <w:p w14:paraId="1740CC46" w14:textId="77777777" w:rsidR="00851C49" w:rsidRPr="00424274" w:rsidRDefault="00851C49" w:rsidP="00D21F86">
      <w:pPr>
        <w:spacing w:line="276" w:lineRule="auto"/>
        <w:rPr>
          <w:rFonts w:ascii="Arial" w:hAnsi="Arial"/>
          <w:sz w:val="20"/>
        </w:rPr>
      </w:pPr>
    </w:p>
    <w:p w14:paraId="2BE96316" w14:textId="77777777" w:rsidR="00851C49" w:rsidRPr="00424274" w:rsidRDefault="00851C49" w:rsidP="00D21F86">
      <w:pPr>
        <w:spacing w:line="276" w:lineRule="auto"/>
        <w:rPr>
          <w:rFonts w:ascii="Arial" w:hAnsi="Arial"/>
          <w:sz w:val="20"/>
        </w:rPr>
      </w:pPr>
    </w:p>
    <w:p w14:paraId="338B0BAC" w14:textId="11E64CB3" w:rsidR="00851C49" w:rsidRPr="00424274" w:rsidRDefault="00851C49" w:rsidP="00D21F86">
      <w:pPr>
        <w:spacing w:line="276" w:lineRule="auto"/>
        <w:rPr>
          <w:rFonts w:ascii="Arial" w:hAnsi="Arial"/>
          <w:sz w:val="20"/>
        </w:rPr>
      </w:pPr>
      <w:r w:rsidRPr="00424274">
        <w:rPr>
          <w:rFonts w:ascii="Arial" w:hAnsi="Arial"/>
          <w:sz w:val="20"/>
        </w:rPr>
        <w:t xml:space="preserve">      Cankarjeva </w:t>
      </w:r>
      <w:r w:rsidR="000B6751" w:rsidRPr="00424274">
        <w:rPr>
          <w:rFonts w:ascii="Arial" w:hAnsi="Arial"/>
          <w:sz w:val="20"/>
        </w:rPr>
        <w:t xml:space="preserve">cesta </w:t>
      </w:r>
      <w:r w:rsidRPr="00424274">
        <w:rPr>
          <w:rFonts w:ascii="Arial" w:hAnsi="Arial"/>
          <w:sz w:val="20"/>
        </w:rPr>
        <w:t>5, p.</w:t>
      </w:r>
      <w:r w:rsidR="001071BA">
        <w:rPr>
          <w:rFonts w:ascii="Arial" w:hAnsi="Arial"/>
          <w:sz w:val="20"/>
        </w:rPr>
        <w:t> </w:t>
      </w:r>
      <w:r w:rsidRPr="00424274">
        <w:rPr>
          <w:rFonts w:ascii="Arial" w:hAnsi="Arial"/>
          <w:sz w:val="20"/>
        </w:rPr>
        <w:t>p.</w:t>
      </w:r>
      <w:r w:rsidR="001071BA">
        <w:rPr>
          <w:rFonts w:ascii="Arial" w:hAnsi="Arial"/>
          <w:sz w:val="20"/>
        </w:rPr>
        <w:t> </w:t>
      </w:r>
      <w:r w:rsidRPr="00424274">
        <w:rPr>
          <w:rFonts w:ascii="Arial" w:hAnsi="Arial"/>
          <w:sz w:val="20"/>
        </w:rPr>
        <w:t xml:space="preserve">1696, 1001 Ljubljana          </w:t>
      </w:r>
      <w:r w:rsidRPr="00424274">
        <w:rPr>
          <w:rFonts w:ascii="Arial" w:hAnsi="Arial"/>
          <w:sz w:val="20"/>
        </w:rPr>
        <w:tab/>
        <w:t>T: 01 425 41 89</w:t>
      </w:r>
    </w:p>
    <w:p w14:paraId="784BA6AA" w14:textId="77777777" w:rsidR="00851C49" w:rsidRPr="00424274" w:rsidRDefault="00851C49" w:rsidP="00D21F86">
      <w:pPr>
        <w:spacing w:line="276" w:lineRule="auto"/>
        <w:ind w:left="4320" w:firstLine="720"/>
        <w:rPr>
          <w:rFonts w:ascii="Arial" w:hAnsi="Arial"/>
          <w:sz w:val="20"/>
        </w:rPr>
      </w:pPr>
      <w:r w:rsidRPr="00424274">
        <w:rPr>
          <w:rFonts w:ascii="Arial" w:hAnsi="Arial"/>
          <w:sz w:val="20"/>
        </w:rPr>
        <w:t>F: 01 425 20 87</w:t>
      </w:r>
    </w:p>
    <w:p w14:paraId="0945B827" w14:textId="77777777" w:rsidR="00851C49" w:rsidRPr="00424274" w:rsidRDefault="00851C49" w:rsidP="00D21F86">
      <w:pPr>
        <w:spacing w:line="276" w:lineRule="auto"/>
        <w:ind w:left="4320" w:firstLine="720"/>
        <w:rPr>
          <w:rFonts w:ascii="Arial" w:hAnsi="Arial"/>
          <w:sz w:val="20"/>
        </w:rPr>
      </w:pPr>
      <w:r w:rsidRPr="00424274">
        <w:rPr>
          <w:rFonts w:ascii="Arial" w:hAnsi="Arial"/>
          <w:sz w:val="20"/>
        </w:rPr>
        <w:t xml:space="preserve">E: </w:t>
      </w:r>
      <w:hyperlink r:id="rId9" w:history="1">
        <w:r w:rsidR="00D262B3" w:rsidRPr="00424274">
          <w:rPr>
            <w:rStyle w:val="Hiperpovezava"/>
            <w:rFonts w:ascii="Arial" w:hAnsi="Arial" w:cs="Arial"/>
            <w:sz w:val="20"/>
          </w:rPr>
          <w:t>mf.uppd@gov.si</w:t>
        </w:r>
      </w:hyperlink>
      <w:r w:rsidR="00D262B3" w:rsidRPr="00424274">
        <w:rPr>
          <w:rFonts w:ascii="Arial" w:hAnsi="Arial"/>
          <w:sz w:val="20"/>
        </w:rPr>
        <w:t xml:space="preserve"> </w:t>
      </w:r>
      <w:r w:rsidRPr="00424274">
        <w:rPr>
          <w:rFonts w:ascii="Arial" w:hAnsi="Arial"/>
          <w:sz w:val="20"/>
        </w:rPr>
        <w:tab/>
      </w:r>
      <w:r w:rsidRPr="00424274">
        <w:rPr>
          <w:rFonts w:ascii="Arial" w:hAnsi="Arial"/>
          <w:sz w:val="20"/>
        </w:rPr>
        <w:tab/>
      </w:r>
      <w:hyperlink r:id="rId10" w:history="1">
        <w:r w:rsidR="00D262B3" w:rsidRPr="00424274">
          <w:rPr>
            <w:rStyle w:val="Hiperpovezava"/>
            <w:rFonts w:ascii="Arial" w:hAnsi="Arial" w:cs="Arial"/>
            <w:sz w:val="20"/>
          </w:rPr>
          <w:t>www.uppd.gov.si</w:t>
        </w:r>
      </w:hyperlink>
      <w:r w:rsidR="00D262B3" w:rsidRPr="00424274">
        <w:rPr>
          <w:rFonts w:ascii="Arial" w:hAnsi="Arial"/>
          <w:sz w:val="20"/>
        </w:rPr>
        <w:t xml:space="preserve"> </w:t>
      </w:r>
    </w:p>
    <w:p w14:paraId="52B67553" w14:textId="77777777" w:rsidR="00851C49" w:rsidRPr="00424274" w:rsidRDefault="00851C49" w:rsidP="00D21F86">
      <w:pPr>
        <w:spacing w:line="276" w:lineRule="auto"/>
        <w:rPr>
          <w:rFonts w:ascii="Arial" w:hAnsi="Arial"/>
          <w:sz w:val="20"/>
        </w:rPr>
      </w:pPr>
    </w:p>
    <w:p w14:paraId="3CBFE418" w14:textId="77777777" w:rsidR="00851C49" w:rsidRPr="00424274" w:rsidRDefault="00851C49" w:rsidP="00D21F86">
      <w:pPr>
        <w:pStyle w:val="Naslov"/>
        <w:spacing w:line="276" w:lineRule="auto"/>
        <w:rPr>
          <w:rFonts w:ascii="Arial" w:hAnsi="Arial"/>
          <w:sz w:val="20"/>
          <w:lang w:val="sl-SI"/>
        </w:rPr>
      </w:pPr>
    </w:p>
    <w:p w14:paraId="289E389F" w14:textId="77777777" w:rsidR="00851C49" w:rsidRPr="00424274" w:rsidRDefault="00851C49" w:rsidP="00D21F86">
      <w:pPr>
        <w:pStyle w:val="Naslov"/>
        <w:spacing w:line="276" w:lineRule="auto"/>
        <w:rPr>
          <w:rFonts w:ascii="Arial" w:hAnsi="Arial"/>
          <w:sz w:val="20"/>
          <w:lang w:val="sl-SI"/>
        </w:rPr>
      </w:pPr>
    </w:p>
    <w:p w14:paraId="58EF05AD" w14:textId="77777777" w:rsidR="00851C49" w:rsidRPr="00424274" w:rsidRDefault="00851C49" w:rsidP="00D21F86">
      <w:pPr>
        <w:pStyle w:val="Naslov"/>
        <w:spacing w:line="276" w:lineRule="auto"/>
        <w:rPr>
          <w:rFonts w:ascii="Arial" w:hAnsi="Arial"/>
          <w:sz w:val="20"/>
          <w:lang w:val="sl-SI"/>
        </w:rPr>
      </w:pPr>
    </w:p>
    <w:p w14:paraId="64B9967C" w14:textId="77777777" w:rsidR="00851C49" w:rsidRPr="00424274" w:rsidRDefault="00851C49" w:rsidP="00D21F86">
      <w:pPr>
        <w:pStyle w:val="Naslov"/>
        <w:spacing w:line="276" w:lineRule="auto"/>
        <w:rPr>
          <w:rFonts w:ascii="Arial" w:hAnsi="Arial"/>
          <w:sz w:val="20"/>
          <w:lang w:val="sl-SI"/>
        </w:rPr>
      </w:pPr>
    </w:p>
    <w:p w14:paraId="3ECF0EAE" w14:textId="77777777" w:rsidR="00851C49" w:rsidRPr="00424274" w:rsidRDefault="00851C49" w:rsidP="00D21F86">
      <w:pPr>
        <w:pStyle w:val="Naslov"/>
        <w:spacing w:line="276" w:lineRule="auto"/>
        <w:rPr>
          <w:rFonts w:ascii="Arial" w:hAnsi="Arial"/>
          <w:sz w:val="20"/>
          <w:lang w:val="sl-SI"/>
        </w:rPr>
      </w:pPr>
    </w:p>
    <w:p w14:paraId="2872F7D0" w14:textId="77777777" w:rsidR="00851C49" w:rsidRPr="00424274" w:rsidRDefault="00851C49" w:rsidP="00D21F86">
      <w:pPr>
        <w:pStyle w:val="Naslov"/>
        <w:spacing w:line="276" w:lineRule="auto"/>
        <w:rPr>
          <w:rFonts w:ascii="Arial" w:hAnsi="Arial"/>
          <w:sz w:val="20"/>
          <w:lang w:val="sl-SI"/>
        </w:rPr>
      </w:pPr>
    </w:p>
    <w:p w14:paraId="5D99AECB" w14:textId="77777777" w:rsidR="00851C49" w:rsidRPr="00424274" w:rsidRDefault="00851C49" w:rsidP="00D21F86">
      <w:pPr>
        <w:pStyle w:val="Naslov"/>
        <w:spacing w:line="276" w:lineRule="auto"/>
        <w:rPr>
          <w:rFonts w:ascii="Arial" w:hAnsi="Arial"/>
          <w:sz w:val="20"/>
          <w:lang w:val="sl-SI"/>
        </w:rPr>
      </w:pPr>
    </w:p>
    <w:p w14:paraId="6BD37F7B" w14:textId="77777777" w:rsidR="00851C49" w:rsidRPr="00424274" w:rsidRDefault="00851C49" w:rsidP="00D21F86">
      <w:pPr>
        <w:pStyle w:val="Naslov"/>
        <w:spacing w:line="276" w:lineRule="auto"/>
        <w:rPr>
          <w:rFonts w:ascii="Arial" w:hAnsi="Arial"/>
          <w:sz w:val="20"/>
          <w:lang w:val="sl-SI"/>
        </w:rPr>
      </w:pPr>
    </w:p>
    <w:p w14:paraId="2BCE7471" w14:textId="77777777" w:rsidR="00851C49" w:rsidRPr="00424274" w:rsidRDefault="00851C49" w:rsidP="00D21F86">
      <w:pPr>
        <w:pStyle w:val="Naslov"/>
        <w:spacing w:line="276" w:lineRule="auto"/>
        <w:rPr>
          <w:rFonts w:ascii="Arial" w:hAnsi="Arial"/>
          <w:sz w:val="20"/>
          <w:lang w:val="sl-SI"/>
        </w:rPr>
      </w:pPr>
    </w:p>
    <w:p w14:paraId="2A55D61D" w14:textId="77777777" w:rsidR="00851C49" w:rsidRPr="00424274" w:rsidRDefault="00851C49" w:rsidP="00D21F86">
      <w:pPr>
        <w:pStyle w:val="Naslov"/>
        <w:spacing w:line="276" w:lineRule="auto"/>
        <w:rPr>
          <w:rFonts w:ascii="Arial" w:hAnsi="Arial"/>
          <w:sz w:val="20"/>
          <w:lang w:val="sl-SI"/>
        </w:rPr>
      </w:pPr>
    </w:p>
    <w:p w14:paraId="3A03DFD1" w14:textId="77777777" w:rsidR="00851C49" w:rsidRPr="00424274" w:rsidRDefault="00851C49" w:rsidP="00D21F86">
      <w:pPr>
        <w:pStyle w:val="Naslov"/>
        <w:spacing w:line="276" w:lineRule="auto"/>
        <w:rPr>
          <w:rFonts w:ascii="Arial" w:hAnsi="Arial"/>
          <w:sz w:val="20"/>
          <w:lang w:val="sl-SI"/>
        </w:rPr>
      </w:pPr>
    </w:p>
    <w:p w14:paraId="41AE2121" w14:textId="77777777" w:rsidR="00851C49" w:rsidRPr="00424274" w:rsidRDefault="00851C49" w:rsidP="00D21F86">
      <w:pPr>
        <w:pStyle w:val="Naslov"/>
        <w:spacing w:line="276" w:lineRule="auto"/>
        <w:rPr>
          <w:rFonts w:ascii="Arial" w:hAnsi="Arial"/>
          <w:sz w:val="20"/>
          <w:lang w:val="sl-SI"/>
        </w:rPr>
      </w:pPr>
    </w:p>
    <w:p w14:paraId="5039BE69" w14:textId="77777777" w:rsidR="00D262B3" w:rsidRPr="00424274" w:rsidRDefault="00851C49" w:rsidP="00D21F86">
      <w:pPr>
        <w:pStyle w:val="Naslov"/>
        <w:spacing w:line="276" w:lineRule="auto"/>
        <w:rPr>
          <w:rFonts w:ascii="Arial" w:hAnsi="Arial"/>
          <w:spacing w:val="10"/>
          <w:sz w:val="24"/>
          <w:szCs w:val="24"/>
          <w:lang w:val="sl-SI"/>
        </w:rPr>
      </w:pPr>
      <w:r w:rsidRPr="00424274">
        <w:rPr>
          <w:rFonts w:ascii="Arial" w:hAnsi="Arial"/>
          <w:spacing w:val="10"/>
          <w:sz w:val="24"/>
          <w:szCs w:val="24"/>
          <w:lang w:val="sl-SI"/>
        </w:rPr>
        <w:t xml:space="preserve">POROČILO O DELU </w:t>
      </w:r>
    </w:p>
    <w:p w14:paraId="524AB0AA" w14:textId="77777777" w:rsidR="00851C49" w:rsidRPr="00424274" w:rsidRDefault="00851C49" w:rsidP="00D21F86">
      <w:pPr>
        <w:pStyle w:val="Naslov"/>
        <w:spacing w:line="276" w:lineRule="auto"/>
        <w:ind w:left="-284"/>
        <w:rPr>
          <w:rFonts w:ascii="Arial" w:hAnsi="Arial"/>
          <w:spacing w:val="10"/>
          <w:sz w:val="24"/>
          <w:szCs w:val="24"/>
          <w:lang w:val="sl-SI"/>
        </w:rPr>
      </w:pPr>
      <w:r w:rsidRPr="00424274">
        <w:rPr>
          <w:rFonts w:ascii="Arial" w:hAnsi="Arial"/>
          <w:spacing w:val="10"/>
          <w:sz w:val="24"/>
          <w:szCs w:val="24"/>
          <w:lang w:val="sl-SI"/>
        </w:rPr>
        <w:t>URADA REPUBLIKE SLOVENIJE ZA PREPREČEVANJE PRANJA DENARJA</w:t>
      </w:r>
    </w:p>
    <w:p w14:paraId="16684087" w14:textId="3861E9AE" w:rsidR="00851C49" w:rsidRPr="00424274" w:rsidRDefault="00851C49" w:rsidP="00D21F86">
      <w:pPr>
        <w:pStyle w:val="Naslov"/>
        <w:spacing w:line="276" w:lineRule="auto"/>
        <w:rPr>
          <w:rFonts w:ascii="Arial" w:hAnsi="Arial"/>
          <w:spacing w:val="10"/>
          <w:sz w:val="24"/>
          <w:szCs w:val="24"/>
          <w:lang w:val="sl-SI"/>
        </w:rPr>
      </w:pPr>
      <w:r w:rsidRPr="00424274">
        <w:rPr>
          <w:rFonts w:ascii="Arial" w:hAnsi="Arial"/>
          <w:spacing w:val="10"/>
          <w:sz w:val="24"/>
          <w:szCs w:val="24"/>
          <w:lang w:val="sl-SI"/>
        </w:rPr>
        <w:t>ZA LETO 20</w:t>
      </w:r>
      <w:r w:rsidR="00720FF0" w:rsidRPr="00424274">
        <w:rPr>
          <w:rFonts w:ascii="Arial" w:hAnsi="Arial"/>
          <w:spacing w:val="10"/>
          <w:sz w:val="24"/>
          <w:szCs w:val="24"/>
          <w:lang w:val="sl-SI"/>
        </w:rPr>
        <w:t>20</w:t>
      </w:r>
    </w:p>
    <w:p w14:paraId="38803B8F" w14:textId="77777777" w:rsidR="00851C49" w:rsidRPr="00424274" w:rsidRDefault="00851C49" w:rsidP="00D21F86">
      <w:pPr>
        <w:spacing w:line="276" w:lineRule="auto"/>
        <w:rPr>
          <w:rFonts w:ascii="Arial" w:hAnsi="Arial"/>
          <w:sz w:val="20"/>
        </w:rPr>
      </w:pPr>
    </w:p>
    <w:p w14:paraId="2A799F7D" w14:textId="77777777" w:rsidR="00851C49" w:rsidRPr="00424274" w:rsidRDefault="00851C49" w:rsidP="00D21F86">
      <w:pPr>
        <w:spacing w:line="276" w:lineRule="auto"/>
        <w:rPr>
          <w:rFonts w:ascii="Arial" w:hAnsi="Arial"/>
          <w:sz w:val="20"/>
        </w:rPr>
      </w:pPr>
    </w:p>
    <w:p w14:paraId="16E83D47" w14:textId="77777777" w:rsidR="00851C49" w:rsidRPr="00424274" w:rsidRDefault="00851C49" w:rsidP="00D21F86">
      <w:pPr>
        <w:spacing w:line="276" w:lineRule="auto"/>
        <w:rPr>
          <w:rFonts w:ascii="Arial" w:hAnsi="Arial"/>
          <w:sz w:val="20"/>
        </w:rPr>
      </w:pPr>
    </w:p>
    <w:p w14:paraId="66838F7A" w14:textId="77777777" w:rsidR="00851C49" w:rsidRPr="00424274" w:rsidRDefault="00851C49" w:rsidP="00D21F86">
      <w:pPr>
        <w:spacing w:line="276" w:lineRule="auto"/>
        <w:rPr>
          <w:rFonts w:ascii="Arial" w:hAnsi="Arial"/>
          <w:sz w:val="20"/>
        </w:rPr>
      </w:pPr>
    </w:p>
    <w:p w14:paraId="60242E7C" w14:textId="77777777" w:rsidR="00851C49" w:rsidRPr="00424274" w:rsidRDefault="00851C49" w:rsidP="00D21F86">
      <w:pPr>
        <w:spacing w:line="276" w:lineRule="auto"/>
        <w:rPr>
          <w:rFonts w:ascii="Arial" w:hAnsi="Arial"/>
          <w:sz w:val="20"/>
        </w:rPr>
      </w:pPr>
    </w:p>
    <w:p w14:paraId="67182BDA" w14:textId="77777777" w:rsidR="00851C49" w:rsidRPr="00424274" w:rsidRDefault="00851C49" w:rsidP="00D21F86">
      <w:pPr>
        <w:pStyle w:val="Uvodnipozdrav"/>
        <w:spacing w:line="276" w:lineRule="auto"/>
        <w:rPr>
          <w:rFonts w:ascii="Arial" w:hAnsi="Arial"/>
          <w:sz w:val="20"/>
        </w:rPr>
      </w:pPr>
    </w:p>
    <w:p w14:paraId="25573E1D" w14:textId="77777777" w:rsidR="00851C49" w:rsidRPr="00424274" w:rsidRDefault="00851C49" w:rsidP="00D21F86">
      <w:pPr>
        <w:spacing w:line="276" w:lineRule="auto"/>
        <w:rPr>
          <w:rFonts w:ascii="Arial" w:hAnsi="Arial"/>
          <w:sz w:val="20"/>
        </w:rPr>
      </w:pPr>
    </w:p>
    <w:p w14:paraId="1EF691F0" w14:textId="77777777" w:rsidR="00851C49" w:rsidRPr="00424274" w:rsidRDefault="00972FF3" w:rsidP="00D21F86">
      <w:pPr>
        <w:tabs>
          <w:tab w:val="left" w:pos="1736"/>
        </w:tabs>
        <w:spacing w:line="276" w:lineRule="auto"/>
        <w:rPr>
          <w:rFonts w:ascii="Arial" w:hAnsi="Arial"/>
          <w:sz w:val="20"/>
        </w:rPr>
      </w:pPr>
      <w:r w:rsidRPr="00424274">
        <w:rPr>
          <w:rFonts w:ascii="Arial" w:hAnsi="Arial"/>
          <w:sz w:val="20"/>
        </w:rPr>
        <w:tab/>
      </w:r>
    </w:p>
    <w:p w14:paraId="74496EE3" w14:textId="77777777" w:rsidR="00851C49" w:rsidRPr="00424274" w:rsidRDefault="00851C49" w:rsidP="00D21F86">
      <w:pPr>
        <w:spacing w:line="276" w:lineRule="auto"/>
        <w:rPr>
          <w:rFonts w:ascii="Arial" w:hAnsi="Arial"/>
          <w:sz w:val="20"/>
        </w:rPr>
      </w:pPr>
    </w:p>
    <w:p w14:paraId="402FFE57" w14:textId="77777777" w:rsidR="00851C49" w:rsidRPr="00424274" w:rsidRDefault="00851C49" w:rsidP="00D21F86">
      <w:pPr>
        <w:spacing w:line="276" w:lineRule="auto"/>
        <w:rPr>
          <w:rFonts w:ascii="Arial" w:hAnsi="Arial"/>
          <w:sz w:val="20"/>
        </w:rPr>
      </w:pPr>
    </w:p>
    <w:p w14:paraId="0C3D1D76" w14:textId="77777777" w:rsidR="00851C49" w:rsidRPr="00424274" w:rsidRDefault="00851C49" w:rsidP="00D21F86">
      <w:pPr>
        <w:spacing w:line="276" w:lineRule="auto"/>
        <w:rPr>
          <w:rFonts w:ascii="Arial" w:hAnsi="Arial"/>
          <w:sz w:val="20"/>
        </w:rPr>
      </w:pPr>
    </w:p>
    <w:p w14:paraId="1F9FE0C8" w14:textId="77777777" w:rsidR="00851C49" w:rsidRPr="00424274" w:rsidRDefault="00851C49" w:rsidP="00D21F86">
      <w:pPr>
        <w:spacing w:line="276" w:lineRule="auto"/>
        <w:rPr>
          <w:rFonts w:ascii="Arial" w:hAnsi="Arial"/>
          <w:sz w:val="20"/>
        </w:rPr>
      </w:pPr>
    </w:p>
    <w:p w14:paraId="537F12E0" w14:textId="77777777" w:rsidR="00851C49" w:rsidRPr="00424274" w:rsidRDefault="00851C49" w:rsidP="00D21F86">
      <w:pPr>
        <w:spacing w:line="276" w:lineRule="auto"/>
        <w:rPr>
          <w:rFonts w:ascii="Arial" w:hAnsi="Arial"/>
          <w:sz w:val="20"/>
        </w:rPr>
      </w:pPr>
    </w:p>
    <w:p w14:paraId="4D03FA62" w14:textId="77777777" w:rsidR="00851C49" w:rsidRPr="00424274" w:rsidRDefault="00851C49" w:rsidP="00D21F86">
      <w:pPr>
        <w:spacing w:line="276" w:lineRule="auto"/>
        <w:rPr>
          <w:rFonts w:ascii="Arial" w:hAnsi="Arial"/>
          <w:sz w:val="20"/>
        </w:rPr>
      </w:pPr>
    </w:p>
    <w:p w14:paraId="2CA967BB" w14:textId="77777777" w:rsidR="00851C49" w:rsidRPr="00424274" w:rsidRDefault="00851C49" w:rsidP="00D21F86">
      <w:pPr>
        <w:spacing w:line="276" w:lineRule="auto"/>
        <w:rPr>
          <w:rFonts w:ascii="Arial" w:hAnsi="Arial"/>
          <w:sz w:val="20"/>
        </w:rPr>
      </w:pPr>
    </w:p>
    <w:p w14:paraId="79FD3A83" w14:textId="77777777" w:rsidR="00851C49" w:rsidRPr="00424274" w:rsidRDefault="00851C49" w:rsidP="00D21F86">
      <w:pPr>
        <w:spacing w:line="276" w:lineRule="auto"/>
        <w:rPr>
          <w:rFonts w:ascii="Arial" w:hAnsi="Arial"/>
          <w:sz w:val="20"/>
        </w:rPr>
      </w:pPr>
    </w:p>
    <w:p w14:paraId="02BA9BAB" w14:textId="77777777" w:rsidR="00851C49" w:rsidRPr="00424274" w:rsidRDefault="00851C49" w:rsidP="00D21F86">
      <w:pPr>
        <w:spacing w:line="276" w:lineRule="auto"/>
        <w:rPr>
          <w:rFonts w:ascii="Arial" w:hAnsi="Arial"/>
          <w:sz w:val="20"/>
        </w:rPr>
      </w:pPr>
    </w:p>
    <w:p w14:paraId="4BF2AE23" w14:textId="54B6363D" w:rsidR="00851C49" w:rsidRPr="00424274" w:rsidRDefault="00C6632E" w:rsidP="00C6632E">
      <w:pPr>
        <w:tabs>
          <w:tab w:val="left" w:pos="5407"/>
        </w:tabs>
        <w:spacing w:line="276" w:lineRule="auto"/>
        <w:rPr>
          <w:rFonts w:ascii="Arial" w:hAnsi="Arial"/>
          <w:sz w:val="20"/>
        </w:rPr>
      </w:pPr>
      <w:r>
        <w:rPr>
          <w:rFonts w:ascii="Arial" w:hAnsi="Arial"/>
          <w:sz w:val="20"/>
        </w:rPr>
        <w:tab/>
      </w:r>
    </w:p>
    <w:p w14:paraId="380F4557" w14:textId="77777777" w:rsidR="00851C49" w:rsidRPr="00424274" w:rsidRDefault="00851C49" w:rsidP="00D21F86">
      <w:pPr>
        <w:spacing w:line="276" w:lineRule="auto"/>
        <w:rPr>
          <w:rFonts w:ascii="Arial" w:hAnsi="Arial"/>
          <w:sz w:val="20"/>
        </w:rPr>
      </w:pPr>
    </w:p>
    <w:p w14:paraId="3CE3F62B" w14:textId="77777777" w:rsidR="00851C49" w:rsidRPr="00424274" w:rsidRDefault="00851C49" w:rsidP="00D21F86">
      <w:pPr>
        <w:spacing w:line="276" w:lineRule="auto"/>
        <w:rPr>
          <w:rFonts w:ascii="Arial" w:hAnsi="Arial"/>
          <w:sz w:val="20"/>
        </w:rPr>
      </w:pPr>
    </w:p>
    <w:p w14:paraId="1067A81D" w14:textId="77777777" w:rsidR="00851C49" w:rsidRPr="00424274" w:rsidRDefault="00851C49" w:rsidP="00D21F86">
      <w:pPr>
        <w:spacing w:line="276" w:lineRule="auto"/>
        <w:rPr>
          <w:rFonts w:ascii="Arial" w:hAnsi="Arial"/>
          <w:sz w:val="20"/>
        </w:rPr>
      </w:pPr>
    </w:p>
    <w:p w14:paraId="73A927DD" w14:textId="77777777" w:rsidR="00851C49" w:rsidRPr="00424274" w:rsidRDefault="00851C49" w:rsidP="00D21F86">
      <w:pPr>
        <w:spacing w:line="276" w:lineRule="auto"/>
        <w:rPr>
          <w:rFonts w:ascii="Arial" w:hAnsi="Arial"/>
          <w:sz w:val="20"/>
        </w:rPr>
      </w:pPr>
    </w:p>
    <w:p w14:paraId="3B6B467E" w14:textId="77777777" w:rsidR="00851C49" w:rsidRPr="00424274" w:rsidRDefault="00851C49" w:rsidP="00A47FBE">
      <w:pPr>
        <w:spacing w:line="276" w:lineRule="auto"/>
        <w:jc w:val="center"/>
        <w:rPr>
          <w:rFonts w:ascii="Arial" w:hAnsi="Arial"/>
          <w:sz w:val="20"/>
        </w:rPr>
      </w:pPr>
    </w:p>
    <w:p w14:paraId="1D7C1755" w14:textId="77777777" w:rsidR="00D21F86" w:rsidRPr="00424274" w:rsidRDefault="00D21F86" w:rsidP="00D21F86">
      <w:pPr>
        <w:spacing w:line="276" w:lineRule="auto"/>
        <w:rPr>
          <w:rFonts w:ascii="Arial" w:hAnsi="Arial"/>
          <w:sz w:val="20"/>
        </w:rPr>
      </w:pPr>
    </w:p>
    <w:p w14:paraId="3C97DD43" w14:textId="77777777" w:rsidR="00851C49" w:rsidRPr="00424274" w:rsidRDefault="00851C49" w:rsidP="00D21F86">
      <w:pPr>
        <w:spacing w:line="276" w:lineRule="auto"/>
        <w:rPr>
          <w:rFonts w:ascii="Arial" w:hAnsi="Arial"/>
          <w:sz w:val="20"/>
        </w:rPr>
      </w:pPr>
    </w:p>
    <w:p w14:paraId="291034D3" w14:textId="3AF29830" w:rsidR="00851C49" w:rsidRPr="00424274" w:rsidRDefault="00851C49" w:rsidP="00D21F86">
      <w:pPr>
        <w:spacing w:line="276" w:lineRule="auto"/>
        <w:jc w:val="center"/>
        <w:rPr>
          <w:rFonts w:ascii="Arial" w:hAnsi="Arial"/>
          <w:sz w:val="20"/>
        </w:rPr>
      </w:pPr>
      <w:r w:rsidRPr="00424274">
        <w:rPr>
          <w:rFonts w:ascii="Arial" w:hAnsi="Arial"/>
          <w:sz w:val="20"/>
        </w:rPr>
        <w:t xml:space="preserve">Ljubljana, </w:t>
      </w:r>
      <w:r w:rsidR="00370C8F" w:rsidRPr="00424274">
        <w:rPr>
          <w:rFonts w:ascii="Arial" w:hAnsi="Arial"/>
          <w:sz w:val="20"/>
        </w:rPr>
        <w:t>1</w:t>
      </w:r>
      <w:r w:rsidR="0065683E">
        <w:rPr>
          <w:rFonts w:ascii="Arial" w:hAnsi="Arial"/>
          <w:sz w:val="20"/>
        </w:rPr>
        <w:t>2</w:t>
      </w:r>
      <w:r w:rsidR="00B42D1D" w:rsidRPr="00424274">
        <w:rPr>
          <w:rFonts w:ascii="Arial" w:hAnsi="Arial"/>
          <w:sz w:val="20"/>
        </w:rPr>
        <w:t xml:space="preserve">. </w:t>
      </w:r>
      <w:r w:rsidR="00791788" w:rsidRPr="00424274">
        <w:rPr>
          <w:rFonts w:ascii="Arial" w:hAnsi="Arial"/>
          <w:sz w:val="20"/>
        </w:rPr>
        <w:t>ju</w:t>
      </w:r>
      <w:r w:rsidR="0065683E">
        <w:rPr>
          <w:rFonts w:ascii="Arial" w:hAnsi="Arial"/>
          <w:sz w:val="20"/>
        </w:rPr>
        <w:t>lij</w:t>
      </w:r>
      <w:r w:rsidR="00720FF0" w:rsidRPr="00424274">
        <w:rPr>
          <w:rFonts w:ascii="Arial" w:hAnsi="Arial"/>
          <w:sz w:val="20"/>
        </w:rPr>
        <w:t xml:space="preserve"> </w:t>
      </w:r>
      <w:r w:rsidRPr="00424274">
        <w:rPr>
          <w:rFonts w:ascii="Arial" w:hAnsi="Arial"/>
          <w:sz w:val="20"/>
        </w:rPr>
        <w:t>20</w:t>
      </w:r>
      <w:r w:rsidR="00D262B3" w:rsidRPr="00424274">
        <w:rPr>
          <w:rFonts w:ascii="Arial" w:hAnsi="Arial"/>
          <w:sz w:val="20"/>
        </w:rPr>
        <w:t>2</w:t>
      </w:r>
      <w:r w:rsidR="00720FF0" w:rsidRPr="00424274">
        <w:rPr>
          <w:rFonts w:ascii="Arial" w:hAnsi="Arial"/>
          <w:sz w:val="20"/>
        </w:rPr>
        <w:t>1</w:t>
      </w:r>
    </w:p>
    <w:p w14:paraId="6DC74230" w14:textId="77777777" w:rsidR="00CD676B" w:rsidRPr="00424274" w:rsidRDefault="00CD676B" w:rsidP="00D21F86">
      <w:pPr>
        <w:spacing w:line="276" w:lineRule="auto"/>
        <w:jc w:val="center"/>
        <w:rPr>
          <w:rFonts w:ascii="Arial" w:hAnsi="Arial"/>
          <w:sz w:val="20"/>
        </w:rPr>
      </w:pPr>
    </w:p>
    <w:p w14:paraId="58B8CF49" w14:textId="156EF2B4" w:rsidR="00EF2058" w:rsidRPr="00245386" w:rsidRDefault="003C6645">
      <w:pPr>
        <w:pStyle w:val="Kazalovsebine1"/>
        <w:rPr>
          <w:rFonts w:eastAsiaTheme="minorEastAsia"/>
          <w:b w:val="0"/>
          <w:bCs w:val="0"/>
          <w:caps w:val="0"/>
          <w:sz w:val="22"/>
          <w:szCs w:val="22"/>
          <w:lang w:eastAsia="sl-SI"/>
        </w:rPr>
      </w:pPr>
      <w:r w:rsidRPr="00245386">
        <w:rPr>
          <w:smallCaps/>
          <w:kern w:val="28"/>
        </w:rPr>
        <w:lastRenderedPageBreak/>
        <w:fldChar w:fldCharType="begin"/>
      </w:r>
      <w:r w:rsidRPr="00245386">
        <w:rPr>
          <w:smallCaps/>
          <w:kern w:val="28"/>
        </w:rPr>
        <w:instrText xml:space="preserve"> TOC \o \h \z \u </w:instrText>
      </w:r>
      <w:r w:rsidRPr="00245386">
        <w:rPr>
          <w:smallCaps/>
          <w:kern w:val="28"/>
        </w:rPr>
        <w:fldChar w:fldCharType="separate"/>
      </w:r>
      <w:hyperlink w:anchor="_Toc113535444" w:history="1">
        <w:r w:rsidR="00EF2058" w:rsidRPr="00245386">
          <w:rPr>
            <w:rStyle w:val="Hiperpovezava"/>
            <w:rFonts w:cs="Arial"/>
          </w:rPr>
          <w:t>1</w:t>
        </w:r>
        <w:r w:rsidR="00EF2058" w:rsidRPr="00245386">
          <w:rPr>
            <w:rFonts w:eastAsiaTheme="minorEastAsia"/>
            <w:b w:val="0"/>
            <w:bCs w:val="0"/>
            <w:caps w:val="0"/>
            <w:sz w:val="22"/>
            <w:szCs w:val="22"/>
            <w:lang w:eastAsia="sl-SI"/>
          </w:rPr>
          <w:tab/>
        </w:r>
        <w:r w:rsidR="00EF2058" w:rsidRPr="00245386">
          <w:rPr>
            <w:rStyle w:val="Hiperpovezava"/>
            <w:rFonts w:cs="Arial"/>
          </w:rPr>
          <w:t>UVOD</w:t>
        </w:r>
        <w:r w:rsidR="00EF2058" w:rsidRPr="00245386">
          <w:rPr>
            <w:webHidden/>
          </w:rPr>
          <w:tab/>
        </w:r>
        <w:r w:rsidR="00EF2058" w:rsidRPr="00245386">
          <w:rPr>
            <w:webHidden/>
          </w:rPr>
          <w:fldChar w:fldCharType="begin"/>
        </w:r>
        <w:r w:rsidR="00EF2058" w:rsidRPr="00245386">
          <w:rPr>
            <w:webHidden/>
          </w:rPr>
          <w:instrText xml:space="preserve"> PAGEREF _Toc113535444 \h </w:instrText>
        </w:r>
        <w:r w:rsidR="00EF2058" w:rsidRPr="00245386">
          <w:rPr>
            <w:webHidden/>
          </w:rPr>
        </w:r>
        <w:r w:rsidR="00EF2058" w:rsidRPr="00245386">
          <w:rPr>
            <w:webHidden/>
          </w:rPr>
          <w:fldChar w:fldCharType="separate"/>
        </w:r>
        <w:r w:rsidR="00FA752D">
          <w:rPr>
            <w:webHidden/>
          </w:rPr>
          <w:t>5</w:t>
        </w:r>
        <w:r w:rsidR="00EF2058" w:rsidRPr="00245386">
          <w:rPr>
            <w:webHidden/>
          </w:rPr>
          <w:fldChar w:fldCharType="end"/>
        </w:r>
      </w:hyperlink>
    </w:p>
    <w:p w14:paraId="44F51629" w14:textId="3FC9EB6F" w:rsidR="00EF2058" w:rsidRPr="00245386" w:rsidRDefault="007E3F8C">
      <w:pPr>
        <w:pStyle w:val="Kazalovsebine2"/>
        <w:rPr>
          <w:rFonts w:ascii="Arial" w:eastAsiaTheme="minorEastAsia" w:hAnsi="Arial"/>
          <w:smallCaps w:val="0"/>
          <w:noProof/>
          <w:sz w:val="22"/>
          <w:szCs w:val="22"/>
          <w:lang w:eastAsia="sl-SI"/>
        </w:rPr>
      </w:pPr>
      <w:hyperlink w:anchor="_Toc113535445" w:history="1">
        <w:r w:rsidR="00EF2058" w:rsidRPr="00245386">
          <w:rPr>
            <w:rStyle w:val="Hiperpovezava"/>
            <w:rFonts w:ascii="Arial" w:hAnsi="Arial" w:cs="Arial"/>
            <w:noProof/>
          </w:rPr>
          <w:t>1.1</w:t>
        </w:r>
        <w:r w:rsidR="00EF2058" w:rsidRPr="00245386">
          <w:rPr>
            <w:rFonts w:ascii="Arial" w:eastAsiaTheme="minorEastAsia" w:hAnsi="Arial"/>
            <w:smallCaps w:val="0"/>
            <w:noProof/>
            <w:sz w:val="22"/>
            <w:szCs w:val="22"/>
            <w:lang w:eastAsia="sl-SI"/>
          </w:rPr>
          <w:tab/>
        </w:r>
        <w:r w:rsidR="00EF2058" w:rsidRPr="00245386">
          <w:rPr>
            <w:rStyle w:val="Hiperpovezava"/>
            <w:rFonts w:ascii="Arial" w:hAnsi="Arial" w:cs="Arial"/>
            <w:noProof/>
          </w:rPr>
          <w:t>PRAVNA PODLAGA ZA DELO URADA</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_Toc113535445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5</w:t>
        </w:r>
        <w:r w:rsidR="00EF2058" w:rsidRPr="00245386">
          <w:rPr>
            <w:rFonts w:ascii="Arial" w:hAnsi="Arial"/>
            <w:noProof/>
            <w:webHidden/>
          </w:rPr>
          <w:fldChar w:fldCharType="end"/>
        </w:r>
      </w:hyperlink>
    </w:p>
    <w:p w14:paraId="095FF94A" w14:textId="53929C69" w:rsidR="00EF2058" w:rsidRPr="00245386" w:rsidRDefault="007E3F8C">
      <w:pPr>
        <w:pStyle w:val="Kazalovsebine2"/>
        <w:rPr>
          <w:rFonts w:ascii="Arial" w:eastAsiaTheme="minorEastAsia" w:hAnsi="Arial"/>
          <w:smallCaps w:val="0"/>
          <w:noProof/>
          <w:sz w:val="22"/>
          <w:szCs w:val="22"/>
          <w:lang w:eastAsia="sl-SI"/>
        </w:rPr>
      </w:pPr>
      <w:hyperlink w:anchor="_Toc113535446" w:history="1">
        <w:r w:rsidR="00EF2058" w:rsidRPr="00245386">
          <w:rPr>
            <w:rStyle w:val="Hiperpovezava"/>
            <w:rFonts w:ascii="Arial" w:hAnsi="Arial" w:cs="Arial"/>
            <w:noProof/>
          </w:rPr>
          <w:t>1.2</w:t>
        </w:r>
        <w:r w:rsidR="00EF2058" w:rsidRPr="00245386">
          <w:rPr>
            <w:rFonts w:ascii="Arial" w:eastAsiaTheme="minorEastAsia" w:hAnsi="Arial"/>
            <w:smallCaps w:val="0"/>
            <w:noProof/>
            <w:sz w:val="22"/>
            <w:szCs w:val="22"/>
            <w:lang w:eastAsia="sl-SI"/>
          </w:rPr>
          <w:tab/>
        </w:r>
        <w:r w:rsidR="00EF2058" w:rsidRPr="00245386">
          <w:rPr>
            <w:rStyle w:val="Hiperpovezava"/>
            <w:rFonts w:ascii="Arial" w:hAnsi="Arial" w:cs="Arial"/>
            <w:noProof/>
          </w:rPr>
          <w:t>ORGANIZACIJSKA SHEMA URADA</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_Toc113535446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7</w:t>
        </w:r>
        <w:r w:rsidR="00EF2058" w:rsidRPr="00245386">
          <w:rPr>
            <w:rFonts w:ascii="Arial" w:hAnsi="Arial"/>
            <w:noProof/>
            <w:webHidden/>
          </w:rPr>
          <w:fldChar w:fldCharType="end"/>
        </w:r>
      </w:hyperlink>
    </w:p>
    <w:p w14:paraId="41EB4FEB" w14:textId="728AEBC0" w:rsidR="00EF2058" w:rsidRPr="00245386" w:rsidRDefault="007E3F8C">
      <w:pPr>
        <w:pStyle w:val="Kazalovsebine1"/>
        <w:rPr>
          <w:rFonts w:eastAsiaTheme="minorEastAsia"/>
          <w:b w:val="0"/>
          <w:bCs w:val="0"/>
          <w:caps w:val="0"/>
          <w:sz w:val="22"/>
          <w:szCs w:val="22"/>
          <w:lang w:eastAsia="sl-SI"/>
        </w:rPr>
      </w:pPr>
      <w:hyperlink w:anchor="_Toc113535447" w:history="1">
        <w:r w:rsidR="00EF2058" w:rsidRPr="00245386">
          <w:rPr>
            <w:rStyle w:val="Hiperpovezava"/>
            <w:rFonts w:cs="Arial"/>
          </w:rPr>
          <w:t>2</w:t>
        </w:r>
        <w:r w:rsidR="00EF2058" w:rsidRPr="00245386">
          <w:rPr>
            <w:rFonts w:eastAsiaTheme="minorEastAsia"/>
            <w:b w:val="0"/>
            <w:bCs w:val="0"/>
            <w:caps w:val="0"/>
            <w:sz w:val="22"/>
            <w:szCs w:val="22"/>
            <w:lang w:eastAsia="sl-SI"/>
          </w:rPr>
          <w:tab/>
        </w:r>
        <w:r w:rsidR="00EF2058" w:rsidRPr="00245386">
          <w:rPr>
            <w:rStyle w:val="Hiperpovezava"/>
            <w:rFonts w:cs="Arial"/>
          </w:rPr>
          <w:t>DELO URADA NA PODROČJU SPREJEMA TRANSAKCIJ NAD DOLOČENIM ZNESKOM</w:t>
        </w:r>
        <w:r w:rsidR="00EF2058" w:rsidRPr="00245386">
          <w:rPr>
            <w:webHidden/>
          </w:rPr>
          <w:tab/>
        </w:r>
        <w:r w:rsidR="00EF2058" w:rsidRPr="00245386">
          <w:rPr>
            <w:webHidden/>
          </w:rPr>
          <w:fldChar w:fldCharType="begin"/>
        </w:r>
        <w:r w:rsidR="00EF2058" w:rsidRPr="00245386">
          <w:rPr>
            <w:webHidden/>
          </w:rPr>
          <w:instrText xml:space="preserve"> PAGEREF _Toc113535447 \h </w:instrText>
        </w:r>
        <w:r w:rsidR="00EF2058" w:rsidRPr="00245386">
          <w:rPr>
            <w:webHidden/>
          </w:rPr>
        </w:r>
        <w:r w:rsidR="00EF2058" w:rsidRPr="00245386">
          <w:rPr>
            <w:webHidden/>
          </w:rPr>
          <w:fldChar w:fldCharType="separate"/>
        </w:r>
        <w:r w:rsidR="00FA752D">
          <w:rPr>
            <w:webHidden/>
          </w:rPr>
          <w:t>8</w:t>
        </w:r>
        <w:r w:rsidR="00EF2058" w:rsidRPr="00245386">
          <w:rPr>
            <w:webHidden/>
          </w:rPr>
          <w:fldChar w:fldCharType="end"/>
        </w:r>
      </w:hyperlink>
    </w:p>
    <w:p w14:paraId="7B65C182" w14:textId="7DFA0FBB" w:rsidR="00EF2058" w:rsidRPr="00245386" w:rsidRDefault="007E3F8C">
      <w:pPr>
        <w:pStyle w:val="Kazalovsebine2"/>
        <w:rPr>
          <w:rFonts w:ascii="Arial" w:eastAsiaTheme="minorEastAsia" w:hAnsi="Arial"/>
          <w:smallCaps w:val="0"/>
          <w:noProof/>
          <w:sz w:val="22"/>
          <w:szCs w:val="22"/>
          <w:lang w:eastAsia="sl-SI"/>
        </w:rPr>
      </w:pPr>
      <w:hyperlink w:anchor="_Toc113535448" w:history="1">
        <w:r w:rsidR="00EF2058" w:rsidRPr="00245386">
          <w:rPr>
            <w:rStyle w:val="Hiperpovezava"/>
            <w:rFonts w:ascii="Arial" w:hAnsi="Arial" w:cs="Arial"/>
            <w:noProof/>
          </w:rPr>
          <w:t>2.1</w:t>
        </w:r>
        <w:r w:rsidR="00EF2058" w:rsidRPr="00245386">
          <w:rPr>
            <w:rFonts w:ascii="Arial" w:eastAsiaTheme="minorEastAsia" w:hAnsi="Arial"/>
            <w:smallCaps w:val="0"/>
            <w:noProof/>
            <w:sz w:val="22"/>
            <w:szCs w:val="22"/>
            <w:lang w:eastAsia="sl-SI"/>
          </w:rPr>
          <w:tab/>
        </w:r>
        <w:r w:rsidR="00EF2058" w:rsidRPr="00245386">
          <w:rPr>
            <w:rStyle w:val="Hiperpovezava"/>
            <w:rFonts w:ascii="Arial" w:hAnsi="Arial" w:cs="Arial"/>
            <w:noProof/>
          </w:rPr>
          <w:t>GOTOVINSKE TRANSAKCIJE NAD 15.000 EUR</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_Toc113535448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8</w:t>
        </w:r>
        <w:r w:rsidR="00EF2058" w:rsidRPr="00245386">
          <w:rPr>
            <w:rFonts w:ascii="Arial" w:hAnsi="Arial"/>
            <w:noProof/>
            <w:webHidden/>
          </w:rPr>
          <w:fldChar w:fldCharType="end"/>
        </w:r>
      </w:hyperlink>
    </w:p>
    <w:p w14:paraId="09BDA1F3" w14:textId="489096AA" w:rsidR="00EF2058" w:rsidRPr="00245386" w:rsidRDefault="007E3F8C">
      <w:pPr>
        <w:pStyle w:val="Kazalovsebine2"/>
        <w:rPr>
          <w:rFonts w:ascii="Arial" w:eastAsiaTheme="minorEastAsia" w:hAnsi="Arial"/>
          <w:smallCaps w:val="0"/>
          <w:noProof/>
          <w:sz w:val="22"/>
          <w:szCs w:val="22"/>
          <w:lang w:eastAsia="sl-SI"/>
        </w:rPr>
      </w:pPr>
      <w:hyperlink w:anchor="_Toc113535449" w:history="1">
        <w:r w:rsidR="00EF2058" w:rsidRPr="00245386">
          <w:rPr>
            <w:rStyle w:val="Hiperpovezava"/>
            <w:rFonts w:ascii="Arial" w:hAnsi="Arial" w:cs="Arial"/>
            <w:noProof/>
          </w:rPr>
          <w:t>2.2</w:t>
        </w:r>
        <w:r w:rsidR="00EF2058" w:rsidRPr="00245386">
          <w:rPr>
            <w:rFonts w:ascii="Arial" w:eastAsiaTheme="minorEastAsia" w:hAnsi="Arial"/>
            <w:smallCaps w:val="0"/>
            <w:noProof/>
            <w:sz w:val="22"/>
            <w:szCs w:val="22"/>
            <w:lang w:eastAsia="sl-SI"/>
          </w:rPr>
          <w:tab/>
        </w:r>
        <w:r w:rsidR="00EF2058" w:rsidRPr="00245386">
          <w:rPr>
            <w:rStyle w:val="Hiperpovezava"/>
            <w:rFonts w:ascii="Arial" w:hAnsi="Arial" w:cs="Arial"/>
            <w:noProof/>
          </w:rPr>
          <w:t>NAKAZILA V VREDNOSTI NAD 15.000 EUR, POVEZANA S TVEGANIMI DRŽAVAMI</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_Toc113535449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10</w:t>
        </w:r>
        <w:r w:rsidR="00EF2058" w:rsidRPr="00245386">
          <w:rPr>
            <w:rFonts w:ascii="Arial" w:hAnsi="Arial"/>
            <w:noProof/>
            <w:webHidden/>
          </w:rPr>
          <w:fldChar w:fldCharType="end"/>
        </w:r>
      </w:hyperlink>
    </w:p>
    <w:p w14:paraId="4AFA955C" w14:textId="4AA5AC41" w:rsidR="00EF2058" w:rsidRPr="00245386" w:rsidRDefault="007E3F8C">
      <w:pPr>
        <w:pStyle w:val="Kazalovsebine3"/>
        <w:rPr>
          <w:rFonts w:ascii="Arial" w:eastAsiaTheme="minorEastAsia" w:hAnsi="Arial"/>
          <w:i w:val="0"/>
          <w:iCs w:val="0"/>
          <w:noProof/>
          <w:sz w:val="22"/>
          <w:szCs w:val="22"/>
          <w:lang w:eastAsia="sl-SI"/>
        </w:rPr>
      </w:pPr>
      <w:hyperlink w:anchor="_Toc113535450" w:history="1">
        <w:r w:rsidR="00EF2058" w:rsidRPr="00245386">
          <w:rPr>
            <w:rStyle w:val="Hiperpovezava"/>
            <w:rFonts w:ascii="Arial" w:hAnsi="Arial" w:cs="Arial"/>
            <w:noProof/>
          </w:rPr>
          <w:t>2.2.1 Nakazila na račune tujih pravnih oseb s sedežem v tveganih državah</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_Toc113535450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10</w:t>
        </w:r>
        <w:r w:rsidR="00EF2058" w:rsidRPr="00245386">
          <w:rPr>
            <w:rFonts w:ascii="Arial" w:hAnsi="Arial"/>
            <w:noProof/>
            <w:webHidden/>
          </w:rPr>
          <w:fldChar w:fldCharType="end"/>
        </w:r>
      </w:hyperlink>
    </w:p>
    <w:p w14:paraId="0A40B91A" w14:textId="0CC19B55" w:rsidR="00EF2058" w:rsidRPr="00245386" w:rsidRDefault="007E3F8C">
      <w:pPr>
        <w:pStyle w:val="Kazalovsebine3"/>
        <w:rPr>
          <w:rFonts w:ascii="Arial" w:eastAsiaTheme="minorEastAsia" w:hAnsi="Arial"/>
          <w:i w:val="0"/>
          <w:iCs w:val="0"/>
          <w:noProof/>
          <w:sz w:val="22"/>
          <w:szCs w:val="22"/>
          <w:lang w:eastAsia="sl-SI"/>
        </w:rPr>
      </w:pPr>
      <w:hyperlink w:anchor="_Toc113535451" w:history="1">
        <w:r w:rsidR="00EF2058" w:rsidRPr="00245386">
          <w:rPr>
            <w:rStyle w:val="Hiperpovezava"/>
            <w:rFonts w:ascii="Arial" w:hAnsi="Arial" w:cs="Arial"/>
            <w:noProof/>
          </w:rPr>
          <w:t>2.2.2 Nakazila na račune tujih pravnih oseb na račune, odprte v tveganih državah</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_Toc113535451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11</w:t>
        </w:r>
        <w:r w:rsidR="00EF2058" w:rsidRPr="00245386">
          <w:rPr>
            <w:rFonts w:ascii="Arial" w:hAnsi="Arial"/>
            <w:noProof/>
            <w:webHidden/>
          </w:rPr>
          <w:fldChar w:fldCharType="end"/>
        </w:r>
      </w:hyperlink>
    </w:p>
    <w:p w14:paraId="7009C347" w14:textId="54D0FC0E" w:rsidR="00EF2058" w:rsidRPr="00245386" w:rsidRDefault="007E3F8C">
      <w:pPr>
        <w:pStyle w:val="Kazalovsebine2"/>
        <w:rPr>
          <w:rFonts w:ascii="Arial" w:eastAsiaTheme="minorEastAsia" w:hAnsi="Arial"/>
          <w:smallCaps w:val="0"/>
          <w:noProof/>
          <w:sz w:val="22"/>
          <w:szCs w:val="22"/>
          <w:lang w:eastAsia="sl-SI"/>
        </w:rPr>
      </w:pPr>
      <w:hyperlink w:anchor="_Toc113535452" w:history="1">
        <w:r w:rsidR="00EF2058" w:rsidRPr="00245386">
          <w:rPr>
            <w:rStyle w:val="Hiperpovezava"/>
            <w:rFonts w:ascii="Arial" w:hAnsi="Arial" w:cs="Arial"/>
            <w:noProof/>
          </w:rPr>
          <w:t>2.3</w:t>
        </w:r>
        <w:r w:rsidR="00EF2058" w:rsidRPr="00245386">
          <w:rPr>
            <w:rFonts w:ascii="Arial" w:eastAsiaTheme="minorEastAsia" w:hAnsi="Arial"/>
            <w:smallCaps w:val="0"/>
            <w:noProof/>
            <w:sz w:val="22"/>
            <w:szCs w:val="22"/>
            <w:lang w:eastAsia="sl-SI"/>
          </w:rPr>
          <w:tab/>
        </w:r>
        <w:r w:rsidR="00EF2058" w:rsidRPr="00245386">
          <w:rPr>
            <w:rStyle w:val="Hiperpovezava"/>
            <w:rFonts w:ascii="Arial" w:hAnsi="Arial" w:cs="Arial"/>
            <w:noProof/>
          </w:rPr>
          <w:t>PRENOSI GOTOVINE V VREDNOSTI 10.000 EUR ALI VEČ ČEZ MEJO EVROPSKE UNIJE</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_Toc113535452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12</w:t>
        </w:r>
        <w:r w:rsidR="00EF2058" w:rsidRPr="00245386">
          <w:rPr>
            <w:rFonts w:ascii="Arial" w:hAnsi="Arial"/>
            <w:noProof/>
            <w:webHidden/>
          </w:rPr>
          <w:fldChar w:fldCharType="end"/>
        </w:r>
      </w:hyperlink>
    </w:p>
    <w:p w14:paraId="41957AC5" w14:textId="0DAC1BC6" w:rsidR="00EF2058" w:rsidRPr="00245386" w:rsidRDefault="007E3F8C">
      <w:pPr>
        <w:pStyle w:val="Kazalovsebine1"/>
        <w:rPr>
          <w:rFonts w:eastAsiaTheme="minorEastAsia"/>
          <w:b w:val="0"/>
          <w:bCs w:val="0"/>
          <w:caps w:val="0"/>
          <w:sz w:val="22"/>
          <w:szCs w:val="22"/>
          <w:lang w:eastAsia="sl-SI"/>
        </w:rPr>
      </w:pPr>
      <w:hyperlink w:anchor="_Toc113535453" w:history="1">
        <w:r w:rsidR="00EF2058" w:rsidRPr="00245386">
          <w:rPr>
            <w:rStyle w:val="Hiperpovezava"/>
            <w:rFonts w:cs="Arial"/>
          </w:rPr>
          <w:t>3</w:t>
        </w:r>
        <w:r w:rsidR="00EF2058" w:rsidRPr="00245386">
          <w:rPr>
            <w:rFonts w:eastAsiaTheme="minorEastAsia"/>
            <w:b w:val="0"/>
            <w:bCs w:val="0"/>
            <w:caps w:val="0"/>
            <w:sz w:val="22"/>
            <w:szCs w:val="22"/>
            <w:lang w:eastAsia="sl-SI"/>
          </w:rPr>
          <w:tab/>
        </w:r>
        <w:r w:rsidR="00EF2058" w:rsidRPr="00245386">
          <w:rPr>
            <w:rStyle w:val="Hiperpovezava"/>
            <w:rFonts w:cs="Arial"/>
          </w:rPr>
          <w:t>DELO URADA NA PODROČJU SUMLJIVIH TRANSAKCIJ</w:t>
        </w:r>
        <w:r w:rsidR="00EF2058" w:rsidRPr="00245386">
          <w:rPr>
            <w:webHidden/>
          </w:rPr>
          <w:tab/>
        </w:r>
        <w:r w:rsidR="00EF2058" w:rsidRPr="00245386">
          <w:rPr>
            <w:webHidden/>
          </w:rPr>
          <w:fldChar w:fldCharType="begin"/>
        </w:r>
        <w:r w:rsidR="00EF2058" w:rsidRPr="00245386">
          <w:rPr>
            <w:webHidden/>
          </w:rPr>
          <w:instrText xml:space="preserve"> PAGEREF _Toc113535453 \h </w:instrText>
        </w:r>
        <w:r w:rsidR="00EF2058" w:rsidRPr="00245386">
          <w:rPr>
            <w:webHidden/>
          </w:rPr>
        </w:r>
        <w:r w:rsidR="00EF2058" w:rsidRPr="00245386">
          <w:rPr>
            <w:webHidden/>
          </w:rPr>
          <w:fldChar w:fldCharType="separate"/>
        </w:r>
        <w:r w:rsidR="00FA752D">
          <w:rPr>
            <w:webHidden/>
          </w:rPr>
          <w:t>13</w:t>
        </w:r>
        <w:r w:rsidR="00EF2058" w:rsidRPr="00245386">
          <w:rPr>
            <w:webHidden/>
          </w:rPr>
          <w:fldChar w:fldCharType="end"/>
        </w:r>
      </w:hyperlink>
    </w:p>
    <w:p w14:paraId="1E93BAB3" w14:textId="349F9DF9" w:rsidR="00EF2058" w:rsidRPr="00245386" w:rsidRDefault="007E3F8C">
      <w:pPr>
        <w:pStyle w:val="Kazalovsebine2"/>
        <w:rPr>
          <w:rFonts w:ascii="Arial" w:eastAsiaTheme="minorEastAsia" w:hAnsi="Arial"/>
          <w:smallCaps w:val="0"/>
          <w:noProof/>
          <w:sz w:val="22"/>
          <w:szCs w:val="22"/>
          <w:lang w:eastAsia="sl-SI"/>
        </w:rPr>
      </w:pPr>
      <w:hyperlink w:anchor="_Toc113535454" w:history="1">
        <w:r w:rsidR="00EF2058" w:rsidRPr="00245386">
          <w:rPr>
            <w:rStyle w:val="Hiperpovezava"/>
            <w:rFonts w:ascii="Arial" w:hAnsi="Arial" w:cs="Arial"/>
            <w:noProof/>
          </w:rPr>
          <w:t>3.1</w:t>
        </w:r>
        <w:r w:rsidR="00EF2058" w:rsidRPr="00245386">
          <w:rPr>
            <w:rFonts w:ascii="Arial" w:eastAsiaTheme="minorEastAsia" w:hAnsi="Arial"/>
            <w:smallCaps w:val="0"/>
            <w:noProof/>
            <w:sz w:val="22"/>
            <w:szCs w:val="22"/>
            <w:lang w:eastAsia="sl-SI"/>
          </w:rPr>
          <w:tab/>
        </w:r>
        <w:r w:rsidR="00EF2058" w:rsidRPr="00245386">
          <w:rPr>
            <w:rStyle w:val="Hiperpovezava"/>
            <w:rFonts w:ascii="Arial" w:hAnsi="Arial" w:cs="Arial"/>
            <w:noProof/>
          </w:rPr>
          <w:t>ZADEVE, PRI KATERIH SO PODANI RAZLOGI ZA SUM PRANJA DENARJA ALI FINANCIRANJA TERORIZMA</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_Toc113535454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13</w:t>
        </w:r>
        <w:r w:rsidR="00EF2058" w:rsidRPr="00245386">
          <w:rPr>
            <w:rFonts w:ascii="Arial" w:hAnsi="Arial"/>
            <w:noProof/>
            <w:webHidden/>
          </w:rPr>
          <w:fldChar w:fldCharType="end"/>
        </w:r>
      </w:hyperlink>
    </w:p>
    <w:p w14:paraId="246E246B" w14:textId="367022D2" w:rsidR="00EF2058" w:rsidRPr="00245386" w:rsidRDefault="007E3F8C">
      <w:pPr>
        <w:pStyle w:val="Kazalovsebine3"/>
        <w:rPr>
          <w:rFonts w:ascii="Arial" w:eastAsiaTheme="minorEastAsia" w:hAnsi="Arial"/>
          <w:i w:val="0"/>
          <w:iCs w:val="0"/>
          <w:noProof/>
          <w:sz w:val="22"/>
          <w:szCs w:val="22"/>
          <w:lang w:eastAsia="sl-SI"/>
        </w:rPr>
      </w:pPr>
      <w:hyperlink w:anchor="_Toc113535455" w:history="1">
        <w:r w:rsidR="00EF2058" w:rsidRPr="00245386">
          <w:rPr>
            <w:rStyle w:val="Hiperpovezava"/>
            <w:rFonts w:ascii="Arial" w:hAnsi="Arial" w:cs="Arial"/>
            <w:noProof/>
          </w:rPr>
          <w:t>3.1.1 Prijavitelji</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_Toc113535455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14</w:t>
        </w:r>
        <w:r w:rsidR="00EF2058" w:rsidRPr="00245386">
          <w:rPr>
            <w:rFonts w:ascii="Arial" w:hAnsi="Arial"/>
            <w:noProof/>
            <w:webHidden/>
          </w:rPr>
          <w:fldChar w:fldCharType="end"/>
        </w:r>
      </w:hyperlink>
    </w:p>
    <w:p w14:paraId="3077E9F9" w14:textId="737C3FA8" w:rsidR="00EF2058" w:rsidRPr="00245386" w:rsidRDefault="007E3F8C">
      <w:pPr>
        <w:pStyle w:val="Kazalovsebine3"/>
        <w:rPr>
          <w:rFonts w:ascii="Arial" w:eastAsiaTheme="minorEastAsia" w:hAnsi="Arial"/>
          <w:i w:val="0"/>
          <w:iCs w:val="0"/>
          <w:noProof/>
          <w:sz w:val="22"/>
          <w:szCs w:val="22"/>
          <w:lang w:eastAsia="sl-SI"/>
        </w:rPr>
      </w:pPr>
      <w:hyperlink w:anchor="_Toc113535456" w:history="1">
        <w:r w:rsidR="00EF2058" w:rsidRPr="00245386">
          <w:rPr>
            <w:rStyle w:val="Hiperpovezava"/>
            <w:rFonts w:ascii="Arial" w:hAnsi="Arial" w:cs="Arial"/>
            <w:noProof/>
          </w:rPr>
          <w:t>3.1.2 Število in dinamika odprtih in zaključenih zadev</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_Toc113535456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15</w:t>
        </w:r>
        <w:r w:rsidR="00EF2058" w:rsidRPr="00245386">
          <w:rPr>
            <w:rFonts w:ascii="Arial" w:hAnsi="Arial"/>
            <w:noProof/>
            <w:webHidden/>
          </w:rPr>
          <w:fldChar w:fldCharType="end"/>
        </w:r>
      </w:hyperlink>
    </w:p>
    <w:p w14:paraId="0357CBC7" w14:textId="0AA16053" w:rsidR="00EF2058" w:rsidRPr="00245386" w:rsidRDefault="007E3F8C">
      <w:pPr>
        <w:pStyle w:val="Kazalovsebine3"/>
        <w:rPr>
          <w:rFonts w:ascii="Arial" w:eastAsiaTheme="minorEastAsia" w:hAnsi="Arial"/>
          <w:i w:val="0"/>
          <w:iCs w:val="0"/>
          <w:noProof/>
          <w:sz w:val="22"/>
          <w:szCs w:val="22"/>
          <w:lang w:eastAsia="sl-SI"/>
        </w:rPr>
      </w:pPr>
      <w:hyperlink w:anchor="_Toc113535457" w:history="1">
        <w:r w:rsidR="00EF2058" w:rsidRPr="00245386">
          <w:rPr>
            <w:rStyle w:val="Hiperpovezava"/>
            <w:rFonts w:ascii="Arial" w:hAnsi="Arial" w:cs="Arial"/>
            <w:noProof/>
          </w:rPr>
          <w:t>3.1.3 Zadeve, poslane UKP MNZ in/ali državnemu tožilstvu zaradi suma storitve kaznivega dejanja pranja denarja po 245. členu KZ-1</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_Toc113535457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17</w:t>
        </w:r>
        <w:r w:rsidR="00EF2058" w:rsidRPr="00245386">
          <w:rPr>
            <w:rFonts w:ascii="Arial" w:hAnsi="Arial"/>
            <w:noProof/>
            <w:webHidden/>
          </w:rPr>
          <w:fldChar w:fldCharType="end"/>
        </w:r>
      </w:hyperlink>
    </w:p>
    <w:p w14:paraId="5A314E5C" w14:textId="49FC00F3" w:rsidR="00EF2058" w:rsidRPr="00245386" w:rsidRDefault="007E3F8C">
      <w:pPr>
        <w:pStyle w:val="Kazalovsebine3"/>
        <w:rPr>
          <w:rFonts w:ascii="Arial" w:eastAsiaTheme="minorEastAsia" w:hAnsi="Arial"/>
          <w:i w:val="0"/>
          <w:iCs w:val="0"/>
          <w:noProof/>
          <w:sz w:val="22"/>
          <w:szCs w:val="22"/>
          <w:lang w:eastAsia="sl-SI"/>
        </w:rPr>
      </w:pPr>
      <w:hyperlink w:anchor="_Toc113535458" w:history="1">
        <w:r w:rsidR="00EF2058" w:rsidRPr="00245386">
          <w:rPr>
            <w:rStyle w:val="Hiperpovezava"/>
            <w:rFonts w:ascii="Arial" w:hAnsi="Arial" w:cs="Arial"/>
            <w:noProof/>
          </w:rPr>
          <w:t>3.1.4 Zadeve, poslane UKP MNZ in/ali državnemu tožilstvu zaradi suma storitve kaznivega dejanja financiranja terorizma po 109. členu KZ-1</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_Toc113535458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19</w:t>
        </w:r>
        <w:r w:rsidR="00EF2058" w:rsidRPr="00245386">
          <w:rPr>
            <w:rFonts w:ascii="Arial" w:hAnsi="Arial"/>
            <w:noProof/>
            <w:webHidden/>
          </w:rPr>
          <w:fldChar w:fldCharType="end"/>
        </w:r>
      </w:hyperlink>
    </w:p>
    <w:p w14:paraId="3097FAB0" w14:textId="6C7E2081" w:rsidR="00EF2058" w:rsidRPr="00245386" w:rsidRDefault="007E3F8C">
      <w:pPr>
        <w:pStyle w:val="Kazalovsebine3"/>
        <w:rPr>
          <w:rFonts w:ascii="Arial" w:eastAsiaTheme="minorEastAsia" w:hAnsi="Arial"/>
          <w:i w:val="0"/>
          <w:iCs w:val="0"/>
          <w:noProof/>
          <w:sz w:val="22"/>
          <w:szCs w:val="22"/>
          <w:lang w:eastAsia="sl-SI"/>
        </w:rPr>
      </w:pPr>
      <w:hyperlink w:anchor="_Toc113535459" w:history="1">
        <w:r w:rsidR="00EF2058" w:rsidRPr="00245386">
          <w:rPr>
            <w:rStyle w:val="Hiperpovezava"/>
            <w:rFonts w:ascii="Arial" w:hAnsi="Arial" w:cs="Arial"/>
            <w:noProof/>
          </w:rPr>
          <w:t>3.1.5 Zadeve, poslane UKP MNZ in drugim pristojnim državnim organom zaradi suma storitve drugih kaznivih dejanj</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_Toc113535459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19</w:t>
        </w:r>
        <w:r w:rsidR="00EF2058" w:rsidRPr="00245386">
          <w:rPr>
            <w:rFonts w:ascii="Arial" w:hAnsi="Arial"/>
            <w:noProof/>
            <w:webHidden/>
          </w:rPr>
          <w:fldChar w:fldCharType="end"/>
        </w:r>
      </w:hyperlink>
    </w:p>
    <w:p w14:paraId="5178EE8E" w14:textId="6A6D5476" w:rsidR="00EF2058" w:rsidRPr="00245386" w:rsidRDefault="007E3F8C">
      <w:pPr>
        <w:pStyle w:val="Kazalovsebine3"/>
        <w:rPr>
          <w:rFonts w:ascii="Arial" w:eastAsiaTheme="minorEastAsia" w:hAnsi="Arial"/>
          <w:i w:val="0"/>
          <w:iCs w:val="0"/>
          <w:noProof/>
          <w:sz w:val="22"/>
          <w:szCs w:val="22"/>
          <w:lang w:eastAsia="sl-SI"/>
        </w:rPr>
      </w:pPr>
      <w:hyperlink w:anchor="_Toc113535460" w:history="1">
        <w:r w:rsidR="00EF2058" w:rsidRPr="00245386">
          <w:rPr>
            <w:rStyle w:val="Hiperpovezava"/>
            <w:rFonts w:ascii="Arial" w:hAnsi="Arial" w:cs="Arial"/>
            <w:noProof/>
          </w:rPr>
          <w:t>3.1.6 Analiza informacij</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_Toc113535460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21</w:t>
        </w:r>
        <w:r w:rsidR="00EF2058" w:rsidRPr="00245386">
          <w:rPr>
            <w:rFonts w:ascii="Arial" w:hAnsi="Arial"/>
            <w:noProof/>
            <w:webHidden/>
          </w:rPr>
          <w:fldChar w:fldCharType="end"/>
        </w:r>
      </w:hyperlink>
    </w:p>
    <w:p w14:paraId="27649567" w14:textId="73FC02E0" w:rsidR="00EF2058" w:rsidRPr="00245386" w:rsidRDefault="007E3F8C">
      <w:pPr>
        <w:pStyle w:val="Kazalovsebine3"/>
        <w:rPr>
          <w:rFonts w:ascii="Arial" w:eastAsiaTheme="minorEastAsia" w:hAnsi="Arial"/>
          <w:i w:val="0"/>
          <w:iCs w:val="0"/>
          <w:noProof/>
          <w:sz w:val="22"/>
          <w:szCs w:val="22"/>
          <w:lang w:eastAsia="sl-SI"/>
        </w:rPr>
      </w:pPr>
      <w:hyperlink w:anchor="_Toc113535461" w:history="1">
        <w:r w:rsidR="00EF2058" w:rsidRPr="00245386">
          <w:rPr>
            <w:rStyle w:val="Hiperpovezava"/>
            <w:rFonts w:ascii="Arial" w:hAnsi="Arial" w:cs="Arial"/>
            <w:noProof/>
          </w:rPr>
          <w:t>3.1.7 Analiza informacij, poslanih Finančni upravi RS (FURS)</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_Toc113535461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22</w:t>
        </w:r>
        <w:r w:rsidR="00EF2058" w:rsidRPr="00245386">
          <w:rPr>
            <w:rFonts w:ascii="Arial" w:hAnsi="Arial"/>
            <w:noProof/>
            <w:webHidden/>
          </w:rPr>
          <w:fldChar w:fldCharType="end"/>
        </w:r>
      </w:hyperlink>
    </w:p>
    <w:p w14:paraId="58C465C3" w14:textId="7EE5D5CA" w:rsidR="00EF2058" w:rsidRPr="00245386" w:rsidRDefault="007E3F8C">
      <w:pPr>
        <w:pStyle w:val="Kazalovsebine3"/>
        <w:rPr>
          <w:rFonts w:ascii="Arial" w:eastAsiaTheme="minorEastAsia" w:hAnsi="Arial"/>
          <w:i w:val="0"/>
          <w:iCs w:val="0"/>
          <w:noProof/>
          <w:sz w:val="22"/>
          <w:szCs w:val="22"/>
          <w:lang w:eastAsia="sl-SI"/>
        </w:rPr>
      </w:pPr>
      <w:hyperlink w:anchor="_Toc113535462" w:history="1">
        <w:r w:rsidR="00EF2058" w:rsidRPr="00245386">
          <w:rPr>
            <w:rStyle w:val="Hiperpovezava"/>
            <w:rFonts w:ascii="Arial" w:hAnsi="Arial" w:cs="Arial"/>
            <w:noProof/>
          </w:rPr>
          <w:t>3.1.8 Izvajanje pooblastila za začasno ustavitev izvršitve transakcij</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_Toc113535462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23</w:t>
        </w:r>
        <w:r w:rsidR="00EF2058" w:rsidRPr="00245386">
          <w:rPr>
            <w:rFonts w:ascii="Arial" w:hAnsi="Arial"/>
            <w:noProof/>
            <w:webHidden/>
          </w:rPr>
          <w:fldChar w:fldCharType="end"/>
        </w:r>
      </w:hyperlink>
    </w:p>
    <w:p w14:paraId="0180BF69" w14:textId="1EF75B09" w:rsidR="00EF2058" w:rsidRPr="00245386" w:rsidRDefault="007E3F8C">
      <w:pPr>
        <w:pStyle w:val="Kazalovsebine3"/>
        <w:rPr>
          <w:rFonts w:ascii="Arial" w:eastAsiaTheme="minorEastAsia" w:hAnsi="Arial"/>
          <w:i w:val="0"/>
          <w:iCs w:val="0"/>
          <w:noProof/>
          <w:sz w:val="22"/>
          <w:szCs w:val="22"/>
          <w:lang w:eastAsia="sl-SI"/>
        </w:rPr>
      </w:pPr>
      <w:hyperlink w:anchor="_Toc113535463" w:history="1">
        <w:r w:rsidR="00EF2058" w:rsidRPr="00245386">
          <w:rPr>
            <w:rStyle w:val="Hiperpovezava"/>
            <w:rFonts w:ascii="Arial" w:hAnsi="Arial" w:cs="Arial"/>
            <w:noProof/>
          </w:rPr>
          <w:t>3.1.9 Vrednost začasno zavarovanega premoženja v zadevah s področja pranja denarja</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_Toc113535463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23</w:t>
        </w:r>
        <w:r w:rsidR="00EF2058" w:rsidRPr="00245386">
          <w:rPr>
            <w:rFonts w:ascii="Arial" w:hAnsi="Arial"/>
            <w:noProof/>
            <w:webHidden/>
          </w:rPr>
          <w:fldChar w:fldCharType="end"/>
        </w:r>
      </w:hyperlink>
    </w:p>
    <w:p w14:paraId="433BE341" w14:textId="5B7C3D03" w:rsidR="00EF2058" w:rsidRPr="00245386" w:rsidRDefault="007E3F8C">
      <w:pPr>
        <w:pStyle w:val="Kazalovsebine3"/>
        <w:rPr>
          <w:rFonts w:ascii="Arial" w:eastAsiaTheme="minorEastAsia" w:hAnsi="Arial"/>
          <w:i w:val="0"/>
          <w:iCs w:val="0"/>
          <w:noProof/>
          <w:sz w:val="22"/>
          <w:szCs w:val="22"/>
          <w:lang w:eastAsia="sl-SI"/>
        </w:rPr>
      </w:pPr>
      <w:hyperlink w:anchor="_Toc113535464" w:history="1">
        <w:r w:rsidR="00EF2058" w:rsidRPr="00245386">
          <w:rPr>
            <w:rStyle w:val="Hiperpovezava"/>
            <w:rFonts w:ascii="Arial" w:hAnsi="Arial" w:cs="Arial"/>
            <w:noProof/>
          </w:rPr>
          <w:t>3.1.10 Vrednost odvzetega premoženja v zadevah s področja pranja denarja</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_Toc113535464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24</w:t>
        </w:r>
        <w:r w:rsidR="00EF2058" w:rsidRPr="00245386">
          <w:rPr>
            <w:rFonts w:ascii="Arial" w:hAnsi="Arial"/>
            <w:noProof/>
            <w:webHidden/>
          </w:rPr>
          <w:fldChar w:fldCharType="end"/>
        </w:r>
      </w:hyperlink>
    </w:p>
    <w:p w14:paraId="6B8A12B9" w14:textId="782CE547" w:rsidR="00EF2058" w:rsidRPr="00245386" w:rsidRDefault="007E3F8C">
      <w:pPr>
        <w:pStyle w:val="Kazalovsebine3"/>
        <w:rPr>
          <w:rFonts w:ascii="Arial" w:eastAsiaTheme="minorEastAsia" w:hAnsi="Arial"/>
          <w:i w:val="0"/>
          <w:iCs w:val="0"/>
          <w:noProof/>
          <w:sz w:val="22"/>
          <w:szCs w:val="22"/>
          <w:lang w:eastAsia="sl-SI"/>
        </w:rPr>
      </w:pPr>
      <w:hyperlink w:anchor="_Toc113535465" w:history="1">
        <w:r w:rsidR="00EF2058" w:rsidRPr="00245386">
          <w:rPr>
            <w:rStyle w:val="Hiperpovezava"/>
            <w:rFonts w:ascii="Arial" w:hAnsi="Arial" w:cs="Arial"/>
            <w:noProof/>
          </w:rPr>
          <w:t>3.1.11 Tipologija sumljivih transakcij</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_Toc113535465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24</w:t>
        </w:r>
        <w:r w:rsidR="00EF2058" w:rsidRPr="00245386">
          <w:rPr>
            <w:rFonts w:ascii="Arial" w:hAnsi="Arial"/>
            <w:noProof/>
            <w:webHidden/>
          </w:rPr>
          <w:fldChar w:fldCharType="end"/>
        </w:r>
      </w:hyperlink>
    </w:p>
    <w:p w14:paraId="2AFD2DE8" w14:textId="4EE4BCA0" w:rsidR="00EF2058" w:rsidRPr="00245386" w:rsidRDefault="007E3F8C">
      <w:pPr>
        <w:pStyle w:val="Kazalovsebine2"/>
        <w:rPr>
          <w:rFonts w:ascii="Arial" w:eastAsiaTheme="minorEastAsia" w:hAnsi="Arial"/>
          <w:smallCaps w:val="0"/>
          <w:noProof/>
          <w:sz w:val="22"/>
          <w:szCs w:val="22"/>
          <w:lang w:eastAsia="sl-SI"/>
        </w:rPr>
      </w:pPr>
      <w:hyperlink w:anchor="_Toc113535466" w:history="1">
        <w:r w:rsidR="00EF2058" w:rsidRPr="00245386">
          <w:rPr>
            <w:rStyle w:val="Hiperpovezava"/>
            <w:rFonts w:ascii="Arial" w:hAnsi="Arial" w:cs="Arial"/>
            <w:noProof/>
          </w:rPr>
          <w:t>3.2</w:t>
        </w:r>
        <w:r w:rsidR="00EF2058" w:rsidRPr="00245386">
          <w:rPr>
            <w:rFonts w:ascii="Arial" w:eastAsiaTheme="minorEastAsia" w:hAnsi="Arial"/>
            <w:smallCaps w:val="0"/>
            <w:noProof/>
            <w:sz w:val="22"/>
            <w:szCs w:val="22"/>
            <w:lang w:eastAsia="sl-SI"/>
          </w:rPr>
          <w:tab/>
        </w:r>
        <w:r w:rsidR="00EF2058" w:rsidRPr="00245386">
          <w:rPr>
            <w:rStyle w:val="Hiperpovezava"/>
            <w:rFonts w:ascii="Arial" w:hAnsi="Arial" w:cs="Arial"/>
            <w:noProof/>
          </w:rPr>
          <w:t>ŠTEVILO DRUGIH ZADEV, ODSTOPLJENIH V OBRAVNAVO PRISTOJNIM ORGANOM</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_Toc113535466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27</w:t>
        </w:r>
        <w:r w:rsidR="00EF2058" w:rsidRPr="00245386">
          <w:rPr>
            <w:rFonts w:ascii="Arial" w:hAnsi="Arial"/>
            <w:noProof/>
            <w:webHidden/>
          </w:rPr>
          <w:fldChar w:fldCharType="end"/>
        </w:r>
      </w:hyperlink>
    </w:p>
    <w:p w14:paraId="4DD6E9EF" w14:textId="020626E4" w:rsidR="00EF2058" w:rsidRPr="00245386" w:rsidRDefault="007E3F8C">
      <w:pPr>
        <w:pStyle w:val="Kazalovsebine1"/>
        <w:rPr>
          <w:rFonts w:eastAsiaTheme="minorEastAsia"/>
          <w:b w:val="0"/>
          <w:bCs w:val="0"/>
          <w:caps w:val="0"/>
          <w:sz w:val="22"/>
          <w:szCs w:val="22"/>
          <w:lang w:eastAsia="sl-SI"/>
        </w:rPr>
      </w:pPr>
      <w:hyperlink w:anchor="_Toc113535467" w:history="1">
        <w:r w:rsidR="00EF2058" w:rsidRPr="00245386">
          <w:rPr>
            <w:rStyle w:val="Hiperpovezava"/>
            <w:rFonts w:cs="Arial"/>
          </w:rPr>
          <w:t>4</w:t>
        </w:r>
        <w:r w:rsidR="00EF2058" w:rsidRPr="00245386">
          <w:rPr>
            <w:rFonts w:eastAsiaTheme="minorEastAsia"/>
            <w:b w:val="0"/>
            <w:bCs w:val="0"/>
            <w:caps w:val="0"/>
            <w:sz w:val="22"/>
            <w:szCs w:val="22"/>
            <w:lang w:eastAsia="sl-SI"/>
          </w:rPr>
          <w:tab/>
        </w:r>
        <w:r w:rsidR="00EF2058" w:rsidRPr="00245386">
          <w:rPr>
            <w:rStyle w:val="Hiperpovezava"/>
            <w:rFonts w:cs="Arial"/>
          </w:rPr>
          <w:t>SODELOVANJE Z DRUGIMI DRŽAVNIMI ORGANI PRI ODKRIVANJU, PREISKOVANJU IN PREGONU PRANJA DENARJA</w:t>
        </w:r>
        <w:r w:rsidR="00EF2058" w:rsidRPr="00245386">
          <w:rPr>
            <w:webHidden/>
          </w:rPr>
          <w:tab/>
        </w:r>
        <w:r w:rsidR="00EF2058" w:rsidRPr="00245386">
          <w:rPr>
            <w:webHidden/>
          </w:rPr>
          <w:fldChar w:fldCharType="begin"/>
        </w:r>
        <w:r w:rsidR="00EF2058" w:rsidRPr="00245386">
          <w:rPr>
            <w:webHidden/>
          </w:rPr>
          <w:instrText xml:space="preserve"> PAGEREF _Toc113535467 \h </w:instrText>
        </w:r>
        <w:r w:rsidR="00EF2058" w:rsidRPr="00245386">
          <w:rPr>
            <w:webHidden/>
          </w:rPr>
        </w:r>
        <w:r w:rsidR="00EF2058" w:rsidRPr="00245386">
          <w:rPr>
            <w:webHidden/>
          </w:rPr>
          <w:fldChar w:fldCharType="separate"/>
        </w:r>
        <w:r w:rsidR="00FA752D">
          <w:rPr>
            <w:webHidden/>
          </w:rPr>
          <w:t>27</w:t>
        </w:r>
        <w:r w:rsidR="00EF2058" w:rsidRPr="00245386">
          <w:rPr>
            <w:webHidden/>
          </w:rPr>
          <w:fldChar w:fldCharType="end"/>
        </w:r>
      </w:hyperlink>
    </w:p>
    <w:p w14:paraId="48D948B2" w14:textId="6B11BCB7" w:rsidR="00EF2058" w:rsidRPr="00245386" w:rsidRDefault="007E3F8C">
      <w:pPr>
        <w:pStyle w:val="Kazalovsebine2"/>
        <w:rPr>
          <w:rFonts w:ascii="Arial" w:eastAsiaTheme="minorEastAsia" w:hAnsi="Arial"/>
          <w:smallCaps w:val="0"/>
          <w:noProof/>
          <w:sz w:val="22"/>
          <w:szCs w:val="22"/>
          <w:lang w:eastAsia="sl-SI"/>
        </w:rPr>
      </w:pPr>
      <w:hyperlink w:anchor="_Toc113535468" w:history="1">
        <w:r w:rsidR="00EF2058" w:rsidRPr="00245386">
          <w:rPr>
            <w:rStyle w:val="Hiperpovezava"/>
            <w:rFonts w:ascii="Arial" w:hAnsi="Arial" w:cs="Arial"/>
            <w:noProof/>
          </w:rPr>
          <w:t>4.1</w:t>
        </w:r>
        <w:r w:rsidR="00EF2058" w:rsidRPr="00245386">
          <w:rPr>
            <w:rFonts w:ascii="Arial" w:eastAsiaTheme="minorEastAsia" w:hAnsi="Arial"/>
            <w:smallCaps w:val="0"/>
            <w:noProof/>
            <w:sz w:val="22"/>
            <w:szCs w:val="22"/>
            <w:lang w:eastAsia="sl-SI"/>
          </w:rPr>
          <w:tab/>
        </w:r>
        <w:r w:rsidR="00EF2058" w:rsidRPr="00245386">
          <w:rPr>
            <w:rStyle w:val="Hiperpovezava"/>
            <w:rFonts w:ascii="Arial" w:hAnsi="Arial" w:cs="Arial"/>
            <w:noProof/>
          </w:rPr>
          <w:t>KAZNIVA DEJANJA IN IZVAJANJE 121. ČLENA ZPPDFT-1</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_Toc113535468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28</w:t>
        </w:r>
        <w:r w:rsidR="00EF2058" w:rsidRPr="00245386">
          <w:rPr>
            <w:rFonts w:ascii="Arial" w:hAnsi="Arial"/>
            <w:noProof/>
            <w:webHidden/>
          </w:rPr>
          <w:fldChar w:fldCharType="end"/>
        </w:r>
      </w:hyperlink>
    </w:p>
    <w:p w14:paraId="52C6AA75" w14:textId="62CB2399" w:rsidR="00EF2058" w:rsidRPr="00245386" w:rsidRDefault="007E3F8C">
      <w:pPr>
        <w:pStyle w:val="Kazalovsebine3"/>
        <w:rPr>
          <w:rFonts w:ascii="Arial" w:eastAsiaTheme="minorEastAsia" w:hAnsi="Arial"/>
          <w:i w:val="0"/>
          <w:iCs w:val="0"/>
          <w:noProof/>
          <w:sz w:val="22"/>
          <w:szCs w:val="22"/>
          <w:lang w:eastAsia="sl-SI"/>
        </w:rPr>
      </w:pPr>
      <w:hyperlink w:anchor="_Toc113535469" w:history="1">
        <w:r w:rsidR="00EF2058" w:rsidRPr="00245386">
          <w:rPr>
            <w:rStyle w:val="Hiperpovezava"/>
            <w:rFonts w:ascii="Arial" w:hAnsi="Arial" w:cs="Arial"/>
            <w:noProof/>
          </w:rPr>
          <w:t>4.1.1 Statistični podatki policije o kaznivih dejanjih pranja denarja</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_Toc113535469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29</w:t>
        </w:r>
        <w:r w:rsidR="00EF2058" w:rsidRPr="00245386">
          <w:rPr>
            <w:rFonts w:ascii="Arial" w:hAnsi="Arial"/>
            <w:noProof/>
            <w:webHidden/>
          </w:rPr>
          <w:fldChar w:fldCharType="end"/>
        </w:r>
      </w:hyperlink>
    </w:p>
    <w:p w14:paraId="2A862385" w14:textId="6E8E604F" w:rsidR="00EF2058" w:rsidRPr="00245386" w:rsidRDefault="007E3F8C">
      <w:pPr>
        <w:pStyle w:val="Kazalovsebine3"/>
        <w:rPr>
          <w:rFonts w:ascii="Arial" w:eastAsiaTheme="minorEastAsia" w:hAnsi="Arial"/>
          <w:i w:val="0"/>
          <w:iCs w:val="0"/>
          <w:noProof/>
          <w:sz w:val="22"/>
          <w:szCs w:val="22"/>
          <w:lang w:eastAsia="sl-SI"/>
        </w:rPr>
      </w:pPr>
      <w:hyperlink w:anchor="_Toc113535470" w:history="1">
        <w:r w:rsidR="00EF2058" w:rsidRPr="00245386">
          <w:rPr>
            <w:rStyle w:val="Hiperpovezava"/>
            <w:rFonts w:ascii="Arial" w:hAnsi="Arial" w:cs="Arial"/>
            <w:noProof/>
          </w:rPr>
          <w:t>4.1.2 Statistični podatki tožilstev o kaznivih dejanjih pranja denarja</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_Toc113535470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29</w:t>
        </w:r>
        <w:r w:rsidR="00EF2058" w:rsidRPr="00245386">
          <w:rPr>
            <w:rFonts w:ascii="Arial" w:hAnsi="Arial"/>
            <w:noProof/>
            <w:webHidden/>
          </w:rPr>
          <w:fldChar w:fldCharType="end"/>
        </w:r>
      </w:hyperlink>
    </w:p>
    <w:p w14:paraId="770D770F" w14:textId="2AD10E0D" w:rsidR="00EF2058" w:rsidRPr="00245386" w:rsidRDefault="007E3F8C">
      <w:pPr>
        <w:pStyle w:val="Kazalovsebine3"/>
        <w:rPr>
          <w:rFonts w:ascii="Arial" w:eastAsiaTheme="minorEastAsia" w:hAnsi="Arial"/>
          <w:i w:val="0"/>
          <w:iCs w:val="0"/>
          <w:noProof/>
          <w:sz w:val="22"/>
          <w:szCs w:val="22"/>
          <w:lang w:eastAsia="sl-SI"/>
        </w:rPr>
      </w:pPr>
      <w:hyperlink w:anchor="_Toc113535471" w:history="1">
        <w:r w:rsidR="00EF2058" w:rsidRPr="00245386">
          <w:rPr>
            <w:rStyle w:val="Hiperpovezava"/>
            <w:rFonts w:ascii="Arial" w:hAnsi="Arial" w:cs="Arial"/>
            <w:noProof/>
          </w:rPr>
          <w:t>4.1.3 Kazenske ovadbe in postopki, povezani s pranjem denarja, glede na izvor začetnega podatka</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_Toc113535471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30</w:t>
        </w:r>
        <w:r w:rsidR="00EF2058" w:rsidRPr="00245386">
          <w:rPr>
            <w:rFonts w:ascii="Arial" w:hAnsi="Arial"/>
            <w:noProof/>
            <w:webHidden/>
          </w:rPr>
          <w:fldChar w:fldCharType="end"/>
        </w:r>
      </w:hyperlink>
    </w:p>
    <w:p w14:paraId="5A9D812B" w14:textId="08FCA339" w:rsidR="00EF2058" w:rsidRPr="00245386" w:rsidRDefault="007E3F8C">
      <w:pPr>
        <w:pStyle w:val="Kazalovsebine3"/>
        <w:rPr>
          <w:rFonts w:ascii="Arial" w:eastAsiaTheme="minorEastAsia" w:hAnsi="Arial"/>
          <w:i w:val="0"/>
          <w:iCs w:val="0"/>
          <w:noProof/>
          <w:sz w:val="22"/>
          <w:szCs w:val="22"/>
          <w:lang w:eastAsia="sl-SI"/>
        </w:rPr>
      </w:pPr>
      <w:hyperlink w:anchor="_Toc113535472" w:history="1">
        <w:r w:rsidR="00EF2058" w:rsidRPr="00245386">
          <w:rPr>
            <w:rStyle w:val="Hiperpovezava"/>
            <w:rFonts w:ascii="Arial" w:hAnsi="Arial" w:cs="Arial"/>
            <w:noProof/>
          </w:rPr>
          <w:t>4.1.4 Statistični podatki o predkazenskih in kazenskih postopkih za kaznivo dejanje pranja denarja</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_Toc113535472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33</w:t>
        </w:r>
        <w:r w:rsidR="00EF2058" w:rsidRPr="00245386">
          <w:rPr>
            <w:rFonts w:ascii="Arial" w:hAnsi="Arial"/>
            <w:noProof/>
            <w:webHidden/>
          </w:rPr>
          <w:fldChar w:fldCharType="end"/>
        </w:r>
      </w:hyperlink>
    </w:p>
    <w:p w14:paraId="67713F3C" w14:textId="46D25358" w:rsidR="00EF2058" w:rsidRPr="00245386" w:rsidRDefault="007E3F8C">
      <w:pPr>
        <w:pStyle w:val="Kazalovsebine3"/>
        <w:rPr>
          <w:rFonts w:ascii="Arial" w:eastAsiaTheme="minorEastAsia" w:hAnsi="Arial"/>
          <w:i w:val="0"/>
          <w:iCs w:val="0"/>
          <w:noProof/>
          <w:sz w:val="22"/>
          <w:szCs w:val="22"/>
          <w:lang w:eastAsia="sl-SI"/>
        </w:rPr>
      </w:pPr>
      <w:hyperlink w:anchor="_Toc113535473" w:history="1">
        <w:r w:rsidR="00EF2058" w:rsidRPr="00245386">
          <w:rPr>
            <w:rStyle w:val="Hiperpovezava"/>
            <w:rFonts w:ascii="Arial" w:hAnsi="Arial" w:cs="Arial"/>
            <w:noProof/>
          </w:rPr>
          <w:t>4.1.5 Podatki o izrečenih pravnomočnih sodbah zaradi storitve kaznivega dejanja pranja denarja po 245. členu KZ-1 in 252. členu KZ</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_Toc113535473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35</w:t>
        </w:r>
        <w:r w:rsidR="00EF2058" w:rsidRPr="00245386">
          <w:rPr>
            <w:rFonts w:ascii="Arial" w:hAnsi="Arial"/>
            <w:noProof/>
            <w:webHidden/>
          </w:rPr>
          <w:fldChar w:fldCharType="end"/>
        </w:r>
      </w:hyperlink>
    </w:p>
    <w:p w14:paraId="7E93E138" w14:textId="1FF6EBA9" w:rsidR="00EF2058" w:rsidRPr="00245386" w:rsidRDefault="007E3F8C">
      <w:pPr>
        <w:pStyle w:val="Kazalovsebine2"/>
        <w:rPr>
          <w:rFonts w:ascii="Arial" w:eastAsiaTheme="minorEastAsia" w:hAnsi="Arial"/>
          <w:smallCaps w:val="0"/>
          <w:noProof/>
          <w:sz w:val="22"/>
          <w:szCs w:val="22"/>
          <w:lang w:eastAsia="sl-SI"/>
        </w:rPr>
      </w:pPr>
      <w:hyperlink w:anchor="_Toc113535474" w:history="1">
        <w:r w:rsidR="00EF2058" w:rsidRPr="00245386">
          <w:rPr>
            <w:rStyle w:val="Hiperpovezava"/>
            <w:rFonts w:ascii="Arial" w:hAnsi="Arial" w:cs="Arial"/>
            <w:noProof/>
          </w:rPr>
          <w:t>4.2</w:t>
        </w:r>
        <w:r w:rsidR="00EF2058" w:rsidRPr="00245386">
          <w:rPr>
            <w:rFonts w:ascii="Arial" w:eastAsiaTheme="minorEastAsia" w:hAnsi="Arial"/>
            <w:smallCaps w:val="0"/>
            <w:noProof/>
            <w:sz w:val="22"/>
            <w:szCs w:val="22"/>
            <w:lang w:eastAsia="sl-SI"/>
          </w:rPr>
          <w:tab/>
        </w:r>
        <w:r w:rsidR="00EF2058" w:rsidRPr="00245386">
          <w:rPr>
            <w:rStyle w:val="Hiperpovezava"/>
            <w:rFonts w:ascii="Arial" w:hAnsi="Arial" w:cs="Arial"/>
            <w:noProof/>
          </w:rPr>
          <w:t>PREDLOGI UKREPOV</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_Toc113535474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35</w:t>
        </w:r>
        <w:r w:rsidR="00EF2058" w:rsidRPr="00245386">
          <w:rPr>
            <w:rFonts w:ascii="Arial" w:hAnsi="Arial"/>
            <w:noProof/>
            <w:webHidden/>
          </w:rPr>
          <w:fldChar w:fldCharType="end"/>
        </w:r>
      </w:hyperlink>
    </w:p>
    <w:p w14:paraId="0A342E4A" w14:textId="56095024" w:rsidR="00EF2058" w:rsidRPr="00245386" w:rsidRDefault="007E3F8C">
      <w:pPr>
        <w:pStyle w:val="Kazalovsebine1"/>
        <w:rPr>
          <w:rFonts w:eastAsiaTheme="minorEastAsia"/>
          <w:b w:val="0"/>
          <w:bCs w:val="0"/>
          <w:caps w:val="0"/>
          <w:sz w:val="22"/>
          <w:szCs w:val="22"/>
          <w:lang w:eastAsia="sl-SI"/>
        </w:rPr>
      </w:pPr>
      <w:hyperlink w:anchor="_Toc113535475" w:history="1">
        <w:r w:rsidR="00EF2058" w:rsidRPr="00245386">
          <w:rPr>
            <w:rStyle w:val="Hiperpovezava"/>
            <w:rFonts w:cs="Arial"/>
          </w:rPr>
          <w:t>5</w:t>
        </w:r>
        <w:r w:rsidR="00EF2058" w:rsidRPr="00245386">
          <w:rPr>
            <w:rFonts w:eastAsiaTheme="minorEastAsia"/>
            <w:b w:val="0"/>
            <w:bCs w:val="0"/>
            <w:caps w:val="0"/>
            <w:sz w:val="22"/>
            <w:szCs w:val="22"/>
            <w:lang w:eastAsia="sl-SI"/>
          </w:rPr>
          <w:tab/>
        </w:r>
        <w:r w:rsidR="00EF2058" w:rsidRPr="00245386">
          <w:rPr>
            <w:rStyle w:val="Hiperpovezava"/>
            <w:rFonts w:cs="Arial"/>
          </w:rPr>
          <w:t>PREVENTIVA IN NADZOR</w:t>
        </w:r>
        <w:r w:rsidR="00EF2058" w:rsidRPr="00245386">
          <w:rPr>
            <w:webHidden/>
          </w:rPr>
          <w:tab/>
        </w:r>
        <w:r w:rsidR="00EF2058" w:rsidRPr="00245386">
          <w:rPr>
            <w:webHidden/>
          </w:rPr>
          <w:fldChar w:fldCharType="begin"/>
        </w:r>
        <w:r w:rsidR="00EF2058" w:rsidRPr="00245386">
          <w:rPr>
            <w:webHidden/>
          </w:rPr>
          <w:instrText xml:space="preserve"> PAGEREF _Toc113535475 \h </w:instrText>
        </w:r>
        <w:r w:rsidR="00EF2058" w:rsidRPr="00245386">
          <w:rPr>
            <w:webHidden/>
          </w:rPr>
        </w:r>
        <w:r w:rsidR="00EF2058" w:rsidRPr="00245386">
          <w:rPr>
            <w:webHidden/>
          </w:rPr>
          <w:fldChar w:fldCharType="separate"/>
        </w:r>
        <w:r w:rsidR="00FA752D">
          <w:rPr>
            <w:webHidden/>
          </w:rPr>
          <w:t>37</w:t>
        </w:r>
        <w:r w:rsidR="00EF2058" w:rsidRPr="00245386">
          <w:rPr>
            <w:webHidden/>
          </w:rPr>
          <w:fldChar w:fldCharType="end"/>
        </w:r>
      </w:hyperlink>
    </w:p>
    <w:p w14:paraId="0EE073A0" w14:textId="438F7D1A" w:rsidR="00EF2058" w:rsidRPr="00245386" w:rsidRDefault="007E3F8C">
      <w:pPr>
        <w:pStyle w:val="Kazalovsebine2"/>
        <w:rPr>
          <w:rFonts w:ascii="Arial" w:eastAsiaTheme="minorEastAsia" w:hAnsi="Arial"/>
          <w:smallCaps w:val="0"/>
          <w:noProof/>
          <w:sz w:val="22"/>
          <w:szCs w:val="22"/>
          <w:lang w:eastAsia="sl-SI"/>
        </w:rPr>
      </w:pPr>
      <w:hyperlink w:anchor="_Toc113535476" w:history="1">
        <w:r w:rsidR="00EF2058" w:rsidRPr="00245386">
          <w:rPr>
            <w:rStyle w:val="Hiperpovezava"/>
            <w:rFonts w:ascii="Arial" w:hAnsi="Arial" w:cs="Arial"/>
            <w:noProof/>
          </w:rPr>
          <w:t>5.1</w:t>
        </w:r>
        <w:r w:rsidR="00EF2058" w:rsidRPr="00245386">
          <w:rPr>
            <w:rFonts w:ascii="Arial" w:eastAsiaTheme="minorEastAsia" w:hAnsi="Arial"/>
            <w:smallCaps w:val="0"/>
            <w:noProof/>
            <w:sz w:val="22"/>
            <w:szCs w:val="22"/>
            <w:lang w:eastAsia="sl-SI"/>
          </w:rPr>
          <w:tab/>
        </w:r>
        <w:r w:rsidR="00EF2058" w:rsidRPr="00245386">
          <w:rPr>
            <w:rStyle w:val="Hiperpovezava"/>
            <w:rFonts w:ascii="Arial" w:hAnsi="Arial" w:cs="Arial"/>
            <w:noProof/>
          </w:rPr>
          <w:t>ZAKONODAJA IN POMOČ PRI NJENEM IZVAJANJU</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_Toc113535476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38</w:t>
        </w:r>
        <w:r w:rsidR="00EF2058" w:rsidRPr="00245386">
          <w:rPr>
            <w:rFonts w:ascii="Arial" w:hAnsi="Arial"/>
            <w:noProof/>
            <w:webHidden/>
          </w:rPr>
          <w:fldChar w:fldCharType="end"/>
        </w:r>
      </w:hyperlink>
    </w:p>
    <w:p w14:paraId="53C07114" w14:textId="2CA4113C" w:rsidR="00EF2058" w:rsidRPr="00245386" w:rsidRDefault="007E3F8C">
      <w:pPr>
        <w:pStyle w:val="Kazalovsebine3"/>
        <w:rPr>
          <w:rFonts w:ascii="Arial" w:eastAsiaTheme="minorEastAsia" w:hAnsi="Arial"/>
          <w:i w:val="0"/>
          <w:iCs w:val="0"/>
          <w:noProof/>
          <w:sz w:val="22"/>
          <w:szCs w:val="22"/>
          <w:lang w:eastAsia="sl-SI"/>
        </w:rPr>
      </w:pPr>
      <w:hyperlink w:anchor="_Toc113535477" w:history="1">
        <w:r w:rsidR="00EF2058" w:rsidRPr="00245386">
          <w:rPr>
            <w:rStyle w:val="Hiperpovezava"/>
            <w:rFonts w:ascii="Arial" w:hAnsi="Arial" w:cs="Arial"/>
            <w:noProof/>
          </w:rPr>
          <w:t>5.1.1 Preoblikovanje prvotnega predloga Zakona o spremembah in dopolnitvah Zakona o preprečevanju pranja denarja in financiranja terorizma (ZPPDFT-1B)</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_Toc113535477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38</w:t>
        </w:r>
        <w:r w:rsidR="00EF2058" w:rsidRPr="00245386">
          <w:rPr>
            <w:rFonts w:ascii="Arial" w:hAnsi="Arial"/>
            <w:noProof/>
            <w:webHidden/>
          </w:rPr>
          <w:fldChar w:fldCharType="end"/>
        </w:r>
      </w:hyperlink>
    </w:p>
    <w:p w14:paraId="18BEEFB3" w14:textId="08186409" w:rsidR="00EF2058" w:rsidRPr="00245386" w:rsidRDefault="007E3F8C">
      <w:pPr>
        <w:pStyle w:val="Kazalovsebine3"/>
        <w:rPr>
          <w:rFonts w:ascii="Arial" w:eastAsiaTheme="minorEastAsia" w:hAnsi="Arial"/>
          <w:i w:val="0"/>
          <w:iCs w:val="0"/>
          <w:noProof/>
          <w:sz w:val="22"/>
          <w:szCs w:val="22"/>
          <w:lang w:eastAsia="sl-SI"/>
        </w:rPr>
      </w:pPr>
      <w:hyperlink w:anchor="_Toc113535478" w:history="1">
        <w:r w:rsidR="00EF2058" w:rsidRPr="00245386">
          <w:rPr>
            <w:rStyle w:val="Hiperpovezava"/>
            <w:rFonts w:ascii="Arial" w:hAnsi="Arial" w:cs="Arial"/>
            <w:noProof/>
          </w:rPr>
          <w:t>5.1.2 Priprava osnutka predloga Zakona o spremembah in dopolnitvah Zakona o preprečevanju pranja denarja in financiranja terorizma (ZPPDFT-1C) ter predpisov, izdanih na njegovi podlagi</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_Toc113535478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38</w:t>
        </w:r>
        <w:r w:rsidR="00EF2058" w:rsidRPr="00245386">
          <w:rPr>
            <w:rFonts w:ascii="Arial" w:hAnsi="Arial"/>
            <w:noProof/>
            <w:webHidden/>
          </w:rPr>
          <w:fldChar w:fldCharType="end"/>
        </w:r>
      </w:hyperlink>
    </w:p>
    <w:p w14:paraId="6FFE5AED" w14:textId="7CEC9DBB" w:rsidR="00EF2058" w:rsidRPr="00245386" w:rsidRDefault="007E3F8C">
      <w:pPr>
        <w:pStyle w:val="Kazalovsebine3"/>
        <w:rPr>
          <w:rFonts w:ascii="Arial" w:eastAsiaTheme="minorEastAsia" w:hAnsi="Arial"/>
          <w:i w:val="0"/>
          <w:iCs w:val="0"/>
          <w:noProof/>
          <w:sz w:val="22"/>
          <w:szCs w:val="22"/>
          <w:lang w:eastAsia="sl-SI"/>
        </w:rPr>
      </w:pPr>
      <w:hyperlink w:anchor="_Toc113535479" w:history="1">
        <w:r w:rsidR="00EF2058" w:rsidRPr="00245386">
          <w:rPr>
            <w:rStyle w:val="Hiperpovezava"/>
            <w:rFonts w:ascii="Arial" w:hAnsi="Arial" w:cs="Arial"/>
            <w:noProof/>
          </w:rPr>
          <w:t>5.1.3 Začetek priprave osnutka Zakona o preprečevanju pranja denarja in financiranja terorizma (ZPPDFT-2)</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_Toc113535479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39</w:t>
        </w:r>
        <w:r w:rsidR="00EF2058" w:rsidRPr="00245386">
          <w:rPr>
            <w:rFonts w:ascii="Arial" w:hAnsi="Arial"/>
            <w:noProof/>
            <w:webHidden/>
          </w:rPr>
          <w:fldChar w:fldCharType="end"/>
        </w:r>
      </w:hyperlink>
    </w:p>
    <w:p w14:paraId="0BF31915" w14:textId="75C4A388" w:rsidR="00EF2058" w:rsidRPr="00245386" w:rsidRDefault="007E3F8C">
      <w:pPr>
        <w:pStyle w:val="Kazalovsebine3"/>
        <w:rPr>
          <w:rFonts w:ascii="Arial" w:eastAsiaTheme="minorEastAsia" w:hAnsi="Arial"/>
          <w:i w:val="0"/>
          <w:iCs w:val="0"/>
          <w:noProof/>
          <w:sz w:val="22"/>
          <w:szCs w:val="22"/>
          <w:lang w:eastAsia="sl-SI"/>
        </w:rPr>
      </w:pPr>
      <w:hyperlink w:anchor="_Toc113535480" w:history="1">
        <w:r w:rsidR="00EF2058" w:rsidRPr="00245386">
          <w:rPr>
            <w:rStyle w:val="Hiperpovezava"/>
            <w:rFonts w:ascii="Arial" w:hAnsi="Arial" w:cs="Arial"/>
            <w:noProof/>
          </w:rPr>
          <w:t>5.1.4 Priprava podzakonskih predpisov</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_Toc113535480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39</w:t>
        </w:r>
        <w:r w:rsidR="00EF2058" w:rsidRPr="00245386">
          <w:rPr>
            <w:rFonts w:ascii="Arial" w:hAnsi="Arial"/>
            <w:noProof/>
            <w:webHidden/>
          </w:rPr>
          <w:fldChar w:fldCharType="end"/>
        </w:r>
      </w:hyperlink>
    </w:p>
    <w:p w14:paraId="0815EC29" w14:textId="2A4E970A" w:rsidR="00EF2058" w:rsidRPr="00245386" w:rsidRDefault="007E3F8C">
      <w:pPr>
        <w:pStyle w:val="Kazalovsebine3"/>
        <w:rPr>
          <w:rFonts w:ascii="Arial" w:eastAsiaTheme="minorEastAsia" w:hAnsi="Arial"/>
          <w:i w:val="0"/>
          <w:iCs w:val="0"/>
          <w:noProof/>
          <w:sz w:val="22"/>
          <w:szCs w:val="22"/>
          <w:lang w:eastAsia="sl-SI"/>
        </w:rPr>
      </w:pPr>
      <w:hyperlink w:anchor="_Toc113535481" w:history="1">
        <w:r w:rsidR="00EF2058" w:rsidRPr="00245386">
          <w:rPr>
            <w:rStyle w:val="Hiperpovezava"/>
            <w:rFonts w:ascii="Arial" w:hAnsi="Arial" w:cs="Arial"/>
            <w:noProof/>
          </w:rPr>
          <w:t>5.1.5 Priprava predlogov odgovorov na uradni opomin Evropske komisije zaradi nenotifikacije predpisov za prenos Direktive (EU) 2018/843 in na uradni opomin Evropske komisije zaradi neizpolnjevanja obveznosti iz nekaterih členov Direktive (EU) 2015/849</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_Toc113535481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39</w:t>
        </w:r>
        <w:r w:rsidR="00EF2058" w:rsidRPr="00245386">
          <w:rPr>
            <w:rFonts w:ascii="Arial" w:hAnsi="Arial"/>
            <w:noProof/>
            <w:webHidden/>
          </w:rPr>
          <w:fldChar w:fldCharType="end"/>
        </w:r>
      </w:hyperlink>
    </w:p>
    <w:p w14:paraId="4C1196D8" w14:textId="756A86C2" w:rsidR="00EF2058" w:rsidRPr="00245386" w:rsidRDefault="007E3F8C">
      <w:pPr>
        <w:pStyle w:val="Kazalovsebine3"/>
        <w:rPr>
          <w:rFonts w:ascii="Arial" w:eastAsiaTheme="minorEastAsia" w:hAnsi="Arial"/>
          <w:i w:val="0"/>
          <w:iCs w:val="0"/>
          <w:noProof/>
          <w:sz w:val="22"/>
          <w:szCs w:val="22"/>
          <w:lang w:eastAsia="sl-SI"/>
        </w:rPr>
      </w:pPr>
      <w:hyperlink w:anchor="_Toc113535482" w:history="1">
        <w:r w:rsidR="00EF2058" w:rsidRPr="00245386">
          <w:rPr>
            <w:rStyle w:val="Hiperpovezava"/>
            <w:rFonts w:ascii="Arial" w:hAnsi="Arial" w:cs="Arial"/>
            <w:noProof/>
          </w:rPr>
          <w:t>5.1.6 Pisna mnenja in stališča v zvezi z izvajanjem ZPPDFT-1</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_Toc113535482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40</w:t>
        </w:r>
        <w:r w:rsidR="00EF2058" w:rsidRPr="00245386">
          <w:rPr>
            <w:rFonts w:ascii="Arial" w:hAnsi="Arial"/>
            <w:noProof/>
            <w:webHidden/>
          </w:rPr>
          <w:fldChar w:fldCharType="end"/>
        </w:r>
      </w:hyperlink>
    </w:p>
    <w:p w14:paraId="59D4ADEA" w14:textId="0520223E" w:rsidR="00EF2058" w:rsidRPr="00245386" w:rsidRDefault="007E3F8C">
      <w:pPr>
        <w:pStyle w:val="Kazalovsebine3"/>
        <w:rPr>
          <w:rFonts w:ascii="Arial" w:eastAsiaTheme="minorEastAsia" w:hAnsi="Arial"/>
          <w:i w:val="0"/>
          <w:iCs w:val="0"/>
          <w:noProof/>
          <w:sz w:val="22"/>
          <w:szCs w:val="22"/>
          <w:lang w:eastAsia="sl-SI"/>
        </w:rPr>
      </w:pPr>
      <w:hyperlink w:anchor="_Toc113535483" w:history="1">
        <w:r w:rsidR="00EF2058" w:rsidRPr="00245386">
          <w:rPr>
            <w:rStyle w:val="Hiperpovezava"/>
            <w:rFonts w:ascii="Arial" w:hAnsi="Arial" w:cs="Arial"/>
            <w:noProof/>
          </w:rPr>
          <w:t>5.1.7 Posodobljeno poročilo o izvedbi nacionalne ocene tveganja Republike Slovenije za pranje denarja in financiranje terorizma s podatki za leta 2016, 2017, 2018 in 2019 in Akcijski načrt za zmanjšanje in odpravo tveganj pranja denarja oziroma financiranja terorizma</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_Toc113535483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40</w:t>
        </w:r>
        <w:r w:rsidR="00EF2058" w:rsidRPr="00245386">
          <w:rPr>
            <w:rFonts w:ascii="Arial" w:hAnsi="Arial"/>
            <w:noProof/>
            <w:webHidden/>
          </w:rPr>
          <w:fldChar w:fldCharType="end"/>
        </w:r>
      </w:hyperlink>
    </w:p>
    <w:p w14:paraId="4F20D4DB" w14:textId="5537D0F8" w:rsidR="00EF2058" w:rsidRPr="00245386" w:rsidRDefault="007E3F8C">
      <w:pPr>
        <w:pStyle w:val="Kazalovsebine2"/>
        <w:rPr>
          <w:rFonts w:ascii="Arial" w:eastAsiaTheme="minorEastAsia" w:hAnsi="Arial"/>
          <w:smallCaps w:val="0"/>
          <w:noProof/>
          <w:sz w:val="22"/>
          <w:szCs w:val="22"/>
          <w:lang w:eastAsia="sl-SI"/>
        </w:rPr>
      </w:pPr>
      <w:hyperlink w:anchor="_Toc113535484" w:history="1">
        <w:r w:rsidR="00EF2058" w:rsidRPr="00245386">
          <w:rPr>
            <w:rStyle w:val="Hiperpovezava"/>
            <w:rFonts w:ascii="Arial" w:hAnsi="Arial" w:cs="Arial"/>
            <w:noProof/>
          </w:rPr>
          <w:t>5.2</w:t>
        </w:r>
        <w:r w:rsidR="00EF2058" w:rsidRPr="00245386">
          <w:rPr>
            <w:rFonts w:ascii="Arial" w:eastAsiaTheme="minorEastAsia" w:hAnsi="Arial"/>
            <w:smallCaps w:val="0"/>
            <w:noProof/>
            <w:sz w:val="22"/>
            <w:szCs w:val="22"/>
            <w:lang w:eastAsia="sl-SI"/>
          </w:rPr>
          <w:tab/>
        </w:r>
        <w:r w:rsidR="00EF2058" w:rsidRPr="00245386">
          <w:rPr>
            <w:rStyle w:val="Hiperpovezava"/>
            <w:rFonts w:ascii="Arial" w:hAnsi="Arial" w:cs="Arial"/>
            <w:noProof/>
          </w:rPr>
          <w:t>DELO V OKVIRU MEDNARODNIH TELES</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_Toc113535484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41</w:t>
        </w:r>
        <w:r w:rsidR="00EF2058" w:rsidRPr="00245386">
          <w:rPr>
            <w:rFonts w:ascii="Arial" w:hAnsi="Arial"/>
            <w:noProof/>
            <w:webHidden/>
          </w:rPr>
          <w:fldChar w:fldCharType="end"/>
        </w:r>
      </w:hyperlink>
    </w:p>
    <w:p w14:paraId="3992B026" w14:textId="38E4CA54" w:rsidR="00EF2058" w:rsidRPr="00245386" w:rsidRDefault="007E3F8C">
      <w:pPr>
        <w:pStyle w:val="Kazalovsebine3"/>
        <w:rPr>
          <w:rFonts w:ascii="Arial" w:eastAsiaTheme="minorEastAsia" w:hAnsi="Arial"/>
          <w:i w:val="0"/>
          <w:iCs w:val="0"/>
          <w:noProof/>
          <w:sz w:val="22"/>
          <w:szCs w:val="22"/>
          <w:lang w:eastAsia="sl-SI"/>
        </w:rPr>
      </w:pPr>
      <w:hyperlink w:anchor="_Toc113535485" w:history="1">
        <w:r w:rsidR="00EF2058" w:rsidRPr="00245386">
          <w:rPr>
            <w:rStyle w:val="Hiperpovezava"/>
            <w:rFonts w:ascii="Arial" w:hAnsi="Arial" w:cs="Arial"/>
            <w:noProof/>
          </w:rPr>
          <w:t>5.2.1 Svet Evrope</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_Toc113535485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41</w:t>
        </w:r>
        <w:r w:rsidR="00EF2058" w:rsidRPr="00245386">
          <w:rPr>
            <w:rFonts w:ascii="Arial" w:hAnsi="Arial"/>
            <w:noProof/>
            <w:webHidden/>
          </w:rPr>
          <w:fldChar w:fldCharType="end"/>
        </w:r>
      </w:hyperlink>
    </w:p>
    <w:p w14:paraId="4B7C6C6F" w14:textId="054F5824" w:rsidR="00EF2058" w:rsidRPr="00245386" w:rsidRDefault="007E3F8C">
      <w:pPr>
        <w:pStyle w:val="Kazalovsebine3"/>
        <w:rPr>
          <w:rFonts w:ascii="Arial" w:eastAsiaTheme="minorEastAsia" w:hAnsi="Arial"/>
          <w:i w:val="0"/>
          <w:iCs w:val="0"/>
          <w:noProof/>
          <w:sz w:val="22"/>
          <w:szCs w:val="22"/>
          <w:lang w:eastAsia="sl-SI"/>
        </w:rPr>
      </w:pPr>
      <w:hyperlink w:anchor="_Toc113535486" w:history="1">
        <w:r w:rsidR="00EF2058" w:rsidRPr="00245386">
          <w:rPr>
            <w:rStyle w:val="Hiperpovezava"/>
            <w:rFonts w:ascii="Arial" w:hAnsi="Arial" w:cs="Arial"/>
            <w:noProof/>
          </w:rPr>
          <w:t>5.2.1.1 Odbor strokovnjakov Sveta Evrope za ocenjevanje ukrepov s področja preprečevanja pranja denarja in financiranja terorizma (MONEYVAL)</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_Toc113535486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41</w:t>
        </w:r>
        <w:r w:rsidR="00EF2058" w:rsidRPr="00245386">
          <w:rPr>
            <w:rFonts w:ascii="Arial" w:hAnsi="Arial"/>
            <w:noProof/>
            <w:webHidden/>
          </w:rPr>
          <w:fldChar w:fldCharType="end"/>
        </w:r>
      </w:hyperlink>
    </w:p>
    <w:p w14:paraId="7F58B4DD" w14:textId="04B769B9" w:rsidR="00EF2058" w:rsidRPr="00245386" w:rsidRDefault="007E3F8C">
      <w:pPr>
        <w:pStyle w:val="Kazalovsebine3"/>
        <w:rPr>
          <w:rFonts w:ascii="Arial" w:eastAsiaTheme="minorEastAsia" w:hAnsi="Arial"/>
          <w:i w:val="0"/>
          <w:iCs w:val="0"/>
          <w:noProof/>
          <w:sz w:val="22"/>
          <w:szCs w:val="22"/>
          <w:lang w:eastAsia="sl-SI"/>
        </w:rPr>
      </w:pPr>
      <w:hyperlink w:anchor="_Toc113535487" w:history="1">
        <w:r w:rsidR="00EF2058" w:rsidRPr="00245386">
          <w:rPr>
            <w:rStyle w:val="Hiperpovezava"/>
            <w:rFonts w:ascii="Arial" w:hAnsi="Arial" w:cs="Arial"/>
            <w:noProof/>
          </w:rPr>
          <w:t>5.2.1.2 Konvencija Sveta Evrope o pranju, odkrivanju, zasegu in zaplembi premoženjske koristi, pridobljene s kaznivim dejanjem, in o financiranju terorizma</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_Toc113535487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42</w:t>
        </w:r>
        <w:r w:rsidR="00EF2058" w:rsidRPr="00245386">
          <w:rPr>
            <w:rFonts w:ascii="Arial" w:hAnsi="Arial"/>
            <w:noProof/>
            <w:webHidden/>
          </w:rPr>
          <w:fldChar w:fldCharType="end"/>
        </w:r>
      </w:hyperlink>
    </w:p>
    <w:p w14:paraId="091F7AA0" w14:textId="6C1CDB7A" w:rsidR="00EF2058" w:rsidRPr="00245386" w:rsidRDefault="007E3F8C">
      <w:pPr>
        <w:pStyle w:val="Kazalovsebine3"/>
        <w:rPr>
          <w:rFonts w:ascii="Arial" w:eastAsiaTheme="minorEastAsia" w:hAnsi="Arial"/>
          <w:i w:val="0"/>
          <w:iCs w:val="0"/>
          <w:noProof/>
          <w:sz w:val="22"/>
          <w:szCs w:val="22"/>
          <w:lang w:eastAsia="sl-SI"/>
        </w:rPr>
      </w:pPr>
      <w:hyperlink w:anchor="_Toc113535488" w:history="1">
        <w:r w:rsidR="00EF2058" w:rsidRPr="00245386">
          <w:rPr>
            <w:rStyle w:val="Hiperpovezava"/>
            <w:rFonts w:ascii="Arial" w:hAnsi="Arial" w:cs="Arial"/>
            <w:noProof/>
          </w:rPr>
          <w:t>5.2.2 Evropska komisija</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_Toc113535488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43</w:t>
        </w:r>
        <w:r w:rsidR="00EF2058" w:rsidRPr="00245386">
          <w:rPr>
            <w:rFonts w:ascii="Arial" w:hAnsi="Arial"/>
            <w:noProof/>
            <w:webHidden/>
          </w:rPr>
          <w:fldChar w:fldCharType="end"/>
        </w:r>
      </w:hyperlink>
    </w:p>
    <w:p w14:paraId="17AFF4D0" w14:textId="2DA4F6F3" w:rsidR="00EF2058" w:rsidRPr="00245386" w:rsidRDefault="007E3F8C">
      <w:pPr>
        <w:pStyle w:val="Kazalovsebine3"/>
        <w:rPr>
          <w:rFonts w:ascii="Arial" w:eastAsiaTheme="minorEastAsia" w:hAnsi="Arial"/>
          <w:i w:val="0"/>
          <w:iCs w:val="0"/>
          <w:noProof/>
          <w:sz w:val="22"/>
          <w:szCs w:val="22"/>
          <w:lang w:eastAsia="sl-SI"/>
        </w:rPr>
      </w:pPr>
      <w:hyperlink w:anchor="_Toc113535489" w:history="1">
        <w:r w:rsidR="00EF2058" w:rsidRPr="00245386">
          <w:rPr>
            <w:rStyle w:val="Hiperpovezava"/>
            <w:rFonts w:ascii="Arial" w:hAnsi="Arial" w:cs="Arial"/>
            <w:noProof/>
          </w:rPr>
          <w:t>5.2.2.1 Skupina strokovnjakov za preprečevanje pranja denarja in financiranja terorizma – EGMLTF</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_Toc113535489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43</w:t>
        </w:r>
        <w:r w:rsidR="00EF2058" w:rsidRPr="00245386">
          <w:rPr>
            <w:rFonts w:ascii="Arial" w:hAnsi="Arial"/>
            <w:noProof/>
            <w:webHidden/>
          </w:rPr>
          <w:fldChar w:fldCharType="end"/>
        </w:r>
      </w:hyperlink>
    </w:p>
    <w:p w14:paraId="544F9B3D" w14:textId="75C7CF5A" w:rsidR="00EF2058" w:rsidRPr="00245386" w:rsidRDefault="007E3F8C">
      <w:pPr>
        <w:pStyle w:val="Kazalovsebine3"/>
        <w:rPr>
          <w:rFonts w:ascii="Arial" w:eastAsiaTheme="minorEastAsia" w:hAnsi="Arial"/>
          <w:i w:val="0"/>
          <w:iCs w:val="0"/>
          <w:noProof/>
          <w:sz w:val="22"/>
          <w:szCs w:val="22"/>
          <w:lang w:eastAsia="sl-SI"/>
        </w:rPr>
      </w:pPr>
      <w:hyperlink w:anchor="_Toc113535490" w:history="1">
        <w:r w:rsidR="00EF2058" w:rsidRPr="00245386">
          <w:rPr>
            <w:rStyle w:val="Hiperpovezava"/>
            <w:rFonts w:ascii="Arial" w:hAnsi="Arial" w:cs="Arial"/>
            <w:noProof/>
          </w:rPr>
          <w:t>5.2.2.2 Platforma FIU (Financial Intelligence Unit)</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_Toc113535490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44</w:t>
        </w:r>
        <w:r w:rsidR="00EF2058" w:rsidRPr="00245386">
          <w:rPr>
            <w:rFonts w:ascii="Arial" w:hAnsi="Arial"/>
            <w:noProof/>
            <w:webHidden/>
          </w:rPr>
          <w:fldChar w:fldCharType="end"/>
        </w:r>
      </w:hyperlink>
    </w:p>
    <w:p w14:paraId="0D035E89" w14:textId="50B43EAF" w:rsidR="00EF2058" w:rsidRPr="00245386" w:rsidRDefault="007E3F8C">
      <w:pPr>
        <w:pStyle w:val="Kazalovsebine3"/>
        <w:rPr>
          <w:rFonts w:ascii="Arial" w:eastAsiaTheme="minorEastAsia" w:hAnsi="Arial"/>
          <w:i w:val="0"/>
          <w:iCs w:val="0"/>
          <w:noProof/>
          <w:sz w:val="22"/>
          <w:szCs w:val="22"/>
          <w:lang w:eastAsia="sl-SI"/>
        </w:rPr>
      </w:pPr>
      <w:hyperlink w:anchor="_Toc113535491" w:history="1">
        <w:r w:rsidR="00EF2058" w:rsidRPr="00245386">
          <w:rPr>
            <w:rStyle w:val="Hiperpovezava"/>
            <w:rFonts w:ascii="Arial" w:hAnsi="Arial" w:cs="Arial"/>
            <w:noProof/>
          </w:rPr>
          <w:t>5.2.2.3 Odbor za preprečevanje pranja denarja in financiranja terorizma za povezovanje registrov dejanskih lastnikov – BORIS</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_Toc113535491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45</w:t>
        </w:r>
        <w:r w:rsidR="00EF2058" w:rsidRPr="00245386">
          <w:rPr>
            <w:rFonts w:ascii="Arial" w:hAnsi="Arial"/>
            <w:noProof/>
            <w:webHidden/>
          </w:rPr>
          <w:fldChar w:fldCharType="end"/>
        </w:r>
      </w:hyperlink>
    </w:p>
    <w:p w14:paraId="554E6C69" w14:textId="7696673D" w:rsidR="00EF2058" w:rsidRPr="00245386" w:rsidRDefault="007E3F8C">
      <w:pPr>
        <w:pStyle w:val="Kazalovsebine2"/>
        <w:rPr>
          <w:rFonts w:ascii="Arial" w:eastAsiaTheme="minorEastAsia" w:hAnsi="Arial"/>
          <w:smallCaps w:val="0"/>
          <w:noProof/>
          <w:sz w:val="22"/>
          <w:szCs w:val="22"/>
          <w:lang w:eastAsia="sl-SI"/>
        </w:rPr>
      </w:pPr>
      <w:hyperlink w:anchor="_Toc113535492" w:history="1">
        <w:r w:rsidR="00EF2058" w:rsidRPr="00245386">
          <w:rPr>
            <w:rStyle w:val="Hiperpovezava"/>
            <w:rFonts w:ascii="Arial" w:hAnsi="Arial" w:cs="Arial"/>
            <w:noProof/>
          </w:rPr>
          <w:t>5.3</w:t>
        </w:r>
        <w:r w:rsidR="00EF2058" w:rsidRPr="00245386">
          <w:rPr>
            <w:rFonts w:ascii="Arial" w:eastAsiaTheme="minorEastAsia" w:hAnsi="Arial"/>
            <w:smallCaps w:val="0"/>
            <w:noProof/>
            <w:sz w:val="22"/>
            <w:szCs w:val="22"/>
            <w:lang w:eastAsia="sl-SI"/>
          </w:rPr>
          <w:tab/>
        </w:r>
        <w:r w:rsidR="00EF2058" w:rsidRPr="00245386">
          <w:rPr>
            <w:rStyle w:val="Hiperpovezava"/>
            <w:rFonts w:ascii="Arial" w:hAnsi="Arial" w:cs="Arial"/>
            <w:noProof/>
          </w:rPr>
          <w:t>SODELOVANJE PRI STROKOVNEM USPOSABLJANJU</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_Toc113535492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45</w:t>
        </w:r>
        <w:r w:rsidR="00EF2058" w:rsidRPr="00245386">
          <w:rPr>
            <w:rFonts w:ascii="Arial" w:hAnsi="Arial"/>
            <w:noProof/>
            <w:webHidden/>
          </w:rPr>
          <w:fldChar w:fldCharType="end"/>
        </w:r>
      </w:hyperlink>
    </w:p>
    <w:p w14:paraId="3CA1CC4A" w14:textId="370ABDB6" w:rsidR="00EF2058" w:rsidRPr="00245386" w:rsidRDefault="007E3F8C">
      <w:pPr>
        <w:pStyle w:val="Kazalovsebine3"/>
        <w:rPr>
          <w:rFonts w:ascii="Arial" w:eastAsiaTheme="minorEastAsia" w:hAnsi="Arial"/>
          <w:i w:val="0"/>
          <w:iCs w:val="0"/>
          <w:noProof/>
          <w:sz w:val="22"/>
          <w:szCs w:val="22"/>
          <w:lang w:eastAsia="sl-SI"/>
        </w:rPr>
      </w:pPr>
      <w:hyperlink w:anchor="_Toc113535493" w:history="1">
        <w:r w:rsidR="00EF2058" w:rsidRPr="00245386">
          <w:rPr>
            <w:rStyle w:val="Hiperpovezava"/>
            <w:rFonts w:ascii="Arial" w:hAnsi="Arial" w:cs="Arial"/>
            <w:noProof/>
          </w:rPr>
          <w:t>5.3.1 Strokovna usposabljanja in predavanja v Sloveniji</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_Toc113535493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45</w:t>
        </w:r>
        <w:r w:rsidR="00EF2058" w:rsidRPr="00245386">
          <w:rPr>
            <w:rFonts w:ascii="Arial" w:hAnsi="Arial"/>
            <w:noProof/>
            <w:webHidden/>
          </w:rPr>
          <w:fldChar w:fldCharType="end"/>
        </w:r>
      </w:hyperlink>
    </w:p>
    <w:p w14:paraId="26270C0D" w14:textId="16CED6BD" w:rsidR="00EF2058" w:rsidRPr="00245386" w:rsidRDefault="007E3F8C">
      <w:pPr>
        <w:pStyle w:val="Kazalovsebine3"/>
        <w:rPr>
          <w:rFonts w:ascii="Arial" w:eastAsiaTheme="minorEastAsia" w:hAnsi="Arial"/>
          <w:i w:val="0"/>
          <w:iCs w:val="0"/>
          <w:noProof/>
          <w:sz w:val="22"/>
          <w:szCs w:val="22"/>
          <w:lang w:eastAsia="sl-SI"/>
        </w:rPr>
      </w:pPr>
      <w:hyperlink w:anchor="_Toc113535494" w:history="1">
        <w:r w:rsidR="00EF2058" w:rsidRPr="00245386">
          <w:rPr>
            <w:rStyle w:val="Hiperpovezava"/>
            <w:rFonts w:ascii="Arial" w:hAnsi="Arial" w:cs="Arial"/>
            <w:noProof/>
          </w:rPr>
          <w:t>5.3.2 Strokovna usposabljanja in predavanja v tujini</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_Toc113535494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46</w:t>
        </w:r>
        <w:r w:rsidR="00EF2058" w:rsidRPr="00245386">
          <w:rPr>
            <w:rFonts w:ascii="Arial" w:hAnsi="Arial"/>
            <w:noProof/>
            <w:webHidden/>
          </w:rPr>
          <w:fldChar w:fldCharType="end"/>
        </w:r>
      </w:hyperlink>
    </w:p>
    <w:p w14:paraId="4306080B" w14:textId="5A299761" w:rsidR="00EF2058" w:rsidRPr="00245386" w:rsidRDefault="007E3F8C">
      <w:pPr>
        <w:pStyle w:val="Kazalovsebine2"/>
        <w:rPr>
          <w:rFonts w:ascii="Arial" w:eastAsiaTheme="minorEastAsia" w:hAnsi="Arial"/>
          <w:smallCaps w:val="0"/>
          <w:noProof/>
          <w:sz w:val="22"/>
          <w:szCs w:val="22"/>
          <w:lang w:eastAsia="sl-SI"/>
        </w:rPr>
      </w:pPr>
      <w:hyperlink w:anchor="_Toc113535495" w:history="1">
        <w:r w:rsidR="00EF2058" w:rsidRPr="00245386">
          <w:rPr>
            <w:rStyle w:val="Hiperpovezava"/>
            <w:rFonts w:ascii="Arial" w:hAnsi="Arial" w:cs="Arial"/>
            <w:noProof/>
          </w:rPr>
          <w:t>5.4</w:t>
        </w:r>
        <w:r w:rsidR="00EF2058" w:rsidRPr="00245386">
          <w:rPr>
            <w:rFonts w:ascii="Arial" w:eastAsiaTheme="minorEastAsia" w:hAnsi="Arial"/>
            <w:smallCaps w:val="0"/>
            <w:noProof/>
            <w:sz w:val="22"/>
            <w:szCs w:val="22"/>
            <w:lang w:eastAsia="sl-SI"/>
          </w:rPr>
          <w:tab/>
        </w:r>
        <w:r w:rsidR="00EF2058" w:rsidRPr="00245386">
          <w:rPr>
            <w:rStyle w:val="Hiperpovezava"/>
            <w:rFonts w:ascii="Arial" w:hAnsi="Arial" w:cs="Arial"/>
            <w:noProof/>
          </w:rPr>
          <w:t>NADZOR NAD IZVAJANJEM DOLOČIL ZPPDFT-1 PRI ZAVEZANCIH</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_Toc113535495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46</w:t>
        </w:r>
        <w:r w:rsidR="00EF2058" w:rsidRPr="00245386">
          <w:rPr>
            <w:rFonts w:ascii="Arial" w:hAnsi="Arial"/>
            <w:noProof/>
            <w:webHidden/>
          </w:rPr>
          <w:fldChar w:fldCharType="end"/>
        </w:r>
      </w:hyperlink>
    </w:p>
    <w:p w14:paraId="596F661C" w14:textId="30526ED9" w:rsidR="00EF2058" w:rsidRPr="00245386" w:rsidRDefault="007E3F8C">
      <w:pPr>
        <w:pStyle w:val="Kazalovsebine3"/>
        <w:rPr>
          <w:rFonts w:ascii="Arial" w:eastAsiaTheme="minorEastAsia" w:hAnsi="Arial"/>
          <w:i w:val="0"/>
          <w:iCs w:val="0"/>
          <w:noProof/>
          <w:sz w:val="22"/>
          <w:szCs w:val="22"/>
          <w:lang w:eastAsia="sl-SI"/>
        </w:rPr>
      </w:pPr>
      <w:hyperlink w:anchor="_Toc113535496" w:history="1">
        <w:r w:rsidR="00EF2058" w:rsidRPr="00245386">
          <w:rPr>
            <w:rStyle w:val="Hiperpovezava"/>
            <w:rFonts w:ascii="Arial" w:hAnsi="Arial" w:cs="Arial"/>
            <w:noProof/>
          </w:rPr>
          <w:t>5.4.1 Inšpekcijski postopki</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_Toc113535496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46</w:t>
        </w:r>
        <w:r w:rsidR="00EF2058" w:rsidRPr="00245386">
          <w:rPr>
            <w:rFonts w:ascii="Arial" w:hAnsi="Arial"/>
            <w:noProof/>
            <w:webHidden/>
          </w:rPr>
          <w:fldChar w:fldCharType="end"/>
        </w:r>
      </w:hyperlink>
    </w:p>
    <w:p w14:paraId="21AD3164" w14:textId="12B830DA" w:rsidR="00EF2058" w:rsidRPr="00245386" w:rsidRDefault="007E3F8C">
      <w:pPr>
        <w:pStyle w:val="Kazalovsebine3"/>
        <w:rPr>
          <w:rFonts w:ascii="Arial" w:eastAsiaTheme="minorEastAsia" w:hAnsi="Arial"/>
          <w:i w:val="0"/>
          <w:iCs w:val="0"/>
          <w:noProof/>
          <w:sz w:val="22"/>
          <w:szCs w:val="22"/>
          <w:lang w:eastAsia="sl-SI"/>
        </w:rPr>
      </w:pPr>
      <w:hyperlink w:anchor="_Toc113535497" w:history="1">
        <w:r w:rsidR="00EF2058" w:rsidRPr="00245386">
          <w:rPr>
            <w:rStyle w:val="Hiperpovezava"/>
            <w:rFonts w:ascii="Arial" w:hAnsi="Arial" w:cs="Arial"/>
            <w:noProof/>
          </w:rPr>
          <w:t>5.4.2 Urad kot prekrškovni organ – splošno</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_Toc113535497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47</w:t>
        </w:r>
        <w:r w:rsidR="00EF2058" w:rsidRPr="00245386">
          <w:rPr>
            <w:rFonts w:ascii="Arial" w:hAnsi="Arial"/>
            <w:noProof/>
            <w:webHidden/>
          </w:rPr>
          <w:fldChar w:fldCharType="end"/>
        </w:r>
      </w:hyperlink>
    </w:p>
    <w:p w14:paraId="0C4C8E6A" w14:textId="35A62285" w:rsidR="00EF2058" w:rsidRPr="00245386" w:rsidRDefault="007E3F8C">
      <w:pPr>
        <w:pStyle w:val="Kazalovsebine3"/>
        <w:rPr>
          <w:rFonts w:ascii="Arial" w:eastAsiaTheme="minorEastAsia" w:hAnsi="Arial"/>
          <w:i w:val="0"/>
          <w:iCs w:val="0"/>
          <w:noProof/>
          <w:sz w:val="22"/>
          <w:szCs w:val="22"/>
          <w:lang w:eastAsia="sl-SI"/>
        </w:rPr>
      </w:pPr>
      <w:hyperlink w:anchor="_Toc113535498" w:history="1">
        <w:r w:rsidR="00EF2058" w:rsidRPr="00245386">
          <w:rPr>
            <w:rStyle w:val="Hiperpovezava"/>
            <w:rFonts w:ascii="Arial" w:hAnsi="Arial" w:cs="Arial"/>
            <w:noProof/>
          </w:rPr>
          <w:t>5.4.3 Zaznane kršitve</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_Toc113535498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48</w:t>
        </w:r>
        <w:r w:rsidR="00EF2058" w:rsidRPr="00245386">
          <w:rPr>
            <w:rFonts w:ascii="Arial" w:hAnsi="Arial"/>
            <w:noProof/>
            <w:webHidden/>
          </w:rPr>
          <w:fldChar w:fldCharType="end"/>
        </w:r>
      </w:hyperlink>
    </w:p>
    <w:p w14:paraId="70003E1D" w14:textId="744DD735" w:rsidR="00EF2058" w:rsidRPr="00245386" w:rsidRDefault="007E3F8C">
      <w:pPr>
        <w:pStyle w:val="Kazalovsebine2"/>
        <w:rPr>
          <w:rFonts w:ascii="Arial" w:eastAsiaTheme="minorEastAsia" w:hAnsi="Arial"/>
          <w:smallCaps w:val="0"/>
          <w:noProof/>
          <w:sz w:val="22"/>
          <w:szCs w:val="22"/>
          <w:lang w:eastAsia="sl-SI"/>
        </w:rPr>
      </w:pPr>
      <w:hyperlink w:anchor="_Toc113535499" w:history="1">
        <w:r w:rsidR="00EF2058" w:rsidRPr="00245386">
          <w:rPr>
            <w:rStyle w:val="Hiperpovezava"/>
            <w:rFonts w:ascii="Arial" w:hAnsi="Arial" w:cs="Arial"/>
            <w:noProof/>
          </w:rPr>
          <w:t>5.5</w:t>
        </w:r>
        <w:r w:rsidR="00EF2058" w:rsidRPr="00245386">
          <w:rPr>
            <w:rFonts w:ascii="Arial" w:eastAsiaTheme="minorEastAsia" w:hAnsi="Arial"/>
            <w:smallCaps w:val="0"/>
            <w:noProof/>
            <w:sz w:val="22"/>
            <w:szCs w:val="22"/>
            <w:lang w:eastAsia="sl-SI"/>
          </w:rPr>
          <w:tab/>
        </w:r>
        <w:r w:rsidR="00EF2058" w:rsidRPr="00245386">
          <w:rPr>
            <w:rStyle w:val="Hiperpovezava"/>
            <w:rFonts w:ascii="Arial" w:hAnsi="Arial" w:cs="Arial"/>
            <w:noProof/>
          </w:rPr>
          <w:t>OBVEŠČANJE JAVNOSTI PREK MEDIJEV</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_Toc113535499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49</w:t>
        </w:r>
        <w:r w:rsidR="00EF2058" w:rsidRPr="00245386">
          <w:rPr>
            <w:rFonts w:ascii="Arial" w:hAnsi="Arial"/>
            <w:noProof/>
            <w:webHidden/>
          </w:rPr>
          <w:fldChar w:fldCharType="end"/>
        </w:r>
      </w:hyperlink>
    </w:p>
    <w:p w14:paraId="545BD4EC" w14:textId="3BBB1FE5" w:rsidR="00EF2058" w:rsidRPr="00245386" w:rsidRDefault="007E3F8C">
      <w:pPr>
        <w:pStyle w:val="Kazalovsebine2"/>
        <w:rPr>
          <w:rFonts w:ascii="Arial" w:eastAsiaTheme="minorEastAsia" w:hAnsi="Arial"/>
          <w:smallCaps w:val="0"/>
          <w:noProof/>
          <w:sz w:val="22"/>
          <w:szCs w:val="22"/>
          <w:lang w:eastAsia="sl-SI"/>
        </w:rPr>
      </w:pPr>
      <w:hyperlink w:anchor="_Toc113535500" w:history="1">
        <w:r w:rsidR="00EF2058" w:rsidRPr="00245386">
          <w:rPr>
            <w:rStyle w:val="Hiperpovezava"/>
            <w:rFonts w:ascii="Arial" w:hAnsi="Arial" w:cs="Arial"/>
            <w:noProof/>
          </w:rPr>
          <w:t>5.6</w:t>
        </w:r>
        <w:r w:rsidR="00EF2058" w:rsidRPr="00245386">
          <w:rPr>
            <w:rFonts w:ascii="Arial" w:eastAsiaTheme="minorEastAsia" w:hAnsi="Arial"/>
            <w:smallCaps w:val="0"/>
            <w:noProof/>
            <w:sz w:val="22"/>
            <w:szCs w:val="22"/>
            <w:lang w:eastAsia="sl-SI"/>
          </w:rPr>
          <w:tab/>
        </w:r>
        <w:r w:rsidR="00EF2058" w:rsidRPr="00245386">
          <w:rPr>
            <w:rStyle w:val="Hiperpovezava"/>
            <w:rFonts w:ascii="Arial" w:hAnsi="Arial" w:cs="Arial"/>
            <w:noProof/>
          </w:rPr>
          <w:t>INFORMACIJE JAVNEGA ZNAČAJA</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_Toc113535500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50</w:t>
        </w:r>
        <w:r w:rsidR="00EF2058" w:rsidRPr="00245386">
          <w:rPr>
            <w:rFonts w:ascii="Arial" w:hAnsi="Arial"/>
            <w:noProof/>
            <w:webHidden/>
          </w:rPr>
          <w:fldChar w:fldCharType="end"/>
        </w:r>
      </w:hyperlink>
    </w:p>
    <w:p w14:paraId="62043B46" w14:textId="26FF6A7D" w:rsidR="00EF2058" w:rsidRPr="00245386" w:rsidRDefault="007E3F8C">
      <w:pPr>
        <w:pStyle w:val="Kazalovsebine1"/>
        <w:rPr>
          <w:rFonts w:eastAsiaTheme="minorEastAsia"/>
          <w:b w:val="0"/>
          <w:bCs w:val="0"/>
          <w:caps w:val="0"/>
          <w:sz w:val="22"/>
          <w:szCs w:val="22"/>
          <w:lang w:eastAsia="sl-SI"/>
        </w:rPr>
      </w:pPr>
      <w:hyperlink w:anchor="_Toc113535501" w:history="1">
        <w:r w:rsidR="00EF2058" w:rsidRPr="00245386">
          <w:rPr>
            <w:rStyle w:val="Hiperpovezava"/>
            <w:rFonts w:cs="Arial"/>
          </w:rPr>
          <w:t>6</w:t>
        </w:r>
        <w:r w:rsidR="00EF2058" w:rsidRPr="00245386">
          <w:rPr>
            <w:rFonts w:eastAsiaTheme="minorEastAsia"/>
            <w:b w:val="0"/>
            <w:bCs w:val="0"/>
            <w:caps w:val="0"/>
            <w:sz w:val="22"/>
            <w:szCs w:val="22"/>
            <w:lang w:eastAsia="sl-SI"/>
          </w:rPr>
          <w:tab/>
        </w:r>
        <w:r w:rsidR="00EF2058" w:rsidRPr="00245386">
          <w:rPr>
            <w:rStyle w:val="Hiperpovezava"/>
            <w:rFonts w:cs="Arial"/>
          </w:rPr>
          <w:t>MEDNARODNO SODELOVANJE</w:t>
        </w:r>
        <w:r w:rsidR="00EF2058" w:rsidRPr="00245386">
          <w:rPr>
            <w:webHidden/>
          </w:rPr>
          <w:tab/>
        </w:r>
        <w:r w:rsidR="00EF2058" w:rsidRPr="00245386">
          <w:rPr>
            <w:webHidden/>
          </w:rPr>
          <w:fldChar w:fldCharType="begin"/>
        </w:r>
        <w:r w:rsidR="00EF2058" w:rsidRPr="00245386">
          <w:rPr>
            <w:webHidden/>
          </w:rPr>
          <w:instrText xml:space="preserve"> PAGEREF _Toc113535501 \h </w:instrText>
        </w:r>
        <w:r w:rsidR="00EF2058" w:rsidRPr="00245386">
          <w:rPr>
            <w:webHidden/>
          </w:rPr>
        </w:r>
        <w:r w:rsidR="00EF2058" w:rsidRPr="00245386">
          <w:rPr>
            <w:webHidden/>
          </w:rPr>
          <w:fldChar w:fldCharType="separate"/>
        </w:r>
        <w:r w:rsidR="00FA752D">
          <w:rPr>
            <w:webHidden/>
          </w:rPr>
          <w:t>51</w:t>
        </w:r>
        <w:r w:rsidR="00EF2058" w:rsidRPr="00245386">
          <w:rPr>
            <w:webHidden/>
          </w:rPr>
          <w:fldChar w:fldCharType="end"/>
        </w:r>
      </w:hyperlink>
    </w:p>
    <w:p w14:paraId="5762C897" w14:textId="66E218D0" w:rsidR="00EF2058" w:rsidRPr="00245386" w:rsidRDefault="007E3F8C">
      <w:pPr>
        <w:pStyle w:val="Kazalovsebine2"/>
        <w:rPr>
          <w:rFonts w:ascii="Arial" w:eastAsiaTheme="minorEastAsia" w:hAnsi="Arial"/>
          <w:smallCaps w:val="0"/>
          <w:noProof/>
          <w:sz w:val="22"/>
          <w:szCs w:val="22"/>
          <w:lang w:eastAsia="sl-SI"/>
        </w:rPr>
      </w:pPr>
      <w:hyperlink w:anchor="_Toc113535502" w:history="1">
        <w:r w:rsidR="00EF2058" w:rsidRPr="00245386">
          <w:rPr>
            <w:rStyle w:val="Hiperpovezava"/>
            <w:rFonts w:ascii="Arial" w:hAnsi="Arial" w:cs="Arial"/>
            <w:noProof/>
          </w:rPr>
          <w:t>6.1</w:t>
        </w:r>
        <w:r w:rsidR="00EF2058" w:rsidRPr="00245386">
          <w:rPr>
            <w:rFonts w:ascii="Arial" w:eastAsiaTheme="minorEastAsia" w:hAnsi="Arial"/>
            <w:smallCaps w:val="0"/>
            <w:noProof/>
            <w:sz w:val="22"/>
            <w:szCs w:val="22"/>
            <w:lang w:eastAsia="sl-SI"/>
          </w:rPr>
          <w:tab/>
        </w:r>
        <w:r w:rsidR="00EF2058" w:rsidRPr="00245386">
          <w:rPr>
            <w:rStyle w:val="Hiperpovezava"/>
            <w:rFonts w:ascii="Arial" w:hAnsi="Arial" w:cs="Arial"/>
            <w:noProof/>
          </w:rPr>
          <w:t>VEČSTRANSKO SODELOVANJE</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_Toc113535502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51</w:t>
        </w:r>
        <w:r w:rsidR="00EF2058" w:rsidRPr="00245386">
          <w:rPr>
            <w:rFonts w:ascii="Arial" w:hAnsi="Arial"/>
            <w:noProof/>
            <w:webHidden/>
          </w:rPr>
          <w:fldChar w:fldCharType="end"/>
        </w:r>
      </w:hyperlink>
    </w:p>
    <w:p w14:paraId="03B632BC" w14:textId="23648CEC" w:rsidR="00EF2058" w:rsidRPr="00245386" w:rsidRDefault="007E3F8C">
      <w:pPr>
        <w:pStyle w:val="Kazalovsebine2"/>
        <w:rPr>
          <w:rFonts w:ascii="Arial" w:eastAsiaTheme="minorEastAsia" w:hAnsi="Arial"/>
          <w:smallCaps w:val="0"/>
          <w:noProof/>
          <w:sz w:val="22"/>
          <w:szCs w:val="22"/>
          <w:lang w:eastAsia="sl-SI"/>
        </w:rPr>
      </w:pPr>
      <w:hyperlink w:anchor="_Toc113535503" w:history="1">
        <w:r w:rsidR="00EF2058" w:rsidRPr="00245386">
          <w:rPr>
            <w:rStyle w:val="Hiperpovezava"/>
            <w:rFonts w:ascii="Arial" w:hAnsi="Arial" w:cs="Arial"/>
            <w:noProof/>
          </w:rPr>
          <w:t>6.2</w:t>
        </w:r>
        <w:r w:rsidR="00EF2058" w:rsidRPr="00245386">
          <w:rPr>
            <w:rFonts w:ascii="Arial" w:eastAsiaTheme="minorEastAsia" w:hAnsi="Arial"/>
            <w:smallCaps w:val="0"/>
            <w:noProof/>
            <w:sz w:val="22"/>
            <w:szCs w:val="22"/>
            <w:lang w:eastAsia="sl-SI"/>
          </w:rPr>
          <w:tab/>
        </w:r>
        <w:r w:rsidR="00EF2058" w:rsidRPr="00245386">
          <w:rPr>
            <w:rStyle w:val="Hiperpovezava"/>
            <w:rFonts w:ascii="Arial" w:hAnsi="Arial" w:cs="Arial"/>
            <w:noProof/>
          </w:rPr>
          <w:t>DVOSTRANSKO SODELOVANJE</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_Toc113535503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52</w:t>
        </w:r>
        <w:r w:rsidR="00EF2058" w:rsidRPr="00245386">
          <w:rPr>
            <w:rFonts w:ascii="Arial" w:hAnsi="Arial"/>
            <w:noProof/>
            <w:webHidden/>
          </w:rPr>
          <w:fldChar w:fldCharType="end"/>
        </w:r>
      </w:hyperlink>
    </w:p>
    <w:p w14:paraId="7FC4FCA8" w14:textId="18649686" w:rsidR="00EF2058" w:rsidRPr="00245386" w:rsidRDefault="007E3F8C">
      <w:pPr>
        <w:pStyle w:val="Kazalovsebine3"/>
        <w:tabs>
          <w:tab w:val="left" w:pos="1429"/>
        </w:tabs>
        <w:rPr>
          <w:rFonts w:ascii="Arial" w:eastAsiaTheme="minorEastAsia" w:hAnsi="Arial"/>
          <w:i w:val="0"/>
          <w:iCs w:val="0"/>
          <w:noProof/>
          <w:sz w:val="22"/>
          <w:szCs w:val="22"/>
          <w:lang w:eastAsia="sl-SI"/>
        </w:rPr>
      </w:pPr>
      <w:hyperlink w:anchor="_Toc113535504" w:history="1">
        <w:r w:rsidR="00EF2058" w:rsidRPr="00245386">
          <w:rPr>
            <w:rStyle w:val="Hiperpovezava"/>
            <w:rFonts w:ascii="Arial" w:hAnsi="Arial" w:cs="Arial"/>
            <w:noProof/>
          </w:rPr>
          <w:t>6.2.1</w:t>
        </w:r>
        <w:r w:rsidR="00EF2058" w:rsidRPr="00245386">
          <w:rPr>
            <w:rFonts w:ascii="Arial" w:eastAsiaTheme="minorEastAsia" w:hAnsi="Arial"/>
            <w:i w:val="0"/>
            <w:iCs w:val="0"/>
            <w:noProof/>
            <w:sz w:val="22"/>
            <w:szCs w:val="22"/>
            <w:lang w:eastAsia="sl-SI"/>
          </w:rPr>
          <w:tab/>
        </w:r>
        <w:r w:rsidR="00EF2058" w:rsidRPr="00245386">
          <w:rPr>
            <w:rStyle w:val="Hiperpovezava"/>
            <w:rFonts w:ascii="Arial" w:hAnsi="Arial" w:cs="Arial"/>
            <w:noProof/>
          </w:rPr>
          <w:t>Mednarodno sodelovanje na podlagi določil Zakona o preprečevanju pranja denarja in financiranja terorizma</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_Toc113535504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52</w:t>
        </w:r>
        <w:r w:rsidR="00EF2058" w:rsidRPr="00245386">
          <w:rPr>
            <w:rFonts w:ascii="Arial" w:hAnsi="Arial"/>
            <w:noProof/>
            <w:webHidden/>
          </w:rPr>
          <w:fldChar w:fldCharType="end"/>
        </w:r>
      </w:hyperlink>
    </w:p>
    <w:p w14:paraId="431DB93C" w14:textId="289C901C" w:rsidR="00EF2058" w:rsidRPr="00245386" w:rsidRDefault="007E3F8C">
      <w:pPr>
        <w:pStyle w:val="Kazalovsebine3"/>
        <w:tabs>
          <w:tab w:val="left" w:pos="1429"/>
        </w:tabs>
        <w:rPr>
          <w:rFonts w:ascii="Arial" w:eastAsiaTheme="minorEastAsia" w:hAnsi="Arial"/>
          <w:i w:val="0"/>
          <w:iCs w:val="0"/>
          <w:noProof/>
          <w:sz w:val="22"/>
          <w:szCs w:val="22"/>
          <w:lang w:eastAsia="sl-SI"/>
        </w:rPr>
      </w:pPr>
      <w:hyperlink w:anchor="_Toc113535505" w:history="1">
        <w:r w:rsidR="00EF2058" w:rsidRPr="00245386">
          <w:rPr>
            <w:rStyle w:val="Hiperpovezava"/>
            <w:rFonts w:ascii="Arial" w:hAnsi="Arial" w:cs="Arial"/>
            <w:noProof/>
          </w:rPr>
          <w:t>6.2.2</w:t>
        </w:r>
        <w:r w:rsidR="00EF2058" w:rsidRPr="00245386">
          <w:rPr>
            <w:rFonts w:ascii="Arial" w:eastAsiaTheme="minorEastAsia" w:hAnsi="Arial"/>
            <w:i w:val="0"/>
            <w:iCs w:val="0"/>
            <w:noProof/>
            <w:sz w:val="22"/>
            <w:szCs w:val="22"/>
            <w:lang w:eastAsia="sl-SI"/>
          </w:rPr>
          <w:tab/>
        </w:r>
        <w:r w:rsidR="00EF2058" w:rsidRPr="00245386">
          <w:rPr>
            <w:rStyle w:val="Hiperpovezava"/>
            <w:rFonts w:ascii="Arial" w:hAnsi="Arial" w:cs="Arial"/>
            <w:noProof/>
          </w:rPr>
          <w:t>Sklenjena pisma o izmenjavi podatkov</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_Toc113535505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55</w:t>
        </w:r>
        <w:r w:rsidR="00EF2058" w:rsidRPr="00245386">
          <w:rPr>
            <w:rFonts w:ascii="Arial" w:hAnsi="Arial"/>
            <w:noProof/>
            <w:webHidden/>
          </w:rPr>
          <w:fldChar w:fldCharType="end"/>
        </w:r>
      </w:hyperlink>
    </w:p>
    <w:p w14:paraId="6658048B" w14:textId="5D1F007B" w:rsidR="00EF2058" w:rsidRPr="00245386" w:rsidRDefault="007E3F8C">
      <w:pPr>
        <w:pStyle w:val="Kazalovsebine3"/>
        <w:tabs>
          <w:tab w:val="left" w:pos="1429"/>
        </w:tabs>
        <w:rPr>
          <w:rFonts w:ascii="Arial" w:eastAsiaTheme="minorEastAsia" w:hAnsi="Arial"/>
          <w:i w:val="0"/>
          <w:iCs w:val="0"/>
          <w:noProof/>
          <w:sz w:val="22"/>
          <w:szCs w:val="22"/>
          <w:lang w:eastAsia="sl-SI"/>
        </w:rPr>
      </w:pPr>
      <w:hyperlink w:anchor="_Toc113535506" w:history="1">
        <w:r w:rsidR="00EF2058" w:rsidRPr="00245386">
          <w:rPr>
            <w:rStyle w:val="Hiperpovezava"/>
            <w:rFonts w:ascii="Arial" w:hAnsi="Arial" w:cs="Arial"/>
            <w:noProof/>
          </w:rPr>
          <w:t>6.2.3</w:t>
        </w:r>
        <w:r w:rsidR="00EF2058" w:rsidRPr="00245386">
          <w:rPr>
            <w:rFonts w:ascii="Arial" w:eastAsiaTheme="minorEastAsia" w:hAnsi="Arial"/>
            <w:i w:val="0"/>
            <w:iCs w:val="0"/>
            <w:noProof/>
            <w:sz w:val="22"/>
            <w:szCs w:val="22"/>
            <w:lang w:eastAsia="sl-SI"/>
          </w:rPr>
          <w:tab/>
        </w:r>
        <w:r w:rsidR="00EF2058" w:rsidRPr="00245386">
          <w:rPr>
            <w:rStyle w:val="Hiperpovezava"/>
            <w:rFonts w:ascii="Arial" w:hAnsi="Arial" w:cs="Arial"/>
            <w:noProof/>
          </w:rPr>
          <w:t>Mednarodno sodelovanje na podlagi Konvencije Sveta Evrope št. 198</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_Toc113535506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55</w:t>
        </w:r>
        <w:r w:rsidR="00EF2058" w:rsidRPr="00245386">
          <w:rPr>
            <w:rFonts w:ascii="Arial" w:hAnsi="Arial"/>
            <w:noProof/>
            <w:webHidden/>
          </w:rPr>
          <w:fldChar w:fldCharType="end"/>
        </w:r>
      </w:hyperlink>
    </w:p>
    <w:p w14:paraId="59B328DA" w14:textId="1E1FC4D7" w:rsidR="00EF2058" w:rsidRPr="00245386" w:rsidRDefault="007E3F8C">
      <w:pPr>
        <w:pStyle w:val="Kazalovsebine1"/>
        <w:rPr>
          <w:rFonts w:eastAsiaTheme="minorEastAsia"/>
          <w:b w:val="0"/>
          <w:bCs w:val="0"/>
          <w:caps w:val="0"/>
          <w:sz w:val="22"/>
          <w:szCs w:val="22"/>
          <w:lang w:eastAsia="sl-SI"/>
        </w:rPr>
      </w:pPr>
      <w:hyperlink w:anchor="_Toc113535507" w:history="1">
        <w:r w:rsidR="00EF2058" w:rsidRPr="00245386">
          <w:rPr>
            <w:rStyle w:val="Hiperpovezava"/>
            <w:rFonts w:cs="Arial"/>
          </w:rPr>
          <w:t>7</w:t>
        </w:r>
        <w:r w:rsidR="00EF2058" w:rsidRPr="00245386">
          <w:rPr>
            <w:rFonts w:eastAsiaTheme="minorEastAsia"/>
            <w:b w:val="0"/>
            <w:bCs w:val="0"/>
            <w:caps w:val="0"/>
            <w:sz w:val="22"/>
            <w:szCs w:val="22"/>
            <w:lang w:eastAsia="sl-SI"/>
          </w:rPr>
          <w:tab/>
        </w:r>
        <w:r w:rsidR="00EF2058" w:rsidRPr="00245386">
          <w:rPr>
            <w:rStyle w:val="Hiperpovezava"/>
            <w:rFonts w:cs="Arial"/>
          </w:rPr>
          <w:t>DELO NA PODROČJU LOGISTIKE IN INFORMATIKE</w:t>
        </w:r>
        <w:r w:rsidR="00EF2058" w:rsidRPr="00245386">
          <w:rPr>
            <w:webHidden/>
          </w:rPr>
          <w:tab/>
        </w:r>
        <w:r w:rsidR="00EF2058" w:rsidRPr="00245386">
          <w:rPr>
            <w:webHidden/>
          </w:rPr>
          <w:fldChar w:fldCharType="begin"/>
        </w:r>
        <w:r w:rsidR="00EF2058" w:rsidRPr="00245386">
          <w:rPr>
            <w:webHidden/>
          </w:rPr>
          <w:instrText xml:space="preserve"> PAGEREF _Toc113535507 \h </w:instrText>
        </w:r>
        <w:r w:rsidR="00EF2058" w:rsidRPr="00245386">
          <w:rPr>
            <w:webHidden/>
          </w:rPr>
        </w:r>
        <w:r w:rsidR="00EF2058" w:rsidRPr="00245386">
          <w:rPr>
            <w:webHidden/>
          </w:rPr>
          <w:fldChar w:fldCharType="separate"/>
        </w:r>
        <w:r w:rsidR="00FA752D">
          <w:rPr>
            <w:webHidden/>
          </w:rPr>
          <w:t>56</w:t>
        </w:r>
        <w:r w:rsidR="00EF2058" w:rsidRPr="00245386">
          <w:rPr>
            <w:webHidden/>
          </w:rPr>
          <w:fldChar w:fldCharType="end"/>
        </w:r>
      </w:hyperlink>
    </w:p>
    <w:p w14:paraId="493323AA" w14:textId="7EE3E74D" w:rsidR="00EF2058" w:rsidRPr="00245386" w:rsidRDefault="007E3F8C">
      <w:pPr>
        <w:pStyle w:val="Kazalovsebine2"/>
        <w:rPr>
          <w:rFonts w:ascii="Arial" w:eastAsiaTheme="minorEastAsia" w:hAnsi="Arial"/>
          <w:smallCaps w:val="0"/>
          <w:noProof/>
          <w:sz w:val="22"/>
          <w:szCs w:val="22"/>
          <w:lang w:eastAsia="sl-SI"/>
        </w:rPr>
      </w:pPr>
      <w:hyperlink w:anchor="_Toc113535508" w:history="1">
        <w:r w:rsidR="00EF2058" w:rsidRPr="00245386">
          <w:rPr>
            <w:rStyle w:val="Hiperpovezava"/>
            <w:rFonts w:ascii="Arial" w:hAnsi="Arial" w:cs="Arial"/>
            <w:noProof/>
          </w:rPr>
          <w:t>7.1</w:t>
        </w:r>
        <w:r w:rsidR="00EF2058" w:rsidRPr="00245386">
          <w:rPr>
            <w:rFonts w:ascii="Arial" w:eastAsiaTheme="minorEastAsia" w:hAnsi="Arial"/>
            <w:smallCaps w:val="0"/>
            <w:noProof/>
            <w:sz w:val="22"/>
            <w:szCs w:val="22"/>
            <w:lang w:eastAsia="sl-SI"/>
          </w:rPr>
          <w:tab/>
        </w:r>
        <w:r w:rsidR="00EF2058" w:rsidRPr="00245386">
          <w:rPr>
            <w:rStyle w:val="Hiperpovezava"/>
            <w:rFonts w:ascii="Arial" w:hAnsi="Arial" w:cs="Arial"/>
            <w:noProof/>
          </w:rPr>
          <w:t>ORGANIZACIJSKO-KADROVSKE ZADEVE</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_Toc113535508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56</w:t>
        </w:r>
        <w:r w:rsidR="00EF2058" w:rsidRPr="00245386">
          <w:rPr>
            <w:rFonts w:ascii="Arial" w:hAnsi="Arial"/>
            <w:noProof/>
            <w:webHidden/>
          </w:rPr>
          <w:fldChar w:fldCharType="end"/>
        </w:r>
      </w:hyperlink>
    </w:p>
    <w:p w14:paraId="49EBFCE2" w14:textId="53E96607" w:rsidR="00EF2058" w:rsidRPr="00245386" w:rsidRDefault="007E3F8C">
      <w:pPr>
        <w:pStyle w:val="Kazalovsebine3"/>
        <w:tabs>
          <w:tab w:val="left" w:pos="1429"/>
        </w:tabs>
        <w:rPr>
          <w:rFonts w:ascii="Arial" w:eastAsiaTheme="minorEastAsia" w:hAnsi="Arial"/>
          <w:i w:val="0"/>
          <w:iCs w:val="0"/>
          <w:noProof/>
          <w:sz w:val="22"/>
          <w:szCs w:val="22"/>
          <w:lang w:eastAsia="sl-SI"/>
        </w:rPr>
      </w:pPr>
      <w:hyperlink w:anchor="_Toc113535509" w:history="1">
        <w:r w:rsidR="00EF2058" w:rsidRPr="00245386">
          <w:rPr>
            <w:rStyle w:val="Hiperpovezava"/>
            <w:rFonts w:ascii="Arial" w:hAnsi="Arial" w:cs="Arial"/>
            <w:noProof/>
          </w:rPr>
          <w:t>7.1.1</w:t>
        </w:r>
        <w:r w:rsidR="00EF2058" w:rsidRPr="00245386">
          <w:rPr>
            <w:rFonts w:ascii="Arial" w:eastAsiaTheme="minorEastAsia" w:hAnsi="Arial"/>
            <w:i w:val="0"/>
            <w:iCs w:val="0"/>
            <w:noProof/>
            <w:sz w:val="22"/>
            <w:szCs w:val="22"/>
            <w:lang w:eastAsia="sl-SI"/>
          </w:rPr>
          <w:tab/>
        </w:r>
        <w:r w:rsidR="00EF2058" w:rsidRPr="00245386">
          <w:rPr>
            <w:rStyle w:val="Hiperpovezava"/>
            <w:rFonts w:ascii="Arial" w:hAnsi="Arial" w:cs="Arial"/>
            <w:noProof/>
          </w:rPr>
          <w:t>Gibanje in struktura kadrov</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_Toc113535509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56</w:t>
        </w:r>
        <w:r w:rsidR="00EF2058" w:rsidRPr="00245386">
          <w:rPr>
            <w:rFonts w:ascii="Arial" w:hAnsi="Arial"/>
            <w:noProof/>
            <w:webHidden/>
          </w:rPr>
          <w:fldChar w:fldCharType="end"/>
        </w:r>
      </w:hyperlink>
    </w:p>
    <w:p w14:paraId="7D5158EB" w14:textId="4B094EB7" w:rsidR="00EF2058" w:rsidRPr="00245386" w:rsidRDefault="007E3F8C">
      <w:pPr>
        <w:pStyle w:val="Kazalovsebine2"/>
        <w:rPr>
          <w:rFonts w:ascii="Arial" w:eastAsiaTheme="minorEastAsia" w:hAnsi="Arial"/>
          <w:smallCaps w:val="0"/>
          <w:noProof/>
          <w:sz w:val="22"/>
          <w:szCs w:val="22"/>
          <w:lang w:eastAsia="sl-SI"/>
        </w:rPr>
      </w:pPr>
      <w:hyperlink w:anchor="_Toc113535510" w:history="1">
        <w:r w:rsidR="00EF2058" w:rsidRPr="00245386">
          <w:rPr>
            <w:rStyle w:val="Hiperpovezava"/>
            <w:rFonts w:ascii="Arial" w:hAnsi="Arial" w:cs="Arial"/>
            <w:noProof/>
          </w:rPr>
          <w:t>7.2</w:t>
        </w:r>
        <w:r w:rsidR="00EF2058" w:rsidRPr="00245386">
          <w:rPr>
            <w:rFonts w:ascii="Arial" w:eastAsiaTheme="minorEastAsia" w:hAnsi="Arial"/>
            <w:smallCaps w:val="0"/>
            <w:noProof/>
            <w:sz w:val="22"/>
            <w:szCs w:val="22"/>
            <w:lang w:eastAsia="sl-SI"/>
          </w:rPr>
          <w:tab/>
        </w:r>
        <w:r w:rsidR="00EF2058" w:rsidRPr="00245386">
          <w:rPr>
            <w:rStyle w:val="Hiperpovezava"/>
            <w:rFonts w:ascii="Arial" w:hAnsi="Arial" w:cs="Arial"/>
            <w:noProof/>
          </w:rPr>
          <w:t>FINANČNO-MATERIALNO POSLOVANJE</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_Toc113535510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57</w:t>
        </w:r>
        <w:r w:rsidR="00EF2058" w:rsidRPr="00245386">
          <w:rPr>
            <w:rFonts w:ascii="Arial" w:hAnsi="Arial"/>
            <w:noProof/>
            <w:webHidden/>
          </w:rPr>
          <w:fldChar w:fldCharType="end"/>
        </w:r>
      </w:hyperlink>
    </w:p>
    <w:p w14:paraId="34CD2203" w14:textId="6D08B2B6" w:rsidR="00EF2058" w:rsidRPr="00245386" w:rsidRDefault="007E3F8C">
      <w:pPr>
        <w:pStyle w:val="Kazalovsebine2"/>
        <w:rPr>
          <w:rFonts w:ascii="Arial" w:eastAsiaTheme="minorEastAsia" w:hAnsi="Arial"/>
          <w:smallCaps w:val="0"/>
          <w:noProof/>
          <w:sz w:val="22"/>
          <w:szCs w:val="22"/>
          <w:lang w:eastAsia="sl-SI"/>
        </w:rPr>
      </w:pPr>
      <w:hyperlink w:anchor="_Toc113535511" w:history="1">
        <w:r w:rsidR="00EF2058" w:rsidRPr="00245386">
          <w:rPr>
            <w:rStyle w:val="Hiperpovezava"/>
            <w:rFonts w:ascii="Arial" w:hAnsi="Arial" w:cs="Arial"/>
            <w:noProof/>
          </w:rPr>
          <w:t>7.3</w:t>
        </w:r>
        <w:r w:rsidR="00EF2058" w:rsidRPr="00245386">
          <w:rPr>
            <w:rFonts w:ascii="Arial" w:eastAsiaTheme="minorEastAsia" w:hAnsi="Arial"/>
            <w:smallCaps w:val="0"/>
            <w:noProof/>
            <w:sz w:val="22"/>
            <w:szCs w:val="22"/>
            <w:lang w:eastAsia="sl-SI"/>
          </w:rPr>
          <w:tab/>
        </w:r>
        <w:r w:rsidR="00EF2058" w:rsidRPr="00245386">
          <w:rPr>
            <w:rStyle w:val="Hiperpovezava"/>
            <w:rFonts w:ascii="Arial" w:hAnsi="Arial" w:cs="Arial"/>
            <w:noProof/>
          </w:rPr>
          <w:t>INFORMATIKA</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_Toc113535511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57</w:t>
        </w:r>
        <w:r w:rsidR="00EF2058" w:rsidRPr="00245386">
          <w:rPr>
            <w:rFonts w:ascii="Arial" w:hAnsi="Arial"/>
            <w:noProof/>
            <w:webHidden/>
          </w:rPr>
          <w:fldChar w:fldCharType="end"/>
        </w:r>
      </w:hyperlink>
    </w:p>
    <w:p w14:paraId="3C9EA3A2" w14:textId="448817B6" w:rsidR="00EF2058" w:rsidRPr="00245386" w:rsidRDefault="007E3F8C">
      <w:pPr>
        <w:pStyle w:val="Kazalovsebine3"/>
        <w:rPr>
          <w:rFonts w:ascii="Arial" w:eastAsiaTheme="minorEastAsia" w:hAnsi="Arial"/>
          <w:i w:val="0"/>
          <w:iCs w:val="0"/>
          <w:noProof/>
          <w:sz w:val="22"/>
          <w:szCs w:val="22"/>
          <w:lang w:eastAsia="sl-SI"/>
        </w:rPr>
      </w:pPr>
      <w:hyperlink w:anchor="_Toc113535512" w:history="1">
        <w:r w:rsidR="00EF2058" w:rsidRPr="00245386">
          <w:rPr>
            <w:rStyle w:val="Hiperpovezava"/>
            <w:rFonts w:ascii="Arial" w:hAnsi="Arial" w:cs="Arial"/>
            <w:noProof/>
          </w:rPr>
          <w:t>7.3.1 Priprava podlage za vzdrževanje IT-sistemov</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_Toc113535512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57</w:t>
        </w:r>
        <w:r w:rsidR="00EF2058" w:rsidRPr="00245386">
          <w:rPr>
            <w:rFonts w:ascii="Arial" w:hAnsi="Arial"/>
            <w:noProof/>
            <w:webHidden/>
          </w:rPr>
          <w:fldChar w:fldCharType="end"/>
        </w:r>
      </w:hyperlink>
    </w:p>
    <w:p w14:paraId="2CF84FD3" w14:textId="5E1A12D7" w:rsidR="00EF2058" w:rsidRPr="00245386" w:rsidRDefault="007E3F8C">
      <w:pPr>
        <w:pStyle w:val="Kazalovsebine3"/>
        <w:rPr>
          <w:rFonts w:ascii="Arial" w:eastAsiaTheme="minorEastAsia" w:hAnsi="Arial"/>
          <w:i w:val="0"/>
          <w:iCs w:val="0"/>
          <w:noProof/>
          <w:sz w:val="22"/>
          <w:szCs w:val="22"/>
          <w:lang w:eastAsia="sl-SI"/>
        </w:rPr>
      </w:pPr>
      <w:hyperlink w:anchor="_Toc113535513" w:history="1">
        <w:r w:rsidR="00EF2058" w:rsidRPr="00245386">
          <w:rPr>
            <w:rStyle w:val="Hiperpovezava"/>
            <w:rFonts w:ascii="Arial" w:hAnsi="Arial" w:cs="Arial"/>
            <w:noProof/>
          </w:rPr>
          <w:t>7.3.2 Izvajanje sporazuma (SLA) z Ministrstvom za javno upravo in priprava na selitev uporabnikov v državni računalniški oblak (DRO)</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_Toc113535513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57</w:t>
        </w:r>
        <w:r w:rsidR="00EF2058" w:rsidRPr="00245386">
          <w:rPr>
            <w:rFonts w:ascii="Arial" w:hAnsi="Arial"/>
            <w:noProof/>
            <w:webHidden/>
          </w:rPr>
          <w:fldChar w:fldCharType="end"/>
        </w:r>
      </w:hyperlink>
    </w:p>
    <w:p w14:paraId="4D1B208D" w14:textId="3EFA34FF" w:rsidR="00EF2058" w:rsidRPr="00245386" w:rsidRDefault="007E3F8C">
      <w:pPr>
        <w:pStyle w:val="Kazalovsebine3"/>
        <w:rPr>
          <w:rFonts w:ascii="Arial" w:eastAsiaTheme="minorEastAsia" w:hAnsi="Arial"/>
          <w:i w:val="0"/>
          <w:iCs w:val="0"/>
          <w:noProof/>
          <w:sz w:val="22"/>
          <w:szCs w:val="22"/>
          <w:lang w:eastAsia="sl-SI"/>
        </w:rPr>
      </w:pPr>
      <w:hyperlink w:anchor="_Toc113535514" w:history="1">
        <w:r w:rsidR="00EF2058" w:rsidRPr="00245386">
          <w:rPr>
            <w:rStyle w:val="Hiperpovezava"/>
            <w:rFonts w:ascii="Arial" w:hAnsi="Arial" w:cs="Arial"/>
            <w:noProof/>
          </w:rPr>
          <w:t>7.3.3 Vzdrževanje podatkovne baze in evidenčnega sistema urada</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_Toc113535514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57</w:t>
        </w:r>
        <w:r w:rsidR="00EF2058" w:rsidRPr="00245386">
          <w:rPr>
            <w:rFonts w:ascii="Arial" w:hAnsi="Arial"/>
            <w:noProof/>
            <w:webHidden/>
          </w:rPr>
          <w:fldChar w:fldCharType="end"/>
        </w:r>
      </w:hyperlink>
    </w:p>
    <w:p w14:paraId="24BCA554" w14:textId="04C3A1F3" w:rsidR="00EF2058" w:rsidRPr="00245386" w:rsidRDefault="007E3F8C">
      <w:pPr>
        <w:pStyle w:val="Kazalovsebine3"/>
        <w:tabs>
          <w:tab w:val="left" w:pos="1429"/>
        </w:tabs>
        <w:rPr>
          <w:rFonts w:ascii="Arial" w:eastAsiaTheme="minorEastAsia" w:hAnsi="Arial"/>
          <w:i w:val="0"/>
          <w:iCs w:val="0"/>
          <w:noProof/>
          <w:sz w:val="22"/>
          <w:szCs w:val="22"/>
          <w:lang w:eastAsia="sl-SI"/>
        </w:rPr>
      </w:pPr>
      <w:hyperlink w:anchor="_Toc113535515" w:history="1">
        <w:r w:rsidR="00EF2058" w:rsidRPr="00245386">
          <w:rPr>
            <w:rStyle w:val="Hiperpovezava"/>
            <w:rFonts w:ascii="Arial" w:hAnsi="Arial" w:cs="Arial"/>
            <w:noProof/>
          </w:rPr>
          <w:t>7.3.4</w:t>
        </w:r>
        <w:r w:rsidR="00EF2058" w:rsidRPr="00245386">
          <w:rPr>
            <w:rFonts w:ascii="Arial" w:eastAsiaTheme="minorEastAsia" w:hAnsi="Arial"/>
            <w:i w:val="0"/>
            <w:iCs w:val="0"/>
            <w:noProof/>
            <w:sz w:val="22"/>
            <w:szCs w:val="22"/>
            <w:lang w:eastAsia="sl-SI"/>
          </w:rPr>
          <w:tab/>
        </w:r>
        <w:r w:rsidR="00EF2058" w:rsidRPr="00245386">
          <w:rPr>
            <w:rStyle w:val="Hiperpovezava"/>
            <w:rFonts w:ascii="Arial" w:hAnsi="Arial" w:cs="Arial"/>
            <w:noProof/>
          </w:rPr>
          <w:t>Zbiranje, hranjenje in objava podatkov o transakcijah, ki jih sporočajo zavezanci na podlagi drugega odstavka 68. člena ZPPDFT-1</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_Toc113535515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57</w:t>
        </w:r>
        <w:r w:rsidR="00EF2058" w:rsidRPr="00245386">
          <w:rPr>
            <w:rFonts w:ascii="Arial" w:hAnsi="Arial"/>
            <w:noProof/>
            <w:webHidden/>
          </w:rPr>
          <w:fldChar w:fldCharType="end"/>
        </w:r>
      </w:hyperlink>
    </w:p>
    <w:p w14:paraId="741F54C4" w14:textId="0FEB399E" w:rsidR="00EF2058" w:rsidRPr="00245386" w:rsidRDefault="007E3F8C">
      <w:pPr>
        <w:pStyle w:val="Kazalovsebine3"/>
        <w:tabs>
          <w:tab w:val="left" w:pos="1429"/>
        </w:tabs>
        <w:rPr>
          <w:rFonts w:ascii="Arial" w:eastAsiaTheme="minorEastAsia" w:hAnsi="Arial"/>
          <w:i w:val="0"/>
          <w:iCs w:val="0"/>
          <w:noProof/>
          <w:sz w:val="22"/>
          <w:szCs w:val="22"/>
          <w:lang w:eastAsia="sl-SI"/>
        </w:rPr>
      </w:pPr>
      <w:hyperlink w:anchor="_Toc113535516" w:history="1">
        <w:r w:rsidR="00EF2058" w:rsidRPr="00245386">
          <w:rPr>
            <w:rStyle w:val="Hiperpovezava"/>
            <w:rFonts w:ascii="Arial" w:hAnsi="Arial" w:cs="Arial"/>
            <w:noProof/>
          </w:rPr>
          <w:t>7.3.5</w:t>
        </w:r>
        <w:r w:rsidR="00EF2058" w:rsidRPr="00245386">
          <w:rPr>
            <w:rFonts w:ascii="Arial" w:eastAsiaTheme="minorEastAsia" w:hAnsi="Arial"/>
            <w:i w:val="0"/>
            <w:iCs w:val="0"/>
            <w:noProof/>
            <w:sz w:val="22"/>
            <w:szCs w:val="22"/>
            <w:lang w:eastAsia="sl-SI"/>
          </w:rPr>
          <w:tab/>
        </w:r>
        <w:r w:rsidR="00EF2058" w:rsidRPr="00245386">
          <w:rPr>
            <w:rStyle w:val="Hiperpovezava"/>
            <w:rFonts w:ascii="Arial" w:hAnsi="Arial" w:cs="Arial"/>
            <w:noProof/>
          </w:rPr>
          <w:t>Priprava statističnih podatkov in analiza gotovinskih transakcij za letno poročilo</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_Toc113535516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58</w:t>
        </w:r>
        <w:r w:rsidR="00EF2058" w:rsidRPr="00245386">
          <w:rPr>
            <w:rFonts w:ascii="Arial" w:hAnsi="Arial"/>
            <w:noProof/>
            <w:webHidden/>
          </w:rPr>
          <w:fldChar w:fldCharType="end"/>
        </w:r>
      </w:hyperlink>
    </w:p>
    <w:p w14:paraId="7103C774" w14:textId="0E4A39F6" w:rsidR="00EF2058" w:rsidRPr="00245386" w:rsidRDefault="007E3F8C">
      <w:pPr>
        <w:pStyle w:val="Kazalovsebine3"/>
        <w:tabs>
          <w:tab w:val="left" w:pos="1429"/>
        </w:tabs>
        <w:rPr>
          <w:rFonts w:ascii="Arial" w:eastAsiaTheme="minorEastAsia" w:hAnsi="Arial"/>
          <w:i w:val="0"/>
          <w:iCs w:val="0"/>
          <w:noProof/>
          <w:sz w:val="22"/>
          <w:szCs w:val="22"/>
          <w:lang w:eastAsia="sl-SI"/>
        </w:rPr>
      </w:pPr>
      <w:hyperlink w:anchor="_Toc113535517" w:history="1">
        <w:r w:rsidR="00EF2058" w:rsidRPr="00245386">
          <w:rPr>
            <w:rStyle w:val="Hiperpovezava"/>
            <w:rFonts w:ascii="Arial" w:hAnsi="Arial" w:cs="Arial"/>
            <w:noProof/>
          </w:rPr>
          <w:t>7.3.6</w:t>
        </w:r>
        <w:r w:rsidR="00EF2058" w:rsidRPr="00245386">
          <w:rPr>
            <w:rFonts w:ascii="Arial" w:eastAsiaTheme="minorEastAsia" w:hAnsi="Arial"/>
            <w:i w:val="0"/>
            <w:iCs w:val="0"/>
            <w:noProof/>
            <w:sz w:val="22"/>
            <w:szCs w:val="22"/>
            <w:lang w:eastAsia="sl-SI"/>
          </w:rPr>
          <w:tab/>
        </w:r>
        <w:r w:rsidR="00EF2058" w:rsidRPr="00245386">
          <w:rPr>
            <w:rStyle w:val="Hiperpovezava"/>
            <w:rFonts w:ascii="Arial" w:hAnsi="Arial" w:cs="Arial"/>
            <w:noProof/>
          </w:rPr>
          <w:t>Administriranje in vzdrževanje notranjih strežnikov urada</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_Toc113535517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58</w:t>
        </w:r>
        <w:r w:rsidR="00EF2058" w:rsidRPr="00245386">
          <w:rPr>
            <w:rFonts w:ascii="Arial" w:hAnsi="Arial"/>
            <w:noProof/>
            <w:webHidden/>
          </w:rPr>
          <w:fldChar w:fldCharType="end"/>
        </w:r>
      </w:hyperlink>
    </w:p>
    <w:p w14:paraId="3907AED8" w14:textId="666B18CA" w:rsidR="00EF2058" w:rsidRPr="00245386" w:rsidRDefault="007E3F8C">
      <w:pPr>
        <w:pStyle w:val="Kazalovsebine3"/>
        <w:tabs>
          <w:tab w:val="left" w:pos="1429"/>
        </w:tabs>
        <w:rPr>
          <w:rFonts w:ascii="Arial" w:eastAsiaTheme="minorEastAsia" w:hAnsi="Arial"/>
          <w:i w:val="0"/>
          <w:iCs w:val="0"/>
          <w:noProof/>
          <w:sz w:val="22"/>
          <w:szCs w:val="22"/>
          <w:lang w:eastAsia="sl-SI"/>
        </w:rPr>
      </w:pPr>
      <w:hyperlink w:anchor="_Toc113535518" w:history="1">
        <w:r w:rsidR="00EF2058" w:rsidRPr="00245386">
          <w:rPr>
            <w:rStyle w:val="Hiperpovezava"/>
            <w:rFonts w:ascii="Arial" w:hAnsi="Arial" w:cs="Arial"/>
            <w:noProof/>
          </w:rPr>
          <w:t>7.3.7</w:t>
        </w:r>
        <w:r w:rsidR="00EF2058" w:rsidRPr="00245386">
          <w:rPr>
            <w:rFonts w:ascii="Arial" w:eastAsiaTheme="minorEastAsia" w:hAnsi="Arial"/>
            <w:i w:val="0"/>
            <w:iCs w:val="0"/>
            <w:noProof/>
            <w:sz w:val="22"/>
            <w:szCs w:val="22"/>
            <w:lang w:eastAsia="sl-SI"/>
          </w:rPr>
          <w:tab/>
        </w:r>
        <w:r w:rsidR="00EF2058" w:rsidRPr="00245386">
          <w:rPr>
            <w:rStyle w:val="Hiperpovezava"/>
            <w:rFonts w:ascii="Arial" w:hAnsi="Arial" w:cs="Arial"/>
            <w:noProof/>
          </w:rPr>
          <w:t>Arhiviranje prejetih zaupnih podatkov</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_Toc113535518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58</w:t>
        </w:r>
        <w:r w:rsidR="00EF2058" w:rsidRPr="00245386">
          <w:rPr>
            <w:rFonts w:ascii="Arial" w:hAnsi="Arial"/>
            <w:noProof/>
            <w:webHidden/>
          </w:rPr>
          <w:fldChar w:fldCharType="end"/>
        </w:r>
      </w:hyperlink>
    </w:p>
    <w:p w14:paraId="76CB5820" w14:textId="45DF1815" w:rsidR="00EF2058" w:rsidRPr="00245386" w:rsidRDefault="007E3F8C">
      <w:pPr>
        <w:pStyle w:val="Kazalovsebine3"/>
        <w:tabs>
          <w:tab w:val="left" w:pos="1429"/>
        </w:tabs>
        <w:rPr>
          <w:rFonts w:ascii="Arial" w:eastAsiaTheme="minorEastAsia" w:hAnsi="Arial"/>
          <w:i w:val="0"/>
          <w:iCs w:val="0"/>
          <w:noProof/>
          <w:sz w:val="22"/>
          <w:szCs w:val="22"/>
          <w:lang w:eastAsia="sl-SI"/>
        </w:rPr>
      </w:pPr>
      <w:hyperlink w:anchor="_Toc113535519" w:history="1">
        <w:r w:rsidR="00EF2058" w:rsidRPr="00245386">
          <w:rPr>
            <w:rStyle w:val="Hiperpovezava"/>
            <w:rFonts w:ascii="Arial" w:hAnsi="Arial" w:cs="Arial"/>
            <w:noProof/>
          </w:rPr>
          <w:t>7.3.8</w:t>
        </w:r>
        <w:r w:rsidR="00EF2058" w:rsidRPr="00245386">
          <w:rPr>
            <w:rFonts w:ascii="Arial" w:eastAsiaTheme="minorEastAsia" w:hAnsi="Arial"/>
            <w:i w:val="0"/>
            <w:iCs w:val="0"/>
            <w:noProof/>
            <w:sz w:val="22"/>
            <w:szCs w:val="22"/>
            <w:lang w:eastAsia="sl-SI"/>
          </w:rPr>
          <w:tab/>
        </w:r>
        <w:r w:rsidR="00EF2058" w:rsidRPr="00245386">
          <w:rPr>
            <w:rStyle w:val="Hiperpovezava"/>
            <w:rFonts w:ascii="Arial" w:hAnsi="Arial" w:cs="Arial"/>
            <w:noProof/>
          </w:rPr>
          <w:t>Podatki o sporočenih gotovinskih transakcijah</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_Toc113535519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58</w:t>
        </w:r>
        <w:r w:rsidR="00EF2058" w:rsidRPr="00245386">
          <w:rPr>
            <w:rFonts w:ascii="Arial" w:hAnsi="Arial"/>
            <w:noProof/>
            <w:webHidden/>
          </w:rPr>
          <w:fldChar w:fldCharType="end"/>
        </w:r>
      </w:hyperlink>
    </w:p>
    <w:p w14:paraId="7200C4A6" w14:textId="489EC8C8" w:rsidR="00EF2058" w:rsidRPr="00245386" w:rsidRDefault="007E3F8C">
      <w:pPr>
        <w:pStyle w:val="Kazalovsebine3"/>
        <w:tabs>
          <w:tab w:val="left" w:pos="1429"/>
        </w:tabs>
        <w:rPr>
          <w:rFonts w:ascii="Arial" w:eastAsiaTheme="minorEastAsia" w:hAnsi="Arial"/>
          <w:i w:val="0"/>
          <w:iCs w:val="0"/>
          <w:noProof/>
          <w:sz w:val="22"/>
          <w:szCs w:val="22"/>
          <w:lang w:eastAsia="sl-SI"/>
        </w:rPr>
      </w:pPr>
      <w:hyperlink w:anchor="_Toc113535520" w:history="1">
        <w:r w:rsidR="00EF2058" w:rsidRPr="00245386">
          <w:rPr>
            <w:rStyle w:val="Hiperpovezava"/>
            <w:rFonts w:ascii="Arial" w:hAnsi="Arial" w:cs="Arial"/>
            <w:noProof/>
          </w:rPr>
          <w:t>7.3.9</w:t>
        </w:r>
        <w:r w:rsidR="00EF2058" w:rsidRPr="00245386">
          <w:rPr>
            <w:rFonts w:ascii="Arial" w:eastAsiaTheme="minorEastAsia" w:hAnsi="Arial"/>
            <w:i w:val="0"/>
            <w:iCs w:val="0"/>
            <w:noProof/>
            <w:sz w:val="22"/>
            <w:szCs w:val="22"/>
            <w:lang w:eastAsia="sl-SI"/>
          </w:rPr>
          <w:tab/>
        </w:r>
        <w:r w:rsidR="00EF2058" w:rsidRPr="00245386">
          <w:rPr>
            <w:rStyle w:val="Hiperpovezava"/>
            <w:rFonts w:ascii="Arial" w:hAnsi="Arial" w:cs="Arial"/>
            <w:noProof/>
          </w:rPr>
          <w:t>Vključevanje novih sodelavcev v delovni proces urada</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_Toc113535520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58</w:t>
        </w:r>
        <w:r w:rsidR="00EF2058" w:rsidRPr="00245386">
          <w:rPr>
            <w:rFonts w:ascii="Arial" w:hAnsi="Arial"/>
            <w:noProof/>
            <w:webHidden/>
          </w:rPr>
          <w:fldChar w:fldCharType="end"/>
        </w:r>
      </w:hyperlink>
    </w:p>
    <w:p w14:paraId="22850C6B" w14:textId="4D945022" w:rsidR="00EF2058" w:rsidRPr="00245386" w:rsidRDefault="007E3F8C">
      <w:pPr>
        <w:pStyle w:val="Kazalovsebine3"/>
        <w:tabs>
          <w:tab w:val="left" w:pos="1684"/>
        </w:tabs>
        <w:rPr>
          <w:rFonts w:ascii="Arial" w:eastAsiaTheme="minorEastAsia" w:hAnsi="Arial"/>
          <w:i w:val="0"/>
          <w:iCs w:val="0"/>
          <w:noProof/>
          <w:sz w:val="22"/>
          <w:szCs w:val="22"/>
          <w:lang w:eastAsia="sl-SI"/>
        </w:rPr>
      </w:pPr>
      <w:hyperlink w:anchor="_Toc113535521" w:history="1">
        <w:r w:rsidR="00EF2058" w:rsidRPr="00245386">
          <w:rPr>
            <w:rStyle w:val="Hiperpovezava"/>
            <w:rFonts w:ascii="Arial" w:hAnsi="Arial" w:cs="Arial"/>
            <w:noProof/>
          </w:rPr>
          <w:t>7.3.10</w:t>
        </w:r>
        <w:r w:rsidR="00EF2058" w:rsidRPr="00245386">
          <w:rPr>
            <w:rFonts w:ascii="Arial" w:eastAsiaTheme="minorEastAsia" w:hAnsi="Arial"/>
            <w:i w:val="0"/>
            <w:iCs w:val="0"/>
            <w:noProof/>
            <w:sz w:val="22"/>
            <w:szCs w:val="22"/>
            <w:lang w:eastAsia="sl-SI"/>
          </w:rPr>
          <w:tab/>
        </w:r>
        <w:r w:rsidR="00EF2058" w:rsidRPr="00245386">
          <w:rPr>
            <w:rStyle w:val="Hiperpovezava"/>
            <w:rFonts w:ascii="Arial" w:hAnsi="Arial" w:cs="Arial"/>
            <w:noProof/>
          </w:rPr>
          <w:t>Aktivnosti izobraževanja uporabnikov</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_Toc113535521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58</w:t>
        </w:r>
        <w:r w:rsidR="00EF2058" w:rsidRPr="00245386">
          <w:rPr>
            <w:rFonts w:ascii="Arial" w:hAnsi="Arial"/>
            <w:noProof/>
            <w:webHidden/>
          </w:rPr>
          <w:fldChar w:fldCharType="end"/>
        </w:r>
      </w:hyperlink>
    </w:p>
    <w:p w14:paraId="653A1EF0" w14:textId="3307E379" w:rsidR="00EF2058" w:rsidRPr="00245386" w:rsidRDefault="007E3F8C">
      <w:pPr>
        <w:pStyle w:val="Kazalovsebine3"/>
        <w:tabs>
          <w:tab w:val="left" w:pos="1684"/>
        </w:tabs>
        <w:rPr>
          <w:rFonts w:ascii="Arial" w:eastAsiaTheme="minorEastAsia" w:hAnsi="Arial"/>
          <w:i w:val="0"/>
          <w:iCs w:val="0"/>
          <w:noProof/>
          <w:sz w:val="22"/>
          <w:szCs w:val="22"/>
          <w:lang w:eastAsia="sl-SI"/>
        </w:rPr>
      </w:pPr>
      <w:hyperlink w:anchor="_Toc113535522" w:history="1">
        <w:r w:rsidR="00EF2058" w:rsidRPr="00245386">
          <w:rPr>
            <w:rStyle w:val="Hiperpovezava"/>
            <w:rFonts w:ascii="Arial" w:hAnsi="Arial" w:cs="Arial"/>
            <w:noProof/>
          </w:rPr>
          <w:t>7.3.11</w:t>
        </w:r>
        <w:r w:rsidR="00EF2058" w:rsidRPr="00245386">
          <w:rPr>
            <w:rFonts w:ascii="Arial" w:eastAsiaTheme="minorEastAsia" w:hAnsi="Arial"/>
            <w:i w:val="0"/>
            <w:iCs w:val="0"/>
            <w:noProof/>
            <w:sz w:val="22"/>
            <w:szCs w:val="22"/>
            <w:lang w:eastAsia="sl-SI"/>
          </w:rPr>
          <w:tab/>
        </w:r>
        <w:r w:rsidR="00EF2058" w:rsidRPr="00245386">
          <w:rPr>
            <w:rStyle w:val="Hiperpovezava"/>
            <w:rFonts w:ascii="Arial" w:hAnsi="Arial" w:cs="Arial"/>
            <w:noProof/>
          </w:rPr>
          <w:t>Aktivnosti za zagotovitev nemotenega delovanja IT-tehnologije med epidemijo covida-19</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_Toc113535522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58</w:t>
        </w:r>
        <w:r w:rsidR="00EF2058" w:rsidRPr="00245386">
          <w:rPr>
            <w:rFonts w:ascii="Arial" w:hAnsi="Arial"/>
            <w:noProof/>
            <w:webHidden/>
          </w:rPr>
          <w:fldChar w:fldCharType="end"/>
        </w:r>
      </w:hyperlink>
    </w:p>
    <w:p w14:paraId="01C1D4A1" w14:textId="4F658E8E" w:rsidR="00EF2058" w:rsidRPr="00245386" w:rsidRDefault="007E3F8C">
      <w:pPr>
        <w:pStyle w:val="Kazalovsebine1"/>
        <w:rPr>
          <w:rFonts w:eastAsiaTheme="minorEastAsia"/>
          <w:b w:val="0"/>
          <w:bCs w:val="0"/>
          <w:caps w:val="0"/>
          <w:sz w:val="22"/>
          <w:szCs w:val="22"/>
          <w:lang w:eastAsia="sl-SI"/>
        </w:rPr>
      </w:pPr>
      <w:hyperlink w:anchor="_Toc113535523" w:history="1">
        <w:r w:rsidR="00EF2058" w:rsidRPr="00245386">
          <w:rPr>
            <w:rStyle w:val="Hiperpovezava"/>
            <w:rFonts w:cs="Arial"/>
          </w:rPr>
          <w:t>8</w:t>
        </w:r>
        <w:r w:rsidR="00EF2058" w:rsidRPr="00245386">
          <w:rPr>
            <w:rFonts w:eastAsiaTheme="minorEastAsia"/>
            <w:b w:val="0"/>
            <w:bCs w:val="0"/>
            <w:caps w:val="0"/>
            <w:sz w:val="22"/>
            <w:szCs w:val="22"/>
            <w:lang w:eastAsia="sl-SI"/>
          </w:rPr>
          <w:tab/>
        </w:r>
        <w:r w:rsidR="00EF2058" w:rsidRPr="00245386">
          <w:rPr>
            <w:rStyle w:val="Hiperpovezava"/>
            <w:rFonts w:cs="Arial"/>
          </w:rPr>
          <w:t>POVZETEK</w:t>
        </w:r>
        <w:r w:rsidR="00EF2058" w:rsidRPr="00245386">
          <w:rPr>
            <w:webHidden/>
          </w:rPr>
          <w:tab/>
        </w:r>
        <w:r w:rsidR="00EF2058" w:rsidRPr="00245386">
          <w:rPr>
            <w:webHidden/>
          </w:rPr>
          <w:fldChar w:fldCharType="begin"/>
        </w:r>
        <w:r w:rsidR="00EF2058" w:rsidRPr="00245386">
          <w:rPr>
            <w:webHidden/>
          </w:rPr>
          <w:instrText xml:space="preserve"> PAGEREF _Toc113535523 \h </w:instrText>
        </w:r>
        <w:r w:rsidR="00EF2058" w:rsidRPr="00245386">
          <w:rPr>
            <w:webHidden/>
          </w:rPr>
        </w:r>
        <w:r w:rsidR="00EF2058" w:rsidRPr="00245386">
          <w:rPr>
            <w:webHidden/>
          </w:rPr>
          <w:fldChar w:fldCharType="separate"/>
        </w:r>
        <w:r w:rsidR="00FA752D">
          <w:rPr>
            <w:webHidden/>
          </w:rPr>
          <w:t>59</w:t>
        </w:r>
        <w:r w:rsidR="00EF2058" w:rsidRPr="00245386">
          <w:rPr>
            <w:webHidden/>
          </w:rPr>
          <w:fldChar w:fldCharType="end"/>
        </w:r>
      </w:hyperlink>
    </w:p>
    <w:p w14:paraId="0406C623" w14:textId="4D9EF85E" w:rsidR="00EF2058" w:rsidRPr="00245386" w:rsidRDefault="007E3F8C">
      <w:pPr>
        <w:pStyle w:val="Kazalovsebine2"/>
        <w:rPr>
          <w:rFonts w:ascii="Arial" w:eastAsiaTheme="minorEastAsia" w:hAnsi="Arial"/>
          <w:smallCaps w:val="0"/>
          <w:noProof/>
          <w:sz w:val="22"/>
          <w:szCs w:val="22"/>
          <w:lang w:eastAsia="sl-SI"/>
        </w:rPr>
      </w:pPr>
      <w:hyperlink w:anchor="_Toc113535524" w:history="1">
        <w:r w:rsidR="00EF2058" w:rsidRPr="00245386">
          <w:rPr>
            <w:rStyle w:val="Hiperpovezava"/>
            <w:rFonts w:ascii="Arial" w:hAnsi="Arial" w:cs="Arial"/>
            <w:noProof/>
          </w:rPr>
          <w:t>8.1</w:t>
        </w:r>
        <w:r w:rsidR="00EF2058" w:rsidRPr="00245386">
          <w:rPr>
            <w:rFonts w:ascii="Arial" w:eastAsiaTheme="minorEastAsia" w:hAnsi="Arial"/>
            <w:smallCaps w:val="0"/>
            <w:noProof/>
            <w:sz w:val="22"/>
            <w:szCs w:val="22"/>
            <w:lang w:eastAsia="sl-SI"/>
          </w:rPr>
          <w:tab/>
        </w:r>
        <w:r w:rsidR="00EF2058" w:rsidRPr="00245386">
          <w:rPr>
            <w:rStyle w:val="Hiperpovezava"/>
            <w:rFonts w:ascii="Arial" w:hAnsi="Arial" w:cs="Arial"/>
            <w:noProof/>
          </w:rPr>
          <w:t>GOTOVINSKE TRANSAKCIJE, NAKAZILA, POVEZANA S TVEGANIMI DRŽAVAMI, IN PRENOSI GOTOVINE ČEZ MEJO UNIJE</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_Toc113535524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59</w:t>
        </w:r>
        <w:r w:rsidR="00EF2058" w:rsidRPr="00245386">
          <w:rPr>
            <w:rFonts w:ascii="Arial" w:hAnsi="Arial"/>
            <w:noProof/>
            <w:webHidden/>
          </w:rPr>
          <w:fldChar w:fldCharType="end"/>
        </w:r>
      </w:hyperlink>
    </w:p>
    <w:p w14:paraId="12EBCF30" w14:textId="4B6C7A6D" w:rsidR="00EF2058" w:rsidRPr="00245386" w:rsidRDefault="007E3F8C">
      <w:pPr>
        <w:pStyle w:val="Kazalovsebine2"/>
        <w:rPr>
          <w:rFonts w:ascii="Arial" w:eastAsiaTheme="minorEastAsia" w:hAnsi="Arial"/>
          <w:smallCaps w:val="0"/>
          <w:noProof/>
          <w:sz w:val="22"/>
          <w:szCs w:val="22"/>
          <w:lang w:eastAsia="sl-SI"/>
        </w:rPr>
      </w:pPr>
      <w:hyperlink w:anchor="_Toc113535525" w:history="1">
        <w:r w:rsidR="00EF2058" w:rsidRPr="00245386">
          <w:rPr>
            <w:rStyle w:val="Hiperpovezava"/>
            <w:rFonts w:ascii="Arial" w:hAnsi="Arial" w:cs="Arial"/>
            <w:noProof/>
          </w:rPr>
          <w:t>8.2</w:t>
        </w:r>
        <w:r w:rsidR="00EF2058" w:rsidRPr="00245386">
          <w:rPr>
            <w:rFonts w:ascii="Arial" w:eastAsiaTheme="minorEastAsia" w:hAnsi="Arial"/>
            <w:smallCaps w:val="0"/>
            <w:noProof/>
            <w:sz w:val="22"/>
            <w:szCs w:val="22"/>
            <w:lang w:eastAsia="sl-SI"/>
          </w:rPr>
          <w:tab/>
        </w:r>
        <w:r w:rsidR="00EF2058" w:rsidRPr="00245386">
          <w:rPr>
            <w:rStyle w:val="Hiperpovezava"/>
            <w:rFonts w:ascii="Arial" w:hAnsi="Arial" w:cs="Arial"/>
            <w:noProof/>
          </w:rPr>
          <w:t>SUMLJIVE TRANSAKCIJE</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_Toc113535525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59</w:t>
        </w:r>
        <w:r w:rsidR="00EF2058" w:rsidRPr="00245386">
          <w:rPr>
            <w:rFonts w:ascii="Arial" w:hAnsi="Arial"/>
            <w:noProof/>
            <w:webHidden/>
          </w:rPr>
          <w:fldChar w:fldCharType="end"/>
        </w:r>
      </w:hyperlink>
    </w:p>
    <w:p w14:paraId="7B781DD2" w14:textId="1D4E7E9B" w:rsidR="00EF2058" w:rsidRPr="00245386" w:rsidRDefault="007E3F8C">
      <w:pPr>
        <w:pStyle w:val="Kazalovsebine2"/>
        <w:rPr>
          <w:rFonts w:ascii="Arial" w:eastAsiaTheme="minorEastAsia" w:hAnsi="Arial"/>
          <w:smallCaps w:val="0"/>
          <w:noProof/>
          <w:sz w:val="22"/>
          <w:szCs w:val="22"/>
          <w:lang w:eastAsia="sl-SI"/>
        </w:rPr>
      </w:pPr>
      <w:hyperlink w:anchor="_Toc113535526" w:history="1">
        <w:r w:rsidR="00EF2058" w:rsidRPr="00245386">
          <w:rPr>
            <w:rStyle w:val="Hiperpovezava"/>
            <w:rFonts w:ascii="Arial" w:hAnsi="Arial" w:cs="Arial"/>
            <w:noProof/>
          </w:rPr>
          <w:t>8.3</w:t>
        </w:r>
        <w:r w:rsidR="00EF2058" w:rsidRPr="00245386">
          <w:rPr>
            <w:rFonts w:ascii="Arial" w:eastAsiaTheme="minorEastAsia" w:hAnsi="Arial"/>
            <w:smallCaps w:val="0"/>
            <w:noProof/>
            <w:sz w:val="22"/>
            <w:szCs w:val="22"/>
            <w:lang w:eastAsia="sl-SI"/>
          </w:rPr>
          <w:tab/>
        </w:r>
        <w:r w:rsidR="00EF2058" w:rsidRPr="00245386">
          <w:rPr>
            <w:rStyle w:val="Hiperpovezava"/>
            <w:rFonts w:ascii="Arial" w:hAnsi="Arial" w:cs="Arial"/>
            <w:noProof/>
          </w:rPr>
          <w:t>FAZE POSTOPKOV V ZVEZI S PODANIMI KAZENSKIMI OVADBAMI ZARADI PRANJA DENARJA</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_Toc113535526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60</w:t>
        </w:r>
        <w:r w:rsidR="00EF2058" w:rsidRPr="00245386">
          <w:rPr>
            <w:rFonts w:ascii="Arial" w:hAnsi="Arial"/>
            <w:noProof/>
            <w:webHidden/>
          </w:rPr>
          <w:fldChar w:fldCharType="end"/>
        </w:r>
      </w:hyperlink>
    </w:p>
    <w:p w14:paraId="4A1CF77D" w14:textId="4412B76F" w:rsidR="00EF2058" w:rsidRPr="00245386" w:rsidRDefault="007E3F8C">
      <w:pPr>
        <w:pStyle w:val="Kazalovsebine2"/>
        <w:rPr>
          <w:rFonts w:ascii="Arial" w:eastAsiaTheme="minorEastAsia" w:hAnsi="Arial"/>
          <w:smallCaps w:val="0"/>
          <w:noProof/>
          <w:sz w:val="22"/>
          <w:szCs w:val="22"/>
          <w:lang w:eastAsia="sl-SI"/>
        </w:rPr>
      </w:pPr>
      <w:hyperlink w:anchor="_Toc113535527" w:history="1">
        <w:r w:rsidR="00EF2058" w:rsidRPr="00245386">
          <w:rPr>
            <w:rStyle w:val="Hiperpovezava"/>
            <w:rFonts w:ascii="Arial" w:hAnsi="Arial" w:cs="Arial"/>
            <w:noProof/>
          </w:rPr>
          <w:t>8.4</w:t>
        </w:r>
        <w:r w:rsidR="00EF2058" w:rsidRPr="00245386">
          <w:rPr>
            <w:rFonts w:ascii="Arial" w:eastAsiaTheme="minorEastAsia" w:hAnsi="Arial"/>
            <w:smallCaps w:val="0"/>
            <w:noProof/>
            <w:sz w:val="22"/>
            <w:szCs w:val="22"/>
            <w:lang w:eastAsia="sl-SI"/>
          </w:rPr>
          <w:tab/>
        </w:r>
        <w:r w:rsidR="00EF2058" w:rsidRPr="00245386">
          <w:rPr>
            <w:rStyle w:val="Hiperpovezava"/>
            <w:rFonts w:ascii="Arial" w:hAnsi="Arial" w:cs="Arial"/>
            <w:noProof/>
          </w:rPr>
          <w:t>PREVENTIVA IN NADZOR</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_Toc113535527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60</w:t>
        </w:r>
        <w:r w:rsidR="00EF2058" w:rsidRPr="00245386">
          <w:rPr>
            <w:rFonts w:ascii="Arial" w:hAnsi="Arial"/>
            <w:noProof/>
            <w:webHidden/>
          </w:rPr>
          <w:fldChar w:fldCharType="end"/>
        </w:r>
      </w:hyperlink>
    </w:p>
    <w:p w14:paraId="544F51BF" w14:textId="20B066EF" w:rsidR="00EF2058" w:rsidRPr="00245386" w:rsidRDefault="007E3F8C">
      <w:pPr>
        <w:pStyle w:val="Kazalovsebine2"/>
        <w:rPr>
          <w:rFonts w:ascii="Arial" w:eastAsiaTheme="minorEastAsia" w:hAnsi="Arial"/>
          <w:smallCaps w:val="0"/>
          <w:noProof/>
          <w:sz w:val="22"/>
          <w:szCs w:val="22"/>
          <w:lang w:eastAsia="sl-SI"/>
        </w:rPr>
      </w:pPr>
      <w:hyperlink w:anchor="_Toc113535528" w:history="1">
        <w:r w:rsidR="00EF2058" w:rsidRPr="00245386">
          <w:rPr>
            <w:rStyle w:val="Hiperpovezava"/>
            <w:rFonts w:ascii="Arial" w:hAnsi="Arial" w:cs="Arial"/>
            <w:noProof/>
          </w:rPr>
          <w:t>8.5</w:t>
        </w:r>
        <w:r w:rsidR="00EF2058" w:rsidRPr="00245386">
          <w:rPr>
            <w:rFonts w:ascii="Arial" w:eastAsiaTheme="minorEastAsia" w:hAnsi="Arial"/>
            <w:smallCaps w:val="0"/>
            <w:noProof/>
            <w:sz w:val="22"/>
            <w:szCs w:val="22"/>
            <w:lang w:eastAsia="sl-SI"/>
          </w:rPr>
          <w:tab/>
        </w:r>
        <w:r w:rsidR="00EF2058" w:rsidRPr="00245386">
          <w:rPr>
            <w:rStyle w:val="Hiperpovezava"/>
            <w:rFonts w:ascii="Arial" w:hAnsi="Arial" w:cs="Arial"/>
            <w:noProof/>
          </w:rPr>
          <w:t>MEDNARODNO SODELOVANJE</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_Toc113535528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61</w:t>
        </w:r>
        <w:r w:rsidR="00EF2058" w:rsidRPr="00245386">
          <w:rPr>
            <w:rFonts w:ascii="Arial" w:hAnsi="Arial"/>
            <w:noProof/>
            <w:webHidden/>
          </w:rPr>
          <w:fldChar w:fldCharType="end"/>
        </w:r>
      </w:hyperlink>
    </w:p>
    <w:p w14:paraId="01FFF657" w14:textId="31B387E7" w:rsidR="00EF2058" w:rsidRPr="00245386" w:rsidRDefault="007E3F8C">
      <w:pPr>
        <w:pStyle w:val="Kazalovsebine2"/>
        <w:rPr>
          <w:rFonts w:ascii="Arial" w:eastAsiaTheme="minorEastAsia" w:hAnsi="Arial"/>
          <w:smallCaps w:val="0"/>
          <w:noProof/>
          <w:sz w:val="22"/>
          <w:szCs w:val="22"/>
          <w:lang w:eastAsia="sl-SI"/>
        </w:rPr>
      </w:pPr>
      <w:hyperlink w:anchor="_Toc113535529" w:history="1">
        <w:r w:rsidR="00EF2058" w:rsidRPr="00245386">
          <w:rPr>
            <w:rStyle w:val="Hiperpovezava"/>
            <w:rFonts w:ascii="Arial" w:hAnsi="Arial" w:cs="Arial"/>
            <w:noProof/>
          </w:rPr>
          <w:t>8.6</w:t>
        </w:r>
        <w:r w:rsidR="00EF2058" w:rsidRPr="00245386">
          <w:rPr>
            <w:rFonts w:ascii="Arial" w:eastAsiaTheme="minorEastAsia" w:hAnsi="Arial"/>
            <w:smallCaps w:val="0"/>
            <w:noProof/>
            <w:sz w:val="22"/>
            <w:szCs w:val="22"/>
            <w:lang w:eastAsia="sl-SI"/>
          </w:rPr>
          <w:tab/>
        </w:r>
        <w:r w:rsidR="00EF2058" w:rsidRPr="00245386">
          <w:rPr>
            <w:rStyle w:val="Hiperpovezava"/>
            <w:rFonts w:ascii="Arial" w:hAnsi="Arial" w:cs="Arial"/>
            <w:noProof/>
          </w:rPr>
          <w:t>INFORMATIKA</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_Toc113535529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62</w:t>
        </w:r>
        <w:r w:rsidR="00EF2058" w:rsidRPr="00245386">
          <w:rPr>
            <w:rFonts w:ascii="Arial" w:hAnsi="Arial"/>
            <w:noProof/>
            <w:webHidden/>
          </w:rPr>
          <w:fldChar w:fldCharType="end"/>
        </w:r>
      </w:hyperlink>
    </w:p>
    <w:p w14:paraId="539A14F0" w14:textId="4C904DBD" w:rsidR="00EF2058" w:rsidRPr="00245386" w:rsidRDefault="007E3F8C">
      <w:pPr>
        <w:pStyle w:val="Kazalovsebine2"/>
        <w:rPr>
          <w:rFonts w:ascii="Arial" w:eastAsiaTheme="minorEastAsia" w:hAnsi="Arial"/>
          <w:smallCaps w:val="0"/>
          <w:noProof/>
          <w:sz w:val="22"/>
          <w:szCs w:val="22"/>
          <w:lang w:eastAsia="sl-SI"/>
        </w:rPr>
      </w:pPr>
      <w:hyperlink w:anchor="_Toc113535530" w:history="1">
        <w:r w:rsidR="00EF2058" w:rsidRPr="00245386">
          <w:rPr>
            <w:rStyle w:val="Hiperpovezava"/>
            <w:rFonts w:ascii="Arial" w:hAnsi="Arial" w:cs="Arial"/>
            <w:noProof/>
          </w:rPr>
          <w:t>8.7</w:t>
        </w:r>
        <w:r w:rsidR="00EF2058" w:rsidRPr="00245386">
          <w:rPr>
            <w:rFonts w:ascii="Arial" w:eastAsiaTheme="minorEastAsia" w:hAnsi="Arial"/>
            <w:smallCaps w:val="0"/>
            <w:noProof/>
            <w:sz w:val="22"/>
            <w:szCs w:val="22"/>
            <w:lang w:eastAsia="sl-SI"/>
          </w:rPr>
          <w:tab/>
        </w:r>
        <w:r w:rsidR="00EF2058" w:rsidRPr="00245386">
          <w:rPr>
            <w:rStyle w:val="Hiperpovezava"/>
            <w:rFonts w:ascii="Arial" w:hAnsi="Arial" w:cs="Arial"/>
            <w:noProof/>
          </w:rPr>
          <w:t>KADROVSKE ZADEVE</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_Toc113535530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62</w:t>
        </w:r>
        <w:r w:rsidR="00EF2058" w:rsidRPr="00245386">
          <w:rPr>
            <w:rFonts w:ascii="Arial" w:hAnsi="Arial"/>
            <w:noProof/>
            <w:webHidden/>
          </w:rPr>
          <w:fldChar w:fldCharType="end"/>
        </w:r>
      </w:hyperlink>
    </w:p>
    <w:p w14:paraId="592210E8" w14:textId="31BF0EC6" w:rsidR="00EF2058" w:rsidRPr="00245386" w:rsidRDefault="007E3F8C">
      <w:pPr>
        <w:pStyle w:val="Kazalovsebine2"/>
        <w:rPr>
          <w:rFonts w:ascii="Arial" w:eastAsiaTheme="minorEastAsia" w:hAnsi="Arial"/>
          <w:smallCaps w:val="0"/>
          <w:noProof/>
          <w:sz w:val="22"/>
          <w:szCs w:val="22"/>
          <w:lang w:eastAsia="sl-SI"/>
        </w:rPr>
      </w:pPr>
      <w:hyperlink w:anchor="_Toc113535531" w:history="1">
        <w:r w:rsidR="00EF2058" w:rsidRPr="00245386">
          <w:rPr>
            <w:rStyle w:val="Hiperpovezava"/>
            <w:rFonts w:ascii="Arial" w:hAnsi="Arial" w:cs="Arial"/>
            <w:noProof/>
          </w:rPr>
          <w:t>8.8</w:t>
        </w:r>
        <w:r w:rsidR="00EF2058" w:rsidRPr="00245386">
          <w:rPr>
            <w:rFonts w:ascii="Arial" w:eastAsiaTheme="minorEastAsia" w:hAnsi="Arial"/>
            <w:smallCaps w:val="0"/>
            <w:noProof/>
            <w:sz w:val="22"/>
            <w:szCs w:val="22"/>
            <w:lang w:eastAsia="sl-SI"/>
          </w:rPr>
          <w:tab/>
        </w:r>
        <w:r w:rsidR="00EF2058" w:rsidRPr="00245386">
          <w:rPr>
            <w:rStyle w:val="Hiperpovezava"/>
            <w:rFonts w:ascii="Arial" w:hAnsi="Arial" w:cs="Arial"/>
            <w:noProof/>
          </w:rPr>
          <w:t>FINANČNO-MATERIALNO POSLOVANJE</w:t>
        </w:r>
        <w:r w:rsidR="00EF2058" w:rsidRPr="00245386">
          <w:rPr>
            <w:rFonts w:ascii="Arial" w:hAnsi="Arial"/>
            <w:noProof/>
            <w:webHidden/>
          </w:rPr>
          <w:tab/>
        </w:r>
        <w:r w:rsidR="00EF2058" w:rsidRPr="00245386">
          <w:rPr>
            <w:rFonts w:ascii="Arial" w:hAnsi="Arial"/>
            <w:noProof/>
            <w:webHidden/>
          </w:rPr>
          <w:fldChar w:fldCharType="begin"/>
        </w:r>
        <w:r w:rsidR="00EF2058" w:rsidRPr="00245386">
          <w:rPr>
            <w:rFonts w:ascii="Arial" w:hAnsi="Arial"/>
            <w:noProof/>
            <w:webHidden/>
          </w:rPr>
          <w:instrText xml:space="preserve"> PAGEREF _Toc113535531 \h </w:instrText>
        </w:r>
        <w:r w:rsidR="00EF2058" w:rsidRPr="00245386">
          <w:rPr>
            <w:rFonts w:ascii="Arial" w:hAnsi="Arial"/>
            <w:noProof/>
            <w:webHidden/>
          </w:rPr>
        </w:r>
        <w:r w:rsidR="00EF2058" w:rsidRPr="00245386">
          <w:rPr>
            <w:rFonts w:ascii="Arial" w:hAnsi="Arial"/>
            <w:noProof/>
            <w:webHidden/>
          </w:rPr>
          <w:fldChar w:fldCharType="separate"/>
        </w:r>
        <w:r w:rsidR="00FA752D">
          <w:rPr>
            <w:rFonts w:ascii="Arial" w:hAnsi="Arial"/>
            <w:noProof/>
            <w:webHidden/>
          </w:rPr>
          <w:t>62</w:t>
        </w:r>
        <w:r w:rsidR="00EF2058" w:rsidRPr="00245386">
          <w:rPr>
            <w:rFonts w:ascii="Arial" w:hAnsi="Arial"/>
            <w:noProof/>
            <w:webHidden/>
          </w:rPr>
          <w:fldChar w:fldCharType="end"/>
        </w:r>
      </w:hyperlink>
    </w:p>
    <w:p w14:paraId="107A58CD" w14:textId="0AEF7D56" w:rsidR="00851C49" w:rsidRPr="00424274" w:rsidRDefault="003C6645" w:rsidP="005D47A0">
      <w:pPr>
        <w:pStyle w:val="Kazalovsebine2"/>
      </w:pPr>
      <w:r w:rsidRPr="00245386">
        <w:rPr>
          <w:rFonts w:ascii="Arial" w:hAnsi="Arial"/>
        </w:rPr>
        <w:fldChar w:fldCharType="end"/>
      </w:r>
    </w:p>
    <w:p w14:paraId="40AD6094" w14:textId="77777777" w:rsidR="00752EAA" w:rsidRPr="00424274" w:rsidRDefault="00752EAA" w:rsidP="00D21F86">
      <w:pPr>
        <w:spacing w:line="276" w:lineRule="auto"/>
        <w:rPr>
          <w:rFonts w:ascii="Arial" w:hAnsi="Arial"/>
        </w:rPr>
      </w:pPr>
    </w:p>
    <w:p w14:paraId="565ED8C5" w14:textId="77777777" w:rsidR="00752EAA" w:rsidRPr="00424274" w:rsidRDefault="00752EAA" w:rsidP="00D21F86">
      <w:pPr>
        <w:spacing w:line="276" w:lineRule="auto"/>
      </w:pPr>
    </w:p>
    <w:p w14:paraId="0FAED097" w14:textId="2DF68043" w:rsidR="00752EAA" w:rsidRPr="00424274" w:rsidRDefault="00752EAA" w:rsidP="00D21F86">
      <w:pPr>
        <w:spacing w:line="276" w:lineRule="auto"/>
      </w:pPr>
    </w:p>
    <w:p w14:paraId="4084EE39" w14:textId="77777777" w:rsidR="00752EAA" w:rsidRPr="00424274" w:rsidRDefault="00752EAA" w:rsidP="00D21F86">
      <w:pPr>
        <w:spacing w:line="276" w:lineRule="auto"/>
      </w:pPr>
    </w:p>
    <w:p w14:paraId="46B3D17B" w14:textId="77777777" w:rsidR="00752EAA" w:rsidRPr="00424274" w:rsidRDefault="00752EAA" w:rsidP="00D21F86">
      <w:pPr>
        <w:spacing w:line="276" w:lineRule="auto"/>
      </w:pPr>
    </w:p>
    <w:p w14:paraId="7B782E2D" w14:textId="77777777" w:rsidR="00752EAA" w:rsidRPr="00424274" w:rsidRDefault="00752EAA" w:rsidP="00D21F86">
      <w:pPr>
        <w:spacing w:line="276" w:lineRule="auto"/>
      </w:pPr>
    </w:p>
    <w:p w14:paraId="4C907406" w14:textId="77777777" w:rsidR="00752EAA" w:rsidRPr="00424274" w:rsidRDefault="00752EAA" w:rsidP="00D21F86">
      <w:pPr>
        <w:spacing w:line="276" w:lineRule="auto"/>
      </w:pPr>
    </w:p>
    <w:p w14:paraId="5CBFF7CC" w14:textId="77777777" w:rsidR="00752EAA" w:rsidRPr="00424274" w:rsidRDefault="00752EAA" w:rsidP="00D21F86">
      <w:pPr>
        <w:spacing w:line="276" w:lineRule="auto"/>
      </w:pPr>
    </w:p>
    <w:p w14:paraId="4B924359" w14:textId="77777777" w:rsidR="00752EAA" w:rsidRPr="00424274" w:rsidRDefault="00752EAA" w:rsidP="00D21F86">
      <w:pPr>
        <w:spacing w:line="276" w:lineRule="auto"/>
      </w:pPr>
    </w:p>
    <w:p w14:paraId="452E78EF" w14:textId="77777777" w:rsidR="00752EAA" w:rsidRPr="00424274" w:rsidRDefault="00752EAA" w:rsidP="00D21F86">
      <w:pPr>
        <w:spacing w:line="276" w:lineRule="auto"/>
      </w:pPr>
    </w:p>
    <w:p w14:paraId="22E24D3B" w14:textId="77777777" w:rsidR="00752EAA" w:rsidRPr="00424274" w:rsidRDefault="00752EAA" w:rsidP="00D21F86">
      <w:pPr>
        <w:spacing w:line="276" w:lineRule="auto"/>
      </w:pPr>
    </w:p>
    <w:p w14:paraId="5EB99331" w14:textId="77777777" w:rsidR="00752EAA" w:rsidRPr="00424274" w:rsidRDefault="00752EAA" w:rsidP="00D21F86">
      <w:pPr>
        <w:spacing w:line="276" w:lineRule="auto"/>
      </w:pPr>
    </w:p>
    <w:p w14:paraId="1050B8F0" w14:textId="77777777" w:rsidR="00752EAA" w:rsidRPr="00424274" w:rsidRDefault="00752EAA" w:rsidP="00D21F86">
      <w:pPr>
        <w:spacing w:line="276" w:lineRule="auto"/>
      </w:pPr>
    </w:p>
    <w:p w14:paraId="03D38584" w14:textId="77777777" w:rsidR="00752EAA" w:rsidRPr="00424274" w:rsidRDefault="00752EAA" w:rsidP="00D21F86">
      <w:pPr>
        <w:spacing w:line="276" w:lineRule="auto"/>
      </w:pPr>
    </w:p>
    <w:p w14:paraId="64B5C083" w14:textId="77777777" w:rsidR="00752EAA" w:rsidRPr="00424274" w:rsidRDefault="00752EAA" w:rsidP="00D21F86">
      <w:pPr>
        <w:spacing w:line="276" w:lineRule="auto"/>
      </w:pPr>
    </w:p>
    <w:p w14:paraId="2BA75E32" w14:textId="77777777" w:rsidR="00752EAA" w:rsidRPr="00424274" w:rsidRDefault="00752EAA" w:rsidP="00D21F86">
      <w:pPr>
        <w:spacing w:line="276" w:lineRule="auto"/>
      </w:pPr>
    </w:p>
    <w:p w14:paraId="4ED580A0" w14:textId="77777777" w:rsidR="00752EAA" w:rsidRPr="00424274" w:rsidRDefault="00752EAA" w:rsidP="00D21F86">
      <w:pPr>
        <w:spacing w:line="276" w:lineRule="auto"/>
      </w:pPr>
    </w:p>
    <w:p w14:paraId="6FB45982" w14:textId="77777777" w:rsidR="00752EAA" w:rsidRPr="00424274" w:rsidRDefault="00752EAA" w:rsidP="00D21F86">
      <w:pPr>
        <w:spacing w:line="276" w:lineRule="auto"/>
      </w:pPr>
    </w:p>
    <w:p w14:paraId="74DAB2D4" w14:textId="77777777" w:rsidR="00752EAA" w:rsidRPr="00424274" w:rsidRDefault="00752EAA" w:rsidP="00D21F86">
      <w:pPr>
        <w:spacing w:line="276" w:lineRule="auto"/>
      </w:pPr>
    </w:p>
    <w:p w14:paraId="050B70B8" w14:textId="77777777" w:rsidR="00752EAA" w:rsidRPr="00424274" w:rsidRDefault="00752EAA" w:rsidP="00D21F86">
      <w:pPr>
        <w:spacing w:line="276" w:lineRule="auto"/>
      </w:pPr>
    </w:p>
    <w:p w14:paraId="22F00682" w14:textId="77777777" w:rsidR="00752EAA" w:rsidRPr="00424274" w:rsidRDefault="00752EAA" w:rsidP="00D21F86">
      <w:pPr>
        <w:spacing w:line="276" w:lineRule="auto"/>
      </w:pPr>
    </w:p>
    <w:p w14:paraId="6D365D86" w14:textId="77777777" w:rsidR="00752EAA" w:rsidRPr="00424274" w:rsidRDefault="00752EAA" w:rsidP="00D21F86">
      <w:pPr>
        <w:spacing w:line="276" w:lineRule="auto"/>
      </w:pPr>
    </w:p>
    <w:p w14:paraId="59AED5A3" w14:textId="77777777" w:rsidR="00752EAA" w:rsidRPr="00424274" w:rsidRDefault="00752EAA" w:rsidP="00D21F86">
      <w:pPr>
        <w:spacing w:line="276" w:lineRule="auto"/>
      </w:pPr>
    </w:p>
    <w:p w14:paraId="53B1CF12" w14:textId="77777777" w:rsidR="006967CE" w:rsidRPr="00424274" w:rsidRDefault="006967CE" w:rsidP="00D21F86">
      <w:pPr>
        <w:spacing w:line="276" w:lineRule="auto"/>
      </w:pPr>
    </w:p>
    <w:p w14:paraId="481F9A52" w14:textId="77777777" w:rsidR="001E50CC" w:rsidRPr="00424274" w:rsidRDefault="001E50CC" w:rsidP="00D21F86">
      <w:pPr>
        <w:spacing w:line="276" w:lineRule="auto"/>
      </w:pPr>
      <w:bookmarkStart w:id="0" w:name="_Hlk73528225"/>
    </w:p>
    <w:p w14:paraId="7F700BBC" w14:textId="77777777" w:rsidR="00851C49" w:rsidRPr="00424274" w:rsidRDefault="00851C49" w:rsidP="00D21F86">
      <w:pPr>
        <w:pStyle w:val="Naslov1"/>
        <w:numPr>
          <w:ilvl w:val="0"/>
          <w:numId w:val="6"/>
        </w:numPr>
        <w:spacing w:line="276" w:lineRule="auto"/>
        <w:rPr>
          <w:rFonts w:ascii="Arial" w:hAnsi="Arial"/>
          <w:sz w:val="20"/>
        </w:rPr>
      </w:pPr>
      <w:bookmarkStart w:id="1" w:name="_Toc107306473"/>
      <w:bookmarkStart w:id="2" w:name="_Toc200524125"/>
      <w:bookmarkStart w:id="3" w:name="_Toc113535444"/>
      <w:r w:rsidRPr="00424274">
        <w:rPr>
          <w:rFonts w:ascii="Arial" w:hAnsi="Arial"/>
          <w:sz w:val="20"/>
        </w:rPr>
        <w:t>UVOD</w:t>
      </w:r>
      <w:bookmarkEnd w:id="1"/>
      <w:bookmarkEnd w:id="2"/>
      <w:bookmarkEnd w:id="3"/>
    </w:p>
    <w:p w14:paraId="6B2A0632" w14:textId="77777777" w:rsidR="0089137A" w:rsidRPr="0089137A" w:rsidRDefault="0089137A" w:rsidP="0089137A">
      <w:pPr>
        <w:pStyle w:val="Telobesedila"/>
        <w:spacing w:line="276" w:lineRule="auto"/>
        <w:ind w:right="-44"/>
        <w:rPr>
          <w:rFonts w:ascii="Arial" w:hAnsi="Arial"/>
          <w:b/>
          <w:i/>
          <w:sz w:val="20"/>
        </w:rPr>
      </w:pPr>
      <w:r w:rsidRPr="0089137A">
        <w:rPr>
          <w:rFonts w:ascii="Arial" w:hAnsi="Arial"/>
          <w:b/>
          <w:i/>
          <w:sz w:val="20"/>
        </w:rPr>
        <w:t xml:space="preserve">Zakon o preprečevanju pranja denarja in financiranja terorizma (Uradni list RS, št. 48/22; v nadaljevanju: ZPPDFT-2), ki je začel veljati 5. aprila 2022 v 130. členu določa, da mora Urad Republike Slovenije za preprečevanje pranja denarja (v nadaljevanju: Urad) najmanj enkrat letno o svojem delu poročati Vladi Republike Slovenije (v nadaljevanju: Vlada RS). Enako je določal prej veljavni Zakon o preprečevanju pranja denarja in financiranja terorizma (Uradni list RS, št. 68/16, 81/19, 91/20, </w:t>
      </w:r>
      <w:hyperlink r:id="rId11" w:tgtFrame="_blank" w:tooltip="Popravek Zakona o spremembah in dopolnitvah Zakona o preprečevanju pranja denarja in financiranja terorizma (ZPPDFT-1B)" w:history="1">
        <w:r w:rsidRPr="0089137A">
          <w:rPr>
            <w:rFonts w:ascii="Arial" w:hAnsi="Arial"/>
            <w:b/>
            <w:i/>
            <w:sz w:val="20"/>
          </w:rPr>
          <w:t xml:space="preserve">2/21 – </w:t>
        </w:r>
        <w:proofErr w:type="spellStart"/>
        <w:r w:rsidRPr="0089137A">
          <w:rPr>
            <w:rFonts w:ascii="Arial" w:hAnsi="Arial"/>
            <w:b/>
            <w:i/>
            <w:sz w:val="20"/>
          </w:rPr>
          <w:t>popr</w:t>
        </w:r>
        <w:proofErr w:type="spellEnd"/>
      </w:hyperlink>
      <w:r w:rsidRPr="0089137A">
        <w:rPr>
          <w:rFonts w:ascii="Arial" w:hAnsi="Arial"/>
          <w:b/>
          <w:i/>
          <w:sz w:val="20"/>
        </w:rPr>
        <w:t>. in 48/22 – ZPPDFT-2; v nadaljevanju: ZPPDFT-1) v 119. členu.</w:t>
      </w:r>
    </w:p>
    <w:p w14:paraId="087F243C" w14:textId="77777777" w:rsidR="00851C49" w:rsidRPr="00424274" w:rsidRDefault="00851C49" w:rsidP="0089137A">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rFonts w:ascii="Arial" w:hAnsi="Arial"/>
          <w:sz w:val="20"/>
        </w:rPr>
      </w:pPr>
    </w:p>
    <w:p w14:paraId="51C78536" w14:textId="47F2DC3C" w:rsidR="00851C49" w:rsidRPr="00424274" w:rsidRDefault="00851C49" w:rsidP="00D21F86">
      <w:pPr>
        <w:pStyle w:val="Telobesedila"/>
        <w:spacing w:line="276" w:lineRule="auto"/>
        <w:ind w:right="-44"/>
        <w:rPr>
          <w:rFonts w:ascii="Arial" w:hAnsi="Arial"/>
          <w:b/>
          <w:i/>
          <w:sz w:val="20"/>
        </w:rPr>
      </w:pPr>
      <w:r w:rsidRPr="00424274">
        <w:rPr>
          <w:rFonts w:ascii="Arial" w:hAnsi="Arial"/>
          <w:b/>
          <w:i/>
          <w:sz w:val="20"/>
        </w:rPr>
        <w:t xml:space="preserve">Poročilo o delu </w:t>
      </w:r>
      <w:r w:rsidR="00A622AA">
        <w:rPr>
          <w:rFonts w:ascii="Arial" w:hAnsi="Arial"/>
          <w:b/>
          <w:i/>
          <w:sz w:val="20"/>
        </w:rPr>
        <w:t>u</w:t>
      </w:r>
      <w:r w:rsidRPr="00424274">
        <w:rPr>
          <w:rFonts w:ascii="Arial" w:hAnsi="Arial"/>
          <w:b/>
          <w:i/>
          <w:sz w:val="20"/>
        </w:rPr>
        <w:t xml:space="preserve">rada za leto </w:t>
      </w:r>
      <w:r w:rsidR="00563163" w:rsidRPr="00424274">
        <w:rPr>
          <w:rFonts w:ascii="Arial" w:hAnsi="Arial"/>
          <w:b/>
          <w:i/>
          <w:sz w:val="20"/>
        </w:rPr>
        <w:t>20</w:t>
      </w:r>
      <w:r w:rsidR="0005796F" w:rsidRPr="00424274">
        <w:rPr>
          <w:rFonts w:ascii="Arial" w:hAnsi="Arial"/>
          <w:b/>
          <w:i/>
          <w:sz w:val="20"/>
        </w:rPr>
        <w:t>20</w:t>
      </w:r>
      <w:r w:rsidRPr="00424274">
        <w:rPr>
          <w:rFonts w:ascii="Arial" w:hAnsi="Arial"/>
          <w:b/>
          <w:i/>
          <w:sz w:val="20"/>
        </w:rPr>
        <w:t xml:space="preserve"> je </w:t>
      </w:r>
      <w:r w:rsidR="00563163" w:rsidRPr="00424274">
        <w:rPr>
          <w:rFonts w:ascii="Arial" w:hAnsi="Arial"/>
          <w:b/>
          <w:i/>
          <w:sz w:val="20"/>
        </w:rPr>
        <w:t>petindvajseto</w:t>
      </w:r>
      <w:r w:rsidRPr="00424274">
        <w:rPr>
          <w:rFonts w:ascii="Arial" w:hAnsi="Arial"/>
          <w:b/>
          <w:i/>
          <w:sz w:val="20"/>
        </w:rPr>
        <w:t xml:space="preserve"> poročilo Vladi RS, nanaša pa se na obdobje od 1.</w:t>
      </w:r>
      <w:r w:rsidR="00A622AA">
        <w:rPr>
          <w:rFonts w:ascii="Arial" w:hAnsi="Arial"/>
          <w:b/>
          <w:i/>
          <w:sz w:val="20"/>
        </w:rPr>
        <w:t> </w:t>
      </w:r>
      <w:r w:rsidRPr="00424274">
        <w:rPr>
          <w:rFonts w:ascii="Arial" w:hAnsi="Arial"/>
          <w:b/>
          <w:i/>
          <w:sz w:val="20"/>
        </w:rPr>
        <w:t>1.</w:t>
      </w:r>
      <w:r w:rsidR="00A622AA">
        <w:rPr>
          <w:rFonts w:ascii="Arial" w:hAnsi="Arial"/>
          <w:b/>
          <w:i/>
          <w:sz w:val="20"/>
        </w:rPr>
        <w:t> </w:t>
      </w:r>
      <w:r w:rsidRPr="00424274">
        <w:rPr>
          <w:rFonts w:ascii="Arial" w:hAnsi="Arial"/>
          <w:b/>
          <w:i/>
          <w:sz w:val="20"/>
        </w:rPr>
        <w:t>20</w:t>
      </w:r>
      <w:r w:rsidR="007A37D9" w:rsidRPr="00424274">
        <w:rPr>
          <w:rFonts w:ascii="Arial" w:hAnsi="Arial"/>
          <w:b/>
          <w:i/>
          <w:sz w:val="20"/>
        </w:rPr>
        <w:t>20</w:t>
      </w:r>
      <w:r w:rsidRPr="00424274">
        <w:rPr>
          <w:rFonts w:ascii="Arial" w:hAnsi="Arial"/>
          <w:b/>
          <w:i/>
          <w:sz w:val="20"/>
        </w:rPr>
        <w:t xml:space="preserve"> do 31.</w:t>
      </w:r>
      <w:r w:rsidR="00A622AA">
        <w:rPr>
          <w:rFonts w:ascii="Arial" w:hAnsi="Arial"/>
          <w:b/>
          <w:i/>
          <w:sz w:val="20"/>
        </w:rPr>
        <w:t> </w:t>
      </w:r>
      <w:r w:rsidRPr="00424274">
        <w:rPr>
          <w:rFonts w:ascii="Arial" w:hAnsi="Arial"/>
          <w:b/>
          <w:i/>
          <w:sz w:val="20"/>
        </w:rPr>
        <w:t>12.</w:t>
      </w:r>
      <w:r w:rsidR="00A622AA">
        <w:rPr>
          <w:rFonts w:ascii="Arial" w:hAnsi="Arial"/>
          <w:b/>
          <w:i/>
          <w:sz w:val="20"/>
        </w:rPr>
        <w:t> </w:t>
      </w:r>
      <w:r w:rsidRPr="00424274">
        <w:rPr>
          <w:rFonts w:ascii="Arial" w:hAnsi="Arial"/>
          <w:b/>
          <w:i/>
          <w:sz w:val="20"/>
        </w:rPr>
        <w:t>20</w:t>
      </w:r>
      <w:r w:rsidR="007A37D9" w:rsidRPr="00424274">
        <w:rPr>
          <w:rFonts w:ascii="Arial" w:hAnsi="Arial"/>
          <w:b/>
          <w:i/>
          <w:sz w:val="20"/>
        </w:rPr>
        <w:t>20</w:t>
      </w:r>
      <w:r w:rsidRPr="00424274">
        <w:rPr>
          <w:rFonts w:ascii="Arial" w:hAnsi="Arial"/>
          <w:b/>
          <w:i/>
          <w:sz w:val="20"/>
        </w:rPr>
        <w:t xml:space="preserve">. Navedeno obdobje je glede statističnih in drugih številčnih podatkov prikazano posebej, zaradi primerjav med leti pa so v poročilu podani tudi </w:t>
      </w:r>
      <w:r w:rsidR="00B10268">
        <w:rPr>
          <w:rFonts w:ascii="Arial" w:hAnsi="Arial"/>
          <w:b/>
          <w:i/>
          <w:sz w:val="20"/>
        </w:rPr>
        <w:t>nekateri</w:t>
      </w:r>
      <w:r w:rsidR="00B10268" w:rsidRPr="00424274">
        <w:rPr>
          <w:rFonts w:ascii="Arial" w:hAnsi="Arial"/>
          <w:b/>
          <w:i/>
          <w:sz w:val="20"/>
        </w:rPr>
        <w:t xml:space="preserve"> </w:t>
      </w:r>
      <w:r w:rsidRPr="00424274">
        <w:rPr>
          <w:rFonts w:ascii="Arial" w:hAnsi="Arial"/>
          <w:b/>
          <w:i/>
          <w:sz w:val="20"/>
        </w:rPr>
        <w:t xml:space="preserve">podatki iz prejšnjih obdobij. </w:t>
      </w:r>
    </w:p>
    <w:p w14:paraId="6E4E57CF" w14:textId="77777777" w:rsidR="00851C49" w:rsidRPr="00424274" w:rsidRDefault="00851C49" w:rsidP="00D21F86">
      <w:pPr>
        <w:pStyle w:val="Telobesedila"/>
        <w:spacing w:line="276" w:lineRule="auto"/>
        <w:ind w:right="-44"/>
        <w:rPr>
          <w:rFonts w:ascii="Arial" w:hAnsi="Arial"/>
          <w:b/>
          <w:i/>
          <w:sz w:val="20"/>
        </w:rPr>
      </w:pPr>
    </w:p>
    <w:p w14:paraId="4E8B8F51" w14:textId="77777777" w:rsidR="00851C49" w:rsidRPr="00424274" w:rsidRDefault="00851C49">
      <w:pPr>
        <w:pStyle w:val="Naslov2"/>
      </w:pPr>
      <w:bookmarkStart w:id="4" w:name="_Toc478192083"/>
      <w:bookmarkStart w:id="5" w:name="_Toc505573502"/>
      <w:bookmarkStart w:id="6" w:name="_Toc506877123"/>
      <w:bookmarkStart w:id="7" w:name="_Toc6633703"/>
      <w:bookmarkStart w:id="8" w:name="_Toc43532542"/>
      <w:bookmarkStart w:id="9" w:name="_Toc107306474"/>
      <w:bookmarkStart w:id="10" w:name="_Toc200524126"/>
      <w:bookmarkStart w:id="11" w:name="_Toc113535445"/>
      <w:r w:rsidRPr="00424274">
        <w:t>PRAVNA PODLAGA ZA DELO URADA</w:t>
      </w:r>
      <w:bookmarkEnd w:id="4"/>
      <w:bookmarkEnd w:id="5"/>
      <w:bookmarkEnd w:id="6"/>
      <w:bookmarkEnd w:id="7"/>
      <w:bookmarkEnd w:id="8"/>
      <w:bookmarkEnd w:id="9"/>
      <w:bookmarkEnd w:id="10"/>
      <w:bookmarkEnd w:id="11"/>
    </w:p>
    <w:p w14:paraId="5B05FEA6" w14:textId="77777777" w:rsidR="00851C49" w:rsidRPr="00424274" w:rsidRDefault="00851C49" w:rsidP="00D21F86">
      <w:pPr>
        <w:spacing w:line="276" w:lineRule="auto"/>
        <w:ind w:right="-44"/>
        <w:rPr>
          <w:rFonts w:ascii="Arial" w:hAnsi="Arial"/>
          <w:sz w:val="20"/>
        </w:rPr>
      </w:pPr>
    </w:p>
    <w:p w14:paraId="1007198C" w14:textId="30C62D80" w:rsidR="00BF40D0" w:rsidRPr="00424274" w:rsidRDefault="00851C49" w:rsidP="00D21F86">
      <w:pPr>
        <w:pStyle w:val="Telobesedila"/>
        <w:spacing w:line="276" w:lineRule="auto"/>
        <w:ind w:right="-44"/>
        <w:rPr>
          <w:rFonts w:ascii="Arial" w:hAnsi="Arial"/>
          <w:sz w:val="20"/>
        </w:rPr>
      </w:pPr>
      <w:r w:rsidRPr="00424274">
        <w:rPr>
          <w:rFonts w:ascii="Arial" w:hAnsi="Arial"/>
          <w:sz w:val="20"/>
        </w:rPr>
        <w:t>Urad je bil ustanovljen z Zakonom o organizaciji in delovnem področju ministrstev (</w:t>
      </w:r>
      <w:r w:rsidR="00C83FBC" w:rsidRPr="00424274">
        <w:rPr>
          <w:rFonts w:ascii="Arial" w:hAnsi="Arial"/>
          <w:sz w:val="20"/>
        </w:rPr>
        <w:t>Uradni list RS</w:t>
      </w:r>
      <w:r w:rsidRPr="00424274">
        <w:rPr>
          <w:rFonts w:ascii="Arial" w:hAnsi="Arial"/>
          <w:sz w:val="20"/>
        </w:rPr>
        <w:t>, št. 71/94) kot organ v sestavi Ministrstva za finance</w:t>
      </w:r>
      <w:r w:rsidR="00BF40D0" w:rsidRPr="00424274">
        <w:rPr>
          <w:rFonts w:ascii="Arial" w:hAnsi="Arial"/>
          <w:sz w:val="20"/>
        </w:rPr>
        <w:t xml:space="preserve">, kar je ostal vse do danes, in je </w:t>
      </w:r>
      <w:r w:rsidRPr="00424274">
        <w:rPr>
          <w:rFonts w:ascii="Arial" w:hAnsi="Arial"/>
          <w:sz w:val="20"/>
        </w:rPr>
        <w:t xml:space="preserve">formalno </w:t>
      </w:r>
      <w:r w:rsidR="00B10268">
        <w:rPr>
          <w:rFonts w:ascii="Arial" w:hAnsi="Arial"/>
          <w:sz w:val="20"/>
        </w:rPr>
        <w:t>za</w:t>
      </w:r>
      <w:r w:rsidRPr="00424274">
        <w:rPr>
          <w:rFonts w:ascii="Arial" w:hAnsi="Arial"/>
          <w:sz w:val="20"/>
        </w:rPr>
        <w:t>čel delo 1.</w:t>
      </w:r>
      <w:r w:rsidR="00B10268">
        <w:rPr>
          <w:rFonts w:ascii="Arial" w:hAnsi="Arial"/>
          <w:sz w:val="20"/>
        </w:rPr>
        <w:t> januarja</w:t>
      </w:r>
      <w:r w:rsidRPr="00424274">
        <w:rPr>
          <w:rFonts w:ascii="Arial" w:hAnsi="Arial"/>
          <w:sz w:val="20"/>
        </w:rPr>
        <w:t xml:space="preserve"> 1995.</w:t>
      </w:r>
    </w:p>
    <w:p w14:paraId="7B6BD145" w14:textId="77777777" w:rsidR="00A65231" w:rsidRPr="00424274" w:rsidRDefault="00BF40D0" w:rsidP="00D21F86">
      <w:pPr>
        <w:pStyle w:val="Telobesedila"/>
        <w:spacing w:line="276" w:lineRule="auto"/>
        <w:ind w:right="-44"/>
        <w:rPr>
          <w:rFonts w:ascii="Arial" w:hAnsi="Arial"/>
          <w:sz w:val="20"/>
        </w:rPr>
      </w:pPr>
      <w:r w:rsidRPr="00424274">
        <w:rPr>
          <w:rFonts w:ascii="Arial" w:hAnsi="Arial"/>
          <w:sz w:val="20"/>
        </w:rPr>
        <w:t xml:space="preserve"> </w:t>
      </w:r>
    </w:p>
    <w:p w14:paraId="724833DB" w14:textId="378245A5" w:rsidR="00851C49" w:rsidRPr="00424274" w:rsidRDefault="00851C49" w:rsidP="00D21F86">
      <w:pPr>
        <w:pStyle w:val="Telobesedila"/>
        <w:spacing w:line="276" w:lineRule="auto"/>
        <w:ind w:right="-44"/>
        <w:rPr>
          <w:rFonts w:ascii="Arial" w:hAnsi="Arial"/>
          <w:b/>
          <w:bCs/>
          <w:sz w:val="20"/>
        </w:rPr>
      </w:pPr>
      <w:r w:rsidRPr="00424274">
        <w:rPr>
          <w:rFonts w:ascii="Arial" w:hAnsi="Arial"/>
          <w:sz w:val="20"/>
        </w:rPr>
        <w:t xml:space="preserve">Vsebinsko in formalno podlago za delovanje </w:t>
      </w:r>
      <w:r w:rsidR="00A0541B">
        <w:rPr>
          <w:rFonts w:ascii="Arial" w:hAnsi="Arial"/>
          <w:sz w:val="20"/>
        </w:rPr>
        <w:t>urad</w:t>
      </w:r>
      <w:r w:rsidRPr="00424274">
        <w:rPr>
          <w:rFonts w:ascii="Arial" w:hAnsi="Arial"/>
          <w:sz w:val="20"/>
        </w:rPr>
        <w:t>a v obravnavanem obdobju predstavlja</w:t>
      </w:r>
      <w:r w:rsidR="00BF40D0" w:rsidRPr="00424274">
        <w:rPr>
          <w:rFonts w:ascii="Arial" w:hAnsi="Arial"/>
          <w:sz w:val="20"/>
        </w:rPr>
        <w:t xml:space="preserve">jo še </w:t>
      </w:r>
      <w:r w:rsidRPr="00424274">
        <w:rPr>
          <w:rFonts w:ascii="Arial" w:hAnsi="Arial"/>
          <w:sz w:val="20"/>
        </w:rPr>
        <w:t xml:space="preserve">naslednji zakonski in podzakonski akti </w:t>
      </w:r>
      <w:r w:rsidRPr="00424274">
        <w:rPr>
          <w:rFonts w:ascii="Arial" w:hAnsi="Arial"/>
          <w:bCs/>
          <w:sz w:val="20"/>
        </w:rPr>
        <w:t>ter predpisi EU</w:t>
      </w:r>
      <w:r w:rsidRPr="00424274">
        <w:rPr>
          <w:rFonts w:ascii="Arial" w:hAnsi="Arial"/>
          <w:b/>
          <w:bCs/>
          <w:sz w:val="20"/>
        </w:rPr>
        <w:t>:</w:t>
      </w:r>
    </w:p>
    <w:p w14:paraId="56FA590F" w14:textId="77777777" w:rsidR="00A65231" w:rsidRPr="00424274" w:rsidRDefault="00A65231" w:rsidP="00D21F86">
      <w:pPr>
        <w:pStyle w:val="Telobesedila"/>
        <w:spacing w:line="276" w:lineRule="auto"/>
        <w:ind w:right="-44"/>
        <w:rPr>
          <w:rFonts w:ascii="Arial" w:hAnsi="Arial"/>
          <w:b/>
          <w:bCs/>
          <w:color w:val="FF0000"/>
          <w:sz w:val="20"/>
        </w:rPr>
      </w:pPr>
    </w:p>
    <w:p w14:paraId="5D378211" w14:textId="14D2A090" w:rsidR="00A65231" w:rsidRPr="00424274" w:rsidRDefault="00A65231" w:rsidP="003F3D34">
      <w:pPr>
        <w:pStyle w:val="Seznam2"/>
        <w:numPr>
          <w:ilvl w:val="0"/>
          <w:numId w:val="15"/>
        </w:numPr>
        <w:spacing w:line="276" w:lineRule="auto"/>
        <w:ind w:right="-44"/>
        <w:rPr>
          <w:rFonts w:ascii="Arial" w:hAnsi="Arial"/>
          <w:b/>
          <w:sz w:val="20"/>
          <w:u w:val="single"/>
        </w:rPr>
      </w:pPr>
      <w:r w:rsidRPr="00424274">
        <w:rPr>
          <w:rFonts w:ascii="Arial" w:hAnsi="Arial"/>
          <w:b/>
          <w:sz w:val="20"/>
          <w:u w:val="single"/>
        </w:rPr>
        <w:t xml:space="preserve">Zakon o preprečevanju pranja denarja in financiranja terorizma (Uradni list RS št. 68/16, </w:t>
      </w:r>
      <w:r w:rsidR="00737FEB" w:rsidRPr="00424274">
        <w:rPr>
          <w:rFonts w:ascii="Arial" w:hAnsi="Arial"/>
          <w:b/>
          <w:sz w:val="20"/>
          <w:u w:val="single"/>
        </w:rPr>
        <w:t>81/19, 91/20 in 2/21</w:t>
      </w:r>
      <w:r w:rsidR="00435608" w:rsidRPr="00424274">
        <w:rPr>
          <w:rFonts w:ascii="Arial" w:hAnsi="Arial"/>
          <w:b/>
          <w:sz w:val="20"/>
          <w:u w:val="single"/>
        </w:rPr>
        <w:t xml:space="preserve"> </w:t>
      </w:r>
      <w:r w:rsidR="00B10268">
        <w:rPr>
          <w:rFonts w:ascii="Arial" w:hAnsi="Arial"/>
          <w:b/>
          <w:sz w:val="20"/>
          <w:u w:val="single"/>
        </w:rPr>
        <w:t>–</w:t>
      </w:r>
      <w:r w:rsidR="00435608" w:rsidRPr="00424274">
        <w:rPr>
          <w:rFonts w:ascii="Arial" w:hAnsi="Arial"/>
          <w:b/>
          <w:sz w:val="20"/>
          <w:u w:val="single"/>
        </w:rPr>
        <w:t xml:space="preserve"> </w:t>
      </w:r>
      <w:proofErr w:type="spellStart"/>
      <w:r w:rsidR="00737FEB" w:rsidRPr="00424274">
        <w:rPr>
          <w:rFonts w:ascii="Arial" w:hAnsi="Arial"/>
          <w:b/>
          <w:sz w:val="20"/>
          <w:u w:val="single"/>
        </w:rPr>
        <w:t>popr</w:t>
      </w:r>
      <w:proofErr w:type="spellEnd"/>
      <w:r w:rsidR="00737FEB" w:rsidRPr="00424274">
        <w:rPr>
          <w:rFonts w:ascii="Arial" w:hAnsi="Arial"/>
          <w:b/>
          <w:sz w:val="20"/>
          <w:u w:val="single"/>
        </w:rPr>
        <w:t>.</w:t>
      </w:r>
      <w:r w:rsidR="00A524E5" w:rsidRPr="00424274">
        <w:rPr>
          <w:rFonts w:ascii="Arial" w:hAnsi="Arial"/>
          <w:b/>
          <w:sz w:val="20"/>
          <w:u w:val="single"/>
        </w:rPr>
        <w:t xml:space="preserve">, </w:t>
      </w:r>
      <w:r w:rsidRPr="00424274">
        <w:rPr>
          <w:rFonts w:ascii="Arial" w:hAnsi="Arial"/>
          <w:b/>
          <w:sz w:val="20"/>
          <w:u w:val="single"/>
        </w:rPr>
        <w:t>ZPPDFT-1)</w:t>
      </w:r>
      <w:r w:rsidR="00BF40D0" w:rsidRPr="00424274">
        <w:rPr>
          <w:rFonts w:ascii="Arial" w:hAnsi="Arial"/>
          <w:b/>
          <w:sz w:val="20"/>
          <w:u w:val="single"/>
        </w:rPr>
        <w:t xml:space="preserve">, ki je </w:t>
      </w:r>
      <w:r w:rsidR="00B10268">
        <w:rPr>
          <w:rFonts w:ascii="Arial" w:hAnsi="Arial"/>
          <w:b/>
          <w:sz w:val="20"/>
          <w:u w:val="single"/>
        </w:rPr>
        <w:t>za</w:t>
      </w:r>
      <w:r w:rsidR="00BF40D0" w:rsidRPr="00424274">
        <w:rPr>
          <w:rFonts w:ascii="Arial" w:hAnsi="Arial"/>
          <w:b/>
          <w:sz w:val="20"/>
          <w:u w:val="single"/>
        </w:rPr>
        <w:t xml:space="preserve">čel veljati </w:t>
      </w:r>
      <w:r w:rsidRPr="00424274">
        <w:rPr>
          <w:rFonts w:ascii="Arial" w:hAnsi="Arial"/>
          <w:b/>
          <w:sz w:val="20"/>
          <w:u w:val="single"/>
        </w:rPr>
        <w:t>19. 11. 2016;</w:t>
      </w:r>
    </w:p>
    <w:p w14:paraId="3585BC6A" w14:textId="77777777" w:rsidR="00587FAF" w:rsidRPr="00424274" w:rsidRDefault="002312E6" w:rsidP="003F3D34">
      <w:pPr>
        <w:pStyle w:val="Seznam2"/>
        <w:numPr>
          <w:ilvl w:val="0"/>
          <w:numId w:val="15"/>
        </w:numPr>
        <w:spacing w:line="276" w:lineRule="auto"/>
        <w:ind w:right="-44"/>
        <w:rPr>
          <w:rFonts w:ascii="Arial" w:hAnsi="Arial"/>
          <w:b/>
          <w:bCs/>
          <w:sz w:val="20"/>
        </w:rPr>
      </w:pPr>
      <w:r w:rsidRPr="00424274">
        <w:rPr>
          <w:rFonts w:ascii="Arial" w:hAnsi="Arial"/>
          <w:b/>
          <w:bCs/>
          <w:sz w:val="20"/>
        </w:rPr>
        <w:t>Pravilnik o izvajanju notranje kontrole, pooblaščencu, hrambi in varstvu podatkov, strokovnem usposabljanju ter upravljanju evidenc pri zavezancih (Uradni list RS, št. 54/17);</w:t>
      </w:r>
    </w:p>
    <w:p w14:paraId="6699FA1C" w14:textId="77777777" w:rsidR="008520C1" w:rsidRPr="00424274" w:rsidRDefault="008520C1" w:rsidP="003F3D34">
      <w:pPr>
        <w:pStyle w:val="Seznam2"/>
        <w:numPr>
          <w:ilvl w:val="0"/>
          <w:numId w:val="15"/>
        </w:numPr>
        <w:spacing w:line="276" w:lineRule="auto"/>
        <w:ind w:right="-44"/>
        <w:rPr>
          <w:rFonts w:ascii="Arial" w:hAnsi="Arial"/>
          <w:b/>
          <w:bCs/>
          <w:sz w:val="20"/>
        </w:rPr>
      </w:pPr>
      <w:r w:rsidRPr="00424274">
        <w:rPr>
          <w:rFonts w:ascii="Arial" w:hAnsi="Arial"/>
          <w:b/>
          <w:bCs/>
          <w:sz w:val="20"/>
        </w:rPr>
        <w:t>Pravilnik o načinu sporočanja podatkov Uradu RS za preprečevanje pranja denarja (Uradni list RS št. 32/17);</w:t>
      </w:r>
    </w:p>
    <w:p w14:paraId="3C1CE894" w14:textId="77777777" w:rsidR="00562809" w:rsidRPr="00424274" w:rsidRDefault="00562809" w:rsidP="003F3D34">
      <w:pPr>
        <w:pStyle w:val="Seznam2"/>
        <w:numPr>
          <w:ilvl w:val="0"/>
          <w:numId w:val="15"/>
        </w:numPr>
        <w:spacing w:line="276" w:lineRule="auto"/>
        <w:ind w:right="-44"/>
        <w:rPr>
          <w:rFonts w:ascii="Arial" w:hAnsi="Arial"/>
          <w:b/>
          <w:bCs/>
          <w:sz w:val="20"/>
        </w:rPr>
      </w:pPr>
      <w:r w:rsidRPr="00424274">
        <w:rPr>
          <w:rFonts w:ascii="Arial" w:hAnsi="Arial"/>
          <w:b/>
          <w:bCs/>
          <w:sz w:val="20"/>
        </w:rPr>
        <w:t>Pravilnik o določitvi pogojev za ugotavljanje in preverjanje istovetnosti stranke z uporabo sredstva elektronske identifikacije (Uradni list RS, št. 50/17);</w:t>
      </w:r>
    </w:p>
    <w:p w14:paraId="3C133887" w14:textId="77777777" w:rsidR="00562809" w:rsidRPr="00424274" w:rsidRDefault="00562809" w:rsidP="003F3D34">
      <w:pPr>
        <w:pStyle w:val="Seznam2"/>
        <w:numPr>
          <w:ilvl w:val="0"/>
          <w:numId w:val="15"/>
        </w:numPr>
        <w:spacing w:line="276" w:lineRule="auto"/>
        <w:ind w:right="-44"/>
        <w:rPr>
          <w:rFonts w:ascii="Arial" w:hAnsi="Arial"/>
          <w:b/>
          <w:bCs/>
          <w:sz w:val="20"/>
        </w:rPr>
      </w:pPr>
      <w:r w:rsidRPr="00424274">
        <w:rPr>
          <w:rFonts w:ascii="Arial" w:hAnsi="Arial"/>
          <w:b/>
          <w:bCs/>
          <w:sz w:val="20"/>
        </w:rPr>
        <w:t xml:space="preserve">Pravilnik o dejavnikih neznatnega in povečanega tveganja za pranje denarja ali financiranje terorizma (Uradni list RS, št. </w:t>
      </w:r>
      <w:r w:rsidR="00587FAF" w:rsidRPr="00424274">
        <w:rPr>
          <w:rFonts w:ascii="Arial" w:hAnsi="Arial"/>
          <w:b/>
          <w:bCs/>
          <w:sz w:val="20"/>
        </w:rPr>
        <w:t>6/18);</w:t>
      </w:r>
    </w:p>
    <w:p w14:paraId="486C66D0" w14:textId="77777777" w:rsidR="00587FAF" w:rsidRPr="00424274" w:rsidRDefault="00587FAF" w:rsidP="003F3D34">
      <w:pPr>
        <w:pStyle w:val="Seznam2"/>
        <w:numPr>
          <w:ilvl w:val="0"/>
          <w:numId w:val="15"/>
        </w:numPr>
        <w:spacing w:line="276" w:lineRule="auto"/>
        <w:ind w:right="-44"/>
        <w:rPr>
          <w:rFonts w:ascii="Arial" w:hAnsi="Arial"/>
          <w:b/>
          <w:bCs/>
          <w:sz w:val="20"/>
        </w:rPr>
      </w:pPr>
      <w:r w:rsidRPr="00424274">
        <w:rPr>
          <w:rFonts w:ascii="Arial" w:hAnsi="Arial"/>
          <w:b/>
          <w:bCs/>
          <w:sz w:val="20"/>
        </w:rPr>
        <w:t>Pravilnik o določitvi pogojev, pod katerimi za nekatere stranke ni treba sporočiti podatkov o gotovinskih transakcijah (Uradni list RS, 31/18);</w:t>
      </w:r>
    </w:p>
    <w:p w14:paraId="01B11641" w14:textId="77777777" w:rsidR="002312E6" w:rsidRPr="00424274" w:rsidRDefault="002312E6" w:rsidP="003F3D34">
      <w:pPr>
        <w:pStyle w:val="Seznam2"/>
        <w:numPr>
          <w:ilvl w:val="0"/>
          <w:numId w:val="15"/>
        </w:numPr>
        <w:spacing w:line="276" w:lineRule="auto"/>
        <w:ind w:right="-44"/>
        <w:rPr>
          <w:rFonts w:ascii="Arial" w:hAnsi="Arial"/>
          <w:b/>
          <w:bCs/>
          <w:sz w:val="20"/>
        </w:rPr>
      </w:pPr>
      <w:r w:rsidRPr="00424274">
        <w:rPr>
          <w:rFonts w:ascii="Arial" w:hAnsi="Arial"/>
          <w:b/>
          <w:bCs/>
          <w:sz w:val="20"/>
        </w:rPr>
        <w:t xml:space="preserve">Pravilnik o tehničnih pogojih, ki jih morajo izpolnjevati </w:t>
      </w:r>
      <w:proofErr w:type="spellStart"/>
      <w:r w:rsidRPr="00424274">
        <w:rPr>
          <w:rFonts w:ascii="Arial" w:hAnsi="Arial"/>
          <w:b/>
          <w:bCs/>
          <w:sz w:val="20"/>
        </w:rPr>
        <w:t>videoelektronska</w:t>
      </w:r>
      <w:proofErr w:type="spellEnd"/>
      <w:r w:rsidRPr="00424274">
        <w:rPr>
          <w:rFonts w:ascii="Arial" w:hAnsi="Arial"/>
          <w:b/>
          <w:bCs/>
          <w:sz w:val="20"/>
        </w:rPr>
        <w:t xml:space="preserve"> identifikacijska sredstva (Uradni list RS, št. 32/18);</w:t>
      </w:r>
    </w:p>
    <w:p w14:paraId="01AF632E" w14:textId="77777777" w:rsidR="002312E6" w:rsidRPr="00424274" w:rsidRDefault="002312E6" w:rsidP="003F3D34">
      <w:pPr>
        <w:pStyle w:val="Seznam2"/>
        <w:numPr>
          <w:ilvl w:val="0"/>
          <w:numId w:val="15"/>
        </w:numPr>
        <w:spacing w:line="276" w:lineRule="auto"/>
        <w:ind w:right="-44"/>
        <w:rPr>
          <w:rFonts w:ascii="Arial" w:hAnsi="Arial"/>
          <w:b/>
          <w:bCs/>
          <w:sz w:val="20"/>
        </w:rPr>
      </w:pPr>
      <w:r w:rsidRPr="00424274">
        <w:rPr>
          <w:rFonts w:ascii="Arial" w:hAnsi="Arial"/>
          <w:b/>
          <w:bCs/>
          <w:sz w:val="20"/>
        </w:rPr>
        <w:t>Pravilnik o službeni izkaznici inšpektorjev za preprečevanje pranja denarja (Uradni list RS, št. 30/17);</w:t>
      </w:r>
    </w:p>
    <w:p w14:paraId="407C8B98" w14:textId="77777777" w:rsidR="00EF408D" w:rsidRPr="00424274" w:rsidRDefault="002312E6" w:rsidP="003F3D34">
      <w:pPr>
        <w:pStyle w:val="Seznam2"/>
        <w:numPr>
          <w:ilvl w:val="0"/>
          <w:numId w:val="15"/>
        </w:numPr>
        <w:spacing w:line="276" w:lineRule="auto"/>
        <w:ind w:right="-44"/>
        <w:rPr>
          <w:rFonts w:ascii="Arial" w:hAnsi="Arial"/>
          <w:b/>
          <w:bCs/>
          <w:sz w:val="20"/>
        </w:rPr>
      </w:pPr>
      <w:r w:rsidRPr="00424274">
        <w:rPr>
          <w:rFonts w:ascii="Arial" w:hAnsi="Arial"/>
          <w:b/>
          <w:bCs/>
          <w:sz w:val="20"/>
        </w:rPr>
        <w:t>Pravilnik o vzpostavitvi, vzdrževanju in upravljanju Registra dejanskih lastnikov (Uradni list RS, št. 66/17);</w:t>
      </w:r>
      <w:r w:rsidR="00EF408D" w:rsidRPr="00424274">
        <w:rPr>
          <w:rFonts w:ascii="Arial" w:hAnsi="Arial"/>
          <w:b/>
          <w:bCs/>
          <w:sz w:val="20"/>
        </w:rPr>
        <w:t xml:space="preserve"> </w:t>
      </w:r>
    </w:p>
    <w:p w14:paraId="05041352" w14:textId="41076897" w:rsidR="00890018" w:rsidRPr="00424274" w:rsidRDefault="00890018" w:rsidP="003F3D34">
      <w:pPr>
        <w:pStyle w:val="Seznam2"/>
        <w:numPr>
          <w:ilvl w:val="0"/>
          <w:numId w:val="15"/>
        </w:numPr>
        <w:spacing w:line="276" w:lineRule="auto"/>
        <w:ind w:right="-44"/>
        <w:rPr>
          <w:rFonts w:ascii="Arial" w:hAnsi="Arial"/>
          <w:b/>
          <w:bCs/>
          <w:sz w:val="20"/>
        </w:rPr>
      </w:pPr>
      <w:r w:rsidRPr="00424274">
        <w:rPr>
          <w:rFonts w:ascii="Arial" w:hAnsi="Arial"/>
          <w:b/>
          <w:bCs/>
          <w:sz w:val="20"/>
        </w:rPr>
        <w:t>Uredba o izvzemu prirediteljev klasičnih iger na srečo iz izvajanja ukrepov za odkrivanje in preprečevanje pranja denarja in financiranja terorizma (Uradni list RS, št. 66/18</w:t>
      </w:r>
      <w:r w:rsidR="00945256" w:rsidRPr="00424274">
        <w:rPr>
          <w:rFonts w:ascii="Arial" w:hAnsi="Arial"/>
          <w:b/>
          <w:bCs/>
          <w:sz w:val="20"/>
        </w:rPr>
        <w:t>)</w:t>
      </w:r>
      <w:r w:rsidRPr="00424274">
        <w:rPr>
          <w:rFonts w:ascii="Arial" w:hAnsi="Arial"/>
          <w:b/>
          <w:bCs/>
          <w:sz w:val="20"/>
        </w:rPr>
        <w:t>;</w:t>
      </w:r>
    </w:p>
    <w:p w14:paraId="5444338F" w14:textId="4455AE8D" w:rsidR="00DF4A92" w:rsidRPr="00424274" w:rsidRDefault="00DF4A92" w:rsidP="00DF4A92">
      <w:pPr>
        <w:pStyle w:val="Telobesedila"/>
        <w:numPr>
          <w:ilvl w:val="0"/>
          <w:numId w:val="15"/>
        </w:numPr>
        <w:spacing w:line="276" w:lineRule="auto"/>
        <w:ind w:right="-22"/>
        <w:rPr>
          <w:b/>
          <w:bCs/>
        </w:rPr>
      </w:pPr>
      <w:r w:rsidRPr="00424274">
        <w:rPr>
          <w:rStyle w:val="Krepko"/>
          <w:rFonts w:ascii="Arial" w:hAnsi="Arial" w:cs="Arial"/>
          <w:sz w:val="20"/>
        </w:rPr>
        <w:t>Uredba o seznamu funkcij, ki se v Republiki Sloveniji štejejo kot vidni javni položaj (Uradni list RS, št. 68/16, 81/19 in 91/20</w:t>
      </w:r>
      <w:r w:rsidR="00435C84" w:rsidRPr="00424274">
        <w:rPr>
          <w:rStyle w:val="Krepko"/>
          <w:rFonts w:ascii="Arial" w:hAnsi="Arial" w:cs="Arial"/>
          <w:sz w:val="20"/>
        </w:rPr>
        <w:t>)</w:t>
      </w:r>
      <w:r w:rsidR="00873AC7">
        <w:rPr>
          <w:rStyle w:val="Krepko"/>
          <w:rFonts w:ascii="Arial" w:hAnsi="Arial" w:cs="Arial"/>
          <w:sz w:val="20"/>
        </w:rPr>
        <w:t>;</w:t>
      </w:r>
    </w:p>
    <w:p w14:paraId="0865D91B" w14:textId="75D20339" w:rsidR="002312E6" w:rsidRPr="00424274" w:rsidRDefault="00EF408D" w:rsidP="003F3D34">
      <w:pPr>
        <w:pStyle w:val="Seznam2"/>
        <w:numPr>
          <w:ilvl w:val="0"/>
          <w:numId w:val="15"/>
        </w:numPr>
        <w:spacing w:line="276" w:lineRule="auto"/>
        <w:ind w:right="-44"/>
        <w:rPr>
          <w:rFonts w:ascii="Arial" w:hAnsi="Arial"/>
          <w:sz w:val="20"/>
        </w:rPr>
      </w:pPr>
      <w:r w:rsidRPr="00424274">
        <w:rPr>
          <w:rFonts w:ascii="Arial" w:hAnsi="Arial"/>
          <w:sz w:val="20"/>
        </w:rPr>
        <w:t xml:space="preserve">Uredba o omejevalnih ukrepih proti Demokratični ljudski republiki Koreji in izvajanju uredb (EU) v zvezi s temi omejevalnimi ukrepi (Uradni list RS, št. 18/2017), ki je </w:t>
      </w:r>
      <w:r w:rsidR="00DC1B8F">
        <w:rPr>
          <w:rFonts w:ascii="Arial" w:hAnsi="Arial"/>
          <w:sz w:val="20"/>
        </w:rPr>
        <w:t>za</w:t>
      </w:r>
      <w:r w:rsidRPr="00424274">
        <w:rPr>
          <w:rFonts w:ascii="Arial" w:hAnsi="Arial"/>
          <w:sz w:val="20"/>
        </w:rPr>
        <w:t>čela veljati 15.</w:t>
      </w:r>
      <w:r w:rsidR="00956CF3" w:rsidRPr="00424274">
        <w:rPr>
          <w:rFonts w:ascii="Arial" w:hAnsi="Arial"/>
          <w:sz w:val="20"/>
        </w:rPr>
        <w:t xml:space="preserve"> </w:t>
      </w:r>
      <w:r w:rsidRPr="00424274">
        <w:rPr>
          <w:rFonts w:ascii="Arial" w:hAnsi="Arial"/>
          <w:sz w:val="20"/>
        </w:rPr>
        <w:t>4.</w:t>
      </w:r>
      <w:r w:rsidR="00956CF3" w:rsidRPr="00424274">
        <w:rPr>
          <w:rFonts w:ascii="Arial" w:hAnsi="Arial"/>
          <w:sz w:val="20"/>
        </w:rPr>
        <w:t xml:space="preserve"> </w:t>
      </w:r>
      <w:r w:rsidRPr="00424274">
        <w:rPr>
          <w:rFonts w:ascii="Arial" w:hAnsi="Arial"/>
          <w:sz w:val="20"/>
        </w:rPr>
        <w:t>2017</w:t>
      </w:r>
      <w:r w:rsidR="00873AC7">
        <w:rPr>
          <w:rFonts w:ascii="Arial" w:hAnsi="Arial"/>
          <w:sz w:val="20"/>
        </w:rPr>
        <w:t>;</w:t>
      </w:r>
    </w:p>
    <w:p w14:paraId="464689A5" w14:textId="591C8571" w:rsidR="00851C49" w:rsidRPr="00424274" w:rsidRDefault="00851C49" w:rsidP="003F3D34">
      <w:pPr>
        <w:pStyle w:val="Seznam2"/>
        <w:numPr>
          <w:ilvl w:val="0"/>
          <w:numId w:val="15"/>
        </w:numPr>
        <w:spacing w:line="276" w:lineRule="auto"/>
        <w:rPr>
          <w:rFonts w:ascii="Arial" w:hAnsi="Arial"/>
          <w:sz w:val="20"/>
        </w:rPr>
      </w:pPr>
      <w:r w:rsidRPr="00424274">
        <w:rPr>
          <w:rFonts w:ascii="Arial" w:hAnsi="Arial"/>
          <w:sz w:val="20"/>
        </w:rPr>
        <w:t>Kazenski zakonik (</w:t>
      </w:r>
      <w:r w:rsidR="004B36E3" w:rsidRPr="00424274">
        <w:rPr>
          <w:rFonts w:ascii="Arial" w:hAnsi="Arial"/>
          <w:sz w:val="20"/>
        </w:rPr>
        <w:t xml:space="preserve">Uradni list RS, št. </w:t>
      </w:r>
      <w:hyperlink r:id="rId12" w:tgtFrame="_blank" w:tooltip="Kazenski zakonik (uradno prečiščeno besedilo)" w:history="1">
        <w:r w:rsidR="004B36E3" w:rsidRPr="00424274">
          <w:rPr>
            <w:rFonts w:ascii="Arial" w:hAnsi="Arial"/>
            <w:sz w:val="20"/>
          </w:rPr>
          <w:t>50/12</w:t>
        </w:r>
      </w:hyperlink>
      <w:r w:rsidR="004B36E3" w:rsidRPr="00424274">
        <w:rPr>
          <w:rFonts w:ascii="Arial" w:hAnsi="Arial"/>
          <w:sz w:val="20"/>
        </w:rPr>
        <w:t xml:space="preserve"> – uradno prečiščeno besedilo, </w:t>
      </w:r>
      <w:hyperlink r:id="rId13" w:tgtFrame="_blank" w:tooltip="Popravek Uradnega prečiščenega besedila Kazenskega zakonika (KZ-1-UPB2p)" w:history="1">
        <w:r w:rsidR="004B36E3" w:rsidRPr="00424274">
          <w:rPr>
            <w:rFonts w:ascii="Arial" w:hAnsi="Arial"/>
            <w:sz w:val="20"/>
          </w:rPr>
          <w:t xml:space="preserve">6/16 – </w:t>
        </w:r>
        <w:proofErr w:type="spellStart"/>
        <w:r w:rsidR="004B36E3" w:rsidRPr="00424274">
          <w:rPr>
            <w:rFonts w:ascii="Arial" w:hAnsi="Arial"/>
            <w:sz w:val="20"/>
          </w:rPr>
          <w:t>popr</w:t>
        </w:r>
        <w:proofErr w:type="spellEnd"/>
        <w:r w:rsidR="004B36E3" w:rsidRPr="00424274">
          <w:rPr>
            <w:rFonts w:ascii="Arial" w:hAnsi="Arial"/>
            <w:sz w:val="20"/>
          </w:rPr>
          <w:t>.</w:t>
        </w:r>
      </w:hyperlink>
      <w:r w:rsidR="004B36E3" w:rsidRPr="00424274">
        <w:rPr>
          <w:rFonts w:ascii="Arial" w:hAnsi="Arial"/>
          <w:sz w:val="20"/>
        </w:rPr>
        <w:t xml:space="preserve">, </w:t>
      </w:r>
      <w:hyperlink r:id="rId14" w:tgtFrame="_blank" w:tooltip="Zakon o spremembah in dopolnitvah Kazenskega zakonika" w:history="1">
        <w:r w:rsidR="004B36E3" w:rsidRPr="00424274">
          <w:rPr>
            <w:rFonts w:ascii="Arial" w:hAnsi="Arial"/>
            <w:sz w:val="20"/>
          </w:rPr>
          <w:t>54/15</w:t>
        </w:r>
      </w:hyperlink>
      <w:r w:rsidR="004B36E3" w:rsidRPr="00424274">
        <w:rPr>
          <w:rFonts w:ascii="Arial" w:hAnsi="Arial"/>
          <w:sz w:val="20"/>
        </w:rPr>
        <w:t xml:space="preserve">, </w:t>
      </w:r>
      <w:hyperlink r:id="rId15" w:tgtFrame="_blank" w:tooltip="Zakon o spremembi Kazenskega zakonika" w:history="1">
        <w:r w:rsidR="004B36E3" w:rsidRPr="00424274">
          <w:rPr>
            <w:rFonts w:ascii="Arial" w:hAnsi="Arial"/>
            <w:sz w:val="20"/>
          </w:rPr>
          <w:t>38/16</w:t>
        </w:r>
      </w:hyperlink>
      <w:r w:rsidR="004B36E3" w:rsidRPr="00424274">
        <w:rPr>
          <w:rFonts w:ascii="Arial" w:hAnsi="Arial"/>
          <w:sz w:val="20"/>
        </w:rPr>
        <w:t xml:space="preserve">, </w:t>
      </w:r>
      <w:hyperlink r:id="rId16" w:tgtFrame="_blank" w:tooltip="Zakon o spremembah in dopolnitvah Kazenskega zakonika" w:history="1">
        <w:r w:rsidR="004B36E3" w:rsidRPr="00424274">
          <w:rPr>
            <w:rFonts w:ascii="Arial" w:hAnsi="Arial"/>
            <w:sz w:val="20"/>
          </w:rPr>
          <w:t>27/17</w:t>
        </w:r>
      </w:hyperlink>
      <w:r w:rsidR="004B36E3" w:rsidRPr="00424274">
        <w:rPr>
          <w:rFonts w:ascii="Arial" w:hAnsi="Arial"/>
          <w:sz w:val="20"/>
        </w:rPr>
        <w:t xml:space="preserve">, </w:t>
      </w:r>
      <w:hyperlink r:id="rId17" w:tgtFrame="_blank" w:tooltip="Zakon o dopolnitvi Kazenskega zakonika" w:history="1">
        <w:r w:rsidR="004B36E3" w:rsidRPr="00424274">
          <w:rPr>
            <w:rFonts w:ascii="Arial" w:hAnsi="Arial"/>
            <w:sz w:val="20"/>
          </w:rPr>
          <w:t>23/20</w:t>
        </w:r>
      </w:hyperlink>
      <w:r w:rsidR="004B36E3" w:rsidRPr="00424274">
        <w:rPr>
          <w:rFonts w:ascii="Arial" w:hAnsi="Arial"/>
          <w:sz w:val="20"/>
        </w:rPr>
        <w:t xml:space="preserve"> in </w:t>
      </w:r>
      <w:hyperlink r:id="rId18" w:tgtFrame="_blank" w:tooltip="Zakon o spremembi Kazenskega zakonika" w:history="1">
        <w:r w:rsidR="004B36E3" w:rsidRPr="00424274">
          <w:rPr>
            <w:rFonts w:ascii="Arial" w:hAnsi="Arial"/>
            <w:sz w:val="20"/>
          </w:rPr>
          <w:t>91/20</w:t>
        </w:r>
      </w:hyperlink>
      <w:r w:rsidR="004B36E3" w:rsidRPr="00424274">
        <w:rPr>
          <w:rFonts w:ascii="Arial" w:hAnsi="Arial"/>
          <w:sz w:val="20"/>
        </w:rPr>
        <w:t>)</w:t>
      </w:r>
      <w:r w:rsidRPr="00424274">
        <w:rPr>
          <w:rFonts w:ascii="Arial" w:hAnsi="Arial"/>
          <w:sz w:val="20"/>
        </w:rPr>
        <w:t>;</w:t>
      </w:r>
    </w:p>
    <w:p w14:paraId="1B1B588F" w14:textId="3CD51F71" w:rsidR="003272D0" w:rsidRPr="00424274" w:rsidRDefault="00851C49" w:rsidP="003F3D34">
      <w:pPr>
        <w:pStyle w:val="Seznam2"/>
        <w:numPr>
          <w:ilvl w:val="0"/>
          <w:numId w:val="15"/>
        </w:numPr>
        <w:spacing w:line="276" w:lineRule="auto"/>
        <w:rPr>
          <w:rFonts w:ascii="Arial" w:hAnsi="Arial"/>
          <w:sz w:val="20"/>
        </w:rPr>
      </w:pPr>
      <w:r w:rsidRPr="00424274">
        <w:rPr>
          <w:rFonts w:ascii="Arial" w:hAnsi="Arial"/>
          <w:sz w:val="20"/>
        </w:rPr>
        <w:t>Zakon o kazenskem postopku (</w:t>
      </w:r>
      <w:r w:rsidR="00EB3BC1" w:rsidRPr="00424274">
        <w:rPr>
          <w:rFonts w:ascii="Arial" w:hAnsi="Arial"/>
          <w:sz w:val="20"/>
        </w:rPr>
        <w:t xml:space="preserve">Uradni list RS, št. </w:t>
      </w:r>
      <w:hyperlink r:id="rId19" w:tgtFrame="_blank" w:tooltip="Zakon o kazenskem postopku (uradno prečiščeno besedilo)" w:history="1">
        <w:r w:rsidR="00EB3BC1" w:rsidRPr="00424274">
          <w:rPr>
            <w:rFonts w:ascii="Arial" w:hAnsi="Arial"/>
            <w:sz w:val="20"/>
          </w:rPr>
          <w:t>32/12</w:t>
        </w:r>
      </w:hyperlink>
      <w:r w:rsidR="00EB3BC1" w:rsidRPr="00424274">
        <w:rPr>
          <w:rFonts w:ascii="Arial" w:hAnsi="Arial"/>
          <w:sz w:val="20"/>
        </w:rPr>
        <w:t xml:space="preserve"> – uradno prečiščeno besedilo, </w:t>
      </w:r>
      <w:hyperlink r:id="rId20" w:tgtFrame="_blank" w:tooltip="Zakon o spremembah in dopolnitvah Zakona o kazenskem postopku" w:history="1">
        <w:r w:rsidR="00EB3BC1" w:rsidRPr="00424274">
          <w:rPr>
            <w:rFonts w:ascii="Arial" w:hAnsi="Arial"/>
            <w:sz w:val="20"/>
          </w:rPr>
          <w:t>47/13</w:t>
        </w:r>
      </w:hyperlink>
      <w:r w:rsidR="00EB3BC1" w:rsidRPr="00424274">
        <w:rPr>
          <w:rFonts w:ascii="Arial" w:hAnsi="Arial"/>
          <w:sz w:val="20"/>
        </w:rPr>
        <w:t xml:space="preserve">, </w:t>
      </w:r>
      <w:hyperlink r:id="rId21" w:tgtFrame="_blank" w:tooltip="Zakon o spremembah in dopolnitvah Zakona o kazenskem postopku" w:history="1">
        <w:r w:rsidR="00EB3BC1" w:rsidRPr="00424274">
          <w:rPr>
            <w:rFonts w:ascii="Arial" w:hAnsi="Arial"/>
            <w:sz w:val="20"/>
          </w:rPr>
          <w:t>87/14</w:t>
        </w:r>
      </w:hyperlink>
      <w:r w:rsidR="00EB3BC1" w:rsidRPr="00424274">
        <w:rPr>
          <w:rFonts w:ascii="Arial" w:hAnsi="Arial"/>
          <w:sz w:val="20"/>
        </w:rPr>
        <w:t xml:space="preserve">, </w:t>
      </w:r>
      <w:hyperlink r:id="rId22" w:tgtFrame="_blank" w:tooltip="Odločba o ugotovitvi, da sta Zakon o kazenskem postopku in Zakon o odvetništvu v neskladju z Ustavo in odločba o ugotovitvi kršitve človekove pravice" w:history="1">
        <w:r w:rsidR="00EB3BC1" w:rsidRPr="00424274">
          <w:rPr>
            <w:rFonts w:ascii="Arial" w:hAnsi="Arial"/>
            <w:sz w:val="20"/>
          </w:rPr>
          <w:t>8/16</w:t>
        </w:r>
      </w:hyperlink>
      <w:r w:rsidR="00EB3BC1" w:rsidRPr="00424274">
        <w:rPr>
          <w:rFonts w:ascii="Arial" w:hAnsi="Arial"/>
          <w:sz w:val="20"/>
        </w:rPr>
        <w:t xml:space="preserve"> – </w:t>
      </w:r>
      <w:proofErr w:type="spellStart"/>
      <w:r w:rsidR="00EB3BC1" w:rsidRPr="00424274">
        <w:rPr>
          <w:rFonts w:ascii="Arial" w:hAnsi="Arial"/>
          <w:sz w:val="20"/>
        </w:rPr>
        <w:t>odl</w:t>
      </w:r>
      <w:proofErr w:type="spellEnd"/>
      <w:r w:rsidR="00EB3BC1" w:rsidRPr="00424274">
        <w:rPr>
          <w:rFonts w:ascii="Arial" w:hAnsi="Arial"/>
          <w:sz w:val="20"/>
        </w:rPr>
        <w:t xml:space="preserve">. US, </w:t>
      </w:r>
      <w:hyperlink r:id="rId23" w:tgtFrame="_blank" w:tooltip="Odločba o razveljavitvi četrtega odstavka 399. člena Zakona o kazenskem postopku, kolikor izključuje pritožbo zoper sklep Vrhovnega sodišča o odreditvi pripora po četrtem odstavku 394. člena v zvezi z drugim odstavkom 398. člena Zakona o kazenskem postopku" w:history="1">
        <w:r w:rsidR="00EB3BC1" w:rsidRPr="00424274">
          <w:rPr>
            <w:rFonts w:ascii="Arial" w:hAnsi="Arial"/>
            <w:sz w:val="20"/>
          </w:rPr>
          <w:t>64/16</w:t>
        </w:r>
      </w:hyperlink>
      <w:r w:rsidR="00EB3BC1" w:rsidRPr="00424274">
        <w:rPr>
          <w:rFonts w:ascii="Arial" w:hAnsi="Arial"/>
          <w:sz w:val="20"/>
        </w:rPr>
        <w:t xml:space="preserve"> – </w:t>
      </w:r>
      <w:proofErr w:type="spellStart"/>
      <w:r w:rsidR="00EB3BC1" w:rsidRPr="00424274">
        <w:rPr>
          <w:rFonts w:ascii="Arial" w:hAnsi="Arial"/>
          <w:sz w:val="20"/>
        </w:rPr>
        <w:t>odl</w:t>
      </w:r>
      <w:proofErr w:type="spellEnd"/>
      <w:r w:rsidR="00EB3BC1" w:rsidRPr="00424274">
        <w:rPr>
          <w:rFonts w:ascii="Arial" w:hAnsi="Arial"/>
          <w:sz w:val="20"/>
        </w:rPr>
        <w:t xml:space="preserve">. US, </w:t>
      </w:r>
      <w:hyperlink r:id="rId24" w:tgtFrame="_blank" w:tooltip="Odločba o razveljavitvi tretje povedi prvega odstavka 78. člena Zakona o kazenskem postopku, kolikor se nanaša na primere, ko je domnevno žaljiva izjava usmerjena osebno zoper sodnika oziroma senat, pred katerim je bila dana oziroma ki je pristojen odločiti o " w:history="1">
        <w:r w:rsidR="00EB3BC1" w:rsidRPr="00424274">
          <w:rPr>
            <w:rFonts w:ascii="Arial" w:hAnsi="Arial"/>
            <w:sz w:val="20"/>
          </w:rPr>
          <w:t>65/16</w:t>
        </w:r>
      </w:hyperlink>
      <w:r w:rsidR="00EB3BC1" w:rsidRPr="00424274">
        <w:rPr>
          <w:rFonts w:ascii="Arial" w:hAnsi="Arial"/>
          <w:sz w:val="20"/>
        </w:rPr>
        <w:t xml:space="preserve"> – </w:t>
      </w:r>
      <w:proofErr w:type="spellStart"/>
      <w:r w:rsidR="00EB3BC1" w:rsidRPr="00424274">
        <w:rPr>
          <w:rFonts w:ascii="Arial" w:hAnsi="Arial"/>
          <w:sz w:val="20"/>
        </w:rPr>
        <w:t>odl</w:t>
      </w:r>
      <w:proofErr w:type="spellEnd"/>
      <w:r w:rsidR="00EB3BC1" w:rsidRPr="00424274">
        <w:rPr>
          <w:rFonts w:ascii="Arial" w:hAnsi="Arial"/>
          <w:sz w:val="20"/>
        </w:rPr>
        <w:t xml:space="preserve">. US, </w:t>
      </w:r>
      <w:hyperlink r:id="rId25" w:tgtFrame="_blank" w:tooltip="Avtentična razlaga četrtega odstavka 153. člena in drugega odstavka 154. člena Zakona o kazenskem postopku" w:history="1">
        <w:r w:rsidR="00EB3BC1" w:rsidRPr="00424274">
          <w:rPr>
            <w:rFonts w:ascii="Arial" w:hAnsi="Arial"/>
            <w:sz w:val="20"/>
          </w:rPr>
          <w:t>66/17</w:t>
        </w:r>
      </w:hyperlink>
      <w:r w:rsidR="00EB3BC1" w:rsidRPr="00424274">
        <w:rPr>
          <w:rFonts w:ascii="Arial" w:hAnsi="Arial"/>
          <w:sz w:val="20"/>
        </w:rPr>
        <w:t xml:space="preserve"> – ORZKP153,154, </w:t>
      </w:r>
      <w:hyperlink r:id="rId26" w:tgtFrame="_blank" w:tooltip="Zakon o spremembah in dopolnitvah Zakona o kazenskem postopku" w:history="1">
        <w:r w:rsidR="00EB3BC1" w:rsidRPr="00424274">
          <w:rPr>
            <w:rFonts w:ascii="Arial" w:hAnsi="Arial"/>
            <w:sz w:val="20"/>
          </w:rPr>
          <w:t>22/19</w:t>
        </w:r>
      </w:hyperlink>
      <w:r w:rsidR="00EB3BC1" w:rsidRPr="00424274">
        <w:rPr>
          <w:rFonts w:ascii="Arial" w:hAnsi="Arial"/>
          <w:sz w:val="20"/>
        </w:rPr>
        <w:t xml:space="preserve">, </w:t>
      </w:r>
      <w:hyperlink r:id="rId27" w:tgtFrame="_blank" w:tooltip="Odločba o ugotovitvi, da je 41. člen Zakona o kazenskem postopku v neskladju z Ustavo in o razveljavitvi sodbe Vrhovnega sodišča" w:history="1">
        <w:r w:rsidR="00EB3BC1" w:rsidRPr="00424274">
          <w:rPr>
            <w:rFonts w:ascii="Arial" w:hAnsi="Arial"/>
            <w:sz w:val="20"/>
          </w:rPr>
          <w:t>55/20</w:t>
        </w:r>
      </w:hyperlink>
      <w:r w:rsidR="00EB3BC1" w:rsidRPr="00424274">
        <w:rPr>
          <w:rFonts w:ascii="Arial" w:hAnsi="Arial"/>
          <w:sz w:val="20"/>
        </w:rPr>
        <w:t xml:space="preserve"> – </w:t>
      </w:r>
      <w:proofErr w:type="spellStart"/>
      <w:r w:rsidR="00EB3BC1" w:rsidRPr="00424274">
        <w:rPr>
          <w:rFonts w:ascii="Arial" w:hAnsi="Arial"/>
          <w:sz w:val="20"/>
        </w:rPr>
        <w:t>odl</w:t>
      </w:r>
      <w:proofErr w:type="spellEnd"/>
      <w:r w:rsidR="00EB3BC1" w:rsidRPr="00424274">
        <w:rPr>
          <w:rFonts w:ascii="Arial" w:hAnsi="Arial"/>
          <w:sz w:val="20"/>
        </w:rPr>
        <w:t xml:space="preserve">. US, </w:t>
      </w:r>
      <w:hyperlink r:id="rId28" w:tgtFrame="_blank" w:tooltip="Odločba o ugotovitvi, da je drugi odstavek 129.a člena Zakona o kazenskem postopku, kolikor določa petnajstdnevni rok za vložitev predloga o nadomestitvi kazni zapora s hišnim zaporom, ki teče od pravnomočnosti sodbe oziroma od zadnje vročitve prepisa sodbe da" w:history="1">
        <w:r w:rsidR="00EB3BC1" w:rsidRPr="00424274">
          <w:rPr>
            <w:rFonts w:ascii="Arial" w:hAnsi="Arial"/>
            <w:sz w:val="20"/>
          </w:rPr>
          <w:t>89/20</w:t>
        </w:r>
      </w:hyperlink>
      <w:r w:rsidR="00EB3BC1" w:rsidRPr="00424274">
        <w:rPr>
          <w:rFonts w:ascii="Arial" w:hAnsi="Arial"/>
          <w:sz w:val="20"/>
        </w:rPr>
        <w:t xml:space="preserve"> – </w:t>
      </w:r>
      <w:proofErr w:type="spellStart"/>
      <w:r w:rsidR="00EB3BC1" w:rsidRPr="00424274">
        <w:rPr>
          <w:rFonts w:ascii="Arial" w:hAnsi="Arial"/>
          <w:sz w:val="20"/>
        </w:rPr>
        <w:t>odl</w:t>
      </w:r>
      <w:proofErr w:type="spellEnd"/>
      <w:r w:rsidR="00EB3BC1" w:rsidRPr="00424274">
        <w:rPr>
          <w:rFonts w:ascii="Arial" w:hAnsi="Arial"/>
          <w:sz w:val="20"/>
        </w:rPr>
        <w:t xml:space="preserve">. US, </w:t>
      </w:r>
      <w:hyperlink r:id="rId29" w:tgtFrame="_blank" w:tooltip="Odločba o ugotovitvi, da je Zakon o kazenskem postopku v neskladju z ustavo, in o ugotovitvi kršitve človekove pravice" w:history="1">
        <w:r w:rsidR="00EB3BC1" w:rsidRPr="00424274">
          <w:rPr>
            <w:rFonts w:ascii="Arial" w:hAnsi="Arial"/>
            <w:sz w:val="20"/>
          </w:rPr>
          <w:t>191/20</w:t>
        </w:r>
      </w:hyperlink>
      <w:r w:rsidR="00EB3BC1" w:rsidRPr="00424274">
        <w:rPr>
          <w:rFonts w:ascii="Arial" w:hAnsi="Arial"/>
          <w:sz w:val="20"/>
        </w:rPr>
        <w:t xml:space="preserve"> – </w:t>
      </w:r>
      <w:proofErr w:type="spellStart"/>
      <w:r w:rsidR="00EB3BC1" w:rsidRPr="00424274">
        <w:rPr>
          <w:rFonts w:ascii="Arial" w:hAnsi="Arial"/>
          <w:sz w:val="20"/>
        </w:rPr>
        <w:t>odl</w:t>
      </w:r>
      <w:proofErr w:type="spellEnd"/>
      <w:r w:rsidR="00EB3BC1" w:rsidRPr="00424274">
        <w:rPr>
          <w:rFonts w:ascii="Arial" w:hAnsi="Arial"/>
          <w:sz w:val="20"/>
        </w:rPr>
        <w:t xml:space="preserve">. US in </w:t>
      </w:r>
      <w:hyperlink r:id="rId30" w:tgtFrame="_blank" w:tooltip="Zakon o spremembah in dopolnitvah Zakona o kazenskem postopku" w:history="1">
        <w:r w:rsidR="00EB3BC1" w:rsidRPr="00424274">
          <w:rPr>
            <w:rFonts w:ascii="Arial" w:hAnsi="Arial"/>
            <w:sz w:val="20"/>
          </w:rPr>
          <w:t>200/20</w:t>
        </w:r>
      </w:hyperlink>
      <w:r w:rsidR="003272D0" w:rsidRPr="00424274">
        <w:rPr>
          <w:rFonts w:ascii="Arial" w:hAnsi="Arial"/>
          <w:sz w:val="20"/>
        </w:rPr>
        <w:t>)</w:t>
      </w:r>
      <w:r w:rsidR="00873AC7">
        <w:rPr>
          <w:rFonts w:ascii="Arial" w:hAnsi="Arial"/>
          <w:sz w:val="20"/>
        </w:rPr>
        <w:t>;</w:t>
      </w:r>
    </w:p>
    <w:p w14:paraId="032122B8" w14:textId="7AB6D130" w:rsidR="00851C49" w:rsidRPr="00424274" w:rsidRDefault="00851C49" w:rsidP="003F3D34">
      <w:pPr>
        <w:pStyle w:val="Seznam2"/>
        <w:numPr>
          <w:ilvl w:val="0"/>
          <w:numId w:val="15"/>
        </w:numPr>
        <w:spacing w:line="276" w:lineRule="auto"/>
        <w:rPr>
          <w:rFonts w:ascii="Arial" w:hAnsi="Arial"/>
          <w:sz w:val="20"/>
        </w:rPr>
      </w:pPr>
      <w:r w:rsidRPr="00424274">
        <w:rPr>
          <w:rFonts w:ascii="Arial" w:hAnsi="Arial"/>
          <w:sz w:val="20"/>
        </w:rPr>
        <w:t>Zakon o odgovornosti pravnih oseb za kazniva dejanja (</w:t>
      </w:r>
      <w:r w:rsidR="00C83FBC" w:rsidRPr="00424274">
        <w:rPr>
          <w:rFonts w:ascii="Arial" w:hAnsi="Arial"/>
          <w:sz w:val="20"/>
        </w:rPr>
        <w:t>Uradni list RS</w:t>
      </w:r>
      <w:r w:rsidR="000F10D1" w:rsidRPr="00424274">
        <w:rPr>
          <w:rFonts w:ascii="Arial" w:hAnsi="Arial"/>
          <w:sz w:val="20"/>
        </w:rPr>
        <w:t>, št. 98/04-UPB1,</w:t>
      </w:r>
      <w:r w:rsidRPr="00424274">
        <w:rPr>
          <w:rFonts w:ascii="Arial" w:hAnsi="Arial"/>
          <w:sz w:val="20"/>
        </w:rPr>
        <w:t xml:space="preserve"> 65/08</w:t>
      </w:r>
      <w:r w:rsidR="000F10D1" w:rsidRPr="00424274">
        <w:rPr>
          <w:rFonts w:ascii="Arial" w:hAnsi="Arial"/>
          <w:sz w:val="20"/>
        </w:rPr>
        <w:t xml:space="preserve"> </w:t>
      </w:r>
      <w:r w:rsidR="000F10D1" w:rsidRPr="00424274">
        <w:rPr>
          <w:rFonts w:ascii="Arial" w:hAnsi="Arial"/>
          <w:sz w:val="20"/>
        </w:rPr>
        <w:lastRenderedPageBreak/>
        <w:t>in 57/12</w:t>
      </w:r>
      <w:r w:rsidR="00167820" w:rsidRPr="00424274">
        <w:rPr>
          <w:rFonts w:ascii="Arial" w:hAnsi="Arial"/>
          <w:sz w:val="20"/>
        </w:rPr>
        <w:t xml:space="preserve"> </w:t>
      </w:r>
      <w:r w:rsidR="008A1626">
        <w:rPr>
          <w:rFonts w:ascii="Arial" w:hAnsi="Arial"/>
          <w:sz w:val="20"/>
        </w:rPr>
        <w:t>–</w:t>
      </w:r>
      <w:r w:rsidRPr="00424274">
        <w:rPr>
          <w:rFonts w:ascii="Arial" w:hAnsi="Arial"/>
          <w:sz w:val="20"/>
        </w:rPr>
        <w:t xml:space="preserve"> ZOPOKD); </w:t>
      </w:r>
    </w:p>
    <w:p w14:paraId="293DAC3C" w14:textId="2E22F329" w:rsidR="00851C49" w:rsidRPr="00424274" w:rsidRDefault="00851C49" w:rsidP="003F3D34">
      <w:pPr>
        <w:pStyle w:val="Seznam2"/>
        <w:numPr>
          <w:ilvl w:val="0"/>
          <w:numId w:val="15"/>
        </w:numPr>
        <w:spacing w:line="276" w:lineRule="auto"/>
        <w:rPr>
          <w:rFonts w:ascii="Arial" w:hAnsi="Arial"/>
          <w:sz w:val="20"/>
        </w:rPr>
      </w:pPr>
      <w:r w:rsidRPr="00424274">
        <w:rPr>
          <w:rFonts w:ascii="Arial" w:hAnsi="Arial"/>
          <w:sz w:val="20"/>
        </w:rPr>
        <w:t>Zakon o odvzemu premoženja nezakonitega izvora (</w:t>
      </w:r>
      <w:r w:rsidR="00C83FBC" w:rsidRPr="00424274">
        <w:rPr>
          <w:rFonts w:ascii="Arial" w:hAnsi="Arial"/>
          <w:sz w:val="20"/>
        </w:rPr>
        <w:t>Uradni list RS</w:t>
      </w:r>
      <w:r w:rsidRPr="00424274">
        <w:rPr>
          <w:rFonts w:ascii="Arial" w:hAnsi="Arial"/>
          <w:sz w:val="20"/>
        </w:rPr>
        <w:t>, št. 91/11</w:t>
      </w:r>
      <w:r w:rsidR="000F10D1" w:rsidRPr="00424274">
        <w:rPr>
          <w:rFonts w:ascii="Arial" w:hAnsi="Arial"/>
          <w:sz w:val="20"/>
        </w:rPr>
        <w:t>,</w:t>
      </w:r>
      <w:r w:rsidR="008B5F80" w:rsidRPr="00424274">
        <w:rPr>
          <w:rFonts w:ascii="Arial" w:hAnsi="Arial"/>
          <w:sz w:val="20"/>
        </w:rPr>
        <w:t xml:space="preserve"> 25/14</w:t>
      </w:r>
      <w:r w:rsidR="000F10D1" w:rsidRPr="00424274">
        <w:rPr>
          <w:rFonts w:ascii="Arial" w:hAnsi="Arial"/>
          <w:sz w:val="20"/>
        </w:rPr>
        <w:t>, 53/18</w:t>
      </w:r>
      <w:r w:rsidR="008A1626">
        <w:rPr>
          <w:rFonts w:ascii="Arial" w:hAnsi="Arial"/>
          <w:sz w:val="20"/>
        </w:rPr>
        <w:t xml:space="preserve"> </w:t>
      </w:r>
      <w:r w:rsidR="00873AC7">
        <w:rPr>
          <w:rFonts w:ascii="Arial" w:hAnsi="Arial"/>
          <w:sz w:val="20"/>
        </w:rPr>
        <w:t>–</w:t>
      </w:r>
      <w:r w:rsidR="000F10D1" w:rsidRPr="00424274">
        <w:rPr>
          <w:rFonts w:ascii="Arial" w:hAnsi="Arial"/>
          <w:sz w:val="20"/>
        </w:rPr>
        <w:t xml:space="preserve"> </w:t>
      </w:r>
      <w:proofErr w:type="spellStart"/>
      <w:r w:rsidR="000F10D1" w:rsidRPr="00424274">
        <w:rPr>
          <w:rFonts w:ascii="Arial" w:hAnsi="Arial"/>
          <w:sz w:val="20"/>
        </w:rPr>
        <w:t>odl</w:t>
      </w:r>
      <w:proofErr w:type="spellEnd"/>
      <w:r w:rsidR="000F10D1" w:rsidRPr="00424274">
        <w:rPr>
          <w:rFonts w:ascii="Arial" w:hAnsi="Arial"/>
          <w:sz w:val="20"/>
        </w:rPr>
        <w:t>.</w:t>
      </w:r>
      <w:r w:rsidR="008A1626">
        <w:rPr>
          <w:rFonts w:ascii="Arial" w:hAnsi="Arial"/>
          <w:sz w:val="20"/>
        </w:rPr>
        <w:t xml:space="preserve"> </w:t>
      </w:r>
      <w:r w:rsidR="000F10D1" w:rsidRPr="00424274">
        <w:rPr>
          <w:rFonts w:ascii="Arial" w:hAnsi="Arial"/>
          <w:sz w:val="20"/>
        </w:rPr>
        <w:t xml:space="preserve">US </w:t>
      </w:r>
      <w:r w:rsidR="008A1626">
        <w:rPr>
          <w:rFonts w:ascii="Arial" w:hAnsi="Arial"/>
          <w:sz w:val="20"/>
        </w:rPr>
        <w:t>–</w:t>
      </w:r>
      <w:r w:rsidR="000F10D1" w:rsidRPr="00424274">
        <w:rPr>
          <w:rFonts w:ascii="Arial" w:hAnsi="Arial"/>
          <w:sz w:val="20"/>
        </w:rPr>
        <w:t xml:space="preserve"> </w:t>
      </w:r>
      <w:r w:rsidRPr="00424274">
        <w:rPr>
          <w:rFonts w:ascii="Arial" w:hAnsi="Arial"/>
          <w:sz w:val="20"/>
        </w:rPr>
        <w:t>ZOPNI)</w:t>
      </w:r>
      <w:r w:rsidR="00250495">
        <w:rPr>
          <w:rFonts w:ascii="Arial" w:hAnsi="Arial"/>
          <w:sz w:val="20"/>
        </w:rPr>
        <w:t>;</w:t>
      </w:r>
    </w:p>
    <w:p w14:paraId="3E0546E7" w14:textId="0DD72930" w:rsidR="00851C49" w:rsidRPr="00424274" w:rsidRDefault="00851C49" w:rsidP="003F3D34">
      <w:pPr>
        <w:pStyle w:val="Seznam2"/>
        <w:numPr>
          <w:ilvl w:val="0"/>
          <w:numId w:val="15"/>
        </w:numPr>
        <w:spacing w:line="276" w:lineRule="auto"/>
        <w:rPr>
          <w:rFonts w:ascii="Arial" w:hAnsi="Arial"/>
          <w:b/>
          <w:bCs/>
          <w:sz w:val="20"/>
        </w:rPr>
      </w:pPr>
      <w:r w:rsidRPr="00424274">
        <w:rPr>
          <w:rFonts w:ascii="Arial" w:hAnsi="Arial"/>
          <w:sz w:val="20"/>
        </w:rPr>
        <w:t>Zakon o bančništvu</w:t>
      </w:r>
      <w:r w:rsidRPr="00424274">
        <w:rPr>
          <w:rFonts w:ascii="Arial" w:hAnsi="Arial"/>
          <w:b/>
          <w:bCs/>
          <w:sz w:val="20"/>
        </w:rPr>
        <w:t xml:space="preserve"> </w:t>
      </w:r>
      <w:r w:rsidRPr="00424274">
        <w:rPr>
          <w:rFonts w:ascii="Arial" w:hAnsi="Arial"/>
          <w:sz w:val="20"/>
        </w:rPr>
        <w:t>(</w:t>
      </w:r>
      <w:r w:rsidR="00252B75" w:rsidRPr="00424274">
        <w:rPr>
          <w:rFonts w:ascii="Arial" w:hAnsi="Arial"/>
          <w:sz w:val="20"/>
        </w:rPr>
        <w:t xml:space="preserve">Uradni list RS, št. </w:t>
      </w:r>
      <w:hyperlink r:id="rId31" w:tgtFrame="_blank" w:tooltip="Zakon o bančništvu (ZBan-2)" w:history="1">
        <w:r w:rsidR="00252B75" w:rsidRPr="00424274">
          <w:rPr>
            <w:rFonts w:ascii="Arial" w:hAnsi="Arial"/>
            <w:sz w:val="20"/>
          </w:rPr>
          <w:t>25/15</w:t>
        </w:r>
      </w:hyperlink>
      <w:r w:rsidR="00252B75" w:rsidRPr="00424274">
        <w:rPr>
          <w:rFonts w:ascii="Arial" w:hAnsi="Arial"/>
          <w:sz w:val="20"/>
        </w:rPr>
        <w:t xml:space="preserve">, </w:t>
      </w:r>
      <w:hyperlink r:id="rId32" w:tgtFrame="_blank" w:tooltip="Zakon o reševanju in prisilnem prenehanju bank" w:history="1">
        <w:r w:rsidR="00252B75" w:rsidRPr="00424274">
          <w:rPr>
            <w:rFonts w:ascii="Arial" w:hAnsi="Arial"/>
            <w:sz w:val="20"/>
          </w:rPr>
          <w:t>44/16</w:t>
        </w:r>
      </w:hyperlink>
      <w:r w:rsidR="00252B75" w:rsidRPr="00424274">
        <w:rPr>
          <w:rFonts w:ascii="Arial" w:hAnsi="Arial"/>
          <w:sz w:val="20"/>
        </w:rPr>
        <w:t xml:space="preserve"> – ZRPPB, </w:t>
      </w:r>
      <w:hyperlink r:id="rId33" w:tgtFrame="_blank" w:tooltip="Zakon o centralnem kreditnem registru" w:history="1">
        <w:r w:rsidR="00252B75" w:rsidRPr="00424274">
          <w:rPr>
            <w:rFonts w:ascii="Arial" w:hAnsi="Arial"/>
            <w:sz w:val="20"/>
          </w:rPr>
          <w:t>77/16</w:t>
        </w:r>
      </w:hyperlink>
      <w:r w:rsidR="00252B75" w:rsidRPr="00424274">
        <w:rPr>
          <w:rFonts w:ascii="Arial" w:hAnsi="Arial"/>
          <w:sz w:val="20"/>
        </w:rPr>
        <w:t xml:space="preserve"> – ZCKR, </w:t>
      </w:r>
      <w:hyperlink r:id="rId34" w:tgtFrame="_blank" w:tooltip="Zakon o spremembah in dopolnitvah Zakona o bančništvu" w:history="1">
        <w:r w:rsidR="00252B75" w:rsidRPr="00424274">
          <w:rPr>
            <w:rFonts w:ascii="Arial" w:hAnsi="Arial"/>
            <w:sz w:val="20"/>
          </w:rPr>
          <w:t>41/17</w:t>
        </w:r>
      </w:hyperlink>
      <w:r w:rsidR="00252B75" w:rsidRPr="00424274">
        <w:rPr>
          <w:rFonts w:ascii="Arial" w:hAnsi="Arial"/>
          <w:sz w:val="20"/>
        </w:rPr>
        <w:t xml:space="preserve">, </w:t>
      </w:r>
      <w:hyperlink r:id="rId35" w:tgtFrame="_blank" w:tooltip="Zakon o trgu finančnih instrumentov" w:history="1">
        <w:r w:rsidR="00252B75" w:rsidRPr="00424274">
          <w:rPr>
            <w:rFonts w:ascii="Arial" w:hAnsi="Arial"/>
            <w:sz w:val="20"/>
          </w:rPr>
          <w:t>77/18</w:t>
        </w:r>
      </w:hyperlink>
      <w:r w:rsidR="00252B75" w:rsidRPr="00424274">
        <w:rPr>
          <w:rFonts w:ascii="Arial" w:hAnsi="Arial"/>
          <w:sz w:val="20"/>
        </w:rPr>
        <w:t xml:space="preserve"> – ZTFI-1, </w:t>
      </w:r>
      <w:hyperlink r:id="rId36" w:tgtFrame="_blank" w:tooltip="Zakon o izvajanju Uredbe (EU) o določitvi splošnega okvira za listinjenje in o vzpostavitvi posebnega okvira za enostavno, pregledno in standardizirano listinjenje" w:history="1">
        <w:r w:rsidR="00252B75" w:rsidRPr="00424274">
          <w:rPr>
            <w:rFonts w:ascii="Arial" w:hAnsi="Arial"/>
            <w:sz w:val="20"/>
          </w:rPr>
          <w:t>22/19</w:t>
        </w:r>
      </w:hyperlink>
      <w:r w:rsidR="00252B75" w:rsidRPr="00424274">
        <w:rPr>
          <w:rFonts w:ascii="Arial" w:hAnsi="Arial"/>
          <w:sz w:val="20"/>
        </w:rPr>
        <w:t xml:space="preserve"> – ZIUDSOL in </w:t>
      </w:r>
      <w:hyperlink r:id="rId37" w:tgtFrame="_blank" w:tooltip="Odločba o razveljavitvi četrtega odstavka 33. člena Zakona o bančništvu" w:history="1">
        <w:r w:rsidR="00252B75" w:rsidRPr="00424274">
          <w:rPr>
            <w:rFonts w:ascii="Arial" w:hAnsi="Arial"/>
            <w:sz w:val="20"/>
          </w:rPr>
          <w:t>44/19</w:t>
        </w:r>
      </w:hyperlink>
      <w:r w:rsidR="00252B75" w:rsidRPr="00424274">
        <w:rPr>
          <w:rFonts w:ascii="Arial" w:hAnsi="Arial"/>
          <w:sz w:val="20"/>
        </w:rPr>
        <w:t xml:space="preserve"> – </w:t>
      </w:r>
      <w:proofErr w:type="spellStart"/>
      <w:r w:rsidR="00252B75" w:rsidRPr="00424274">
        <w:rPr>
          <w:rFonts w:ascii="Arial" w:hAnsi="Arial"/>
          <w:sz w:val="20"/>
        </w:rPr>
        <w:t>odl</w:t>
      </w:r>
      <w:proofErr w:type="spellEnd"/>
      <w:r w:rsidR="00252B75" w:rsidRPr="00424274">
        <w:rPr>
          <w:rFonts w:ascii="Arial" w:hAnsi="Arial"/>
          <w:sz w:val="20"/>
        </w:rPr>
        <w:t xml:space="preserve">. US </w:t>
      </w:r>
      <w:r w:rsidR="00873AC7">
        <w:rPr>
          <w:rFonts w:ascii="Arial" w:hAnsi="Arial"/>
          <w:sz w:val="20"/>
        </w:rPr>
        <w:t>–</w:t>
      </w:r>
      <w:r w:rsidR="00167820" w:rsidRPr="00424274">
        <w:rPr>
          <w:rFonts w:ascii="Arial" w:hAnsi="Arial"/>
          <w:sz w:val="20"/>
        </w:rPr>
        <w:t xml:space="preserve"> </w:t>
      </w:r>
      <w:r w:rsidR="000F10D1" w:rsidRPr="00424274">
        <w:rPr>
          <w:rFonts w:ascii="Arial" w:hAnsi="Arial"/>
          <w:sz w:val="20"/>
        </w:rPr>
        <w:t>Z</w:t>
      </w:r>
      <w:r w:rsidR="00752EAA" w:rsidRPr="00424274">
        <w:rPr>
          <w:rFonts w:ascii="Arial" w:hAnsi="Arial"/>
          <w:sz w:val="20"/>
        </w:rPr>
        <w:t>B</w:t>
      </w:r>
      <w:r w:rsidR="000F10D1" w:rsidRPr="00424274">
        <w:rPr>
          <w:rFonts w:ascii="Arial" w:hAnsi="Arial"/>
          <w:sz w:val="20"/>
        </w:rPr>
        <w:t>an-2</w:t>
      </w:r>
      <w:r w:rsidRPr="00424274">
        <w:rPr>
          <w:rFonts w:ascii="Arial" w:hAnsi="Arial"/>
          <w:sz w:val="20"/>
        </w:rPr>
        <w:t>);</w:t>
      </w:r>
    </w:p>
    <w:p w14:paraId="550FB5BD" w14:textId="1253E03F" w:rsidR="000F10D1" w:rsidRPr="00424274" w:rsidRDefault="00BA5243" w:rsidP="003F3D34">
      <w:pPr>
        <w:pStyle w:val="Seznam2"/>
        <w:numPr>
          <w:ilvl w:val="0"/>
          <w:numId w:val="15"/>
        </w:numPr>
        <w:spacing w:line="276" w:lineRule="auto"/>
        <w:rPr>
          <w:rFonts w:ascii="Arial" w:hAnsi="Arial"/>
          <w:sz w:val="20"/>
        </w:rPr>
      </w:pPr>
      <w:r w:rsidRPr="00424274">
        <w:rPr>
          <w:rFonts w:ascii="Arial" w:hAnsi="Arial"/>
          <w:sz w:val="20"/>
        </w:rPr>
        <w:t xml:space="preserve">Zakon o plačilnih storitvah, storitvah izdajanja elektronskega denarja in plačilnih sistemih (Uradni list RS, št. </w:t>
      </w:r>
      <w:hyperlink r:id="rId38" w:tgtFrame="_blank" w:tooltip="Zakon o plačilnih storitvah, storitvah izdajanja elektronskega denarja in plačilnih sistemih (ZPlaSSIED)" w:history="1">
        <w:r w:rsidRPr="00424274">
          <w:rPr>
            <w:rFonts w:ascii="Arial" w:hAnsi="Arial"/>
            <w:sz w:val="20"/>
          </w:rPr>
          <w:t>7/18</w:t>
        </w:r>
      </w:hyperlink>
      <w:r w:rsidRPr="00424274">
        <w:rPr>
          <w:rFonts w:ascii="Arial" w:hAnsi="Arial"/>
          <w:sz w:val="20"/>
        </w:rPr>
        <w:t xml:space="preserve">, </w:t>
      </w:r>
      <w:hyperlink r:id="rId39" w:tgtFrame="_blank" w:tooltip="Popravek Zakona o plačilnih storitvah, storitvah izdajanja elektronskega denarja in plačilnih sistemih (ZPlaSSIED)" w:history="1">
        <w:r w:rsidRPr="00424274">
          <w:rPr>
            <w:rFonts w:ascii="Arial" w:hAnsi="Arial"/>
            <w:sz w:val="20"/>
          </w:rPr>
          <w:t xml:space="preserve">9/18 – </w:t>
        </w:r>
        <w:proofErr w:type="spellStart"/>
        <w:r w:rsidRPr="00424274">
          <w:rPr>
            <w:rFonts w:ascii="Arial" w:hAnsi="Arial"/>
            <w:sz w:val="20"/>
          </w:rPr>
          <w:t>popr</w:t>
        </w:r>
        <w:proofErr w:type="spellEnd"/>
        <w:r w:rsidRPr="00424274">
          <w:rPr>
            <w:rFonts w:ascii="Arial" w:hAnsi="Arial"/>
            <w:sz w:val="20"/>
          </w:rPr>
          <w:t>.</w:t>
        </w:r>
      </w:hyperlink>
      <w:r w:rsidRPr="00424274">
        <w:rPr>
          <w:rFonts w:ascii="Arial" w:hAnsi="Arial"/>
          <w:sz w:val="20"/>
        </w:rPr>
        <w:t xml:space="preserve"> in </w:t>
      </w:r>
      <w:hyperlink r:id="rId40" w:tgtFrame="_blank" w:tooltip="Zakon o spremembah in dopolnitvah Zakona o plačilnih storitvah, storitvah izdajanja elektronskega denarja in plačilnih sistemih " w:history="1">
        <w:r w:rsidRPr="00424274">
          <w:rPr>
            <w:rFonts w:ascii="Arial" w:hAnsi="Arial"/>
            <w:sz w:val="20"/>
          </w:rPr>
          <w:t>102/20</w:t>
        </w:r>
      </w:hyperlink>
      <w:r w:rsidRPr="00424274">
        <w:rPr>
          <w:rFonts w:ascii="Arial" w:hAnsi="Arial"/>
          <w:sz w:val="20"/>
        </w:rPr>
        <w:t xml:space="preserve"> </w:t>
      </w:r>
      <w:r w:rsidR="008A1626">
        <w:rPr>
          <w:rFonts w:ascii="Arial" w:hAnsi="Arial"/>
          <w:sz w:val="20"/>
        </w:rPr>
        <w:t>–</w:t>
      </w:r>
      <w:r w:rsidR="000F10D1" w:rsidRPr="00424274">
        <w:rPr>
          <w:rFonts w:ascii="Arial" w:hAnsi="Arial"/>
          <w:sz w:val="20"/>
        </w:rPr>
        <w:t xml:space="preserve"> </w:t>
      </w:r>
      <w:proofErr w:type="spellStart"/>
      <w:r w:rsidR="000F10D1" w:rsidRPr="00424274">
        <w:rPr>
          <w:rFonts w:ascii="Arial" w:hAnsi="Arial"/>
          <w:sz w:val="20"/>
        </w:rPr>
        <w:t>ZPlaSSIED</w:t>
      </w:r>
      <w:proofErr w:type="spellEnd"/>
      <w:r w:rsidR="000F10D1" w:rsidRPr="00424274">
        <w:rPr>
          <w:rFonts w:ascii="Arial" w:hAnsi="Arial"/>
          <w:sz w:val="20"/>
        </w:rPr>
        <w:t>)</w:t>
      </w:r>
      <w:r w:rsidR="00F40967" w:rsidRPr="00424274">
        <w:rPr>
          <w:rFonts w:ascii="Arial" w:hAnsi="Arial"/>
          <w:sz w:val="20"/>
        </w:rPr>
        <w:t>;</w:t>
      </w:r>
    </w:p>
    <w:p w14:paraId="56BBEFE5" w14:textId="7FBD62D2" w:rsidR="00851C49" w:rsidRPr="00424274" w:rsidRDefault="00851C49" w:rsidP="003F3D34">
      <w:pPr>
        <w:pStyle w:val="Seznam2"/>
        <w:numPr>
          <w:ilvl w:val="0"/>
          <w:numId w:val="15"/>
        </w:numPr>
        <w:spacing w:line="276" w:lineRule="auto"/>
        <w:rPr>
          <w:rFonts w:ascii="Arial" w:hAnsi="Arial"/>
          <w:sz w:val="20"/>
        </w:rPr>
      </w:pPr>
      <w:r w:rsidRPr="00424274">
        <w:rPr>
          <w:rFonts w:ascii="Arial" w:hAnsi="Arial"/>
          <w:sz w:val="20"/>
        </w:rPr>
        <w:t>Zakon o trgu finančnih instrumentov</w:t>
      </w:r>
      <w:r w:rsidRPr="00424274">
        <w:rPr>
          <w:rFonts w:ascii="Arial" w:hAnsi="Arial"/>
          <w:b/>
          <w:bCs/>
          <w:sz w:val="20"/>
        </w:rPr>
        <w:t xml:space="preserve"> </w:t>
      </w:r>
      <w:r w:rsidR="001F3D75" w:rsidRPr="00424274">
        <w:rPr>
          <w:rFonts w:ascii="Arial" w:hAnsi="Arial"/>
          <w:sz w:val="20"/>
        </w:rPr>
        <w:t xml:space="preserve">(Uradni list RS, št. </w:t>
      </w:r>
      <w:hyperlink r:id="rId41" w:tgtFrame="_blank" w:tooltip="Zakon o trgu finančnih instrumentov (ZTFI-1)" w:history="1">
        <w:r w:rsidR="001F3D75" w:rsidRPr="00424274">
          <w:rPr>
            <w:rFonts w:ascii="Arial" w:hAnsi="Arial"/>
            <w:sz w:val="20"/>
          </w:rPr>
          <w:t>77/18</w:t>
        </w:r>
      </w:hyperlink>
      <w:r w:rsidR="001F3D75" w:rsidRPr="00424274">
        <w:rPr>
          <w:rFonts w:ascii="Arial" w:hAnsi="Arial"/>
          <w:sz w:val="20"/>
        </w:rPr>
        <w:t xml:space="preserve">, </w:t>
      </w:r>
      <w:hyperlink r:id="rId42" w:tgtFrame="_blank" w:tooltip="Popravek Zakona o trgu finančnih instrumentov (ZTFI-1)" w:history="1">
        <w:r w:rsidR="001F3D75" w:rsidRPr="00424274">
          <w:rPr>
            <w:rFonts w:ascii="Arial" w:hAnsi="Arial"/>
            <w:sz w:val="20"/>
          </w:rPr>
          <w:t xml:space="preserve">17/19 – </w:t>
        </w:r>
        <w:proofErr w:type="spellStart"/>
        <w:r w:rsidR="001F3D75" w:rsidRPr="00424274">
          <w:rPr>
            <w:rFonts w:ascii="Arial" w:hAnsi="Arial"/>
            <w:sz w:val="20"/>
          </w:rPr>
          <w:t>popr</w:t>
        </w:r>
        <w:proofErr w:type="spellEnd"/>
        <w:r w:rsidR="001F3D75" w:rsidRPr="00424274">
          <w:rPr>
            <w:rFonts w:ascii="Arial" w:hAnsi="Arial"/>
            <w:sz w:val="20"/>
          </w:rPr>
          <w:t>.</w:t>
        </w:r>
      </w:hyperlink>
      <w:r w:rsidR="001F3D75" w:rsidRPr="00424274">
        <w:rPr>
          <w:rFonts w:ascii="Arial" w:hAnsi="Arial"/>
          <w:sz w:val="20"/>
        </w:rPr>
        <w:t xml:space="preserve"> in </w:t>
      </w:r>
      <w:hyperlink r:id="rId43" w:tgtFrame="_blank" w:tooltip="Zakon o spremembah in dopolnitvah Zakona o trgu finančnih instrumentov" w:history="1">
        <w:r w:rsidR="001F3D75" w:rsidRPr="00424274">
          <w:rPr>
            <w:rFonts w:ascii="Arial" w:hAnsi="Arial"/>
            <w:sz w:val="20"/>
          </w:rPr>
          <w:t>66/19</w:t>
        </w:r>
      </w:hyperlink>
      <w:r w:rsidR="001F3D75" w:rsidRPr="00424274">
        <w:rPr>
          <w:rFonts w:ascii="Arial" w:hAnsi="Arial"/>
          <w:sz w:val="20"/>
        </w:rPr>
        <w:t>) –</w:t>
      </w:r>
      <w:r w:rsidR="000F10D1" w:rsidRPr="00424274">
        <w:rPr>
          <w:rFonts w:ascii="Arial" w:hAnsi="Arial"/>
          <w:sz w:val="20"/>
        </w:rPr>
        <w:t xml:space="preserve"> ZTFI</w:t>
      </w:r>
      <w:r w:rsidR="001F3D75" w:rsidRPr="00424274">
        <w:rPr>
          <w:rFonts w:ascii="Arial" w:hAnsi="Arial"/>
          <w:sz w:val="20"/>
        </w:rPr>
        <w:t xml:space="preserve"> - 1</w:t>
      </w:r>
      <w:r w:rsidRPr="00424274">
        <w:rPr>
          <w:rFonts w:ascii="Arial" w:hAnsi="Arial"/>
          <w:sz w:val="20"/>
        </w:rPr>
        <w:t xml:space="preserve">); </w:t>
      </w:r>
    </w:p>
    <w:p w14:paraId="02EF150A" w14:textId="36CE8124" w:rsidR="00851C49" w:rsidRPr="00424274" w:rsidRDefault="00851C49" w:rsidP="003F3D34">
      <w:pPr>
        <w:pStyle w:val="Seznam2"/>
        <w:numPr>
          <w:ilvl w:val="0"/>
          <w:numId w:val="15"/>
        </w:numPr>
        <w:spacing w:line="276" w:lineRule="auto"/>
        <w:rPr>
          <w:rFonts w:ascii="Arial" w:hAnsi="Arial"/>
          <w:sz w:val="20"/>
        </w:rPr>
      </w:pPr>
      <w:r w:rsidRPr="00424274">
        <w:rPr>
          <w:rFonts w:ascii="Arial" w:hAnsi="Arial"/>
          <w:sz w:val="20"/>
        </w:rPr>
        <w:t>Zakon o deviznem poslovanju (</w:t>
      </w:r>
      <w:r w:rsidR="00C83FBC" w:rsidRPr="00424274">
        <w:rPr>
          <w:rFonts w:ascii="Arial" w:hAnsi="Arial"/>
          <w:sz w:val="20"/>
        </w:rPr>
        <w:t>Uradni list RS</w:t>
      </w:r>
      <w:r w:rsidRPr="00424274">
        <w:rPr>
          <w:rFonts w:ascii="Arial" w:hAnsi="Arial"/>
          <w:sz w:val="20"/>
        </w:rPr>
        <w:t>, št.</w:t>
      </w:r>
      <w:r w:rsidR="008A1626">
        <w:rPr>
          <w:rFonts w:ascii="Arial" w:hAnsi="Arial"/>
          <w:sz w:val="20"/>
        </w:rPr>
        <w:t xml:space="preserve"> </w:t>
      </w:r>
      <w:r w:rsidRPr="00424274">
        <w:rPr>
          <w:rFonts w:ascii="Arial" w:hAnsi="Arial"/>
          <w:sz w:val="20"/>
        </w:rPr>
        <w:t>16/08,</w:t>
      </w:r>
      <w:r w:rsidR="000F10D1" w:rsidRPr="00424274">
        <w:rPr>
          <w:rFonts w:ascii="Arial" w:hAnsi="Arial"/>
          <w:sz w:val="20"/>
        </w:rPr>
        <w:t xml:space="preserve"> 85/09 in 109/12</w:t>
      </w:r>
      <w:r w:rsidR="00873AC7">
        <w:rPr>
          <w:rFonts w:ascii="Arial" w:hAnsi="Arial"/>
          <w:sz w:val="20"/>
        </w:rPr>
        <w:t xml:space="preserve"> –</w:t>
      </w:r>
      <w:r w:rsidRPr="00424274">
        <w:rPr>
          <w:rFonts w:ascii="Arial" w:hAnsi="Arial"/>
          <w:sz w:val="20"/>
        </w:rPr>
        <w:t xml:space="preserve"> ZDP-2);</w:t>
      </w:r>
    </w:p>
    <w:p w14:paraId="2906C2E0" w14:textId="62425998" w:rsidR="00851C49" w:rsidRPr="00424274" w:rsidRDefault="00851C49" w:rsidP="003F3D34">
      <w:pPr>
        <w:pStyle w:val="Seznam2"/>
        <w:numPr>
          <w:ilvl w:val="0"/>
          <w:numId w:val="15"/>
        </w:numPr>
        <w:spacing w:line="276" w:lineRule="auto"/>
        <w:rPr>
          <w:rFonts w:ascii="Arial" w:hAnsi="Arial"/>
          <w:sz w:val="20"/>
        </w:rPr>
      </w:pPr>
      <w:r w:rsidRPr="00424274">
        <w:rPr>
          <w:rFonts w:ascii="Arial" w:hAnsi="Arial"/>
          <w:sz w:val="20"/>
        </w:rPr>
        <w:t xml:space="preserve">Zakon o ratifikaciji </w:t>
      </w:r>
      <w:r w:rsidR="00407364">
        <w:rPr>
          <w:rFonts w:ascii="Arial" w:hAnsi="Arial"/>
          <w:sz w:val="20"/>
        </w:rPr>
        <w:t>K</w:t>
      </w:r>
      <w:r w:rsidRPr="00424274">
        <w:rPr>
          <w:rFonts w:ascii="Arial" w:hAnsi="Arial"/>
          <w:sz w:val="20"/>
        </w:rPr>
        <w:t>onvencije Združenih narodov zoper nezakonit promet mamil in psihotropnih snovi (Ur</w:t>
      </w:r>
      <w:r w:rsidR="008A1626">
        <w:rPr>
          <w:rFonts w:ascii="Arial" w:hAnsi="Arial"/>
          <w:sz w:val="20"/>
        </w:rPr>
        <w:t>adni list</w:t>
      </w:r>
      <w:r w:rsidRPr="00424274">
        <w:rPr>
          <w:rFonts w:ascii="Arial" w:hAnsi="Arial"/>
          <w:sz w:val="20"/>
        </w:rPr>
        <w:t xml:space="preserve"> SFRJ, MP, št. 14/90); </w:t>
      </w:r>
    </w:p>
    <w:p w14:paraId="036EE598" w14:textId="3796C467" w:rsidR="00851C49" w:rsidRPr="00424274" w:rsidRDefault="00851C49" w:rsidP="003F3D34">
      <w:pPr>
        <w:pStyle w:val="Seznam2"/>
        <w:numPr>
          <w:ilvl w:val="0"/>
          <w:numId w:val="15"/>
        </w:numPr>
        <w:spacing w:line="276" w:lineRule="auto"/>
        <w:rPr>
          <w:rFonts w:ascii="Arial" w:hAnsi="Arial"/>
          <w:sz w:val="20"/>
        </w:rPr>
      </w:pPr>
      <w:r w:rsidRPr="00424274">
        <w:rPr>
          <w:rFonts w:ascii="Arial" w:hAnsi="Arial"/>
          <w:sz w:val="20"/>
        </w:rPr>
        <w:t>Zakon o ratifikaciji Konvencije Sveta Evrope o pranju, odkrivanju, zasegu in zaplembi premoženjske koristi, pridobljene s kaznivim dejanjem, in o financiranju terorizma (</w:t>
      </w:r>
      <w:r w:rsidR="005371BD" w:rsidRPr="00424274">
        <w:rPr>
          <w:rFonts w:ascii="Arial" w:hAnsi="Arial"/>
          <w:sz w:val="20"/>
        </w:rPr>
        <w:t xml:space="preserve">Uradni list RS – Mednarodne pogodbe, št. </w:t>
      </w:r>
      <w:hyperlink r:id="rId44" w:tgtFrame="_blank" w:tooltip="Zakon o ratifikaciji Konvencije Sveta Evrope o pranju, odkrivanju, zasegu in zaplembi premoženjske koristi, pridobljene s kaznivim dejanjem, in o financiranju terorizma (MKPOZZ)" w:history="1">
        <w:r w:rsidR="005371BD" w:rsidRPr="00424274">
          <w:rPr>
            <w:rFonts w:ascii="Arial" w:hAnsi="Arial"/>
            <w:sz w:val="20"/>
          </w:rPr>
          <w:t>4/10</w:t>
        </w:r>
      </w:hyperlink>
      <w:r w:rsidRPr="00424274">
        <w:rPr>
          <w:rFonts w:ascii="Arial" w:hAnsi="Arial"/>
          <w:sz w:val="20"/>
        </w:rPr>
        <w:t xml:space="preserve">); </w:t>
      </w:r>
    </w:p>
    <w:p w14:paraId="506AB702" w14:textId="2EC98E20" w:rsidR="00851C49" w:rsidRPr="00424274" w:rsidRDefault="00851C49" w:rsidP="003F3D34">
      <w:pPr>
        <w:pStyle w:val="Seznam2"/>
        <w:numPr>
          <w:ilvl w:val="0"/>
          <w:numId w:val="15"/>
        </w:numPr>
        <w:spacing w:line="276" w:lineRule="auto"/>
        <w:rPr>
          <w:rFonts w:ascii="Arial" w:hAnsi="Arial"/>
          <w:sz w:val="20"/>
        </w:rPr>
      </w:pPr>
      <w:r w:rsidRPr="00424274">
        <w:rPr>
          <w:rFonts w:ascii="Arial" w:hAnsi="Arial"/>
          <w:sz w:val="20"/>
        </w:rPr>
        <w:t xml:space="preserve">Zakon o ratifikaciji </w:t>
      </w:r>
      <w:r w:rsidR="00873AC7">
        <w:rPr>
          <w:rFonts w:ascii="Arial" w:hAnsi="Arial"/>
          <w:sz w:val="20"/>
        </w:rPr>
        <w:t>K</w:t>
      </w:r>
      <w:r w:rsidRPr="00424274">
        <w:rPr>
          <w:rFonts w:ascii="Arial" w:hAnsi="Arial"/>
          <w:sz w:val="20"/>
        </w:rPr>
        <w:t>azenskopravne konvencije Sveta Evrope o korupciji (</w:t>
      </w:r>
      <w:r w:rsidR="00C83FBC" w:rsidRPr="00424274">
        <w:rPr>
          <w:rFonts w:ascii="Arial" w:hAnsi="Arial"/>
          <w:sz w:val="20"/>
        </w:rPr>
        <w:t>Uradni list RS</w:t>
      </w:r>
      <w:r w:rsidRPr="00424274">
        <w:rPr>
          <w:rFonts w:ascii="Arial" w:hAnsi="Arial"/>
          <w:sz w:val="20"/>
        </w:rPr>
        <w:t xml:space="preserve">, št. 26/00 </w:t>
      </w:r>
      <w:r w:rsidR="008A1626">
        <w:rPr>
          <w:rFonts w:ascii="Arial" w:hAnsi="Arial"/>
          <w:sz w:val="20"/>
        </w:rPr>
        <w:t>–</w:t>
      </w:r>
      <w:r w:rsidRPr="00424274">
        <w:rPr>
          <w:rFonts w:ascii="Arial" w:hAnsi="Arial"/>
          <w:sz w:val="20"/>
        </w:rPr>
        <w:t xml:space="preserve"> </w:t>
      </w:r>
      <w:r w:rsidR="00586485" w:rsidRPr="00424274">
        <w:rPr>
          <w:rFonts w:ascii="Arial" w:hAnsi="Arial"/>
          <w:sz w:val="20"/>
        </w:rPr>
        <w:t>Mednarodne pogodbe</w:t>
      </w:r>
      <w:r w:rsidRPr="00424274">
        <w:rPr>
          <w:rFonts w:ascii="Arial" w:hAnsi="Arial"/>
          <w:sz w:val="20"/>
        </w:rPr>
        <w:t>, št.</w:t>
      </w:r>
      <w:r w:rsidR="008A1626">
        <w:rPr>
          <w:rFonts w:ascii="Arial" w:hAnsi="Arial"/>
          <w:sz w:val="20"/>
        </w:rPr>
        <w:t xml:space="preserve"> </w:t>
      </w:r>
      <w:r w:rsidRPr="00424274">
        <w:rPr>
          <w:rFonts w:ascii="Arial" w:hAnsi="Arial"/>
          <w:sz w:val="20"/>
        </w:rPr>
        <w:t>7</w:t>
      </w:r>
      <w:r w:rsidR="008A1626">
        <w:rPr>
          <w:rFonts w:ascii="Arial" w:hAnsi="Arial"/>
          <w:sz w:val="20"/>
        </w:rPr>
        <w:t xml:space="preserve"> </w:t>
      </w:r>
      <w:r w:rsidRPr="00424274">
        <w:rPr>
          <w:rFonts w:ascii="Arial" w:hAnsi="Arial"/>
          <w:sz w:val="20"/>
        </w:rPr>
        <w:t xml:space="preserve">/00) </w:t>
      </w:r>
      <w:r w:rsidR="00873AC7">
        <w:rPr>
          <w:rFonts w:ascii="Arial" w:hAnsi="Arial"/>
          <w:sz w:val="20"/>
        </w:rPr>
        <w:t>in</w:t>
      </w:r>
      <w:r w:rsidR="00873AC7" w:rsidRPr="00424274">
        <w:rPr>
          <w:rFonts w:ascii="Arial" w:hAnsi="Arial"/>
          <w:sz w:val="20"/>
        </w:rPr>
        <w:t xml:space="preserve"> </w:t>
      </w:r>
      <w:r w:rsidRPr="00424274">
        <w:rPr>
          <w:rFonts w:ascii="Arial" w:hAnsi="Arial"/>
          <w:sz w:val="20"/>
        </w:rPr>
        <w:t>Zakon o ratifikaciji Dodatnega protokola h Kazenskopravni konvenciji o korupciji (</w:t>
      </w:r>
      <w:r w:rsidR="00C83FBC" w:rsidRPr="00424274">
        <w:rPr>
          <w:rFonts w:ascii="Arial" w:hAnsi="Arial"/>
          <w:sz w:val="20"/>
        </w:rPr>
        <w:t>Uradni list RS</w:t>
      </w:r>
      <w:r w:rsidRPr="00424274">
        <w:rPr>
          <w:rFonts w:ascii="Arial" w:hAnsi="Arial"/>
          <w:sz w:val="20"/>
        </w:rPr>
        <w:t xml:space="preserve"> – </w:t>
      </w:r>
      <w:r w:rsidR="00586485" w:rsidRPr="00424274">
        <w:rPr>
          <w:rFonts w:ascii="Arial" w:hAnsi="Arial"/>
          <w:sz w:val="20"/>
        </w:rPr>
        <w:t>Mednarodne pogodbe</w:t>
      </w:r>
      <w:r w:rsidRPr="00424274">
        <w:rPr>
          <w:rFonts w:ascii="Arial" w:hAnsi="Arial"/>
          <w:sz w:val="20"/>
        </w:rPr>
        <w:t xml:space="preserve">, št. 17/04); </w:t>
      </w:r>
    </w:p>
    <w:p w14:paraId="28FBA9CF" w14:textId="0B97B058" w:rsidR="00851C49" w:rsidRPr="00424274" w:rsidRDefault="00851C49" w:rsidP="003F3D34">
      <w:pPr>
        <w:pStyle w:val="Seznam2"/>
        <w:numPr>
          <w:ilvl w:val="0"/>
          <w:numId w:val="15"/>
        </w:numPr>
        <w:spacing w:line="276" w:lineRule="auto"/>
        <w:rPr>
          <w:rFonts w:ascii="Arial" w:hAnsi="Arial"/>
          <w:sz w:val="20"/>
        </w:rPr>
      </w:pPr>
      <w:r w:rsidRPr="00424274">
        <w:rPr>
          <w:rFonts w:ascii="Arial" w:hAnsi="Arial"/>
          <w:sz w:val="20"/>
        </w:rPr>
        <w:t xml:space="preserve">Zakon o ratifikaciji </w:t>
      </w:r>
      <w:r w:rsidR="00873AC7">
        <w:rPr>
          <w:rFonts w:ascii="Arial" w:hAnsi="Arial"/>
          <w:sz w:val="20"/>
        </w:rPr>
        <w:t>K</w:t>
      </w:r>
      <w:r w:rsidRPr="00424274">
        <w:rPr>
          <w:rFonts w:ascii="Arial" w:hAnsi="Arial"/>
          <w:sz w:val="20"/>
        </w:rPr>
        <w:t>onvencije o boju proti podkupovanju tujih javnih uslužbencev v mednarodnem poslovanju (</w:t>
      </w:r>
      <w:r w:rsidR="00C83FBC" w:rsidRPr="00424274">
        <w:rPr>
          <w:rFonts w:ascii="Arial" w:hAnsi="Arial"/>
          <w:sz w:val="20"/>
        </w:rPr>
        <w:t>Uradni list RS</w:t>
      </w:r>
      <w:r w:rsidRPr="00424274">
        <w:rPr>
          <w:rFonts w:ascii="Arial" w:hAnsi="Arial"/>
          <w:sz w:val="20"/>
        </w:rPr>
        <w:t xml:space="preserve"> </w:t>
      </w:r>
      <w:r w:rsidR="008A1626">
        <w:rPr>
          <w:rFonts w:ascii="Arial" w:hAnsi="Arial"/>
          <w:sz w:val="20"/>
        </w:rPr>
        <w:t>–</w:t>
      </w:r>
      <w:r w:rsidRPr="00424274">
        <w:rPr>
          <w:rFonts w:ascii="Arial" w:hAnsi="Arial"/>
          <w:sz w:val="20"/>
        </w:rPr>
        <w:t xml:space="preserve"> MP, št. 1/01);</w:t>
      </w:r>
    </w:p>
    <w:p w14:paraId="59AE3B1F" w14:textId="2EF0987A" w:rsidR="00851C49" w:rsidRPr="00424274" w:rsidRDefault="00851C49" w:rsidP="003F3D34">
      <w:pPr>
        <w:pStyle w:val="Seznam2"/>
        <w:numPr>
          <w:ilvl w:val="0"/>
          <w:numId w:val="15"/>
        </w:numPr>
        <w:spacing w:line="276" w:lineRule="auto"/>
        <w:rPr>
          <w:rFonts w:ascii="Arial" w:hAnsi="Arial"/>
          <w:sz w:val="20"/>
        </w:rPr>
      </w:pPr>
      <w:r w:rsidRPr="00424274">
        <w:rPr>
          <w:rFonts w:ascii="Arial" w:hAnsi="Arial"/>
          <w:sz w:val="20"/>
        </w:rPr>
        <w:t>Zakon o ratifikaciji Konvencije Združenih narodov proti mednarodnemu organiziranemu kriminalu (</w:t>
      </w:r>
      <w:r w:rsidR="00C83FBC" w:rsidRPr="00424274">
        <w:rPr>
          <w:rFonts w:ascii="Arial" w:hAnsi="Arial"/>
          <w:sz w:val="20"/>
        </w:rPr>
        <w:t>Uradni list RS</w:t>
      </w:r>
      <w:r w:rsidRPr="00424274">
        <w:rPr>
          <w:rFonts w:ascii="Arial" w:hAnsi="Arial"/>
          <w:sz w:val="20"/>
        </w:rPr>
        <w:t xml:space="preserve"> – </w:t>
      </w:r>
      <w:r w:rsidR="00D830CA" w:rsidRPr="00424274">
        <w:rPr>
          <w:rFonts w:ascii="Arial" w:hAnsi="Arial"/>
          <w:sz w:val="20"/>
        </w:rPr>
        <w:t>Mednarodne pogodbe</w:t>
      </w:r>
      <w:r w:rsidRPr="00424274">
        <w:rPr>
          <w:rFonts w:ascii="Arial" w:hAnsi="Arial"/>
          <w:sz w:val="20"/>
        </w:rPr>
        <w:t>, št. 14/04);</w:t>
      </w:r>
    </w:p>
    <w:p w14:paraId="0C1EF4B3" w14:textId="5554E19B" w:rsidR="00851C49" w:rsidRPr="00424274" w:rsidRDefault="00851C49" w:rsidP="003F3D34">
      <w:pPr>
        <w:pStyle w:val="Seznam2"/>
        <w:numPr>
          <w:ilvl w:val="0"/>
          <w:numId w:val="15"/>
        </w:numPr>
        <w:spacing w:line="276" w:lineRule="auto"/>
        <w:rPr>
          <w:rFonts w:ascii="Arial" w:hAnsi="Arial"/>
          <w:sz w:val="20"/>
        </w:rPr>
      </w:pPr>
      <w:r w:rsidRPr="00424274">
        <w:rPr>
          <w:rFonts w:ascii="Arial" w:hAnsi="Arial"/>
          <w:sz w:val="20"/>
        </w:rPr>
        <w:t xml:space="preserve">Zakon o ratifikaciji </w:t>
      </w:r>
      <w:r w:rsidR="00873AC7">
        <w:rPr>
          <w:rFonts w:ascii="Arial" w:hAnsi="Arial"/>
          <w:sz w:val="20"/>
        </w:rPr>
        <w:t>M</w:t>
      </w:r>
      <w:r w:rsidRPr="00424274">
        <w:rPr>
          <w:rFonts w:ascii="Arial" w:hAnsi="Arial"/>
          <w:sz w:val="20"/>
        </w:rPr>
        <w:t>ednarodne konvencije o zatiranju financiranja terorizma (</w:t>
      </w:r>
      <w:r w:rsidR="00C83FBC" w:rsidRPr="00424274">
        <w:rPr>
          <w:rFonts w:ascii="Arial" w:hAnsi="Arial"/>
          <w:sz w:val="20"/>
        </w:rPr>
        <w:t>Uradni list RS</w:t>
      </w:r>
      <w:r w:rsidRPr="00424274">
        <w:rPr>
          <w:rFonts w:ascii="Arial" w:hAnsi="Arial"/>
          <w:sz w:val="20"/>
        </w:rPr>
        <w:t xml:space="preserve"> – </w:t>
      </w:r>
      <w:r w:rsidR="00605436" w:rsidRPr="00424274">
        <w:rPr>
          <w:rFonts w:ascii="Arial" w:hAnsi="Arial"/>
          <w:sz w:val="20"/>
        </w:rPr>
        <w:t>Mednarodne pogodbe</w:t>
      </w:r>
      <w:r w:rsidRPr="00424274">
        <w:rPr>
          <w:rFonts w:ascii="Arial" w:hAnsi="Arial"/>
          <w:sz w:val="20"/>
        </w:rPr>
        <w:t>, št. 21/04);</w:t>
      </w:r>
    </w:p>
    <w:p w14:paraId="1A9E21BD" w14:textId="77777777" w:rsidR="00851C49" w:rsidRPr="00424274" w:rsidRDefault="00851C49" w:rsidP="003F3D34">
      <w:pPr>
        <w:pStyle w:val="Seznam2"/>
        <w:numPr>
          <w:ilvl w:val="0"/>
          <w:numId w:val="15"/>
        </w:numPr>
        <w:spacing w:line="276" w:lineRule="auto"/>
        <w:rPr>
          <w:rFonts w:ascii="Arial" w:hAnsi="Arial"/>
          <w:sz w:val="20"/>
        </w:rPr>
      </w:pPr>
      <w:r w:rsidRPr="00424274">
        <w:rPr>
          <w:rFonts w:ascii="Arial" w:hAnsi="Arial"/>
          <w:sz w:val="20"/>
        </w:rPr>
        <w:t>Direktiva Evropskega parlamenta in Sveta 2005/60/ES z dne 26. oktobra 2005 o preprečevanju uporabe finančnega sistema za pranje denarja in financiranje terorizma (UL L št. 309 z dne 25. 11. 2005);</w:t>
      </w:r>
    </w:p>
    <w:p w14:paraId="3F8117AB" w14:textId="57B94D0C" w:rsidR="00815C41" w:rsidRPr="00424274" w:rsidRDefault="00815C41" w:rsidP="003F3D34">
      <w:pPr>
        <w:pStyle w:val="Seznam2"/>
        <w:numPr>
          <w:ilvl w:val="0"/>
          <w:numId w:val="15"/>
        </w:numPr>
        <w:spacing w:line="276" w:lineRule="auto"/>
        <w:rPr>
          <w:rFonts w:ascii="Arial" w:hAnsi="Arial"/>
          <w:sz w:val="20"/>
        </w:rPr>
      </w:pPr>
      <w:r w:rsidRPr="00424274">
        <w:rPr>
          <w:rFonts w:ascii="Arial" w:hAnsi="Arial"/>
          <w:sz w:val="20"/>
        </w:rPr>
        <w:t>Direktiva Evropskega parlamenta in Sveta 2015/849 z dne 20. maja 2015 o preprečevanju uporabe finančnega sistema za pranje denarja ali financiranje terorizma, spremembi Uredbe (EU) št. 648/2012 Evropskega parlamenta in Sveta ter razveljavitvi Direktive 2005/60/ES Evropskega parlamenta in Sveta in Direktive Komisije 2006/70/ES (UL L št. 141 z dne 5.</w:t>
      </w:r>
      <w:r w:rsidR="009151B8" w:rsidRPr="00424274">
        <w:rPr>
          <w:rFonts w:ascii="Arial" w:hAnsi="Arial"/>
          <w:sz w:val="20"/>
        </w:rPr>
        <w:t xml:space="preserve"> </w:t>
      </w:r>
      <w:r w:rsidRPr="00424274">
        <w:rPr>
          <w:rFonts w:ascii="Arial" w:hAnsi="Arial"/>
          <w:sz w:val="20"/>
        </w:rPr>
        <w:t>6.</w:t>
      </w:r>
      <w:r w:rsidR="009151B8" w:rsidRPr="00424274">
        <w:rPr>
          <w:rFonts w:ascii="Arial" w:hAnsi="Arial"/>
          <w:sz w:val="20"/>
        </w:rPr>
        <w:t xml:space="preserve"> </w:t>
      </w:r>
      <w:r w:rsidRPr="00424274">
        <w:rPr>
          <w:rFonts w:ascii="Arial" w:hAnsi="Arial"/>
          <w:sz w:val="20"/>
        </w:rPr>
        <w:t>2015)</w:t>
      </w:r>
      <w:r w:rsidR="009151B8" w:rsidRPr="00424274">
        <w:rPr>
          <w:rFonts w:ascii="Arial" w:hAnsi="Arial"/>
          <w:sz w:val="20"/>
        </w:rPr>
        <w:t>,</w:t>
      </w:r>
      <w:r w:rsidRPr="00424274">
        <w:rPr>
          <w:rFonts w:ascii="Arial" w:hAnsi="Arial"/>
          <w:sz w:val="20"/>
        </w:rPr>
        <w:t xml:space="preserve"> </w:t>
      </w:r>
      <w:r w:rsidR="009151B8" w:rsidRPr="00424274">
        <w:rPr>
          <w:rFonts w:ascii="Arial" w:hAnsi="Arial"/>
          <w:sz w:val="20"/>
        </w:rPr>
        <w:t>zadnjič dopolnjena z Delegirano uredbo Komisije (EU) 2019/758 z dne 31. januarja 2019 o dopolnitvi Direktive (EU) 2015/849 Evropskega parlamenta in Sveta glede regulativnih tehničnih standardov za minimalne ukrepe ter vrste dodatnih ukrepov, ki jih morajo kreditne in finančne institucije sprejeti za blažitev tveganja pranja denarja in financiranja terorizma v nekaterih tretjih državah (UL L št. 125 z dne 14. 5. 2019, str. 4)</w:t>
      </w:r>
      <w:r w:rsidR="00873AC7">
        <w:rPr>
          <w:rFonts w:ascii="Arial" w:hAnsi="Arial"/>
          <w:sz w:val="20"/>
        </w:rPr>
        <w:t>;</w:t>
      </w:r>
    </w:p>
    <w:p w14:paraId="321912E4" w14:textId="776ED588" w:rsidR="003A4F1F" w:rsidRPr="00424274" w:rsidRDefault="003A4F1F" w:rsidP="003A4F1F">
      <w:pPr>
        <w:pStyle w:val="Odstavekseznama"/>
        <w:numPr>
          <w:ilvl w:val="0"/>
          <w:numId w:val="15"/>
        </w:numPr>
        <w:jc w:val="both"/>
        <w:rPr>
          <w:rFonts w:ascii="Arial" w:hAnsi="Arial" w:cs="Arial"/>
          <w:sz w:val="20"/>
          <w:szCs w:val="20"/>
          <w:lang w:val="sl-SI"/>
        </w:rPr>
      </w:pPr>
      <w:r w:rsidRPr="00424274">
        <w:rPr>
          <w:rFonts w:ascii="Arial" w:hAnsi="Arial" w:cs="Arial"/>
          <w:sz w:val="20"/>
          <w:szCs w:val="20"/>
          <w:lang w:val="sl-SI"/>
        </w:rPr>
        <w:t>Direktiva (EU) 2019/1153 Evropskega parlamenta in Sveta z dne 20. junija 2019 o določitvi pravil za lažjo uporabo finančnih in drugih informacij za namene preprečevanja, odkrivanja, preiskovanja ali pregona nekaterih kaznivih dejanj ter o razveljavitvi Sklepa Sveta 2000/642/PNZ (UL L št. 186 z dne 11. 7. 2019, str. 122</w:t>
      </w:r>
      <w:r w:rsidR="00B750B0" w:rsidRPr="00424274">
        <w:rPr>
          <w:rFonts w:ascii="Arial" w:hAnsi="Arial" w:cs="Arial"/>
          <w:sz w:val="20"/>
          <w:szCs w:val="20"/>
          <w:lang w:val="sl-SI"/>
        </w:rPr>
        <w:t>)</w:t>
      </w:r>
      <w:r w:rsidR="00310433" w:rsidRPr="00424274">
        <w:rPr>
          <w:rFonts w:ascii="Arial" w:hAnsi="Arial" w:cs="Arial"/>
          <w:sz w:val="20"/>
          <w:szCs w:val="20"/>
          <w:lang w:val="sl-SI"/>
        </w:rPr>
        <w:t xml:space="preserve"> </w:t>
      </w:r>
      <w:r w:rsidR="008A1626">
        <w:rPr>
          <w:rFonts w:ascii="Arial" w:hAnsi="Arial" w:cs="Arial"/>
          <w:sz w:val="20"/>
          <w:szCs w:val="20"/>
          <w:lang w:val="sl-SI"/>
        </w:rPr>
        <w:t>–</w:t>
      </w:r>
      <w:r w:rsidRPr="00424274">
        <w:rPr>
          <w:rFonts w:ascii="Arial" w:hAnsi="Arial" w:cs="Arial"/>
          <w:sz w:val="20"/>
          <w:szCs w:val="20"/>
          <w:lang w:val="sl-SI"/>
        </w:rPr>
        <w:t xml:space="preserve"> glede izmenjave finančnih analiz in finančnih informacij med pristojnimi organi iz drugega odstavka 3. člena Direktive 2019/1153/EU, finančnimi obveščevalnimi enotami drugih držav članic, Europolom in uradom</w:t>
      </w:r>
      <w:r w:rsidR="00873AC7">
        <w:rPr>
          <w:rFonts w:ascii="Arial" w:hAnsi="Arial" w:cs="Arial"/>
          <w:sz w:val="20"/>
          <w:szCs w:val="20"/>
          <w:lang w:val="sl-SI"/>
        </w:rPr>
        <w:t>;</w:t>
      </w:r>
    </w:p>
    <w:p w14:paraId="5675C3F3" w14:textId="7202C946" w:rsidR="00851C49" w:rsidRPr="00424274" w:rsidRDefault="00851C49" w:rsidP="003F3D34">
      <w:pPr>
        <w:pStyle w:val="Seznam2"/>
        <w:numPr>
          <w:ilvl w:val="0"/>
          <w:numId w:val="15"/>
        </w:numPr>
        <w:spacing w:line="276" w:lineRule="auto"/>
        <w:rPr>
          <w:rFonts w:ascii="Arial" w:hAnsi="Arial"/>
          <w:sz w:val="20"/>
        </w:rPr>
      </w:pPr>
      <w:r w:rsidRPr="00424274">
        <w:rPr>
          <w:rFonts w:ascii="Arial" w:hAnsi="Arial"/>
          <w:sz w:val="20"/>
        </w:rPr>
        <w:t xml:space="preserve">Direktiva Komisije 2006/70/ES z dne 1. avgusta 2006 o določitvi izvedbenih ukrepov za </w:t>
      </w:r>
      <w:r w:rsidR="00873AC7">
        <w:rPr>
          <w:rFonts w:ascii="Arial" w:hAnsi="Arial"/>
          <w:sz w:val="20"/>
        </w:rPr>
        <w:t>D</w:t>
      </w:r>
      <w:r w:rsidRPr="00424274">
        <w:rPr>
          <w:rFonts w:ascii="Arial" w:hAnsi="Arial"/>
          <w:sz w:val="20"/>
        </w:rPr>
        <w:t xml:space="preserve">irektivo 2005/60/ES Evropskega parlamenta in Sveta glede opredelitve politično izpostavljene osebe in tehničnih meril za postopke poenostavljene dolžnosti skrbnosti pri ugotavljanju identitete stranke ter izjeme na podlagi finančne dejavnosti, ki poteka zgolj občasno ali v omejenem obsegu (UL L št. 214 z dne 4. 8. 2006); </w:t>
      </w:r>
    </w:p>
    <w:p w14:paraId="7EEB3064" w14:textId="32F0ADD0" w:rsidR="00851C49" w:rsidRPr="00424274" w:rsidRDefault="00851C49" w:rsidP="003F3D34">
      <w:pPr>
        <w:pStyle w:val="Seznam2"/>
        <w:numPr>
          <w:ilvl w:val="0"/>
          <w:numId w:val="15"/>
        </w:numPr>
        <w:spacing w:line="276" w:lineRule="auto"/>
        <w:rPr>
          <w:rFonts w:ascii="Arial" w:hAnsi="Arial"/>
          <w:sz w:val="20"/>
        </w:rPr>
      </w:pPr>
      <w:r w:rsidRPr="00424274">
        <w:rPr>
          <w:rFonts w:ascii="Arial" w:hAnsi="Arial"/>
          <w:sz w:val="20"/>
        </w:rPr>
        <w:t xml:space="preserve">Sklep Sveta št. 2000/642/PNZ </w:t>
      </w:r>
      <w:r w:rsidR="00873AC7">
        <w:rPr>
          <w:rFonts w:ascii="Arial" w:hAnsi="Arial"/>
          <w:sz w:val="20"/>
        </w:rPr>
        <w:t xml:space="preserve">z </w:t>
      </w:r>
      <w:r w:rsidRPr="00424274">
        <w:rPr>
          <w:rFonts w:ascii="Arial" w:hAnsi="Arial"/>
          <w:sz w:val="20"/>
        </w:rPr>
        <w:t>dne 17. oktobra 2000 o sodelovanju med finančnimi obveščevalnimi enotami držav članic pri izmenjavi informacij (UL L št. 271 z dne 24. 10. 2000);</w:t>
      </w:r>
    </w:p>
    <w:p w14:paraId="1FAC7AD8" w14:textId="5648C7C6" w:rsidR="00851C49" w:rsidRPr="00424274" w:rsidRDefault="00851C49" w:rsidP="003F3D34">
      <w:pPr>
        <w:pStyle w:val="Seznam2"/>
        <w:numPr>
          <w:ilvl w:val="0"/>
          <w:numId w:val="15"/>
        </w:numPr>
        <w:spacing w:line="276" w:lineRule="auto"/>
        <w:rPr>
          <w:rFonts w:ascii="Arial" w:hAnsi="Arial"/>
          <w:sz w:val="20"/>
        </w:rPr>
      </w:pPr>
      <w:r w:rsidRPr="00424274">
        <w:rPr>
          <w:rFonts w:ascii="Arial" w:hAnsi="Arial"/>
          <w:sz w:val="20"/>
        </w:rPr>
        <w:t>Okvirni sklep Sveta</w:t>
      </w:r>
      <w:r w:rsidRPr="00424274">
        <w:rPr>
          <w:rFonts w:ascii="Arial" w:hAnsi="Arial"/>
          <w:color w:val="000000"/>
          <w:sz w:val="20"/>
        </w:rPr>
        <w:t xml:space="preserve"> št. 2001/500/PNZ</w:t>
      </w:r>
      <w:r w:rsidRPr="00424274">
        <w:rPr>
          <w:rFonts w:ascii="Arial" w:hAnsi="Arial"/>
          <w:sz w:val="20"/>
        </w:rPr>
        <w:t xml:space="preserve"> z dne 26. junij</w:t>
      </w:r>
      <w:r w:rsidR="00873AC7">
        <w:rPr>
          <w:rFonts w:ascii="Arial" w:hAnsi="Arial"/>
          <w:sz w:val="20"/>
        </w:rPr>
        <w:t>a</w:t>
      </w:r>
      <w:r w:rsidRPr="00424274">
        <w:rPr>
          <w:rFonts w:ascii="Arial" w:hAnsi="Arial"/>
          <w:sz w:val="20"/>
        </w:rPr>
        <w:t xml:space="preserve"> 2001 o pranju denarja, identifikaciji, sledenju, zamrznitvi, zasegu in odvzemu predmetov in premoženjske koristi, ki izvirajo iz kaznivih dejanj (UL L št. 182 z dne 5. 7. 2001);</w:t>
      </w:r>
    </w:p>
    <w:p w14:paraId="36F17687" w14:textId="6FF080D5" w:rsidR="00851C49" w:rsidRPr="00424274" w:rsidRDefault="00851C49" w:rsidP="003F3D34">
      <w:pPr>
        <w:pStyle w:val="Seznam2"/>
        <w:numPr>
          <w:ilvl w:val="0"/>
          <w:numId w:val="15"/>
        </w:numPr>
        <w:spacing w:line="276" w:lineRule="auto"/>
        <w:rPr>
          <w:rFonts w:ascii="Arial" w:hAnsi="Arial"/>
          <w:sz w:val="20"/>
        </w:rPr>
      </w:pPr>
      <w:r w:rsidRPr="00424274">
        <w:rPr>
          <w:rFonts w:ascii="Arial" w:hAnsi="Arial"/>
          <w:sz w:val="20"/>
        </w:rPr>
        <w:t xml:space="preserve">Uredba (ES) št. 1889/2005 Evropskega parlamenta in Sveta z dne 26. </w:t>
      </w:r>
      <w:r w:rsidR="00D22317">
        <w:rPr>
          <w:rFonts w:ascii="Arial" w:hAnsi="Arial"/>
          <w:sz w:val="20"/>
        </w:rPr>
        <w:t>oktobra</w:t>
      </w:r>
      <w:r w:rsidRPr="00424274">
        <w:rPr>
          <w:rFonts w:ascii="Arial" w:hAnsi="Arial"/>
          <w:sz w:val="20"/>
        </w:rPr>
        <w:t xml:space="preserve"> 2005 o kontroli gotovine ob vstopu v Skupnost ali izstopu iz nje (UL L št. 309 z dne 25. 11. 2005).</w:t>
      </w:r>
    </w:p>
    <w:p w14:paraId="68690633" w14:textId="253E1022" w:rsidR="00310433" w:rsidRPr="00424274" w:rsidRDefault="00310433" w:rsidP="000C0926">
      <w:pPr>
        <w:pStyle w:val="Odstavekseznama"/>
        <w:numPr>
          <w:ilvl w:val="0"/>
          <w:numId w:val="15"/>
        </w:numPr>
        <w:jc w:val="both"/>
        <w:rPr>
          <w:rFonts w:ascii="Arial" w:hAnsi="Arial" w:cs="Arial"/>
          <w:sz w:val="20"/>
          <w:szCs w:val="20"/>
          <w:lang w:val="sl-SI"/>
        </w:rPr>
      </w:pPr>
      <w:r w:rsidRPr="00424274">
        <w:rPr>
          <w:rFonts w:ascii="Arial" w:hAnsi="Arial" w:cs="Arial"/>
          <w:sz w:val="20"/>
          <w:szCs w:val="20"/>
          <w:lang w:val="sl-SI"/>
        </w:rPr>
        <w:t xml:space="preserve">Uredba (EU) 2018/1672 Evropskega parlamenta in Sveta z dne 23. oktobra 2018 o kontroli gotovine, ki se vnaša v Unijo ali iznaša iz nje, in razveljavitvi Uredbe (ES) št. 1889/2005 (UL L št. 284 z dne 12. 11. 2018, str. 6; v nadaljnjem besedilu: Uredba 2018/1672/EU) glede evidenc </w:t>
      </w:r>
      <w:r w:rsidRPr="00424274">
        <w:rPr>
          <w:rFonts w:ascii="Arial" w:hAnsi="Arial" w:cs="Arial"/>
          <w:sz w:val="20"/>
          <w:szCs w:val="20"/>
          <w:lang w:val="sl-SI"/>
        </w:rPr>
        <w:lastRenderedPageBreak/>
        <w:t>podatkov, pridobljenih na podlagi 3. in 4. člena, tretjega odstavka 5. člena ter 6. člena Uredbe 2018/1672/EU</w:t>
      </w:r>
      <w:r w:rsidR="00F472E6">
        <w:rPr>
          <w:rFonts w:ascii="Arial" w:hAnsi="Arial" w:cs="Arial"/>
          <w:sz w:val="20"/>
          <w:szCs w:val="20"/>
          <w:lang w:val="sl-SI"/>
        </w:rPr>
        <w:t>,</w:t>
      </w:r>
      <w:r w:rsidRPr="00424274">
        <w:rPr>
          <w:rFonts w:ascii="Arial" w:hAnsi="Arial" w:cs="Arial"/>
          <w:sz w:val="20"/>
          <w:szCs w:val="20"/>
          <w:lang w:val="sl-SI"/>
        </w:rPr>
        <w:t xml:space="preserve"> ter izmenjave podatkov med finančnimi obveščevalnimi enotami na podlagi 9. člena Uredbe 2018/1672/EU</w:t>
      </w:r>
      <w:r w:rsidR="00646DE5" w:rsidRPr="00424274">
        <w:rPr>
          <w:rFonts w:ascii="Arial" w:hAnsi="Arial" w:cs="Arial"/>
          <w:sz w:val="20"/>
          <w:szCs w:val="20"/>
          <w:lang w:val="sl-SI"/>
        </w:rPr>
        <w:t>;</w:t>
      </w:r>
    </w:p>
    <w:p w14:paraId="685CEC83" w14:textId="1463AAA4" w:rsidR="00851C49" w:rsidRPr="00424274" w:rsidRDefault="00890018" w:rsidP="003F3D34">
      <w:pPr>
        <w:pStyle w:val="Seznam2"/>
        <w:numPr>
          <w:ilvl w:val="0"/>
          <w:numId w:val="15"/>
        </w:numPr>
        <w:spacing w:line="276" w:lineRule="auto"/>
        <w:rPr>
          <w:rFonts w:ascii="Arial" w:hAnsi="Arial"/>
          <w:sz w:val="20"/>
        </w:rPr>
      </w:pPr>
      <w:r w:rsidRPr="00424274">
        <w:rPr>
          <w:rFonts w:ascii="Arial" w:hAnsi="Arial"/>
          <w:sz w:val="20"/>
        </w:rPr>
        <w:t>Uredba (EU) 2015/847 Evropskega parlamenta in Sveta z dne 20. maja 2015 o informacijah, ki spremljajo prenose sredstev, in razveljavitvi Uredbe (ES) št. 1781/2006</w:t>
      </w:r>
      <w:r w:rsidR="00851C49" w:rsidRPr="00424274">
        <w:rPr>
          <w:rFonts w:ascii="Arial" w:hAnsi="Arial"/>
          <w:sz w:val="20"/>
        </w:rPr>
        <w:t xml:space="preserve"> (UL L št. </w:t>
      </w:r>
      <w:r w:rsidRPr="00424274">
        <w:rPr>
          <w:rFonts w:ascii="Arial" w:hAnsi="Arial"/>
          <w:sz w:val="20"/>
        </w:rPr>
        <w:t xml:space="preserve">141 </w:t>
      </w:r>
      <w:r w:rsidR="00851C49" w:rsidRPr="00424274">
        <w:rPr>
          <w:rFonts w:ascii="Arial" w:hAnsi="Arial"/>
          <w:sz w:val="20"/>
        </w:rPr>
        <w:t xml:space="preserve">z dne </w:t>
      </w:r>
      <w:r w:rsidRPr="00424274">
        <w:rPr>
          <w:rFonts w:ascii="Arial" w:hAnsi="Arial"/>
          <w:sz w:val="20"/>
        </w:rPr>
        <w:t>5</w:t>
      </w:r>
      <w:r w:rsidR="00851C49" w:rsidRPr="00424274">
        <w:rPr>
          <w:rFonts w:ascii="Arial" w:hAnsi="Arial"/>
          <w:sz w:val="20"/>
        </w:rPr>
        <w:t>.</w:t>
      </w:r>
      <w:r w:rsidR="00873AC7">
        <w:rPr>
          <w:rFonts w:ascii="Arial" w:hAnsi="Arial"/>
          <w:sz w:val="20"/>
        </w:rPr>
        <w:t> </w:t>
      </w:r>
      <w:r w:rsidRPr="00424274">
        <w:rPr>
          <w:rFonts w:ascii="Arial" w:hAnsi="Arial"/>
          <w:sz w:val="20"/>
        </w:rPr>
        <w:t>6</w:t>
      </w:r>
      <w:r w:rsidR="00851C49" w:rsidRPr="00424274">
        <w:rPr>
          <w:rFonts w:ascii="Arial" w:hAnsi="Arial"/>
          <w:sz w:val="20"/>
        </w:rPr>
        <w:t>.</w:t>
      </w:r>
      <w:r w:rsidR="00873AC7">
        <w:rPr>
          <w:rFonts w:ascii="Arial" w:hAnsi="Arial"/>
          <w:sz w:val="20"/>
        </w:rPr>
        <w:t> </w:t>
      </w:r>
      <w:r w:rsidR="00851C49" w:rsidRPr="00424274">
        <w:rPr>
          <w:rFonts w:ascii="Arial" w:hAnsi="Arial"/>
          <w:sz w:val="20"/>
        </w:rPr>
        <w:t>20</w:t>
      </w:r>
      <w:r w:rsidRPr="00424274">
        <w:rPr>
          <w:rFonts w:ascii="Arial" w:hAnsi="Arial"/>
          <w:sz w:val="20"/>
        </w:rPr>
        <w:t>15</w:t>
      </w:r>
      <w:r w:rsidR="00851C49" w:rsidRPr="00424274">
        <w:rPr>
          <w:rFonts w:ascii="Arial" w:hAnsi="Arial"/>
          <w:sz w:val="20"/>
        </w:rPr>
        <w:t>);</w:t>
      </w:r>
      <w:r w:rsidRPr="00424274">
        <w:t xml:space="preserve"> </w:t>
      </w:r>
    </w:p>
    <w:p w14:paraId="0CDF8CF6" w14:textId="25A69ACB" w:rsidR="00FA363E" w:rsidRPr="00424274" w:rsidRDefault="00FA363E" w:rsidP="003F3D34">
      <w:pPr>
        <w:pStyle w:val="Seznam2"/>
        <w:numPr>
          <w:ilvl w:val="0"/>
          <w:numId w:val="15"/>
        </w:numPr>
        <w:spacing w:line="276" w:lineRule="auto"/>
        <w:rPr>
          <w:rFonts w:ascii="Arial" w:hAnsi="Arial"/>
          <w:sz w:val="20"/>
        </w:rPr>
      </w:pPr>
      <w:r w:rsidRPr="00424274">
        <w:rPr>
          <w:rFonts w:ascii="Arial" w:hAnsi="Arial"/>
          <w:sz w:val="20"/>
        </w:rPr>
        <w:t xml:space="preserve">Uredba </w:t>
      </w:r>
      <w:bookmarkStart w:id="12" w:name="_Hlk61032814"/>
      <w:r w:rsidRPr="00424274">
        <w:rPr>
          <w:rFonts w:ascii="Arial" w:hAnsi="Arial"/>
          <w:sz w:val="20"/>
        </w:rPr>
        <w:t xml:space="preserve">(EU) 2018/1672 </w:t>
      </w:r>
      <w:bookmarkEnd w:id="12"/>
      <w:r w:rsidRPr="00424274">
        <w:rPr>
          <w:rFonts w:ascii="Arial" w:hAnsi="Arial"/>
          <w:sz w:val="20"/>
        </w:rPr>
        <w:t>Evropskega parlamenta in Sveta z dne 23. oktobra 2018 o kontroli gotovine, ki se vnaša v Unijo ali iznaša iz nje, in razveljavitvi Uredbe (ES) št. 1889/2005 (UL L št. 284 z dne 12. 11. 2018, str. 6; v nadaljnjem besedilu: Uredba 2018/1672/EU)</w:t>
      </w:r>
      <w:r w:rsidR="0050149E" w:rsidRPr="00424274">
        <w:rPr>
          <w:rFonts w:ascii="Arial" w:hAnsi="Arial"/>
          <w:sz w:val="20"/>
        </w:rPr>
        <w:t>;</w:t>
      </w:r>
    </w:p>
    <w:p w14:paraId="232323EC" w14:textId="4B9AA7E6" w:rsidR="009478D6" w:rsidRPr="00424274" w:rsidRDefault="00851C49" w:rsidP="009478D6">
      <w:pPr>
        <w:pStyle w:val="Seznam2"/>
        <w:numPr>
          <w:ilvl w:val="0"/>
          <w:numId w:val="15"/>
        </w:numPr>
        <w:spacing w:line="276" w:lineRule="auto"/>
        <w:rPr>
          <w:rFonts w:ascii="Arial" w:hAnsi="Arial"/>
          <w:b/>
          <w:bCs/>
          <w:sz w:val="20"/>
        </w:rPr>
      </w:pPr>
      <w:r w:rsidRPr="00424274">
        <w:rPr>
          <w:rStyle w:val="Krepko"/>
          <w:rFonts w:ascii="Arial" w:hAnsi="Arial" w:cs="Arial"/>
          <w:b w:val="0"/>
          <w:bCs w:val="0"/>
          <w:sz w:val="20"/>
        </w:rPr>
        <w:t xml:space="preserve">Uredba Sveta (ES) št. 1110/2008 z dne 10. novembra 2008 o spremembi Uredbe (ES) št. 423/2007 o omejevalnih ukrepih proti Iranu </w:t>
      </w:r>
      <w:r w:rsidRPr="00424274">
        <w:rPr>
          <w:rFonts w:ascii="Arial" w:hAnsi="Arial"/>
          <w:sz w:val="20"/>
        </w:rPr>
        <w:t>(UL L št. 300 z dne 11. 11. 2008)</w:t>
      </w:r>
      <w:r w:rsidR="00C37FA7" w:rsidRPr="00424274">
        <w:rPr>
          <w:rFonts w:ascii="Arial" w:hAnsi="Arial"/>
          <w:sz w:val="20"/>
        </w:rPr>
        <w:t>.</w:t>
      </w:r>
    </w:p>
    <w:p w14:paraId="0BC0E61E" w14:textId="77777777" w:rsidR="004F778E" w:rsidRPr="00424274" w:rsidRDefault="004F778E" w:rsidP="004F778E">
      <w:pPr>
        <w:pStyle w:val="Telobesedila"/>
        <w:spacing w:line="276" w:lineRule="auto"/>
        <w:ind w:left="720" w:right="-22"/>
        <w:rPr>
          <w:rStyle w:val="Krepko"/>
          <w:rFonts w:cs="Arial"/>
          <w:b w:val="0"/>
          <w:bCs w:val="0"/>
          <w:highlight w:val="yellow"/>
        </w:rPr>
      </w:pPr>
    </w:p>
    <w:p w14:paraId="2DADE8C8" w14:textId="77777777" w:rsidR="00F40967" w:rsidRPr="00424274" w:rsidRDefault="00851C49" w:rsidP="00D21F86">
      <w:pPr>
        <w:pStyle w:val="Telobesedila"/>
        <w:spacing w:line="276" w:lineRule="auto"/>
        <w:ind w:right="-22"/>
        <w:rPr>
          <w:rFonts w:ascii="Arial" w:hAnsi="Arial"/>
          <w:sz w:val="20"/>
        </w:rPr>
      </w:pPr>
      <w:r w:rsidRPr="00424274">
        <w:rPr>
          <w:rFonts w:ascii="Arial" w:hAnsi="Arial"/>
          <w:sz w:val="20"/>
        </w:rPr>
        <w:t>Urad je pri delu upošteval tudi nekatere mednarodne predpise, ki formalno niso sestavni del pravnega reda R</w:t>
      </w:r>
      <w:r w:rsidR="002C4227" w:rsidRPr="00424274">
        <w:rPr>
          <w:rFonts w:ascii="Arial" w:hAnsi="Arial"/>
          <w:sz w:val="20"/>
        </w:rPr>
        <w:t>epublike Slovenije</w:t>
      </w:r>
      <w:r w:rsidRPr="00424274">
        <w:rPr>
          <w:rFonts w:ascii="Arial" w:hAnsi="Arial"/>
          <w:sz w:val="20"/>
        </w:rPr>
        <w:t>, vendar pa se je Slovenija zaradi članstva v nekaterih mednarodnih organizacijah zavezala, da bo svojo zakonodajo uskladila s temi predpisi</w:t>
      </w:r>
      <w:r w:rsidR="00584390" w:rsidRPr="00424274">
        <w:rPr>
          <w:rFonts w:ascii="Arial" w:hAnsi="Arial"/>
          <w:sz w:val="20"/>
        </w:rPr>
        <w:t xml:space="preserve"> </w:t>
      </w:r>
      <w:r w:rsidR="00AC7C31" w:rsidRPr="00424274">
        <w:rPr>
          <w:rFonts w:ascii="Arial" w:hAnsi="Arial"/>
          <w:sz w:val="20"/>
        </w:rPr>
        <w:t xml:space="preserve">(Priporočila </w:t>
      </w:r>
      <w:r w:rsidR="00AC7C31" w:rsidRPr="00424274">
        <w:rPr>
          <w:rFonts w:ascii="Arial" w:hAnsi="Arial"/>
          <w:i/>
          <w:iCs/>
          <w:sz w:val="20"/>
        </w:rPr>
        <w:t>FATF</w:t>
      </w:r>
      <w:r w:rsidR="00AC7C31" w:rsidRPr="00424274">
        <w:rPr>
          <w:rStyle w:val="Sprotnaopomba-sklic"/>
          <w:rFonts w:ascii="Arial" w:hAnsi="Arial" w:cs="Arial"/>
          <w:sz w:val="20"/>
        </w:rPr>
        <w:footnoteReference w:id="1"/>
      </w:r>
      <w:r w:rsidR="00AC7C31" w:rsidRPr="00424274">
        <w:rPr>
          <w:rFonts w:ascii="Arial" w:hAnsi="Arial"/>
          <w:sz w:val="20"/>
        </w:rPr>
        <w:t>)</w:t>
      </w:r>
      <w:r w:rsidR="002C4227" w:rsidRPr="00424274">
        <w:rPr>
          <w:rFonts w:ascii="Arial" w:hAnsi="Arial"/>
          <w:sz w:val="20"/>
        </w:rPr>
        <w:t>.</w:t>
      </w:r>
      <w:r w:rsidR="00562809" w:rsidRPr="00424274">
        <w:rPr>
          <w:rFonts w:ascii="Arial" w:hAnsi="Arial"/>
          <w:sz w:val="20"/>
        </w:rPr>
        <w:t xml:space="preserve"> </w:t>
      </w:r>
    </w:p>
    <w:p w14:paraId="03C804D8" w14:textId="77777777" w:rsidR="00F40967" w:rsidRPr="00424274" w:rsidRDefault="00F40967" w:rsidP="00D21F86">
      <w:pPr>
        <w:pStyle w:val="Telobesedila"/>
        <w:spacing w:line="276" w:lineRule="auto"/>
        <w:ind w:right="-22"/>
        <w:rPr>
          <w:rFonts w:ascii="Arial" w:hAnsi="Arial"/>
          <w:sz w:val="20"/>
        </w:rPr>
      </w:pPr>
    </w:p>
    <w:p w14:paraId="2B6E912F" w14:textId="77777777" w:rsidR="00851C49" w:rsidRPr="00424274" w:rsidRDefault="00F40967" w:rsidP="00D21F86">
      <w:pPr>
        <w:pStyle w:val="Telobesedila"/>
        <w:spacing w:line="276" w:lineRule="auto"/>
        <w:ind w:right="-22"/>
        <w:rPr>
          <w:rFonts w:ascii="Arial" w:hAnsi="Arial"/>
          <w:i/>
          <w:sz w:val="18"/>
          <w:szCs w:val="18"/>
        </w:rPr>
      </w:pPr>
      <w:r w:rsidRPr="00424274">
        <w:rPr>
          <w:rFonts w:ascii="Arial" w:hAnsi="Arial"/>
          <w:sz w:val="18"/>
          <w:szCs w:val="18"/>
        </w:rPr>
        <w:t>*</w:t>
      </w:r>
      <w:r w:rsidR="009A24E4" w:rsidRPr="00424274">
        <w:rPr>
          <w:rFonts w:ascii="Arial" w:hAnsi="Arial"/>
          <w:i/>
          <w:sz w:val="18"/>
          <w:szCs w:val="18"/>
        </w:rPr>
        <w:t>Predpisi, veljavni v obravnavanem obdobju in</w:t>
      </w:r>
      <w:r w:rsidR="00EF408D" w:rsidRPr="00424274">
        <w:rPr>
          <w:rFonts w:ascii="Arial" w:hAnsi="Arial"/>
          <w:i/>
          <w:sz w:val="18"/>
          <w:szCs w:val="18"/>
        </w:rPr>
        <w:t xml:space="preserve"> izdani na podlagi ZPPDFT-1</w:t>
      </w:r>
      <w:r w:rsidR="009A24E4" w:rsidRPr="00424274">
        <w:rPr>
          <w:rFonts w:ascii="Arial" w:hAnsi="Arial"/>
          <w:i/>
          <w:sz w:val="18"/>
          <w:szCs w:val="18"/>
        </w:rPr>
        <w:t>,</w:t>
      </w:r>
      <w:r w:rsidR="00562809" w:rsidRPr="00424274">
        <w:rPr>
          <w:rFonts w:ascii="Arial" w:hAnsi="Arial"/>
          <w:i/>
          <w:sz w:val="18"/>
          <w:szCs w:val="18"/>
        </w:rPr>
        <w:t xml:space="preserve"> so zgoraj označeni krepko.</w:t>
      </w:r>
    </w:p>
    <w:p w14:paraId="3527E7BE" w14:textId="77777777" w:rsidR="00BF40D0" w:rsidRPr="00424274" w:rsidRDefault="00BF40D0" w:rsidP="00D21F86">
      <w:pPr>
        <w:pStyle w:val="Telobesedila"/>
        <w:spacing w:line="276" w:lineRule="auto"/>
        <w:ind w:right="-22"/>
        <w:rPr>
          <w:rFonts w:ascii="Arial" w:hAnsi="Arial"/>
          <w:sz w:val="20"/>
        </w:rPr>
      </w:pPr>
    </w:p>
    <w:p w14:paraId="56F2389E" w14:textId="77777777" w:rsidR="00851C49" w:rsidRPr="00424274" w:rsidRDefault="00851C49">
      <w:pPr>
        <w:pStyle w:val="Naslov2"/>
      </w:pPr>
      <w:bookmarkStart w:id="13" w:name="_Toc478192084"/>
      <w:bookmarkStart w:id="14" w:name="_Toc505573503"/>
      <w:bookmarkStart w:id="15" w:name="_Toc506877124"/>
      <w:bookmarkStart w:id="16" w:name="_Toc6633704"/>
      <w:bookmarkStart w:id="17" w:name="_Toc43532543"/>
      <w:bookmarkStart w:id="18" w:name="_Toc107306475"/>
      <w:bookmarkStart w:id="19" w:name="_Toc200524127"/>
      <w:bookmarkStart w:id="20" w:name="_Toc113535446"/>
      <w:r w:rsidRPr="00424274">
        <w:t>ORGANIZACIJSKA SHEMA URADA</w:t>
      </w:r>
      <w:bookmarkEnd w:id="13"/>
      <w:bookmarkEnd w:id="14"/>
      <w:bookmarkEnd w:id="15"/>
      <w:bookmarkEnd w:id="16"/>
      <w:bookmarkEnd w:id="17"/>
      <w:bookmarkEnd w:id="18"/>
      <w:bookmarkEnd w:id="19"/>
      <w:bookmarkEnd w:id="20"/>
      <w:r w:rsidRPr="00424274">
        <w:t xml:space="preserve"> </w:t>
      </w:r>
    </w:p>
    <w:p w14:paraId="4355540C" w14:textId="77777777" w:rsidR="00851C49" w:rsidRPr="00424274" w:rsidRDefault="00851C49" w:rsidP="00D21F86">
      <w:pPr>
        <w:tabs>
          <w:tab w:val="left" w:pos="6096"/>
        </w:tabs>
        <w:spacing w:line="276" w:lineRule="auto"/>
        <w:rPr>
          <w:rFonts w:ascii="Arial" w:hAnsi="Arial"/>
          <w:sz w:val="20"/>
        </w:rPr>
      </w:pPr>
    </w:p>
    <w:p w14:paraId="3B862AB9" w14:textId="3073E2D1" w:rsidR="00851C49" w:rsidRPr="00424274" w:rsidRDefault="00851C49" w:rsidP="00D21F86">
      <w:pPr>
        <w:tabs>
          <w:tab w:val="left" w:pos="6096"/>
        </w:tabs>
        <w:spacing w:line="276" w:lineRule="auto"/>
        <w:rPr>
          <w:rFonts w:ascii="Arial" w:hAnsi="Arial"/>
          <w:b/>
          <w:i/>
          <w:sz w:val="20"/>
        </w:rPr>
      </w:pPr>
      <w:r w:rsidRPr="00424274">
        <w:rPr>
          <w:rFonts w:ascii="Arial" w:hAnsi="Arial"/>
          <w:sz w:val="20"/>
        </w:rPr>
        <w:t>Sistem odkrivanja pranja denarja je z uveljavitvijo preventivnih zakonov o preprečevanju pranja denarja in financiranja terorizma</w:t>
      </w:r>
      <w:r w:rsidRPr="00424274">
        <w:rPr>
          <w:rStyle w:val="Sprotnaopomba-sklic"/>
          <w:rFonts w:ascii="Arial" w:hAnsi="Arial" w:cs="Arial"/>
          <w:sz w:val="20"/>
        </w:rPr>
        <w:footnoteReference w:id="2"/>
      </w:r>
      <w:r w:rsidRPr="00424274">
        <w:rPr>
          <w:rFonts w:ascii="Arial" w:hAnsi="Arial"/>
          <w:sz w:val="20"/>
        </w:rPr>
        <w:t xml:space="preserve"> ter ustanovitvijo uradov za preprečevanje pranja denarja, ki so po svetu nastali pred </w:t>
      </w:r>
      <w:r w:rsidR="00DF5B53" w:rsidRPr="00424274">
        <w:rPr>
          <w:rFonts w:ascii="Arial" w:hAnsi="Arial"/>
          <w:sz w:val="20"/>
        </w:rPr>
        <w:t>šestindvajsetimi</w:t>
      </w:r>
      <w:r w:rsidRPr="00424274">
        <w:rPr>
          <w:rFonts w:ascii="Arial" w:hAnsi="Arial"/>
          <w:sz w:val="20"/>
        </w:rPr>
        <w:t xml:space="preserve"> leti, namenil pomembno vlogo tudi zavezancem (finančnim in nefinančnim institucijam) in uradom za preprečevanje pranja denarja. Mednarodno uveljavljen izraz za te urade je </w:t>
      </w:r>
      <w:proofErr w:type="spellStart"/>
      <w:r w:rsidRPr="00424274">
        <w:rPr>
          <w:rFonts w:ascii="Arial" w:hAnsi="Arial"/>
          <w:bCs/>
          <w:i/>
          <w:sz w:val="20"/>
        </w:rPr>
        <w:t>Financial</w:t>
      </w:r>
      <w:proofErr w:type="spellEnd"/>
      <w:r w:rsidRPr="00424274">
        <w:rPr>
          <w:rFonts w:ascii="Arial" w:hAnsi="Arial"/>
          <w:bCs/>
          <w:i/>
          <w:sz w:val="20"/>
        </w:rPr>
        <w:t xml:space="preserve"> </w:t>
      </w:r>
      <w:proofErr w:type="spellStart"/>
      <w:r w:rsidRPr="00424274">
        <w:rPr>
          <w:rFonts w:ascii="Arial" w:hAnsi="Arial"/>
          <w:bCs/>
          <w:i/>
          <w:sz w:val="20"/>
        </w:rPr>
        <w:t>Intelligence</w:t>
      </w:r>
      <w:proofErr w:type="spellEnd"/>
      <w:r w:rsidRPr="00424274">
        <w:rPr>
          <w:rFonts w:ascii="Arial" w:hAnsi="Arial"/>
          <w:bCs/>
          <w:i/>
          <w:sz w:val="20"/>
        </w:rPr>
        <w:t xml:space="preserve"> </w:t>
      </w:r>
      <w:proofErr w:type="spellStart"/>
      <w:r w:rsidRPr="00424274">
        <w:rPr>
          <w:rFonts w:ascii="Arial" w:hAnsi="Arial"/>
          <w:bCs/>
          <w:i/>
          <w:sz w:val="20"/>
        </w:rPr>
        <w:t>Unit</w:t>
      </w:r>
      <w:proofErr w:type="spellEnd"/>
      <w:r w:rsidRPr="00424274">
        <w:rPr>
          <w:rFonts w:ascii="Arial" w:hAnsi="Arial"/>
          <w:bCs/>
          <w:i/>
          <w:sz w:val="20"/>
        </w:rPr>
        <w:t xml:space="preserve"> –</w:t>
      </w:r>
      <w:r w:rsidRPr="00424274">
        <w:rPr>
          <w:rFonts w:ascii="Arial" w:hAnsi="Arial"/>
          <w:i/>
          <w:sz w:val="20"/>
        </w:rPr>
        <w:t xml:space="preserve"> FIU</w:t>
      </w:r>
      <w:r w:rsidRPr="00424274">
        <w:rPr>
          <w:rFonts w:ascii="Arial" w:hAnsi="Arial"/>
          <w:sz w:val="20"/>
        </w:rPr>
        <w:t xml:space="preserve"> oziroma v prevodu »finančna obveščevalna enota«, kar poenostavljeno pomeni, da je ena od njegovih nalog </w:t>
      </w:r>
      <w:r w:rsidR="002C4227" w:rsidRPr="00424274">
        <w:rPr>
          <w:rFonts w:ascii="Arial" w:hAnsi="Arial"/>
          <w:sz w:val="20"/>
        </w:rPr>
        <w:t xml:space="preserve">sprejemanje, analiziranje in </w:t>
      </w:r>
      <w:r w:rsidRPr="00424274">
        <w:rPr>
          <w:rFonts w:ascii="Arial" w:hAnsi="Arial"/>
          <w:sz w:val="20"/>
        </w:rPr>
        <w:t xml:space="preserve">pošiljanje finančnih in drugih obveščevalnih podatkov pristojnim organom. Ta naloga urada je razvidna tudi iz definicije že omenjene Projektne skupine za finančno ukrepanje – FATF, po kateri so uradi za preprečevanje pranja denarja </w:t>
      </w:r>
      <w:r w:rsidRPr="00424274">
        <w:rPr>
          <w:rFonts w:ascii="Arial" w:hAnsi="Arial"/>
          <w:b/>
          <w:i/>
          <w:sz w:val="20"/>
        </w:rPr>
        <w:t>»osrednji državni organ za sprejemanje, analiziranje in obveščanje pristojnih organov o sumljivih transakcijah in drugih morebitnih podatkih o pranju denarja ali financiranju terorizma«.</w:t>
      </w:r>
    </w:p>
    <w:p w14:paraId="2521D74C" w14:textId="77777777" w:rsidR="00851C49" w:rsidRPr="00424274" w:rsidRDefault="00851C49" w:rsidP="00D21F86">
      <w:pPr>
        <w:tabs>
          <w:tab w:val="left" w:pos="6096"/>
        </w:tabs>
        <w:spacing w:line="276" w:lineRule="auto"/>
        <w:rPr>
          <w:rFonts w:ascii="Arial" w:hAnsi="Arial"/>
          <w:iCs/>
          <w:sz w:val="20"/>
        </w:rPr>
      </w:pPr>
    </w:p>
    <w:p w14:paraId="1E4D3B27" w14:textId="77777777" w:rsidR="009426E5" w:rsidRPr="00424274" w:rsidRDefault="00851C49" w:rsidP="00D21F86">
      <w:pPr>
        <w:tabs>
          <w:tab w:val="left" w:pos="6096"/>
        </w:tabs>
        <w:spacing w:line="276" w:lineRule="auto"/>
        <w:rPr>
          <w:rFonts w:ascii="Arial" w:hAnsi="Arial"/>
          <w:sz w:val="20"/>
        </w:rPr>
      </w:pPr>
      <w:r w:rsidRPr="00424274">
        <w:rPr>
          <w:rFonts w:ascii="Arial" w:hAnsi="Arial"/>
          <w:sz w:val="20"/>
        </w:rPr>
        <w:t>Glede na organizacijsko obliko se uradi po svetu delijo na administrativne, policijske, tožilske/sodne in hibridne vrste, največ je prvih (v skoraj polovici držav članic EU). Tudi naša država se je odločila za administrativni tip urada, ki nima policijskih pooblastil, s č</w:t>
      </w:r>
      <w:r w:rsidR="00DB299F" w:rsidRPr="00424274">
        <w:rPr>
          <w:rFonts w:ascii="Arial" w:hAnsi="Arial"/>
          <w:sz w:val="20"/>
        </w:rPr>
        <w:t>i</w:t>
      </w:r>
      <w:r w:rsidRPr="00424274">
        <w:rPr>
          <w:rFonts w:ascii="Arial" w:hAnsi="Arial"/>
          <w:sz w:val="20"/>
        </w:rPr>
        <w:t>mer je poleg odkrivanja poudarjena tudi njegova vloga pri preprečevanju</w:t>
      </w:r>
      <w:r w:rsidRPr="00424274">
        <w:rPr>
          <w:rStyle w:val="Sprotnaopomba-sklic"/>
          <w:rFonts w:ascii="Arial" w:hAnsi="Arial" w:cs="Arial"/>
          <w:sz w:val="20"/>
        </w:rPr>
        <w:footnoteReference w:id="3"/>
      </w:r>
      <w:r w:rsidRPr="00424274">
        <w:rPr>
          <w:rFonts w:ascii="Arial" w:hAnsi="Arial"/>
          <w:sz w:val="20"/>
        </w:rPr>
        <w:t xml:space="preserve"> pranja denarja in financiranja terorizma. Prednost takih uradov je v možnosti razvijanja sodelovanja urada </w:t>
      </w:r>
      <w:r w:rsidR="00F51AE6" w:rsidRPr="00424274">
        <w:rPr>
          <w:rFonts w:ascii="Arial" w:hAnsi="Arial"/>
          <w:sz w:val="20"/>
        </w:rPr>
        <w:t>z zavezanci</w:t>
      </w:r>
      <w:r w:rsidRPr="00424274">
        <w:rPr>
          <w:rFonts w:ascii="Arial" w:hAnsi="Arial"/>
          <w:sz w:val="20"/>
        </w:rPr>
        <w:t xml:space="preserve">, posebno z bankami. </w:t>
      </w:r>
    </w:p>
    <w:p w14:paraId="13E31805" w14:textId="77777777" w:rsidR="009426E5" w:rsidRPr="00424274" w:rsidRDefault="009426E5" w:rsidP="00D21F86">
      <w:pPr>
        <w:tabs>
          <w:tab w:val="left" w:pos="6096"/>
        </w:tabs>
        <w:spacing w:line="276" w:lineRule="auto"/>
        <w:rPr>
          <w:rFonts w:ascii="Arial" w:hAnsi="Arial"/>
          <w:sz w:val="20"/>
        </w:rPr>
      </w:pPr>
    </w:p>
    <w:p w14:paraId="0A1D2AEC" w14:textId="1387D17B" w:rsidR="005D0781" w:rsidRPr="00424274" w:rsidRDefault="00851C49" w:rsidP="00D21F86">
      <w:pPr>
        <w:tabs>
          <w:tab w:val="left" w:pos="6096"/>
        </w:tabs>
        <w:spacing w:line="276" w:lineRule="auto"/>
        <w:rPr>
          <w:rFonts w:ascii="Arial" w:hAnsi="Arial"/>
          <w:sz w:val="20"/>
        </w:rPr>
      </w:pPr>
      <w:r w:rsidRPr="00424274">
        <w:rPr>
          <w:rFonts w:ascii="Arial" w:hAnsi="Arial"/>
          <w:sz w:val="20"/>
        </w:rPr>
        <w:t>Urad je administrativni organ v sestavi Ministrstva za finance in deluje v vlogi</w:t>
      </w:r>
      <w:r w:rsidRPr="00424274">
        <w:rPr>
          <w:rFonts w:ascii="Arial" w:hAnsi="Arial"/>
          <w:color w:val="000000"/>
          <w:sz w:val="20"/>
        </w:rPr>
        <w:t xml:space="preserve"> posrednika med institucijami finančnega sistema na eni ter organi odkrivanja in pregona kaznivih dejanj na drugi strani.</w:t>
      </w:r>
      <w:r w:rsidRPr="00424274">
        <w:rPr>
          <w:rFonts w:ascii="Arial" w:hAnsi="Arial"/>
          <w:sz w:val="20"/>
        </w:rPr>
        <w:t xml:space="preserve"> V skladu s pooblastili analizira sporočene sumljive transakcije, ki mu jih sporočajo zavezanc</w:t>
      </w:r>
      <w:r w:rsidR="001E50CC" w:rsidRPr="00424274">
        <w:rPr>
          <w:rFonts w:ascii="Arial" w:hAnsi="Arial"/>
          <w:sz w:val="20"/>
        </w:rPr>
        <w:t>i. Č</w:t>
      </w:r>
      <w:r w:rsidRPr="00424274">
        <w:rPr>
          <w:rFonts w:ascii="Arial" w:hAnsi="Arial"/>
          <w:sz w:val="20"/>
        </w:rPr>
        <w:t>e pri tem ugotovi razloge za sum pranja denarja ali financiranja terorizma ali drugih kaznivih dejanj, zbrane podatke kot obvestilo ali informacij</w:t>
      </w:r>
      <w:r w:rsidR="00776F73" w:rsidRPr="00424274">
        <w:rPr>
          <w:rFonts w:ascii="Arial" w:hAnsi="Arial"/>
          <w:sz w:val="20"/>
        </w:rPr>
        <w:t>o</w:t>
      </w:r>
      <w:r w:rsidRPr="00424274">
        <w:rPr>
          <w:rFonts w:ascii="Arial" w:hAnsi="Arial"/>
          <w:sz w:val="20"/>
        </w:rPr>
        <w:t xml:space="preserve"> pošlje v nadaljnjo obravnavo pristojnim organom</w:t>
      </w:r>
      <w:r w:rsidR="001E50CC" w:rsidRPr="00424274">
        <w:rPr>
          <w:rFonts w:ascii="Arial" w:hAnsi="Arial"/>
          <w:sz w:val="20"/>
        </w:rPr>
        <w:t xml:space="preserve"> (</w:t>
      </w:r>
      <w:r w:rsidR="00873AC7">
        <w:rPr>
          <w:rFonts w:ascii="Arial" w:hAnsi="Arial"/>
          <w:sz w:val="20"/>
        </w:rPr>
        <w:t>p</w:t>
      </w:r>
      <w:r w:rsidRPr="00424274">
        <w:rPr>
          <w:rFonts w:ascii="Arial" w:hAnsi="Arial"/>
          <w:sz w:val="20"/>
        </w:rPr>
        <w:t>olicija</w:t>
      </w:r>
      <w:r w:rsidR="001E50CC" w:rsidRPr="00424274">
        <w:rPr>
          <w:rFonts w:ascii="Arial" w:hAnsi="Arial"/>
          <w:sz w:val="20"/>
        </w:rPr>
        <w:t xml:space="preserve">, </w:t>
      </w:r>
      <w:r w:rsidR="00873AC7">
        <w:rPr>
          <w:rFonts w:ascii="Arial" w:hAnsi="Arial"/>
          <w:sz w:val="20"/>
        </w:rPr>
        <w:t>t</w:t>
      </w:r>
      <w:r w:rsidR="001E50CC" w:rsidRPr="00424274">
        <w:rPr>
          <w:rFonts w:ascii="Arial" w:hAnsi="Arial"/>
          <w:sz w:val="20"/>
        </w:rPr>
        <w:t xml:space="preserve">ožilstvo, </w:t>
      </w:r>
      <w:r w:rsidR="00873AC7">
        <w:rPr>
          <w:rFonts w:ascii="Arial" w:hAnsi="Arial"/>
          <w:sz w:val="20"/>
        </w:rPr>
        <w:t>f</w:t>
      </w:r>
      <w:r w:rsidR="001E50CC" w:rsidRPr="00424274">
        <w:rPr>
          <w:rFonts w:ascii="Arial" w:hAnsi="Arial"/>
          <w:sz w:val="20"/>
        </w:rPr>
        <w:t>inančna uprava, SOVA).</w:t>
      </w:r>
      <w:r w:rsidRPr="00424274">
        <w:rPr>
          <w:rFonts w:ascii="Arial" w:hAnsi="Arial"/>
          <w:sz w:val="20"/>
        </w:rPr>
        <w:t xml:space="preserve"> </w:t>
      </w:r>
    </w:p>
    <w:p w14:paraId="1C044E91" w14:textId="77777777" w:rsidR="005D0781" w:rsidRPr="00424274" w:rsidRDefault="005D0781" w:rsidP="00D21F86">
      <w:pPr>
        <w:tabs>
          <w:tab w:val="left" w:pos="6096"/>
        </w:tabs>
        <w:spacing w:line="276" w:lineRule="auto"/>
        <w:rPr>
          <w:rFonts w:ascii="Arial" w:hAnsi="Arial"/>
          <w:sz w:val="20"/>
        </w:rPr>
      </w:pPr>
    </w:p>
    <w:p w14:paraId="6C46D84E" w14:textId="1247518C" w:rsidR="00851C49" w:rsidRPr="00424274" w:rsidRDefault="00851C49" w:rsidP="00D21F86">
      <w:pPr>
        <w:tabs>
          <w:tab w:val="left" w:pos="6096"/>
        </w:tabs>
        <w:spacing w:line="276" w:lineRule="auto"/>
        <w:rPr>
          <w:rFonts w:ascii="Arial" w:hAnsi="Arial"/>
          <w:sz w:val="20"/>
        </w:rPr>
      </w:pPr>
      <w:r w:rsidRPr="00424274">
        <w:rPr>
          <w:rFonts w:ascii="Arial" w:hAnsi="Arial"/>
          <w:sz w:val="20"/>
        </w:rPr>
        <w:t xml:space="preserve">V zvezi z obvestili </w:t>
      </w:r>
      <w:r w:rsidR="00873AC7">
        <w:rPr>
          <w:rFonts w:ascii="Arial" w:hAnsi="Arial"/>
          <w:sz w:val="20"/>
        </w:rPr>
        <w:t>u</w:t>
      </w:r>
      <w:r w:rsidRPr="00424274">
        <w:rPr>
          <w:rFonts w:ascii="Arial" w:hAnsi="Arial"/>
          <w:sz w:val="20"/>
        </w:rPr>
        <w:t xml:space="preserve">rada policiji/tožilstvu </w:t>
      </w:r>
      <w:r w:rsidR="00264FCD" w:rsidRPr="00424274">
        <w:rPr>
          <w:rFonts w:ascii="Arial" w:hAnsi="Arial"/>
          <w:sz w:val="20"/>
        </w:rPr>
        <w:t xml:space="preserve">velja poudariti, da </w:t>
      </w:r>
      <w:r w:rsidRPr="00424274">
        <w:rPr>
          <w:rFonts w:ascii="Arial" w:hAnsi="Arial"/>
          <w:sz w:val="20"/>
        </w:rPr>
        <w:t xml:space="preserve">gre za obveščevalne podatke, </w:t>
      </w:r>
      <w:r w:rsidR="00ED179D" w:rsidRPr="00424274">
        <w:rPr>
          <w:rFonts w:ascii="Arial" w:hAnsi="Arial"/>
          <w:sz w:val="20"/>
        </w:rPr>
        <w:t>katerih del je opravljena analiza finančnih in drugih podatkov</w:t>
      </w:r>
      <w:r w:rsidRPr="00424274">
        <w:rPr>
          <w:rFonts w:ascii="Arial" w:hAnsi="Arial"/>
          <w:sz w:val="20"/>
        </w:rPr>
        <w:t xml:space="preserve">, in ne za kazenske ovadbe </w:t>
      </w:r>
      <w:r w:rsidR="00873AC7">
        <w:rPr>
          <w:rFonts w:ascii="Arial" w:hAnsi="Arial"/>
          <w:sz w:val="20"/>
        </w:rPr>
        <w:t>po</w:t>
      </w:r>
      <w:r w:rsidRPr="00424274">
        <w:rPr>
          <w:rFonts w:ascii="Arial" w:hAnsi="Arial"/>
          <w:sz w:val="20"/>
        </w:rPr>
        <w:t xml:space="preserve"> Zakon</w:t>
      </w:r>
      <w:r w:rsidR="00873AC7">
        <w:rPr>
          <w:rFonts w:ascii="Arial" w:hAnsi="Arial"/>
          <w:sz w:val="20"/>
        </w:rPr>
        <w:t>u</w:t>
      </w:r>
      <w:r w:rsidRPr="00424274">
        <w:rPr>
          <w:rFonts w:ascii="Arial" w:hAnsi="Arial"/>
          <w:sz w:val="20"/>
        </w:rPr>
        <w:t xml:space="preserve"> o kazenskem postopku (ZKP). </w:t>
      </w:r>
    </w:p>
    <w:p w14:paraId="74E51B0C" w14:textId="77777777" w:rsidR="00851C49" w:rsidRPr="00424274" w:rsidRDefault="00851C49" w:rsidP="00D21F86">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ind w:left="31"/>
        <w:jc w:val="center"/>
        <w:rPr>
          <w:rFonts w:ascii="Arial" w:hAnsi="Arial"/>
          <w:b/>
          <w:bCs/>
          <w:i/>
          <w:sz w:val="20"/>
        </w:rPr>
      </w:pPr>
    </w:p>
    <w:p w14:paraId="144B9F29" w14:textId="51177E8E" w:rsidR="00851C49" w:rsidRPr="00424274" w:rsidRDefault="00851C49" w:rsidP="00D21F86">
      <w:pPr>
        <w:pStyle w:val="Telobesedila"/>
        <w:spacing w:line="276" w:lineRule="auto"/>
        <w:ind w:right="-22"/>
        <w:rPr>
          <w:rFonts w:ascii="Arial" w:hAnsi="Arial"/>
          <w:sz w:val="20"/>
        </w:rPr>
      </w:pPr>
      <w:r w:rsidRPr="00424274">
        <w:rPr>
          <w:rFonts w:ascii="Arial" w:hAnsi="Arial"/>
          <w:sz w:val="20"/>
        </w:rPr>
        <w:lastRenderedPageBreak/>
        <w:t xml:space="preserve">Organizacijska shema </w:t>
      </w:r>
      <w:r w:rsidR="008126B7">
        <w:rPr>
          <w:rFonts w:ascii="Arial" w:hAnsi="Arial"/>
          <w:sz w:val="20"/>
        </w:rPr>
        <w:t>u</w:t>
      </w:r>
      <w:r w:rsidRPr="00424274">
        <w:rPr>
          <w:rFonts w:ascii="Arial" w:hAnsi="Arial"/>
          <w:sz w:val="20"/>
        </w:rPr>
        <w:t>rada se v letu 2004 na podlagi sprememb Zakona o javnih uslužbencih (</w:t>
      </w:r>
      <w:r w:rsidR="00C83FBC" w:rsidRPr="00424274">
        <w:rPr>
          <w:rFonts w:ascii="Arial" w:hAnsi="Arial"/>
          <w:sz w:val="20"/>
        </w:rPr>
        <w:t>Uradni list RS</w:t>
      </w:r>
      <w:r w:rsidR="002A63BF" w:rsidRPr="00424274">
        <w:rPr>
          <w:rFonts w:ascii="Arial" w:hAnsi="Arial"/>
          <w:sz w:val="20"/>
        </w:rPr>
        <w:t>, št. 56/</w:t>
      </w:r>
      <w:r w:rsidRPr="00424274">
        <w:rPr>
          <w:rFonts w:ascii="Arial" w:hAnsi="Arial"/>
          <w:sz w:val="20"/>
        </w:rPr>
        <w:t>02) in na podlagi Uredbe o notranji organizaciji, sistemizaciji delovnih mest in nazivih v organih javne uprave in pravosodnih organih (</w:t>
      </w:r>
      <w:r w:rsidR="00C83FBC" w:rsidRPr="00424274">
        <w:rPr>
          <w:rFonts w:ascii="Arial" w:hAnsi="Arial"/>
          <w:sz w:val="20"/>
        </w:rPr>
        <w:t>Uradni list RS</w:t>
      </w:r>
      <w:r w:rsidRPr="00424274">
        <w:rPr>
          <w:rFonts w:ascii="Arial" w:hAnsi="Arial"/>
          <w:sz w:val="20"/>
        </w:rPr>
        <w:t xml:space="preserve">, št. 58/2003) </w:t>
      </w:r>
      <w:r w:rsidR="00164DBB" w:rsidRPr="00424274">
        <w:rPr>
          <w:rFonts w:ascii="Arial" w:hAnsi="Arial"/>
          <w:sz w:val="20"/>
        </w:rPr>
        <w:t xml:space="preserve">ni </w:t>
      </w:r>
      <w:r w:rsidR="00CE15C5" w:rsidRPr="00424274">
        <w:rPr>
          <w:rFonts w:ascii="Arial" w:hAnsi="Arial"/>
          <w:sz w:val="20"/>
        </w:rPr>
        <w:t xml:space="preserve">bistveno </w:t>
      </w:r>
      <w:r w:rsidRPr="00424274">
        <w:rPr>
          <w:rFonts w:ascii="Arial" w:hAnsi="Arial"/>
          <w:sz w:val="20"/>
        </w:rPr>
        <w:t>spremenila</w:t>
      </w:r>
      <w:r w:rsidR="00CE15C5" w:rsidRPr="00424274">
        <w:rPr>
          <w:rFonts w:ascii="Arial" w:hAnsi="Arial"/>
          <w:sz w:val="20"/>
        </w:rPr>
        <w:t xml:space="preserve"> in </w:t>
      </w:r>
      <w:r w:rsidR="00164DBB" w:rsidRPr="00424274">
        <w:rPr>
          <w:rFonts w:ascii="Arial" w:hAnsi="Arial"/>
          <w:sz w:val="20"/>
        </w:rPr>
        <w:t xml:space="preserve">je </w:t>
      </w:r>
      <w:r w:rsidR="00CE15C5" w:rsidRPr="00424274">
        <w:rPr>
          <w:rFonts w:ascii="Arial" w:hAnsi="Arial"/>
          <w:sz w:val="20"/>
        </w:rPr>
        <w:t xml:space="preserve">vse do leta </w:t>
      </w:r>
      <w:r w:rsidRPr="00424274">
        <w:rPr>
          <w:rFonts w:ascii="Arial" w:hAnsi="Arial"/>
          <w:sz w:val="20"/>
        </w:rPr>
        <w:t>2013 ostala enaka.</w:t>
      </w:r>
      <w:r w:rsidR="00AC7C31" w:rsidRPr="00424274">
        <w:rPr>
          <w:rFonts w:ascii="Arial" w:hAnsi="Arial"/>
          <w:sz w:val="20"/>
        </w:rPr>
        <w:t xml:space="preserve"> </w:t>
      </w:r>
      <w:r w:rsidR="008126B7">
        <w:rPr>
          <w:rFonts w:ascii="Arial" w:hAnsi="Arial"/>
          <w:sz w:val="20"/>
        </w:rPr>
        <w:t>Na</w:t>
      </w:r>
      <w:r w:rsidR="00AC7C31" w:rsidRPr="00424274">
        <w:rPr>
          <w:rFonts w:ascii="Arial" w:hAnsi="Arial"/>
          <w:sz w:val="20"/>
        </w:rPr>
        <w:t xml:space="preserve"> začetku leta 2014 je bila organizacijska struktura </w:t>
      </w:r>
      <w:r w:rsidR="008126B7">
        <w:rPr>
          <w:rFonts w:ascii="Arial" w:hAnsi="Arial"/>
          <w:sz w:val="20"/>
        </w:rPr>
        <w:t>u</w:t>
      </w:r>
      <w:r w:rsidR="00AC7C31" w:rsidRPr="00424274">
        <w:rPr>
          <w:rFonts w:ascii="Arial" w:hAnsi="Arial"/>
          <w:sz w:val="20"/>
        </w:rPr>
        <w:t>rada spremenjena</w:t>
      </w:r>
      <w:r w:rsidR="00264FCD" w:rsidRPr="00424274">
        <w:rPr>
          <w:rFonts w:ascii="Arial" w:hAnsi="Arial"/>
          <w:sz w:val="20"/>
        </w:rPr>
        <w:t>. U</w:t>
      </w:r>
      <w:r w:rsidR="00AC7C31" w:rsidRPr="00424274">
        <w:rPr>
          <w:rFonts w:ascii="Arial" w:hAnsi="Arial"/>
          <w:sz w:val="20"/>
        </w:rPr>
        <w:t xml:space="preserve">kinjena </w:t>
      </w:r>
      <w:r w:rsidR="00264FCD" w:rsidRPr="00424274">
        <w:rPr>
          <w:rFonts w:ascii="Arial" w:hAnsi="Arial"/>
          <w:sz w:val="20"/>
        </w:rPr>
        <w:t xml:space="preserve">je bila </w:t>
      </w:r>
      <w:r w:rsidR="00AC7C31" w:rsidRPr="00424274">
        <w:rPr>
          <w:rFonts w:ascii="Arial" w:hAnsi="Arial"/>
          <w:sz w:val="20"/>
        </w:rPr>
        <w:t>Služba za analitiko</w:t>
      </w:r>
      <w:r w:rsidR="00264FCD" w:rsidRPr="00424274">
        <w:rPr>
          <w:rFonts w:ascii="Arial" w:hAnsi="Arial"/>
          <w:sz w:val="20"/>
        </w:rPr>
        <w:t>, njene naloge pa je prevzel Sektor za sumljive transakcije</w:t>
      </w:r>
      <w:r w:rsidR="00AC7C31" w:rsidRPr="00424274">
        <w:rPr>
          <w:rFonts w:ascii="Arial" w:hAnsi="Arial"/>
          <w:sz w:val="20"/>
        </w:rPr>
        <w:t>.</w:t>
      </w:r>
    </w:p>
    <w:p w14:paraId="0F0A8618" w14:textId="77777777" w:rsidR="004F778E" w:rsidRPr="00424274" w:rsidRDefault="004F778E" w:rsidP="00D21F86">
      <w:pPr>
        <w:pStyle w:val="Telobesedila"/>
        <w:spacing w:line="276" w:lineRule="auto"/>
        <w:ind w:right="-22"/>
        <w:rPr>
          <w:rFonts w:ascii="Arial" w:hAnsi="Arial"/>
          <w:b/>
          <w:bCs/>
          <w:sz w:val="20"/>
        </w:rPr>
      </w:pPr>
    </w:p>
    <w:p w14:paraId="24B1BB90" w14:textId="2DBD64D6" w:rsidR="00851C49" w:rsidRPr="00424274" w:rsidRDefault="00F82C33" w:rsidP="00D21F86">
      <w:pPr>
        <w:spacing w:line="276" w:lineRule="auto"/>
        <w:rPr>
          <w:rFonts w:ascii="Arial" w:hAnsi="Arial"/>
          <w:b/>
          <w:bCs/>
          <w:sz w:val="20"/>
        </w:rPr>
      </w:pPr>
      <w:r w:rsidRPr="00424274">
        <w:rPr>
          <w:rFonts w:ascii="Arial" w:hAnsi="Arial"/>
          <w:noProof/>
          <w:sz w:val="20"/>
          <w:lang w:eastAsia="sl-SI"/>
        </w:rPr>
        <mc:AlternateContent>
          <mc:Choice Requires="wps">
            <w:drawing>
              <wp:anchor distT="0" distB="0" distL="114300" distR="114300" simplePos="0" relativeHeight="251658240" behindDoc="0" locked="0" layoutInCell="1" allowOverlap="1" wp14:anchorId="724871B5" wp14:editId="603F15E0">
                <wp:simplePos x="0" y="0"/>
                <wp:positionH relativeFrom="column">
                  <wp:posOffset>1336675</wp:posOffset>
                </wp:positionH>
                <wp:positionV relativeFrom="paragraph">
                  <wp:posOffset>655320</wp:posOffset>
                </wp:positionV>
                <wp:extent cx="259080" cy="17526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080" cy="17526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w14:anchorId="03C42986" id="Line 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25pt,51.6pt" to="125.6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" stroked="f">
                <v:stroke endarrow="block"/>
              </v:line>
            </w:pict>
          </mc:Fallback>
        </mc:AlternateContent>
      </w:r>
      <w:r w:rsidR="0018542F" w:rsidRPr="00424274">
        <w:rPr>
          <w:rFonts w:ascii="Arial" w:hAnsi="Arial"/>
          <w:b/>
          <w:bCs/>
          <w:sz w:val="20"/>
        </w:rPr>
        <w:t xml:space="preserve">Organigram: </w:t>
      </w:r>
      <w:r w:rsidR="007377F8" w:rsidRPr="00424274">
        <w:rPr>
          <w:rFonts w:ascii="Arial" w:hAnsi="Arial"/>
          <w:b/>
          <w:bCs/>
          <w:sz w:val="20"/>
        </w:rPr>
        <w:t>Organizacijska</w:t>
      </w:r>
      <w:r w:rsidR="00851C49" w:rsidRPr="00424274">
        <w:rPr>
          <w:rFonts w:ascii="Arial" w:hAnsi="Arial"/>
          <w:b/>
          <w:bCs/>
          <w:sz w:val="20"/>
        </w:rPr>
        <w:t xml:space="preserve"> shema </w:t>
      </w:r>
      <w:r w:rsidR="008A1626">
        <w:rPr>
          <w:rFonts w:ascii="Arial" w:hAnsi="Arial"/>
          <w:b/>
          <w:bCs/>
          <w:sz w:val="20"/>
        </w:rPr>
        <w:t>u</w:t>
      </w:r>
      <w:r w:rsidR="00851C49" w:rsidRPr="00424274">
        <w:rPr>
          <w:rFonts w:ascii="Arial" w:hAnsi="Arial"/>
          <w:b/>
          <w:bCs/>
          <w:sz w:val="20"/>
        </w:rPr>
        <w:t>rada</w:t>
      </w:r>
    </w:p>
    <w:p w14:paraId="51753909" w14:textId="77777777" w:rsidR="0018542F" w:rsidRPr="00424274" w:rsidRDefault="0018542F" w:rsidP="00D21F86">
      <w:pPr>
        <w:spacing w:line="276" w:lineRule="auto"/>
        <w:rPr>
          <w:rFonts w:ascii="Arial" w:hAnsi="Arial"/>
          <w:b/>
          <w:bCs/>
          <w:sz w:val="20"/>
        </w:rPr>
      </w:pPr>
    </w:p>
    <w:p w14:paraId="1919F12D" w14:textId="77777777" w:rsidR="00851C49" w:rsidRPr="00424274" w:rsidRDefault="0018542F" w:rsidP="00D21F86">
      <w:pPr>
        <w:spacing w:line="276" w:lineRule="auto"/>
        <w:rPr>
          <w:rFonts w:ascii="Arial" w:hAnsi="Arial"/>
          <w:b/>
          <w:bCs/>
          <w:sz w:val="20"/>
        </w:rPr>
      </w:pPr>
      <w:r w:rsidRPr="00424274">
        <w:rPr>
          <w:rFonts w:ascii="Arial" w:hAnsi="Arial"/>
          <w:b/>
          <w:bCs/>
          <w:noProof/>
          <w:sz w:val="20"/>
          <w:lang w:eastAsia="sl-SI"/>
        </w:rPr>
        <w:drawing>
          <wp:inline distT="0" distB="0" distL="0" distR="0" wp14:anchorId="6F372C95" wp14:editId="32B633C9">
            <wp:extent cx="4603898" cy="1828800"/>
            <wp:effectExtent l="0" t="0" r="25400" b="19050"/>
            <wp:docPr id="10"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14:paraId="13461C33" w14:textId="77777777" w:rsidR="0018542F" w:rsidRPr="00424274" w:rsidRDefault="0018542F" w:rsidP="00D21F86">
      <w:pPr>
        <w:widowControl/>
        <w:spacing w:line="276" w:lineRule="auto"/>
        <w:jc w:val="left"/>
        <w:rPr>
          <w:rFonts w:ascii="Arial" w:hAnsi="Arial"/>
          <w:sz w:val="20"/>
        </w:rPr>
      </w:pPr>
      <w:bookmarkStart w:id="21" w:name="_Toc43532544"/>
    </w:p>
    <w:p w14:paraId="03B483A2" w14:textId="77777777" w:rsidR="0018542F" w:rsidRPr="00424274" w:rsidRDefault="0018542F" w:rsidP="00D21F86">
      <w:pPr>
        <w:widowControl/>
        <w:spacing w:line="276" w:lineRule="auto"/>
        <w:jc w:val="left"/>
        <w:rPr>
          <w:rFonts w:ascii="Arial" w:hAnsi="Arial"/>
          <w:sz w:val="20"/>
        </w:rPr>
      </w:pPr>
    </w:p>
    <w:p w14:paraId="3F2A8CAF" w14:textId="77777777" w:rsidR="0018542F" w:rsidRPr="00424274" w:rsidRDefault="00641458" w:rsidP="00D21F86">
      <w:pPr>
        <w:widowControl/>
        <w:spacing w:line="276" w:lineRule="auto"/>
        <w:jc w:val="left"/>
        <w:rPr>
          <w:rFonts w:ascii="Arial" w:hAnsi="Arial"/>
          <w:sz w:val="20"/>
        </w:rPr>
      </w:pPr>
      <w:r w:rsidRPr="00424274">
        <w:rPr>
          <w:rFonts w:ascii="Arial" w:hAnsi="Arial"/>
          <w:sz w:val="20"/>
        </w:rPr>
        <w:t>Urad sestavljajo</w:t>
      </w:r>
      <w:r w:rsidR="0018542F" w:rsidRPr="00424274">
        <w:rPr>
          <w:rFonts w:ascii="Arial" w:hAnsi="Arial"/>
          <w:sz w:val="20"/>
        </w:rPr>
        <w:t xml:space="preserve"> poleg vodstva še štiri organizacijske enote:</w:t>
      </w:r>
    </w:p>
    <w:p w14:paraId="5E63DD34" w14:textId="77777777" w:rsidR="0018542F" w:rsidRPr="00424274" w:rsidRDefault="0018542F" w:rsidP="00D21F86">
      <w:pPr>
        <w:widowControl/>
        <w:spacing w:line="276" w:lineRule="auto"/>
        <w:jc w:val="left"/>
        <w:rPr>
          <w:rFonts w:ascii="Arial" w:hAnsi="Arial"/>
          <w:sz w:val="20"/>
        </w:rPr>
      </w:pPr>
    </w:p>
    <w:p w14:paraId="382A069B" w14:textId="77777777" w:rsidR="008227D6" w:rsidRPr="00424274" w:rsidRDefault="0018542F" w:rsidP="003F3D34">
      <w:pPr>
        <w:pStyle w:val="Odstavekseznama"/>
        <w:numPr>
          <w:ilvl w:val="0"/>
          <w:numId w:val="24"/>
        </w:numPr>
        <w:spacing w:line="276" w:lineRule="auto"/>
        <w:rPr>
          <w:rFonts w:ascii="Arial" w:hAnsi="Arial" w:cs="Arial"/>
          <w:sz w:val="20"/>
          <w:szCs w:val="20"/>
          <w:lang w:val="sl-SI"/>
        </w:rPr>
      </w:pPr>
      <w:r w:rsidRPr="00424274">
        <w:rPr>
          <w:rFonts w:ascii="Arial" w:hAnsi="Arial" w:cs="Arial"/>
          <w:sz w:val="20"/>
          <w:szCs w:val="20"/>
          <w:lang w:val="sl-SI"/>
        </w:rPr>
        <w:t>Sektor za sumljive transakcije,</w:t>
      </w:r>
    </w:p>
    <w:p w14:paraId="3F4C45AB" w14:textId="77777777" w:rsidR="0018542F" w:rsidRPr="00424274" w:rsidRDefault="0018542F" w:rsidP="003F3D34">
      <w:pPr>
        <w:pStyle w:val="Odstavekseznama"/>
        <w:numPr>
          <w:ilvl w:val="0"/>
          <w:numId w:val="24"/>
        </w:numPr>
        <w:spacing w:line="276" w:lineRule="auto"/>
        <w:rPr>
          <w:rFonts w:ascii="Arial" w:hAnsi="Arial" w:cs="Arial"/>
          <w:sz w:val="20"/>
          <w:szCs w:val="20"/>
          <w:lang w:val="sl-SI"/>
        </w:rPr>
      </w:pPr>
      <w:r w:rsidRPr="00424274">
        <w:rPr>
          <w:rFonts w:ascii="Arial" w:hAnsi="Arial" w:cs="Arial"/>
          <w:sz w:val="20"/>
          <w:szCs w:val="20"/>
          <w:lang w:val="sl-SI"/>
        </w:rPr>
        <w:t>Služba za informatiko,</w:t>
      </w:r>
    </w:p>
    <w:p w14:paraId="6C199765" w14:textId="77777777" w:rsidR="0018542F" w:rsidRPr="00424274" w:rsidRDefault="0018542F" w:rsidP="003F3D34">
      <w:pPr>
        <w:pStyle w:val="Odstavekseznama"/>
        <w:numPr>
          <w:ilvl w:val="0"/>
          <w:numId w:val="24"/>
        </w:numPr>
        <w:spacing w:line="276" w:lineRule="auto"/>
        <w:rPr>
          <w:rFonts w:ascii="Arial" w:hAnsi="Arial" w:cs="Arial"/>
          <w:sz w:val="20"/>
          <w:szCs w:val="20"/>
          <w:lang w:val="sl-SI"/>
        </w:rPr>
      </w:pPr>
      <w:r w:rsidRPr="00424274">
        <w:rPr>
          <w:rFonts w:ascii="Arial" w:hAnsi="Arial" w:cs="Arial"/>
          <w:sz w:val="20"/>
          <w:szCs w:val="20"/>
          <w:lang w:val="sl-SI"/>
        </w:rPr>
        <w:t>Sektor za preventivo in nadzor,</w:t>
      </w:r>
    </w:p>
    <w:p w14:paraId="3632FD00" w14:textId="279DC65A" w:rsidR="00856B2D" w:rsidRPr="00424274" w:rsidRDefault="0018542F" w:rsidP="00D21F86">
      <w:pPr>
        <w:pStyle w:val="Odstavekseznama"/>
        <w:numPr>
          <w:ilvl w:val="0"/>
          <w:numId w:val="24"/>
        </w:numPr>
        <w:spacing w:line="276" w:lineRule="auto"/>
        <w:rPr>
          <w:rFonts w:ascii="Arial" w:hAnsi="Arial" w:cs="Arial"/>
          <w:sz w:val="20"/>
          <w:szCs w:val="20"/>
          <w:lang w:val="sl-SI"/>
        </w:rPr>
      </w:pPr>
      <w:r w:rsidRPr="00424274">
        <w:rPr>
          <w:rFonts w:ascii="Arial" w:hAnsi="Arial" w:cs="Arial"/>
          <w:sz w:val="20"/>
          <w:szCs w:val="20"/>
          <w:lang w:val="sl-SI"/>
        </w:rPr>
        <w:t>Služba za mednarodno sodelovanje.</w:t>
      </w:r>
      <w:bookmarkEnd w:id="0"/>
    </w:p>
    <w:p w14:paraId="5D20AF5B" w14:textId="77777777" w:rsidR="00851C49" w:rsidRPr="00424274" w:rsidRDefault="00851C49" w:rsidP="00D21F86">
      <w:pPr>
        <w:pStyle w:val="Naslov1"/>
        <w:numPr>
          <w:ilvl w:val="0"/>
          <w:numId w:val="6"/>
        </w:numPr>
        <w:spacing w:line="276" w:lineRule="auto"/>
        <w:rPr>
          <w:rFonts w:ascii="Arial" w:hAnsi="Arial"/>
          <w:sz w:val="20"/>
        </w:rPr>
      </w:pPr>
      <w:bookmarkStart w:id="22" w:name="_Toc135206709"/>
      <w:bookmarkStart w:id="23" w:name="_Toc200524128"/>
      <w:bookmarkStart w:id="24" w:name="_Toc113535447"/>
      <w:bookmarkEnd w:id="21"/>
      <w:r w:rsidRPr="00424274">
        <w:rPr>
          <w:rFonts w:ascii="Arial" w:hAnsi="Arial"/>
          <w:sz w:val="20"/>
        </w:rPr>
        <w:t xml:space="preserve">DELO URADA NA PODROČJU </w:t>
      </w:r>
      <w:r w:rsidR="00835005" w:rsidRPr="00424274">
        <w:rPr>
          <w:rFonts w:ascii="Arial" w:hAnsi="Arial"/>
          <w:sz w:val="20"/>
        </w:rPr>
        <w:t xml:space="preserve">SPREJEMA </w:t>
      </w:r>
      <w:r w:rsidRPr="00424274">
        <w:rPr>
          <w:rFonts w:ascii="Arial" w:hAnsi="Arial"/>
          <w:sz w:val="20"/>
        </w:rPr>
        <w:t>TRANSAKCIJ</w:t>
      </w:r>
      <w:bookmarkEnd w:id="22"/>
      <w:bookmarkEnd w:id="23"/>
      <w:r w:rsidR="00835005" w:rsidRPr="00424274">
        <w:rPr>
          <w:rFonts w:ascii="Arial" w:hAnsi="Arial"/>
          <w:sz w:val="20"/>
        </w:rPr>
        <w:t xml:space="preserve"> NAD DOLOČENIM ZNESKOM</w:t>
      </w:r>
      <w:bookmarkEnd w:id="24"/>
    </w:p>
    <w:p w14:paraId="49F42567" w14:textId="77777777" w:rsidR="00851C49" w:rsidRPr="00424274" w:rsidRDefault="00851C49" w:rsidP="00D21F86">
      <w:pPr>
        <w:spacing w:line="276" w:lineRule="auto"/>
        <w:rPr>
          <w:rFonts w:ascii="Arial" w:hAnsi="Arial"/>
          <w:sz w:val="20"/>
        </w:rPr>
      </w:pPr>
      <w:bookmarkStart w:id="25" w:name="_Toc107306485"/>
      <w:bookmarkStart w:id="26" w:name="_Toc74461944"/>
    </w:p>
    <w:p w14:paraId="45162136" w14:textId="16C6D851" w:rsidR="00F76058" w:rsidRPr="00424274" w:rsidRDefault="00F76058" w:rsidP="00F76058">
      <w:pPr>
        <w:spacing w:line="276" w:lineRule="auto"/>
        <w:rPr>
          <w:rFonts w:ascii="Arial" w:hAnsi="Arial"/>
          <w:sz w:val="20"/>
        </w:rPr>
      </w:pPr>
      <w:r w:rsidRPr="00424274">
        <w:rPr>
          <w:rFonts w:ascii="Arial" w:hAnsi="Arial"/>
          <w:sz w:val="20"/>
        </w:rPr>
        <w:t>Od 19.</w:t>
      </w:r>
      <w:r w:rsidR="008231A8" w:rsidRPr="00424274">
        <w:rPr>
          <w:rFonts w:ascii="Arial" w:hAnsi="Arial"/>
          <w:sz w:val="20"/>
        </w:rPr>
        <w:t xml:space="preserve"> </w:t>
      </w:r>
      <w:r w:rsidRPr="00424274">
        <w:rPr>
          <w:rFonts w:ascii="Arial" w:hAnsi="Arial"/>
          <w:sz w:val="20"/>
        </w:rPr>
        <w:t>11.</w:t>
      </w:r>
      <w:r w:rsidR="008231A8" w:rsidRPr="00424274">
        <w:rPr>
          <w:rFonts w:ascii="Arial" w:hAnsi="Arial"/>
          <w:sz w:val="20"/>
        </w:rPr>
        <w:t xml:space="preserve"> </w:t>
      </w:r>
      <w:r w:rsidRPr="00424274">
        <w:rPr>
          <w:rFonts w:ascii="Arial" w:hAnsi="Arial"/>
          <w:sz w:val="20"/>
        </w:rPr>
        <w:t xml:space="preserve">2016, ko je </w:t>
      </w:r>
      <w:r w:rsidR="008A1626">
        <w:rPr>
          <w:rFonts w:ascii="Arial" w:hAnsi="Arial"/>
          <w:sz w:val="20"/>
        </w:rPr>
        <w:t>za</w:t>
      </w:r>
      <w:r w:rsidRPr="00424274">
        <w:rPr>
          <w:rFonts w:ascii="Arial" w:hAnsi="Arial"/>
          <w:sz w:val="20"/>
        </w:rPr>
        <w:t xml:space="preserve">čel veljati ZPPDFT-1, </w:t>
      </w:r>
      <w:r w:rsidR="008A1626">
        <w:rPr>
          <w:rFonts w:ascii="Arial" w:hAnsi="Arial"/>
          <w:sz w:val="20"/>
        </w:rPr>
        <w:t>u</w:t>
      </w:r>
      <w:r w:rsidRPr="00424274">
        <w:rPr>
          <w:rFonts w:ascii="Arial" w:hAnsi="Arial"/>
          <w:sz w:val="20"/>
        </w:rPr>
        <w:t>rad od zavezancev iz 4. člena ZPPDFT-1 in Finančne uprave RS prejema podatke o vseh transakcijah nad določenim zneskom, in sicer:</w:t>
      </w:r>
    </w:p>
    <w:p w14:paraId="7D04ECE1" w14:textId="67D20DF5" w:rsidR="00F76058" w:rsidRPr="00424274" w:rsidRDefault="00F76058" w:rsidP="00F76058">
      <w:pPr>
        <w:numPr>
          <w:ilvl w:val="0"/>
          <w:numId w:val="18"/>
        </w:numPr>
        <w:spacing w:line="276" w:lineRule="auto"/>
        <w:contextualSpacing/>
        <w:rPr>
          <w:rFonts w:ascii="Arial" w:hAnsi="Arial"/>
          <w:sz w:val="20"/>
        </w:rPr>
      </w:pPr>
      <w:r w:rsidRPr="00424274">
        <w:rPr>
          <w:rFonts w:ascii="Arial" w:hAnsi="Arial"/>
          <w:sz w:val="20"/>
        </w:rPr>
        <w:t>o vseh gotovinskih transakcijah nad 15.000 EUR (v nadaljevanju</w:t>
      </w:r>
      <w:r w:rsidR="008A1626">
        <w:rPr>
          <w:rFonts w:ascii="Arial" w:hAnsi="Arial"/>
          <w:sz w:val="20"/>
        </w:rPr>
        <w:t>:</w:t>
      </w:r>
      <w:r w:rsidRPr="00424274">
        <w:rPr>
          <w:rFonts w:ascii="Arial" w:hAnsi="Arial"/>
          <w:sz w:val="20"/>
        </w:rPr>
        <w:t xml:space="preserve"> gotovinske transakcije),</w:t>
      </w:r>
    </w:p>
    <w:p w14:paraId="410072E4" w14:textId="65654B87" w:rsidR="00F76058" w:rsidRPr="00424274" w:rsidRDefault="00F76058" w:rsidP="00F76058">
      <w:pPr>
        <w:numPr>
          <w:ilvl w:val="0"/>
          <w:numId w:val="18"/>
        </w:numPr>
        <w:spacing w:line="276" w:lineRule="auto"/>
        <w:contextualSpacing/>
        <w:rPr>
          <w:rFonts w:ascii="Arial" w:hAnsi="Arial"/>
          <w:sz w:val="20"/>
        </w:rPr>
      </w:pPr>
      <w:r w:rsidRPr="00424274">
        <w:rPr>
          <w:rFonts w:ascii="Arial" w:hAnsi="Arial"/>
          <w:sz w:val="20"/>
        </w:rPr>
        <w:t xml:space="preserve">o vseh nakazilih nad 15.000 EUR, ki so bila na zahtevo stranke izvršena na račune v države </w:t>
      </w:r>
      <w:r w:rsidR="00210B00">
        <w:rPr>
          <w:rFonts w:ascii="Arial" w:hAnsi="Arial"/>
          <w:sz w:val="20"/>
        </w:rPr>
        <w:t>oziroma</w:t>
      </w:r>
      <w:r w:rsidRPr="00424274">
        <w:rPr>
          <w:rFonts w:ascii="Arial" w:hAnsi="Arial"/>
          <w:sz w:val="20"/>
        </w:rPr>
        <w:t xml:space="preserve"> na račune fizičnih in pravnih oseb s prebivališčem oziroma sedežem v državah, ki so uvrščene na seznam visoko tveganih držav ali v zvezi z njimi obstaja povečano tveganje za pojav pranja denarja ali financiranje terorizma (v nadaljevanju</w:t>
      </w:r>
      <w:r w:rsidR="00DC1B8F">
        <w:rPr>
          <w:rFonts w:ascii="Arial" w:hAnsi="Arial"/>
          <w:sz w:val="20"/>
        </w:rPr>
        <w:t>:</w:t>
      </w:r>
      <w:r w:rsidRPr="00424274">
        <w:rPr>
          <w:rFonts w:ascii="Arial" w:hAnsi="Arial"/>
          <w:sz w:val="20"/>
        </w:rPr>
        <w:t xml:space="preserve"> nakazila</w:t>
      </w:r>
      <w:r w:rsidR="00DC1B8F">
        <w:rPr>
          <w:rFonts w:ascii="Arial" w:hAnsi="Arial"/>
          <w:sz w:val="20"/>
        </w:rPr>
        <w:t>,</w:t>
      </w:r>
      <w:r w:rsidRPr="00424274">
        <w:rPr>
          <w:rFonts w:ascii="Arial" w:hAnsi="Arial"/>
          <w:sz w:val="20"/>
        </w:rPr>
        <w:t xml:space="preserve"> povezana s tveganimi državami)</w:t>
      </w:r>
      <w:r w:rsidR="00873AC7">
        <w:rPr>
          <w:rFonts w:ascii="Arial" w:hAnsi="Arial"/>
          <w:sz w:val="20"/>
        </w:rPr>
        <w:t>,</w:t>
      </w:r>
      <w:r w:rsidRPr="00424274">
        <w:rPr>
          <w:rFonts w:ascii="Arial" w:hAnsi="Arial"/>
          <w:sz w:val="20"/>
        </w:rPr>
        <w:t xml:space="preserve"> in</w:t>
      </w:r>
    </w:p>
    <w:p w14:paraId="4944781C" w14:textId="3EDF9B2A" w:rsidR="00F76058" w:rsidRPr="00424274" w:rsidRDefault="00F76058" w:rsidP="00F76058">
      <w:pPr>
        <w:numPr>
          <w:ilvl w:val="0"/>
          <w:numId w:val="18"/>
        </w:numPr>
        <w:spacing w:line="276" w:lineRule="auto"/>
        <w:contextualSpacing/>
        <w:rPr>
          <w:rFonts w:ascii="Arial" w:hAnsi="Arial"/>
          <w:sz w:val="20"/>
        </w:rPr>
      </w:pPr>
      <w:r w:rsidRPr="00424274">
        <w:rPr>
          <w:rFonts w:ascii="Arial" w:hAnsi="Arial"/>
          <w:sz w:val="20"/>
        </w:rPr>
        <w:t xml:space="preserve">o prenosih gotovine v vrednosti nad 10.000 EUR čez slovenski del meje </w:t>
      </w:r>
      <w:r w:rsidRPr="00B71C5A">
        <w:rPr>
          <w:rFonts w:ascii="Arial" w:hAnsi="Arial"/>
          <w:sz w:val="20"/>
        </w:rPr>
        <w:t xml:space="preserve">Evropske </w:t>
      </w:r>
      <w:r w:rsidR="00B71C5A" w:rsidRPr="00B71C5A">
        <w:rPr>
          <w:rFonts w:ascii="Arial" w:hAnsi="Arial"/>
          <w:sz w:val="20"/>
        </w:rPr>
        <w:t>unije</w:t>
      </w:r>
      <w:r w:rsidR="004B1762">
        <w:rPr>
          <w:rFonts w:ascii="Arial" w:hAnsi="Arial"/>
          <w:sz w:val="20"/>
        </w:rPr>
        <w:t xml:space="preserve"> </w:t>
      </w:r>
      <w:r w:rsidRPr="00424274">
        <w:rPr>
          <w:rFonts w:ascii="Arial" w:hAnsi="Arial"/>
          <w:sz w:val="20"/>
        </w:rPr>
        <w:t xml:space="preserve">na podlagi Uredbe Evropskega parlamenta in Sveta o kontroli gotovine ob vstopu v Skupnost ali izstopu iz nje (v nadaljevanju: prenosi gotovine čez mejo </w:t>
      </w:r>
      <w:r w:rsidRPr="004E368F">
        <w:rPr>
          <w:rFonts w:ascii="Arial" w:hAnsi="Arial"/>
          <w:sz w:val="20"/>
        </w:rPr>
        <w:t>Skupnosti</w:t>
      </w:r>
      <w:r w:rsidRPr="00424274">
        <w:rPr>
          <w:rFonts w:ascii="Arial" w:hAnsi="Arial"/>
          <w:sz w:val="20"/>
        </w:rPr>
        <w:t>).</w:t>
      </w:r>
    </w:p>
    <w:p w14:paraId="3854E209" w14:textId="77777777" w:rsidR="00570F35" w:rsidRPr="00424274" w:rsidRDefault="00570F35" w:rsidP="00D21F86">
      <w:pPr>
        <w:pStyle w:val="Odstavekseznama"/>
        <w:widowControl w:val="0"/>
        <w:spacing w:line="276" w:lineRule="auto"/>
        <w:jc w:val="both"/>
        <w:rPr>
          <w:rFonts w:ascii="Arial" w:hAnsi="Arial" w:cs="Arial"/>
          <w:sz w:val="20"/>
          <w:szCs w:val="20"/>
          <w:lang w:val="sl-SI"/>
        </w:rPr>
      </w:pPr>
    </w:p>
    <w:p w14:paraId="2B705235" w14:textId="77777777" w:rsidR="00851C49" w:rsidRPr="00424274" w:rsidRDefault="00851C49">
      <w:pPr>
        <w:pStyle w:val="Naslov2"/>
      </w:pPr>
      <w:bookmarkStart w:id="27" w:name="_Toc227744114"/>
      <w:bookmarkStart w:id="28" w:name="_Toc263770898"/>
      <w:bookmarkStart w:id="29" w:name="_Toc113535448"/>
      <w:r w:rsidRPr="00424274">
        <w:t xml:space="preserve">GOTOVINSKE TRANSAKCIJE NAD </w:t>
      </w:r>
      <w:r w:rsidR="008C62E5" w:rsidRPr="00424274">
        <w:t>15</w:t>
      </w:r>
      <w:r w:rsidRPr="00424274">
        <w:t>.000 EUR</w:t>
      </w:r>
      <w:bookmarkEnd w:id="27"/>
      <w:bookmarkEnd w:id="28"/>
      <w:bookmarkEnd w:id="29"/>
    </w:p>
    <w:p w14:paraId="0F0E740E" w14:textId="70BE1FE2" w:rsidR="00DE038B" w:rsidRPr="00424274" w:rsidRDefault="00DE038B" w:rsidP="00D21F86">
      <w:pPr>
        <w:spacing w:line="276" w:lineRule="auto"/>
        <w:rPr>
          <w:rFonts w:ascii="Arial" w:hAnsi="Arial"/>
          <w:sz w:val="20"/>
        </w:rPr>
      </w:pPr>
    </w:p>
    <w:p w14:paraId="0377703E" w14:textId="75387AD1" w:rsidR="008231A8" w:rsidRPr="00424274" w:rsidRDefault="008231A8" w:rsidP="008231A8">
      <w:pPr>
        <w:spacing w:line="276" w:lineRule="auto"/>
        <w:rPr>
          <w:rFonts w:ascii="Arial" w:hAnsi="Arial"/>
          <w:sz w:val="20"/>
        </w:rPr>
      </w:pPr>
      <w:r w:rsidRPr="00424274">
        <w:rPr>
          <w:rFonts w:ascii="Arial" w:hAnsi="Arial"/>
          <w:sz w:val="20"/>
        </w:rPr>
        <w:t xml:space="preserve">V skladu z 68. členom ZPPDFT-1 morajo </w:t>
      </w:r>
      <w:r w:rsidR="00760F69" w:rsidRPr="00424274">
        <w:rPr>
          <w:rFonts w:ascii="Arial" w:hAnsi="Arial"/>
          <w:sz w:val="20"/>
        </w:rPr>
        <w:t>zavezanci</w:t>
      </w:r>
      <w:r w:rsidRPr="00424274">
        <w:rPr>
          <w:rFonts w:ascii="Arial" w:hAnsi="Arial"/>
          <w:sz w:val="20"/>
        </w:rPr>
        <w:t xml:space="preserve"> od 19.</w:t>
      </w:r>
      <w:r w:rsidR="00EB2800" w:rsidRPr="00424274">
        <w:rPr>
          <w:rFonts w:ascii="Arial" w:hAnsi="Arial"/>
          <w:sz w:val="20"/>
        </w:rPr>
        <w:t xml:space="preserve"> </w:t>
      </w:r>
      <w:r w:rsidRPr="00424274">
        <w:rPr>
          <w:rFonts w:ascii="Arial" w:hAnsi="Arial"/>
          <w:sz w:val="20"/>
        </w:rPr>
        <w:t>11. 2016</w:t>
      </w:r>
      <w:r w:rsidR="00EB2800" w:rsidRPr="00424274">
        <w:rPr>
          <w:rFonts w:ascii="Arial" w:hAnsi="Arial"/>
          <w:sz w:val="20"/>
        </w:rPr>
        <w:t xml:space="preserve"> </w:t>
      </w:r>
      <w:r w:rsidR="00873AC7">
        <w:rPr>
          <w:rFonts w:ascii="Arial" w:hAnsi="Arial"/>
          <w:sz w:val="20"/>
        </w:rPr>
        <w:t>u</w:t>
      </w:r>
      <w:r w:rsidRPr="00424274">
        <w:rPr>
          <w:rFonts w:ascii="Arial" w:hAnsi="Arial"/>
          <w:sz w:val="20"/>
        </w:rPr>
        <w:t xml:space="preserve">radu poročati o vseh gotovinskih transakcijah nad 15.000 EUR. Od 1. 9. 2017, ko je </w:t>
      </w:r>
      <w:r w:rsidR="00DC1B8F">
        <w:rPr>
          <w:rFonts w:ascii="Arial" w:hAnsi="Arial"/>
          <w:sz w:val="20"/>
        </w:rPr>
        <w:t>za</w:t>
      </w:r>
      <w:r w:rsidRPr="00424274">
        <w:rPr>
          <w:rFonts w:ascii="Arial" w:hAnsi="Arial"/>
          <w:sz w:val="20"/>
        </w:rPr>
        <w:t xml:space="preserve">čel veljati </w:t>
      </w:r>
      <w:r w:rsidRPr="00424274">
        <w:rPr>
          <w:rFonts w:ascii="Arial" w:hAnsi="Arial"/>
          <w:bCs/>
          <w:sz w:val="20"/>
        </w:rPr>
        <w:t xml:space="preserve">Pravilnik o načinu sporočanja podatkov Uradu RS za preprečevanje pranja denarja </w:t>
      </w:r>
      <w:r w:rsidRPr="00424274">
        <w:rPr>
          <w:rFonts w:ascii="Arial" w:hAnsi="Arial"/>
          <w:sz w:val="20"/>
        </w:rPr>
        <w:t xml:space="preserve">(Uradni list RS št. 32/17), vsi zavezanci </w:t>
      </w:r>
      <w:r w:rsidR="00361F5F">
        <w:rPr>
          <w:rFonts w:ascii="Arial" w:hAnsi="Arial"/>
          <w:sz w:val="20"/>
        </w:rPr>
        <w:t>pošlje</w:t>
      </w:r>
      <w:r w:rsidRPr="00424274">
        <w:rPr>
          <w:rFonts w:ascii="Arial" w:hAnsi="Arial"/>
          <w:sz w:val="20"/>
        </w:rPr>
        <w:t>jo podatke o gotovinskih transakcijah prek zaščitene elektronske povezave.</w:t>
      </w:r>
    </w:p>
    <w:p w14:paraId="1819AFE0" w14:textId="77777777" w:rsidR="008231A8" w:rsidRPr="00424274" w:rsidRDefault="008231A8" w:rsidP="008231A8">
      <w:pPr>
        <w:spacing w:line="276" w:lineRule="auto"/>
        <w:rPr>
          <w:rFonts w:ascii="Arial" w:hAnsi="Arial"/>
          <w:sz w:val="20"/>
          <w:highlight w:val="yellow"/>
        </w:rPr>
      </w:pPr>
    </w:p>
    <w:p w14:paraId="281DC5AE" w14:textId="686D7E41" w:rsidR="00C9421A" w:rsidRPr="00424274" w:rsidRDefault="008231A8" w:rsidP="00B00025">
      <w:pPr>
        <w:widowControl/>
        <w:rPr>
          <w:rFonts w:ascii="Arial" w:hAnsi="Arial"/>
          <w:sz w:val="20"/>
          <w:lang w:eastAsia="sl-SI"/>
        </w:rPr>
      </w:pPr>
      <w:r w:rsidRPr="00424274">
        <w:rPr>
          <w:rFonts w:ascii="Arial" w:hAnsi="Arial"/>
          <w:sz w:val="20"/>
        </w:rPr>
        <w:t xml:space="preserve">V letu 2020 je </w:t>
      </w:r>
      <w:r w:rsidR="00814A21">
        <w:rPr>
          <w:rFonts w:ascii="Arial" w:hAnsi="Arial"/>
          <w:sz w:val="20"/>
        </w:rPr>
        <w:t>u</w:t>
      </w:r>
      <w:r w:rsidRPr="00424274">
        <w:rPr>
          <w:rFonts w:ascii="Arial" w:hAnsi="Arial"/>
          <w:sz w:val="20"/>
        </w:rPr>
        <w:t xml:space="preserve">rad po zaščiteni elektronski poti od zavezancev prejel podatke o </w:t>
      </w:r>
      <w:r w:rsidRPr="00424274">
        <w:rPr>
          <w:rFonts w:ascii="Arial" w:hAnsi="Arial"/>
          <w:b/>
          <w:sz w:val="20"/>
        </w:rPr>
        <w:t>36</w:t>
      </w:r>
      <w:r w:rsidRPr="00424274">
        <w:rPr>
          <w:rFonts w:ascii="Arial" w:hAnsi="Arial"/>
          <w:b/>
          <w:sz w:val="20"/>
          <w:lang w:eastAsia="sl-SI"/>
        </w:rPr>
        <w:t>.195</w:t>
      </w:r>
      <w:r w:rsidRPr="00424274">
        <w:rPr>
          <w:rFonts w:ascii="Arial" w:hAnsi="Arial"/>
          <w:b/>
          <w:color w:val="000000"/>
          <w:sz w:val="18"/>
          <w:szCs w:val="18"/>
          <w:lang w:eastAsia="sl-SI"/>
        </w:rPr>
        <w:t xml:space="preserve"> </w:t>
      </w:r>
      <w:r w:rsidRPr="00424274">
        <w:rPr>
          <w:rFonts w:ascii="Arial" w:hAnsi="Arial"/>
          <w:b/>
          <w:sz w:val="20"/>
        </w:rPr>
        <w:t>gotovinskih obrazc</w:t>
      </w:r>
      <w:r w:rsidR="00DC1B8F">
        <w:rPr>
          <w:rFonts w:ascii="Arial" w:hAnsi="Arial"/>
          <w:b/>
          <w:sz w:val="20"/>
        </w:rPr>
        <w:t>ih</w:t>
      </w:r>
      <w:r w:rsidRPr="00424274">
        <w:rPr>
          <w:rFonts w:ascii="Arial" w:hAnsi="Arial" w:cs="Times New Roman"/>
          <w:b/>
          <w:sz w:val="20"/>
          <w:vertAlign w:val="superscript"/>
        </w:rPr>
        <w:footnoteReference w:id="4"/>
      </w:r>
      <w:r w:rsidRPr="00424274">
        <w:rPr>
          <w:rFonts w:ascii="Arial" w:hAnsi="Arial"/>
          <w:b/>
          <w:sz w:val="20"/>
        </w:rPr>
        <w:t xml:space="preserve"> nad 15.000 EUR v skupnem </w:t>
      </w:r>
      <w:r w:rsidRPr="00281B59">
        <w:rPr>
          <w:rFonts w:ascii="Arial" w:hAnsi="Arial"/>
          <w:b/>
          <w:sz w:val="20"/>
        </w:rPr>
        <w:t>znesku</w:t>
      </w:r>
      <w:r w:rsidRPr="00424274">
        <w:rPr>
          <w:rFonts w:ascii="Arial" w:hAnsi="Arial"/>
          <w:sz w:val="20"/>
        </w:rPr>
        <w:t xml:space="preserve"> </w:t>
      </w:r>
      <w:r w:rsidRPr="00424274">
        <w:rPr>
          <w:rFonts w:ascii="Arial" w:hAnsi="Arial"/>
          <w:b/>
          <w:sz w:val="20"/>
        </w:rPr>
        <w:t xml:space="preserve">1.280.791.830 </w:t>
      </w:r>
      <w:r w:rsidRPr="00424274">
        <w:rPr>
          <w:rFonts w:ascii="Arial" w:hAnsi="Arial"/>
          <w:b/>
          <w:sz w:val="20"/>
          <w:lang w:eastAsia="sl-SI"/>
        </w:rPr>
        <w:t>EUR</w:t>
      </w:r>
      <w:r w:rsidRPr="00424274">
        <w:rPr>
          <w:rFonts w:ascii="Arial" w:hAnsi="Arial"/>
          <w:sz w:val="20"/>
          <w:lang w:eastAsia="sl-SI"/>
        </w:rPr>
        <w:t>.</w:t>
      </w:r>
    </w:p>
    <w:p w14:paraId="3331B5E8" w14:textId="381E70D4" w:rsidR="00C9421A" w:rsidRDefault="00C9421A" w:rsidP="008231A8">
      <w:pPr>
        <w:spacing w:line="276" w:lineRule="auto"/>
        <w:rPr>
          <w:rFonts w:ascii="Arial" w:hAnsi="Arial"/>
          <w:bCs/>
          <w:sz w:val="20"/>
          <w:highlight w:val="yellow"/>
        </w:rPr>
      </w:pPr>
    </w:p>
    <w:p w14:paraId="02DB347C" w14:textId="2E7926C1" w:rsidR="003D5BBA" w:rsidRDefault="003D5BBA" w:rsidP="008231A8">
      <w:pPr>
        <w:spacing w:line="276" w:lineRule="auto"/>
        <w:rPr>
          <w:rFonts w:ascii="Arial" w:hAnsi="Arial"/>
          <w:bCs/>
          <w:sz w:val="20"/>
          <w:highlight w:val="yellow"/>
        </w:rPr>
      </w:pPr>
    </w:p>
    <w:p w14:paraId="78D08C4F" w14:textId="73A3AD81" w:rsidR="003D5BBA" w:rsidRDefault="003D5BBA" w:rsidP="008231A8">
      <w:pPr>
        <w:spacing w:line="276" w:lineRule="auto"/>
        <w:rPr>
          <w:rFonts w:ascii="Arial" w:hAnsi="Arial"/>
          <w:bCs/>
          <w:sz w:val="20"/>
          <w:highlight w:val="yellow"/>
        </w:rPr>
      </w:pPr>
    </w:p>
    <w:p w14:paraId="694422F9" w14:textId="75FEA70F" w:rsidR="003D5BBA" w:rsidRDefault="003D5BBA" w:rsidP="008231A8">
      <w:pPr>
        <w:spacing w:line="276" w:lineRule="auto"/>
        <w:rPr>
          <w:rFonts w:ascii="Arial" w:hAnsi="Arial"/>
          <w:bCs/>
          <w:sz w:val="20"/>
          <w:highlight w:val="yellow"/>
        </w:rPr>
      </w:pPr>
    </w:p>
    <w:p w14:paraId="455BED46" w14:textId="77777777" w:rsidR="003D5BBA" w:rsidRPr="00424274" w:rsidRDefault="003D5BBA" w:rsidP="008231A8">
      <w:pPr>
        <w:spacing w:line="276" w:lineRule="auto"/>
        <w:rPr>
          <w:rFonts w:ascii="Arial" w:hAnsi="Arial"/>
          <w:bCs/>
          <w:sz w:val="20"/>
          <w:highlight w:val="yellow"/>
        </w:rPr>
      </w:pPr>
    </w:p>
    <w:p w14:paraId="1B1176AC" w14:textId="72C180CA" w:rsidR="008231A8" w:rsidRPr="00424274" w:rsidRDefault="008231A8" w:rsidP="008231A8">
      <w:pPr>
        <w:spacing w:line="276" w:lineRule="auto"/>
        <w:rPr>
          <w:rFonts w:ascii="Arial" w:hAnsi="Arial"/>
          <w:b/>
          <w:sz w:val="20"/>
        </w:rPr>
      </w:pPr>
      <w:r w:rsidRPr="00424274">
        <w:rPr>
          <w:rFonts w:ascii="Arial" w:hAnsi="Arial"/>
          <w:b/>
          <w:sz w:val="20"/>
        </w:rPr>
        <w:t xml:space="preserve">Graf </w:t>
      </w:r>
      <w:r w:rsidRPr="00424274">
        <w:rPr>
          <w:rFonts w:ascii="Arial" w:hAnsi="Arial"/>
          <w:b/>
          <w:sz w:val="20"/>
        </w:rPr>
        <w:fldChar w:fldCharType="begin"/>
      </w:r>
      <w:r w:rsidRPr="00424274">
        <w:rPr>
          <w:rFonts w:ascii="Arial" w:hAnsi="Arial"/>
          <w:b/>
          <w:sz w:val="20"/>
        </w:rPr>
        <w:instrText xml:space="preserve"> SEQ Graf \* ARABIC </w:instrText>
      </w:r>
      <w:r w:rsidRPr="00424274">
        <w:rPr>
          <w:rFonts w:ascii="Arial" w:hAnsi="Arial"/>
          <w:b/>
          <w:sz w:val="20"/>
        </w:rPr>
        <w:fldChar w:fldCharType="separate"/>
      </w:r>
      <w:r w:rsidR="00FA752D">
        <w:rPr>
          <w:rFonts w:ascii="Arial" w:hAnsi="Arial"/>
          <w:b/>
          <w:noProof/>
          <w:sz w:val="20"/>
        </w:rPr>
        <w:t>1</w:t>
      </w:r>
      <w:r w:rsidRPr="00424274">
        <w:rPr>
          <w:rFonts w:ascii="Arial" w:hAnsi="Arial"/>
          <w:b/>
          <w:sz w:val="20"/>
        </w:rPr>
        <w:fldChar w:fldCharType="end"/>
      </w:r>
      <w:r w:rsidRPr="00424274">
        <w:rPr>
          <w:rFonts w:ascii="Arial" w:hAnsi="Arial"/>
          <w:b/>
          <w:sz w:val="20"/>
        </w:rPr>
        <w:t>: Struktura prijaviteljev gotovinskih transakcij nad 15.000 EUR v letu 2020</w:t>
      </w:r>
    </w:p>
    <w:p w14:paraId="0C1C137A" w14:textId="4AD90E01" w:rsidR="00D5703F" w:rsidRPr="00424274" w:rsidRDefault="00D5703F" w:rsidP="00D21F86">
      <w:pPr>
        <w:spacing w:line="276" w:lineRule="auto"/>
        <w:rPr>
          <w:rFonts w:ascii="Arial" w:hAnsi="Arial"/>
          <w:b/>
          <w:sz w:val="20"/>
        </w:rPr>
      </w:pPr>
    </w:p>
    <w:p w14:paraId="5EBAFB3E" w14:textId="77777777" w:rsidR="00C9421A" w:rsidRPr="00424274" w:rsidRDefault="00C9421A" w:rsidP="00C9421A">
      <w:pPr>
        <w:spacing w:line="276" w:lineRule="auto"/>
        <w:rPr>
          <w:rFonts w:ascii="Arial" w:hAnsi="Arial"/>
          <w:b/>
          <w:sz w:val="20"/>
        </w:rPr>
      </w:pPr>
    </w:p>
    <w:p w14:paraId="46455769" w14:textId="77777777" w:rsidR="00C9421A" w:rsidRPr="00424274" w:rsidRDefault="00C9421A" w:rsidP="00C9421A">
      <w:pPr>
        <w:spacing w:line="276" w:lineRule="auto"/>
        <w:rPr>
          <w:rFonts w:ascii="Arial" w:hAnsi="Arial"/>
          <w:bCs/>
          <w:sz w:val="20"/>
        </w:rPr>
      </w:pPr>
      <w:r w:rsidRPr="00424274">
        <w:rPr>
          <w:noProof/>
          <w:lang w:eastAsia="sl-SI"/>
        </w:rPr>
        <w:drawing>
          <wp:inline distT="0" distB="0" distL="0" distR="0" wp14:anchorId="6D372179" wp14:editId="770BFFFC">
            <wp:extent cx="5524500" cy="3467100"/>
            <wp:effectExtent l="0" t="0" r="0" b="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7952EBAC" w14:textId="77777777" w:rsidR="00EA7082" w:rsidRPr="00424274" w:rsidRDefault="00EA7082" w:rsidP="00D21F86">
      <w:pPr>
        <w:spacing w:line="276" w:lineRule="auto"/>
        <w:rPr>
          <w:rFonts w:ascii="Arial" w:hAnsi="Arial"/>
          <w:bCs/>
          <w:sz w:val="20"/>
        </w:rPr>
      </w:pPr>
    </w:p>
    <w:p w14:paraId="43C18CD8" w14:textId="558427A0" w:rsidR="00BA0F06" w:rsidRPr="00424274" w:rsidRDefault="00BA0F06" w:rsidP="00BA0F06">
      <w:pPr>
        <w:spacing w:line="276" w:lineRule="auto"/>
        <w:rPr>
          <w:rFonts w:ascii="Arial" w:hAnsi="Arial"/>
          <w:b/>
          <w:sz w:val="20"/>
          <w:lang w:eastAsia="sl-SI"/>
        </w:rPr>
      </w:pPr>
      <w:r w:rsidRPr="00424274">
        <w:rPr>
          <w:rFonts w:ascii="Arial" w:hAnsi="Arial"/>
          <w:bCs/>
          <w:sz w:val="20"/>
        </w:rPr>
        <w:t>Delež sporočenih gotovinskih transakcij po sektorjih je podoben prejšnjim letom, pri čemer v skladu z ZPPDFT-1 skupno prikazujemo število sporočenih gotovinskih transakcij za igralnice in igralne salone ter hranilnice in hranilno</w:t>
      </w:r>
      <w:r w:rsidR="00DC1B8F">
        <w:rPr>
          <w:rFonts w:ascii="Arial" w:hAnsi="Arial"/>
          <w:bCs/>
          <w:sz w:val="20"/>
        </w:rPr>
        <w:t>-</w:t>
      </w:r>
      <w:r w:rsidRPr="00424274">
        <w:rPr>
          <w:rFonts w:ascii="Arial" w:hAnsi="Arial"/>
          <w:bCs/>
          <w:sz w:val="20"/>
        </w:rPr>
        <w:t xml:space="preserve">kreditne službe. </w:t>
      </w:r>
      <w:r w:rsidRPr="00424274">
        <w:rPr>
          <w:rFonts w:ascii="Arial" w:hAnsi="Arial"/>
          <w:b/>
          <w:sz w:val="20"/>
          <w:lang w:eastAsia="sl-SI"/>
        </w:rPr>
        <w:t>Ugotavljamo, da se je skupni znesek prijavljenih transakcij v primerjavi z letom 2019 zmanjšal za 16,5 %, medtem ko se je število obrazcev zmanjšalo za 15,5 %.</w:t>
      </w:r>
    </w:p>
    <w:p w14:paraId="0E009C88" w14:textId="77777777" w:rsidR="00635403" w:rsidRPr="00424274" w:rsidRDefault="00635403" w:rsidP="00D21F86">
      <w:pPr>
        <w:spacing w:line="276" w:lineRule="auto"/>
        <w:rPr>
          <w:rFonts w:ascii="Arial" w:hAnsi="Arial"/>
          <w:bCs/>
          <w:sz w:val="20"/>
        </w:rPr>
      </w:pPr>
    </w:p>
    <w:p w14:paraId="412379B8" w14:textId="53561F81" w:rsidR="000441D3" w:rsidRPr="00424274" w:rsidRDefault="00814A21" w:rsidP="000441D3">
      <w:pPr>
        <w:tabs>
          <w:tab w:val="left" w:pos="-1049"/>
          <w:tab w:val="left" w:pos="-689"/>
          <w:tab w:val="left" w:pos="0"/>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ind w:left="993" w:hanging="993"/>
        <w:rPr>
          <w:rFonts w:ascii="Arial" w:hAnsi="Arial"/>
          <w:b/>
          <w:i/>
          <w:sz w:val="20"/>
        </w:rPr>
      </w:pPr>
      <w:r>
        <w:rPr>
          <w:rFonts w:ascii="Arial" w:hAnsi="Arial"/>
          <w:b/>
          <w:i/>
          <w:sz w:val="20"/>
        </w:rPr>
        <w:t>Preglednica</w:t>
      </w:r>
      <w:r w:rsidR="005C4BCD" w:rsidRPr="00424274">
        <w:rPr>
          <w:rFonts w:ascii="Arial" w:hAnsi="Arial"/>
          <w:b/>
          <w:i/>
          <w:sz w:val="20"/>
        </w:rPr>
        <w:t xml:space="preserve"> </w:t>
      </w:r>
      <w:r w:rsidR="005C4BCD" w:rsidRPr="00424274">
        <w:rPr>
          <w:rFonts w:ascii="Arial" w:hAnsi="Arial"/>
          <w:b/>
          <w:i/>
          <w:sz w:val="20"/>
        </w:rPr>
        <w:fldChar w:fldCharType="begin"/>
      </w:r>
      <w:r w:rsidR="005C4BCD" w:rsidRPr="00424274">
        <w:rPr>
          <w:rFonts w:ascii="Arial" w:hAnsi="Arial"/>
          <w:b/>
          <w:i/>
          <w:sz w:val="20"/>
        </w:rPr>
        <w:instrText xml:space="preserve"> SEQ Tabela \* ARABIC </w:instrText>
      </w:r>
      <w:r w:rsidR="005C4BCD" w:rsidRPr="00424274">
        <w:rPr>
          <w:rFonts w:ascii="Arial" w:hAnsi="Arial"/>
          <w:b/>
          <w:i/>
          <w:sz w:val="20"/>
        </w:rPr>
        <w:fldChar w:fldCharType="separate"/>
      </w:r>
      <w:r w:rsidR="00FA752D">
        <w:rPr>
          <w:rFonts w:ascii="Arial" w:hAnsi="Arial"/>
          <w:b/>
          <w:i/>
          <w:noProof/>
          <w:sz w:val="20"/>
        </w:rPr>
        <w:t>1</w:t>
      </w:r>
      <w:r w:rsidR="005C4BCD" w:rsidRPr="00424274">
        <w:rPr>
          <w:rFonts w:ascii="Arial" w:hAnsi="Arial"/>
          <w:b/>
          <w:i/>
          <w:sz w:val="20"/>
        </w:rPr>
        <w:fldChar w:fldCharType="end"/>
      </w:r>
      <w:r w:rsidR="005C4BCD" w:rsidRPr="00424274">
        <w:rPr>
          <w:rFonts w:ascii="Arial" w:hAnsi="Arial"/>
          <w:b/>
          <w:i/>
          <w:sz w:val="20"/>
        </w:rPr>
        <w:t>:</w:t>
      </w:r>
      <w:r w:rsidR="00D5703F" w:rsidRPr="00424274">
        <w:rPr>
          <w:rFonts w:ascii="Arial" w:hAnsi="Arial"/>
          <w:b/>
          <w:i/>
          <w:sz w:val="20"/>
        </w:rPr>
        <w:tab/>
      </w:r>
      <w:r w:rsidR="000441D3" w:rsidRPr="00424274">
        <w:rPr>
          <w:rFonts w:ascii="Arial" w:hAnsi="Arial"/>
          <w:b/>
          <w:i/>
          <w:sz w:val="20"/>
        </w:rPr>
        <w:t>Število in delež gotovinskih obrazcev nad 15.000 EUR v obdobju 2018–2020 po prijaviteljih</w:t>
      </w:r>
    </w:p>
    <w:p w14:paraId="37B73359" w14:textId="0A39B71A" w:rsidR="00F00829" w:rsidRPr="00424274" w:rsidRDefault="00F00829" w:rsidP="000441D3">
      <w:pPr>
        <w:tabs>
          <w:tab w:val="left" w:pos="-1049"/>
          <w:tab w:val="left" w:pos="-689"/>
          <w:tab w:val="left" w:pos="0"/>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ind w:left="993" w:hanging="993"/>
        <w:rPr>
          <w:rFonts w:ascii="Arial" w:hAnsi="Arial"/>
          <w:b/>
          <w:i/>
          <w:sz w:val="20"/>
        </w:rPr>
      </w:pPr>
    </w:p>
    <w:tbl>
      <w:tblPr>
        <w:tblW w:w="8578" w:type="dxa"/>
        <w:tblInd w:w="70" w:type="dxa"/>
        <w:tblCellMar>
          <w:left w:w="70" w:type="dxa"/>
          <w:right w:w="70" w:type="dxa"/>
        </w:tblCellMar>
        <w:tblLook w:val="04A0" w:firstRow="1" w:lastRow="0" w:firstColumn="1" w:lastColumn="0" w:noHBand="0" w:noVBand="1"/>
      </w:tblPr>
      <w:tblGrid>
        <w:gridCol w:w="3119"/>
        <w:gridCol w:w="796"/>
        <w:gridCol w:w="874"/>
        <w:gridCol w:w="796"/>
        <w:gridCol w:w="874"/>
        <w:gridCol w:w="814"/>
        <w:gridCol w:w="1415"/>
      </w:tblGrid>
      <w:tr w:rsidR="00F00829" w:rsidRPr="00424274" w14:paraId="78D3314C" w14:textId="77777777" w:rsidTr="00034CED">
        <w:trPr>
          <w:trHeight w:val="315"/>
        </w:trPr>
        <w:tc>
          <w:tcPr>
            <w:tcW w:w="3119" w:type="dxa"/>
            <w:vMerge w:val="restart"/>
            <w:tcBorders>
              <w:top w:val="single" w:sz="8" w:space="0" w:color="auto"/>
              <w:left w:val="single" w:sz="8" w:space="0" w:color="auto"/>
              <w:bottom w:val="single" w:sz="8" w:space="0" w:color="000000"/>
              <w:right w:val="single" w:sz="4" w:space="0" w:color="auto"/>
            </w:tcBorders>
            <w:shd w:val="clear" w:color="auto" w:fill="33CCFF"/>
            <w:noWrap/>
            <w:vAlign w:val="center"/>
            <w:hideMark/>
          </w:tcPr>
          <w:p w14:paraId="4704B640" w14:textId="77777777" w:rsidR="00F00829" w:rsidRPr="00424274" w:rsidRDefault="00F00829" w:rsidP="00F00829">
            <w:pPr>
              <w:widowControl/>
              <w:jc w:val="center"/>
              <w:rPr>
                <w:rFonts w:ascii="Arial" w:hAnsi="Arial"/>
                <w:b/>
                <w:bCs/>
                <w:color w:val="000000"/>
                <w:sz w:val="20"/>
                <w:lang w:eastAsia="sl-SI"/>
              </w:rPr>
            </w:pPr>
            <w:r w:rsidRPr="00424274">
              <w:rPr>
                <w:rFonts w:ascii="Arial" w:hAnsi="Arial"/>
                <w:b/>
                <w:bCs/>
                <w:color w:val="000000"/>
                <w:sz w:val="20"/>
                <w:lang w:eastAsia="sl-SI"/>
              </w:rPr>
              <w:t>Zavezanci</w:t>
            </w:r>
          </w:p>
        </w:tc>
        <w:tc>
          <w:tcPr>
            <w:tcW w:w="1615" w:type="dxa"/>
            <w:gridSpan w:val="2"/>
            <w:tcBorders>
              <w:top w:val="single" w:sz="8" w:space="0" w:color="auto"/>
              <w:left w:val="nil"/>
              <w:bottom w:val="single" w:sz="4" w:space="0" w:color="auto"/>
              <w:right w:val="single" w:sz="8" w:space="0" w:color="000000"/>
            </w:tcBorders>
            <w:shd w:val="clear" w:color="auto" w:fill="33CCFF"/>
            <w:vAlign w:val="center"/>
          </w:tcPr>
          <w:p w14:paraId="1AD095D6" w14:textId="77777777" w:rsidR="00F00829" w:rsidRPr="00424274" w:rsidRDefault="00F00829" w:rsidP="00F00829">
            <w:pPr>
              <w:widowControl/>
              <w:jc w:val="center"/>
              <w:rPr>
                <w:rFonts w:ascii="Arial" w:hAnsi="Arial"/>
                <w:b/>
                <w:bCs/>
                <w:iCs/>
                <w:sz w:val="20"/>
                <w:lang w:eastAsia="sl-SI"/>
              </w:rPr>
            </w:pPr>
            <w:r w:rsidRPr="00424274">
              <w:rPr>
                <w:rFonts w:ascii="Arial" w:hAnsi="Arial"/>
                <w:b/>
                <w:bCs/>
                <w:iCs/>
                <w:sz w:val="20"/>
                <w:lang w:eastAsia="sl-SI"/>
              </w:rPr>
              <w:t>2018</w:t>
            </w:r>
          </w:p>
        </w:tc>
        <w:tc>
          <w:tcPr>
            <w:tcW w:w="1615" w:type="dxa"/>
            <w:gridSpan w:val="2"/>
            <w:tcBorders>
              <w:top w:val="single" w:sz="8" w:space="0" w:color="auto"/>
              <w:left w:val="nil"/>
              <w:bottom w:val="single" w:sz="4" w:space="0" w:color="auto"/>
              <w:right w:val="single" w:sz="8" w:space="0" w:color="000000"/>
            </w:tcBorders>
            <w:shd w:val="clear" w:color="auto" w:fill="33CCFF"/>
            <w:vAlign w:val="center"/>
          </w:tcPr>
          <w:p w14:paraId="4F10EB63" w14:textId="77777777" w:rsidR="00F00829" w:rsidRPr="00424274" w:rsidRDefault="00F00829" w:rsidP="00F00829">
            <w:pPr>
              <w:widowControl/>
              <w:jc w:val="center"/>
              <w:rPr>
                <w:rFonts w:ascii="Arial" w:hAnsi="Arial"/>
                <w:b/>
                <w:bCs/>
                <w:iCs/>
                <w:sz w:val="20"/>
                <w:lang w:eastAsia="sl-SI"/>
              </w:rPr>
            </w:pPr>
            <w:r w:rsidRPr="00424274">
              <w:rPr>
                <w:rFonts w:ascii="Arial" w:hAnsi="Arial"/>
                <w:b/>
                <w:bCs/>
                <w:iCs/>
                <w:sz w:val="20"/>
                <w:lang w:eastAsia="sl-SI"/>
              </w:rPr>
              <w:t>2019</w:t>
            </w:r>
          </w:p>
        </w:tc>
        <w:tc>
          <w:tcPr>
            <w:tcW w:w="2229" w:type="dxa"/>
            <w:gridSpan w:val="2"/>
            <w:tcBorders>
              <w:top w:val="single" w:sz="8" w:space="0" w:color="auto"/>
              <w:left w:val="nil"/>
              <w:bottom w:val="single" w:sz="4" w:space="0" w:color="auto"/>
              <w:right w:val="single" w:sz="8" w:space="0" w:color="000000"/>
            </w:tcBorders>
            <w:shd w:val="clear" w:color="auto" w:fill="33CCFF"/>
            <w:vAlign w:val="center"/>
          </w:tcPr>
          <w:p w14:paraId="57231B17" w14:textId="77777777" w:rsidR="00F00829" w:rsidRPr="00424274" w:rsidRDefault="00F00829" w:rsidP="00F00829">
            <w:pPr>
              <w:widowControl/>
              <w:jc w:val="center"/>
              <w:rPr>
                <w:rFonts w:ascii="Arial" w:hAnsi="Arial"/>
                <w:b/>
                <w:bCs/>
                <w:iCs/>
                <w:sz w:val="20"/>
                <w:lang w:eastAsia="sl-SI"/>
              </w:rPr>
            </w:pPr>
            <w:r w:rsidRPr="00424274">
              <w:rPr>
                <w:rFonts w:ascii="Arial" w:hAnsi="Arial"/>
                <w:b/>
                <w:bCs/>
                <w:iCs/>
                <w:sz w:val="20"/>
                <w:lang w:eastAsia="sl-SI"/>
              </w:rPr>
              <w:t>2020</w:t>
            </w:r>
          </w:p>
        </w:tc>
      </w:tr>
      <w:tr w:rsidR="00F00829" w:rsidRPr="00424274" w14:paraId="76D17129" w14:textId="77777777" w:rsidTr="00034CED">
        <w:trPr>
          <w:trHeight w:val="315"/>
        </w:trPr>
        <w:tc>
          <w:tcPr>
            <w:tcW w:w="3119" w:type="dxa"/>
            <w:vMerge/>
            <w:tcBorders>
              <w:top w:val="single" w:sz="8" w:space="0" w:color="auto"/>
              <w:left w:val="single" w:sz="8" w:space="0" w:color="auto"/>
              <w:bottom w:val="single" w:sz="8" w:space="0" w:color="000000"/>
              <w:right w:val="single" w:sz="4" w:space="0" w:color="auto"/>
            </w:tcBorders>
            <w:shd w:val="clear" w:color="auto" w:fill="33CCFF"/>
            <w:vAlign w:val="center"/>
            <w:hideMark/>
          </w:tcPr>
          <w:p w14:paraId="591718AF" w14:textId="77777777" w:rsidR="00F00829" w:rsidRPr="00424274" w:rsidRDefault="00F00829" w:rsidP="00F00829">
            <w:pPr>
              <w:widowControl/>
              <w:jc w:val="left"/>
              <w:rPr>
                <w:rFonts w:ascii="Arial" w:hAnsi="Arial"/>
                <w:b/>
                <w:bCs/>
                <w:color w:val="000000"/>
                <w:sz w:val="20"/>
                <w:lang w:eastAsia="sl-SI"/>
              </w:rPr>
            </w:pPr>
          </w:p>
        </w:tc>
        <w:tc>
          <w:tcPr>
            <w:tcW w:w="796" w:type="dxa"/>
            <w:tcBorders>
              <w:top w:val="single" w:sz="4" w:space="0" w:color="auto"/>
              <w:left w:val="single" w:sz="4" w:space="0" w:color="auto"/>
              <w:bottom w:val="single" w:sz="4" w:space="0" w:color="auto"/>
              <w:right w:val="single" w:sz="4" w:space="0" w:color="auto"/>
            </w:tcBorders>
            <w:shd w:val="clear" w:color="auto" w:fill="33CCFF"/>
            <w:vAlign w:val="center"/>
          </w:tcPr>
          <w:p w14:paraId="661AD6F3" w14:textId="77777777" w:rsidR="00F00829" w:rsidRPr="00424274" w:rsidRDefault="00F00829" w:rsidP="00F00829">
            <w:pPr>
              <w:widowControl/>
              <w:jc w:val="center"/>
              <w:rPr>
                <w:rFonts w:ascii="Arial" w:hAnsi="Arial"/>
                <w:b/>
                <w:bCs/>
                <w:iCs/>
                <w:sz w:val="20"/>
                <w:lang w:eastAsia="sl-SI"/>
              </w:rPr>
            </w:pPr>
            <w:r w:rsidRPr="00424274">
              <w:rPr>
                <w:rFonts w:ascii="Arial" w:hAnsi="Arial"/>
                <w:b/>
                <w:bCs/>
                <w:iCs/>
                <w:sz w:val="20"/>
                <w:lang w:eastAsia="sl-SI"/>
              </w:rPr>
              <w:t>Število</w:t>
            </w:r>
          </w:p>
        </w:tc>
        <w:tc>
          <w:tcPr>
            <w:tcW w:w="819" w:type="dxa"/>
            <w:tcBorders>
              <w:top w:val="single" w:sz="4" w:space="0" w:color="auto"/>
              <w:left w:val="single" w:sz="4" w:space="0" w:color="auto"/>
              <w:bottom w:val="single" w:sz="4" w:space="0" w:color="auto"/>
              <w:right w:val="single" w:sz="4" w:space="0" w:color="auto"/>
            </w:tcBorders>
            <w:shd w:val="clear" w:color="auto" w:fill="33CCFF"/>
            <w:vAlign w:val="center"/>
          </w:tcPr>
          <w:p w14:paraId="2EB51F44" w14:textId="77777777" w:rsidR="00F00829" w:rsidRPr="00424274" w:rsidRDefault="00F00829" w:rsidP="00F00829">
            <w:pPr>
              <w:widowControl/>
              <w:jc w:val="center"/>
              <w:rPr>
                <w:rFonts w:ascii="Arial" w:hAnsi="Arial"/>
                <w:b/>
                <w:bCs/>
                <w:iCs/>
                <w:sz w:val="20"/>
                <w:lang w:eastAsia="sl-SI"/>
              </w:rPr>
            </w:pPr>
            <w:r w:rsidRPr="00424274">
              <w:rPr>
                <w:rFonts w:ascii="Arial" w:hAnsi="Arial"/>
                <w:b/>
                <w:bCs/>
                <w:iCs/>
                <w:sz w:val="20"/>
                <w:lang w:eastAsia="sl-SI"/>
              </w:rPr>
              <w:t>Delež</w:t>
            </w:r>
          </w:p>
        </w:tc>
        <w:tc>
          <w:tcPr>
            <w:tcW w:w="796" w:type="dxa"/>
            <w:tcBorders>
              <w:top w:val="single" w:sz="4" w:space="0" w:color="auto"/>
              <w:left w:val="single" w:sz="4" w:space="0" w:color="auto"/>
              <w:bottom w:val="single" w:sz="4" w:space="0" w:color="auto"/>
              <w:right w:val="single" w:sz="4" w:space="0" w:color="auto"/>
            </w:tcBorders>
            <w:shd w:val="clear" w:color="auto" w:fill="33CCFF"/>
            <w:vAlign w:val="center"/>
          </w:tcPr>
          <w:p w14:paraId="757D3842" w14:textId="77777777" w:rsidR="00F00829" w:rsidRPr="00424274" w:rsidRDefault="00F00829" w:rsidP="00F00829">
            <w:pPr>
              <w:widowControl/>
              <w:jc w:val="center"/>
              <w:rPr>
                <w:rFonts w:ascii="Arial" w:hAnsi="Arial"/>
                <w:b/>
                <w:bCs/>
                <w:iCs/>
                <w:sz w:val="20"/>
                <w:lang w:eastAsia="sl-SI"/>
              </w:rPr>
            </w:pPr>
            <w:r w:rsidRPr="00424274">
              <w:rPr>
                <w:rFonts w:ascii="Arial" w:hAnsi="Arial"/>
                <w:b/>
                <w:bCs/>
                <w:iCs/>
                <w:sz w:val="20"/>
                <w:lang w:eastAsia="sl-SI"/>
              </w:rPr>
              <w:t>Število</w:t>
            </w:r>
          </w:p>
        </w:tc>
        <w:tc>
          <w:tcPr>
            <w:tcW w:w="819" w:type="dxa"/>
            <w:tcBorders>
              <w:top w:val="single" w:sz="4" w:space="0" w:color="auto"/>
              <w:left w:val="single" w:sz="4" w:space="0" w:color="auto"/>
              <w:bottom w:val="single" w:sz="4" w:space="0" w:color="auto"/>
              <w:right w:val="single" w:sz="4" w:space="0" w:color="auto"/>
            </w:tcBorders>
            <w:shd w:val="clear" w:color="auto" w:fill="33CCFF"/>
            <w:vAlign w:val="center"/>
          </w:tcPr>
          <w:p w14:paraId="5FE443E5" w14:textId="77777777" w:rsidR="00F00829" w:rsidRPr="00424274" w:rsidRDefault="00F00829" w:rsidP="00F00829">
            <w:pPr>
              <w:widowControl/>
              <w:jc w:val="center"/>
              <w:rPr>
                <w:rFonts w:ascii="Arial" w:hAnsi="Arial"/>
                <w:b/>
                <w:bCs/>
                <w:iCs/>
                <w:sz w:val="20"/>
                <w:lang w:eastAsia="sl-SI"/>
              </w:rPr>
            </w:pPr>
            <w:r w:rsidRPr="00424274">
              <w:rPr>
                <w:rFonts w:ascii="Arial" w:hAnsi="Arial"/>
                <w:b/>
                <w:bCs/>
                <w:iCs/>
                <w:sz w:val="20"/>
                <w:lang w:eastAsia="sl-SI"/>
              </w:rPr>
              <w:t>Delež</w:t>
            </w:r>
          </w:p>
        </w:tc>
        <w:tc>
          <w:tcPr>
            <w:tcW w:w="814" w:type="dxa"/>
            <w:tcBorders>
              <w:top w:val="single" w:sz="4" w:space="0" w:color="auto"/>
              <w:left w:val="single" w:sz="4" w:space="0" w:color="auto"/>
              <w:bottom w:val="single" w:sz="4" w:space="0" w:color="auto"/>
              <w:right w:val="single" w:sz="4" w:space="0" w:color="auto"/>
            </w:tcBorders>
            <w:shd w:val="clear" w:color="auto" w:fill="33CCFF"/>
            <w:noWrap/>
            <w:vAlign w:val="center"/>
            <w:hideMark/>
          </w:tcPr>
          <w:p w14:paraId="530D9536" w14:textId="77777777" w:rsidR="00F00829" w:rsidRPr="00424274" w:rsidRDefault="00F00829" w:rsidP="00F00829">
            <w:pPr>
              <w:widowControl/>
              <w:jc w:val="center"/>
              <w:rPr>
                <w:rFonts w:ascii="Arial" w:hAnsi="Arial"/>
                <w:b/>
                <w:bCs/>
                <w:iCs/>
                <w:sz w:val="20"/>
                <w:lang w:eastAsia="sl-SI"/>
              </w:rPr>
            </w:pPr>
            <w:r w:rsidRPr="00424274">
              <w:rPr>
                <w:rFonts w:ascii="Arial" w:hAnsi="Arial"/>
                <w:b/>
                <w:bCs/>
                <w:iCs/>
                <w:sz w:val="20"/>
                <w:lang w:eastAsia="sl-SI"/>
              </w:rPr>
              <w:t>Število</w:t>
            </w:r>
          </w:p>
        </w:tc>
        <w:tc>
          <w:tcPr>
            <w:tcW w:w="1415" w:type="dxa"/>
            <w:tcBorders>
              <w:top w:val="single" w:sz="4" w:space="0" w:color="auto"/>
              <w:left w:val="single" w:sz="4" w:space="0" w:color="auto"/>
              <w:bottom w:val="single" w:sz="4" w:space="0" w:color="auto"/>
              <w:right w:val="single" w:sz="4" w:space="0" w:color="auto"/>
            </w:tcBorders>
            <w:shd w:val="clear" w:color="auto" w:fill="33CCFF"/>
            <w:noWrap/>
            <w:vAlign w:val="center"/>
            <w:hideMark/>
          </w:tcPr>
          <w:p w14:paraId="4B221D78" w14:textId="77777777" w:rsidR="00F00829" w:rsidRPr="00424274" w:rsidRDefault="00F00829" w:rsidP="00F00829">
            <w:pPr>
              <w:widowControl/>
              <w:jc w:val="center"/>
              <w:rPr>
                <w:rFonts w:ascii="Arial" w:hAnsi="Arial"/>
                <w:b/>
                <w:bCs/>
                <w:iCs/>
                <w:sz w:val="20"/>
                <w:lang w:eastAsia="sl-SI"/>
              </w:rPr>
            </w:pPr>
            <w:r w:rsidRPr="00424274">
              <w:rPr>
                <w:rFonts w:ascii="Arial" w:hAnsi="Arial"/>
                <w:b/>
                <w:bCs/>
                <w:iCs/>
                <w:sz w:val="20"/>
                <w:lang w:eastAsia="sl-SI"/>
              </w:rPr>
              <w:t>Delež</w:t>
            </w:r>
          </w:p>
        </w:tc>
      </w:tr>
      <w:tr w:rsidR="00F00829" w:rsidRPr="00424274" w14:paraId="630089E4" w14:textId="77777777" w:rsidTr="00034CED">
        <w:trPr>
          <w:trHeight w:val="315"/>
        </w:trPr>
        <w:tc>
          <w:tcPr>
            <w:tcW w:w="3119" w:type="dxa"/>
            <w:tcBorders>
              <w:top w:val="nil"/>
              <w:left w:val="single" w:sz="8" w:space="0" w:color="auto"/>
              <w:bottom w:val="single" w:sz="8" w:space="0" w:color="auto"/>
              <w:right w:val="single" w:sz="4" w:space="0" w:color="auto"/>
            </w:tcBorders>
            <w:shd w:val="clear" w:color="auto" w:fill="99FF33"/>
            <w:noWrap/>
            <w:vAlign w:val="center"/>
            <w:hideMark/>
          </w:tcPr>
          <w:p w14:paraId="5BEF39AA" w14:textId="77777777" w:rsidR="00F00829" w:rsidRPr="00424274" w:rsidRDefault="00F00829" w:rsidP="00F00829">
            <w:pPr>
              <w:widowControl/>
              <w:jc w:val="left"/>
              <w:rPr>
                <w:rFonts w:ascii="Arial" w:hAnsi="Arial"/>
                <w:color w:val="000000"/>
                <w:sz w:val="20"/>
                <w:lang w:eastAsia="sl-SI"/>
              </w:rPr>
            </w:pPr>
            <w:r w:rsidRPr="00424274">
              <w:rPr>
                <w:rFonts w:ascii="Arial" w:hAnsi="Arial"/>
                <w:color w:val="000000"/>
                <w:sz w:val="20"/>
                <w:lang w:eastAsia="sl-SI"/>
              </w:rPr>
              <w:t>Banke</w:t>
            </w:r>
          </w:p>
        </w:tc>
        <w:tc>
          <w:tcPr>
            <w:tcW w:w="796" w:type="dxa"/>
            <w:tcBorders>
              <w:top w:val="single" w:sz="4" w:space="0" w:color="auto"/>
              <w:left w:val="single" w:sz="4" w:space="0" w:color="auto"/>
              <w:bottom w:val="single" w:sz="4" w:space="0" w:color="auto"/>
              <w:right w:val="single" w:sz="4" w:space="0" w:color="auto"/>
            </w:tcBorders>
            <w:vAlign w:val="center"/>
          </w:tcPr>
          <w:p w14:paraId="03840DB2" w14:textId="77777777" w:rsidR="00F00829" w:rsidRPr="00424274" w:rsidRDefault="00F00829" w:rsidP="00F00829">
            <w:pPr>
              <w:widowControl/>
              <w:jc w:val="right"/>
              <w:rPr>
                <w:rFonts w:ascii="Arial" w:hAnsi="Arial"/>
                <w:color w:val="000000"/>
                <w:sz w:val="20"/>
              </w:rPr>
            </w:pPr>
            <w:r w:rsidRPr="00424274">
              <w:rPr>
                <w:rFonts w:ascii="Arial" w:hAnsi="Arial"/>
                <w:color w:val="000000"/>
                <w:sz w:val="20"/>
              </w:rPr>
              <w:t>36.881</w:t>
            </w:r>
          </w:p>
        </w:tc>
        <w:tc>
          <w:tcPr>
            <w:tcW w:w="819" w:type="dxa"/>
            <w:tcBorders>
              <w:top w:val="single" w:sz="4" w:space="0" w:color="auto"/>
              <w:left w:val="nil"/>
              <w:bottom w:val="single" w:sz="4" w:space="0" w:color="auto"/>
              <w:right w:val="nil"/>
            </w:tcBorders>
            <w:shd w:val="clear" w:color="auto" w:fill="auto"/>
            <w:vAlign w:val="center"/>
          </w:tcPr>
          <w:p w14:paraId="7C0E1E75" w14:textId="16E9F8E6" w:rsidR="00F00829" w:rsidRPr="00424274" w:rsidRDefault="00F00829" w:rsidP="00F00829">
            <w:pPr>
              <w:jc w:val="right"/>
              <w:rPr>
                <w:rFonts w:ascii="Arial" w:hAnsi="Arial"/>
                <w:color w:val="000000"/>
                <w:sz w:val="20"/>
              </w:rPr>
            </w:pPr>
            <w:r w:rsidRPr="00424274">
              <w:rPr>
                <w:rFonts w:ascii="Arial" w:hAnsi="Arial"/>
                <w:color w:val="000000"/>
                <w:sz w:val="20"/>
              </w:rPr>
              <w:t>82,81</w:t>
            </w:r>
            <w:r w:rsidR="00DC1B8F">
              <w:rPr>
                <w:rFonts w:ascii="Arial" w:hAnsi="Arial"/>
                <w:color w:val="000000"/>
                <w:sz w:val="20"/>
              </w:rPr>
              <w:t> </w:t>
            </w:r>
            <w:r w:rsidRPr="00424274">
              <w:rPr>
                <w:rFonts w:ascii="Arial" w:hAnsi="Arial"/>
                <w:color w:val="000000"/>
                <w:sz w:val="20"/>
              </w:rPr>
              <w:t>%</w:t>
            </w:r>
          </w:p>
        </w:tc>
        <w:tc>
          <w:tcPr>
            <w:tcW w:w="796" w:type="dxa"/>
            <w:tcBorders>
              <w:top w:val="single" w:sz="4" w:space="0" w:color="auto"/>
              <w:left w:val="single" w:sz="4" w:space="0" w:color="auto"/>
              <w:bottom w:val="single" w:sz="4" w:space="0" w:color="auto"/>
              <w:right w:val="single" w:sz="4" w:space="0" w:color="auto"/>
            </w:tcBorders>
            <w:vAlign w:val="center"/>
          </w:tcPr>
          <w:p w14:paraId="44B36291" w14:textId="77777777" w:rsidR="00F00829" w:rsidRPr="00424274" w:rsidRDefault="00F00829" w:rsidP="00F00829">
            <w:pPr>
              <w:jc w:val="right"/>
              <w:rPr>
                <w:rFonts w:ascii="Arial" w:hAnsi="Arial"/>
                <w:color w:val="000000"/>
                <w:sz w:val="20"/>
              </w:rPr>
            </w:pPr>
            <w:r w:rsidRPr="00424274">
              <w:rPr>
                <w:rFonts w:ascii="Arial" w:hAnsi="Arial"/>
                <w:color w:val="000000"/>
                <w:sz w:val="20"/>
              </w:rPr>
              <w:t>35.157</w:t>
            </w:r>
          </w:p>
        </w:tc>
        <w:tc>
          <w:tcPr>
            <w:tcW w:w="819" w:type="dxa"/>
            <w:tcBorders>
              <w:top w:val="single" w:sz="4" w:space="0" w:color="auto"/>
              <w:left w:val="nil"/>
              <w:bottom w:val="single" w:sz="4" w:space="0" w:color="auto"/>
              <w:right w:val="nil"/>
            </w:tcBorders>
            <w:shd w:val="clear" w:color="auto" w:fill="auto"/>
            <w:vAlign w:val="center"/>
          </w:tcPr>
          <w:p w14:paraId="30D93C74" w14:textId="2AB89EB2" w:rsidR="00F00829" w:rsidRPr="00424274" w:rsidRDefault="00F00829" w:rsidP="00F00829">
            <w:pPr>
              <w:jc w:val="right"/>
              <w:rPr>
                <w:rFonts w:ascii="Arial" w:hAnsi="Arial"/>
                <w:color w:val="000000"/>
                <w:sz w:val="20"/>
              </w:rPr>
            </w:pPr>
            <w:r w:rsidRPr="00424274">
              <w:rPr>
                <w:rFonts w:ascii="Arial" w:hAnsi="Arial"/>
                <w:color w:val="000000"/>
                <w:sz w:val="20"/>
              </w:rPr>
              <w:t>82,03</w:t>
            </w:r>
            <w:r w:rsidR="00DC1B8F">
              <w:rPr>
                <w:rFonts w:ascii="Arial" w:hAnsi="Arial"/>
                <w:color w:val="000000"/>
                <w:sz w:val="20"/>
              </w:rPr>
              <w:t> </w:t>
            </w:r>
            <w:r w:rsidRPr="00424274">
              <w:rPr>
                <w:rFonts w:ascii="Arial" w:hAnsi="Arial"/>
                <w:color w:val="000000"/>
                <w:sz w:val="20"/>
              </w:rPr>
              <w:t>%</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0F793" w14:textId="77777777" w:rsidR="00F00829" w:rsidRPr="00424274" w:rsidRDefault="00F00829" w:rsidP="00F00829">
            <w:pPr>
              <w:jc w:val="right"/>
              <w:rPr>
                <w:rFonts w:ascii="Arial" w:hAnsi="Arial"/>
                <w:sz w:val="20"/>
              </w:rPr>
            </w:pPr>
            <w:r w:rsidRPr="00424274">
              <w:rPr>
                <w:rFonts w:ascii="Arial" w:hAnsi="Arial"/>
                <w:sz w:val="20"/>
              </w:rPr>
              <w:t>30.769</w:t>
            </w:r>
          </w:p>
        </w:tc>
        <w:tc>
          <w:tcPr>
            <w:tcW w:w="1415" w:type="dxa"/>
            <w:tcBorders>
              <w:top w:val="single" w:sz="4" w:space="0" w:color="auto"/>
              <w:left w:val="nil"/>
              <w:bottom w:val="single" w:sz="4" w:space="0" w:color="auto"/>
              <w:right w:val="single" w:sz="4" w:space="0" w:color="auto"/>
            </w:tcBorders>
            <w:shd w:val="clear" w:color="auto" w:fill="auto"/>
            <w:noWrap/>
            <w:vAlign w:val="center"/>
          </w:tcPr>
          <w:p w14:paraId="6F56762D" w14:textId="75364949" w:rsidR="00F00829" w:rsidRPr="00424274" w:rsidRDefault="00F00829" w:rsidP="00F00829">
            <w:pPr>
              <w:jc w:val="right"/>
              <w:rPr>
                <w:rFonts w:ascii="Arial" w:hAnsi="Arial"/>
                <w:sz w:val="20"/>
              </w:rPr>
            </w:pPr>
            <w:r w:rsidRPr="00424274">
              <w:rPr>
                <w:rFonts w:ascii="Arial" w:hAnsi="Arial"/>
                <w:color w:val="000000"/>
                <w:sz w:val="20"/>
              </w:rPr>
              <w:t>85,01</w:t>
            </w:r>
            <w:r w:rsidR="00DC1B8F">
              <w:rPr>
                <w:rFonts w:ascii="Arial" w:hAnsi="Arial"/>
                <w:color w:val="000000"/>
                <w:sz w:val="20"/>
              </w:rPr>
              <w:t> </w:t>
            </w:r>
            <w:r w:rsidRPr="00424274">
              <w:rPr>
                <w:rFonts w:ascii="Arial" w:hAnsi="Arial"/>
                <w:color w:val="000000"/>
                <w:sz w:val="20"/>
              </w:rPr>
              <w:t>%</w:t>
            </w:r>
          </w:p>
        </w:tc>
      </w:tr>
      <w:tr w:rsidR="00F00829" w:rsidRPr="00424274" w14:paraId="194D074A" w14:textId="77777777" w:rsidTr="00034CED">
        <w:trPr>
          <w:trHeight w:val="315"/>
        </w:trPr>
        <w:tc>
          <w:tcPr>
            <w:tcW w:w="3119" w:type="dxa"/>
            <w:tcBorders>
              <w:top w:val="nil"/>
              <w:left w:val="single" w:sz="8" w:space="0" w:color="auto"/>
              <w:bottom w:val="single" w:sz="8" w:space="0" w:color="auto"/>
              <w:right w:val="single" w:sz="4" w:space="0" w:color="auto"/>
            </w:tcBorders>
            <w:shd w:val="clear" w:color="auto" w:fill="99FF33"/>
            <w:noWrap/>
            <w:vAlign w:val="center"/>
            <w:hideMark/>
          </w:tcPr>
          <w:p w14:paraId="26B6DF40" w14:textId="77777777" w:rsidR="00F00829" w:rsidRPr="00424274" w:rsidRDefault="00F00829" w:rsidP="00F00829">
            <w:pPr>
              <w:widowControl/>
              <w:jc w:val="left"/>
              <w:rPr>
                <w:rFonts w:ascii="Arial" w:hAnsi="Arial"/>
                <w:color w:val="000000"/>
                <w:sz w:val="20"/>
                <w:lang w:eastAsia="sl-SI"/>
              </w:rPr>
            </w:pPr>
            <w:r w:rsidRPr="00424274">
              <w:rPr>
                <w:rFonts w:ascii="Arial" w:hAnsi="Arial"/>
                <w:color w:val="000000"/>
                <w:sz w:val="20"/>
                <w:lang w:eastAsia="sl-SI"/>
              </w:rPr>
              <w:t>Hranilnice</w:t>
            </w:r>
          </w:p>
        </w:tc>
        <w:tc>
          <w:tcPr>
            <w:tcW w:w="796" w:type="dxa"/>
            <w:tcBorders>
              <w:top w:val="single" w:sz="4" w:space="0" w:color="auto"/>
              <w:left w:val="single" w:sz="4" w:space="0" w:color="auto"/>
              <w:bottom w:val="single" w:sz="4" w:space="0" w:color="auto"/>
              <w:right w:val="single" w:sz="4" w:space="0" w:color="auto"/>
            </w:tcBorders>
            <w:vAlign w:val="center"/>
          </w:tcPr>
          <w:p w14:paraId="509F518C" w14:textId="77777777" w:rsidR="00F00829" w:rsidRPr="00424274" w:rsidRDefault="00F00829" w:rsidP="00F00829">
            <w:pPr>
              <w:jc w:val="right"/>
              <w:rPr>
                <w:rFonts w:ascii="Arial" w:hAnsi="Arial"/>
                <w:color w:val="000000"/>
                <w:sz w:val="20"/>
              </w:rPr>
            </w:pPr>
            <w:r w:rsidRPr="00424274">
              <w:rPr>
                <w:rFonts w:ascii="Arial" w:hAnsi="Arial"/>
                <w:sz w:val="20"/>
              </w:rPr>
              <w:t>4.843</w:t>
            </w:r>
          </w:p>
        </w:tc>
        <w:tc>
          <w:tcPr>
            <w:tcW w:w="819" w:type="dxa"/>
            <w:tcBorders>
              <w:top w:val="single" w:sz="4" w:space="0" w:color="auto"/>
              <w:left w:val="nil"/>
              <w:bottom w:val="single" w:sz="4" w:space="0" w:color="auto"/>
              <w:right w:val="nil"/>
            </w:tcBorders>
            <w:shd w:val="clear" w:color="auto" w:fill="auto"/>
            <w:vAlign w:val="center"/>
          </w:tcPr>
          <w:p w14:paraId="0B0843A6" w14:textId="28FE5637" w:rsidR="00F00829" w:rsidRPr="00424274" w:rsidRDefault="00F00829" w:rsidP="00F00829">
            <w:pPr>
              <w:jc w:val="right"/>
              <w:rPr>
                <w:rFonts w:ascii="Arial" w:hAnsi="Arial"/>
                <w:color w:val="000000"/>
                <w:sz w:val="20"/>
              </w:rPr>
            </w:pPr>
            <w:r w:rsidRPr="00424274">
              <w:rPr>
                <w:rFonts w:ascii="Arial" w:hAnsi="Arial"/>
                <w:color w:val="000000"/>
                <w:sz w:val="20"/>
              </w:rPr>
              <w:t>6,29</w:t>
            </w:r>
            <w:r w:rsidR="00DC1B8F">
              <w:rPr>
                <w:rFonts w:ascii="Arial" w:hAnsi="Arial"/>
                <w:color w:val="000000"/>
                <w:sz w:val="20"/>
              </w:rPr>
              <w:t> </w:t>
            </w:r>
            <w:r w:rsidRPr="00424274">
              <w:rPr>
                <w:rFonts w:ascii="Arial" w:hAnsi="Arial"/>
                <w:color w:val="000000"/>
                <w:sz w:val="20"/>
              </w:rPr>
              <w:t>%</w:t>
            </w:r>
          </w:p>
        </w:tc>
        <w:tc>
          <w:tcPr>
            <w:tcW w:w="796" w:type="dxa"/>
            <w:tcBorders>
              <w:top w:val="single" w:sz="4" w:space="0" w:color="auto"/>
              <w:left w:val="single" w:sz="4" w:space="0" w:color="auto"/>
              <w:bottom w:val="single" w:sz="4" w:space="0" w:color="auto"/>
              <w:right w:val="single" w:sz="4" w:space="0" w:color="auto"/>
            </w:tcBorders>
            <w:vAlign w:val="center"/>
          </w:tcPr>
          <w:p w14:paraId="5717FE56" w14:textId="77777777" w:rsidR="00F00829" w:rsidRPr="00424274" w:rsidRDefault="00F00829" w:rsidP="00F00829">
            <w:pPr>
              <w:jc w:val="right"/>
              <w:rPr>
                <w:rFonts w:ascii="Arial" w:hAnsi="Arial"/>
                <w:color w:val="000000"/>
                <w:sz w:val="20"/>
              </w:rPr>
            </w:pPr>
            <w:r w:rsidRPr="00424274">
              <w:rPr>
                <w:rFonts w:ascii="Arial" w:hAnsi="Arial"/>
                <w:color w:val="000000"/>
                <w:sz w:val="20"/>
              </w:rPr>
              <w:t>4.568</w:t>
            </w:r>
          </w:p>
        </w:tc>
        <w:tc>
          <w:tcPr>
            <w:tcW w:w="819" w:type="dxa"/>
            <w:tcBorders>
              <w:top w:val="single" w:sz="4" w:space="0" w:color="auto"/>
              <w:left w:val="nil"/>
              <w:bottom w:val="single" w:sz="4" w:space="0" w:color="auto"/>
              <w:right w:val="nil"/>
            </w:tcBorders>
            <w:shd w:val="clear" w:color="auto" w:fill="auto"/>
            <w:vAlign w:val="center"/>
          </w:tcPr>
          <w:p w14:paraId="4E850A93" w14:textId="07ACCB77" w:rsidR="00F00829" w:rsidRPr="00424274" w:rsidRDefault="00F00829" w:rsidP="00F00829">
            <w:pPr>
              <w:jc w:val="right"/>
              <w:rPr>
                <w:rFonts w:ascii="Arial" w:hAnsi="Arial"/>
                <w:color w:val="000000"/>
                <w:sz w:val="20"/>
              </w:rPr>
            </w:pPr>
            <w:r w:rsidRPr="00424274">
              <w:rPr>
                <w:rFonts w:ascii="Arial" w:hAnsi="Arial"/>
                <w:color w:val="000000"/>
                <w:sz w:val="20"/>
              </w:rPr>
              <w:t>10,66</w:t>
            </w:r>
            <w:r w:rsidR="00DC1B8F">
              <w:rPr>
                <w:rFonts w:ascii="Arial" w:hAnsi="Arial"/>
                <w:color w:val="000000"/>
                <w:sz w:val="20"/>
              </w:rPr>
              <w:t> </w:t>
            </w:r>
            <w:r w:rsidRPr="00424274">
              <w:rPr>
                <w:rFonts w:ascii="Arial" w:hAnsi="Arial"/>
                <w:color w:val="000000"/>
                <w:sz w:val="20"/>
              </w:rPr>
              <w:t>%</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3815E" w14:textId="77777777" w:rsidR="00F00829" w:rsidRPr="00424274" w:rsidRDefault="00F00829" w:rsidP="00F00829">
            <w:pPr>
              <w:jc w:val="right"/>
              <w:rPr>
                <w:rFonts w:ascii="Arial" w:hAnsi="Arial"/>
                <w:sz w:val="20"/>
              </w:rPr>
            </w:pPr>
            <w:r w:rsidRPr="00424274">
              <w:rPr>
                <w:rFonts w:ascii="Arial" w:hAnsi="Arial"/>
                <w:sz w:val="20"/>
              </w:rPr>
              <w:t>3.652</w:t>
            </w:r>
          </w:p>
        </w:tc>
        <w:tc>
          <w:tcPr>
            <w:tcW w:w="1415" w:type="dxa"/>
            <w:tcBorders>
              <w:top w:val="single" w:sz="4" w:space="0" w:color="auto"/>
              <w:left w:val="nil"/>
              <w:bottom w:val="single" w:sz="4" w:space="0" w:color="auto"/>
              <w:right w:val="single" w:sz="4" w:space="0" w:color="auto"/>
            </w:tcBorders>
            <w:shd w:val="clear" w:color="auto" w:fill="auto"/>
            <w:noWrap/>
            <w:vAlign w:val="center"/>
          </w:tcPr>
          <w:p w14:paraId="78B6D66D" w14:textId="3EA662B1" w:rsidR="00F00829" w:rsidRPr="00424274" w:rsidRDefault="00F00829" w:rsidP="00F00829">
            <w:pPr>
              <w:jc w:val="right"/>
              <w:rPr>
                <w:rFonts w:ascii="Arial" w:hAnsi="Arial"/>
                <w:sz w:val="20"/>
              </w:rPr>
            </w:pPr>
            <w:r w:rsidRPr="00424274">
              <w:rPr>
                <w:rFonts w:ascii="Arial" w:hAnsi="Arial"/>
                <w:color w:val="000000"/>
                <w:sz w:val="20"/>
              </w:rPr>
              <w:t>10,09</w:t>
            </w:r>
            <w:r w:rsidR="00DC1B8F">
              <w:rPr>
                <w:rFonts w:ascii="Arial" w:hAnsi="Arial"/>
                <w:color w:val="000000"/>
                <w:sz w:val="20"/>
              </w:rPr>
              <w:t> </w:t>
            </w:r>
            <w:r w:rsidRPr="00424274">
              <w:rPr>
                <w:rFonts w:ascii="Arial" w:hAnsi="Arial"/>
                <w:color w:val="000000"/>
                <w:sz w:val="20"/>
              </w:rPr>
              <w:t>%</w:t>
            </w:r>
          </w:p>
        </w:tc>
      </w:tr>
      <w:tr w:rsidR="00F00829" w:rsidRPr="00424274" w14:paraId="37851F7C" w14:textId="77777777" w:rsidTr="00034CED">
        <w:trPr>
          <w:trHeight w:val="315"/>
        </w:trPr>
        <w:tc>
          <w:tcPr>
            <w:tcW w:w="3119" w:type="dxa"/>
            <w:tcBorders>
              <w:top w:val="nil"/>
              <w:left w:val="single" w:sz="8" w:space="0" w:color="auto"/>
              <w:bottom w:val="single" w:sz="8" w:space="0" w:color="auto"/>
              <w:right w:val="single" w:sz="4" w:space="0" w:color="auto"/>
            </w:tcBorders>
            <w:shd w:val="clear" w:color="auto" w:fill="99FF33"/>
            <w:noWrap/>
            <w:vAlign w:val="center"/>
            <w:hideMark/>
          </w:tcPr>
          <w:p w14:paraId="3B1D66BE" w14:textId="77777777" w:rsidR="00F00829" w:rsidRPr="00424274" w:rsidRDefault="00F00829" w:rsidP="00F00829">
            <w:pPr>
              <w:widowControl/>
              <w:jc w:val="left"/>
              <w:rPr>
                <w:rFonts w:ascii="Arial" w:hAnsi="Arial"/>
                <w:color w:val="000000"/>
                <w:sz w:val="20"/>
                <w:lang w:eastAsia="sl-SI"/>
              </w:rPr>
            </w:pPr>
            <w:r w:rsidRPr="00424274">
              <w:rPr>
                <w:rFonts w:ascii="Arial" w:hAnsi="Arial"/>
                <w:color w:val="000000"/>
                <w:sz w:val="20"/>
                <w:lang w:eastAsia="sl-SI"/>
              </w:rPr>
              <w:t>Igralnice</w:t>
            </w:r>
          </w:p>
        </w:tc>
        <w:tc>
          <w:tcPr>
            <w:tcW w:w="796" w:type="dxa"/>
            <w:tcBorders>
              <w:top w:val="single" w:sz="4" w:space="0" w:color="auto"/>
              <w:left w:val="single" w:sz="4" w:space="0" w:color="auto"/>
              <w:bottom w:val="single" w:sz="4" w:space="0" w:color="auto"/>
              <w:right w:val="single" w:sz="4" w:space="0" w:color="auto"/>
            </w:tcBorders>
            <w:vAlign w:val="center"/>
          </w:tcPr>
          <w:p w14:paraId="71FB5E16" w14:textId="77777777" w:rsidR="00F00829" w:rsidRPr="00424274" w:rsidRDefault="00F00829" w:rsidP="00F00829">
            <w:pPr>
              <w:jc w:val="right"/>
              <w:rPr>
                <w:rFonts w:ascii="Arial" w:hAnsi="Arial"/>
                <w:color w:val="000000"/>
                <w:sz w:val="20"/>
              </w:rPr>
            </w:pPr>
            <w:r w:rsidRPr="00424274">
              <w:rPr>
                <w:rFonts w:ascii="Arial" w:hAnsi="Arial"/>
                <w:color w:val="000000"/>
                <w:sz w:val="20"/>
              </w:rPr>
              <w:t>2.800</w:t>
            </w:r>
          </w:p>
        </w:tc>
        <w:tc>
          <w:tcPr>
            <w:tcW w:w="819" w:type="dxa"/>
            <w:tcBorders>
              <w:top w:val="single" w:sz="4" w:space="0" w:color="auto"/>
              <w:left w:val="nil"/>
              <w:bottom w:val="single" w:sz="4" w:space="0" w:color="auto"/>
              <w:right w:val="nil"/>
            </w:tcBorders>
            <w:shd w:val="clear" w:color="auto" w:fill="auto"/>
            <w:vAlign w:val="center"/>
          </w:tcPr>
          <w:p w14:paraId="535574BE" w14:textId="403E3A79" w:rsidR="00F00829" w:rsidRPr="00424274" w:rsidRDefault="00F00829" w:rsidP="00F00829">
            <w:pPr>
              <w:jc w:val="right"/>
              <w:rPr>
                <w:rFonts w:ascii="Arial" w:hAnsi="Arial"/>
                <w:color w:val="000000"/>
                <w:sz w:val="20"/>
              </w:rPr>
            </w:pPr>
            <w:r w:rsidRPr="00424274">
              <w:rPr>
                <w:rFonts w:ascii="Arial" w:hAnsi="Arial"/>
                <w:color w:val="000000"/>
                <w:sz w:val="20"/>
              </w:rPr>
              <w:t>10,87</w:t>
            </w:r>
            <w:r w:rsidR="00DC1B8F">
              <w:rPr>
                <w:rFonts w:ascii="Arial" w:hAnsi="Arial"/>
                <w:color w:val="000000"/>
                <w:sz w:val="20"/>
              </w:rPr>
              <w:t> </w:t>
            </w:r>
            <w:r w:rsidRPr="00424274">
              <w:rPr>
                <w:rFonts w:ascii="Arial" w:hAnsi="Arial"/>
                <w:color w:val="000000"/>
                <w:sz w:val="20"/>
              </w:rPr>
              <w:t>%</w:t>
            </w:r>
          </w:p>
        </w:tc>
        <w:tc>
          <w:tcPr>
            <w:tcW w:w="796" w:type="dxa"/>
            <w:tcBorders>
              <w:top w:val="single" w:sz="4" w:space="0" w:color="auto"/>
              <w:left w:val="single" w:sz="4" w:space="0" w:color="auto"/>
              <w:bottom w:val="single" w:sz="4" w:space="0" w:color="auto"/>
              <w:right w:val="single" w:sz="4" w:space="0" w:color="auto"/>
            </w:tcBorders>
            <w:vAlign w:val="center"/>
          </w:tcPr>
          <w:p w14:paraId="106C7584" w14:textId="77777777" w:rsidR="00F00829" w:rsidRPr="00424274" w:rsidRDefault="00F00829" w:rsidP="00F00829">
            <w:pPr>
              <w:jc w:val="right"/>
              <w:rPr>
                <w:rFonts w:ascii="Arial" w:hAnsi="Arial"/>
                <w:color w:val="000000"/>
                <w:sz w:val="20"/>
              </w:rPr>
            </w:pPr>
            <w:r w:rsidRPr="00424274">
              <w:rPr>
                <w:rFonts w:ascii="Arial" w:hAnsi="Arial"/>
                <w:color w:val="000000"/>
                <w:sz w:val="20"/>
              </w:rPr>
              <w:t>3.113</w:t>
            </w:r>
          </w:p>
        </w:tc>
        <w:tc>
          <w:tcPr>
            <w:tcW w:w="819" w:type="dxa"/>
            <w:tcBorders>
              <w:top w:val="single" w:sz="4" w:space="0" w:color="auto"/>
              <w:left w:val="nil"/>
              <w:bottom w:val="single" w:sz="4" w:space="0" w:color="auto"/>
              <w:right w:val="nil"/>
            </w:tcBorders>
            <w:shd w:val="clear" w:color="auto" w:fill="auto"/>
            <w:vAlign w:val="center"/>
          </w:tcPr>
          <w:p w14:paraId="2BE51049" w14:textId="0B063B92" w:rsidR="00F00829" w:rsidRPr="00424274" w:rsidRDefault="00F00829" w:rsidP="00F00829">
            <w:pPr>
              <w:jc w:val="right"/>
              <w:rPr>
                <w:rFonts w:ascii="Arial" w:hAnsi="Arial"/>
                <w:color w:val="000000"/>
                <w:sz w:val="20"/>
              </w:rPr>
            </w:pPr>
            <w:r w:rsidRPr="00424274">
              <w:rPr>
                <w:rFonts w:ascii="Arial" w:hAnsi="Arial"/>
                <w:color w:val="000000"/>
                <w:sz w:val="20"/>
              </w:rPr>
              <w:t>7,26</w:t>
            </w:r>
            <w:r w:rsidR="00DC1B8F">
              <w:rPr>
                <w:rFonts w:ascii="Arial" w:hAnsi="Arial"/>
                <w:color w:val="000000"/>
                <w:sz w:val="20"/>
              </w:rPr>
              <w:t> </w:t>
            </w:r>
            <w:r w:rsidRPr="00424274">
              <w:rPr>
                <w:rFonts w:ascii="Arial" w:hAnsi="Arial"/>
                <w:color w:val="000000"/>
                <w:sz w:val="20"/>
              </w:rPr>
              <w:t>%</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E975D" w14:textId="77777777" w:rsidR="00F00829" w:rsidRPr="00424274" w:rsidRDefault="00F00829" w:rsidP="00F00829">
            <w:pPr>
              <w:jc w:val="right"/>
              <w:rPr>
                <w:rFonts w:ascii="Arial" w:hAnsi="Arial"/>
                <w:sz w:val="20"/>
              </w:rPr>
            </w:pPr>
            <w:r w:rsidRPr="00424274">
              <w:rPr>
                <w:rFonts w:ascii="Arial" w:hAnsi="Arial"/>
                <w:sz w:val="20"/>
              </w:rPr>
              <w:t>1.771</w:t>
            </w:r>
          </w:p>
        </w:tc>
        <w:tc>
          <w:tcPr>
            <w:tcW w:w="1415" w:type="dxa"/>
            <w:tcBorders>
              <w:top w:val="single" w:sz="4" w:space="0" w:color="auto"/>
              <w:left w:val="nil"/>
              <w:bottom w:val="single" w:sz="4" w:space="0" w:color="auto"/>
              <w:right w:val="single" w:sz="4" w:space="0" w:color="auto"/>
            </w:tcBorders>
            <w:shd w:val="clear" w:color="auto" w:fill="auto"/>
            <w:noWrap/>
            <w:vAlign w:val="center"/>
          </w:tcPr>
          <w:p w14:paraId="7DF19243" w14:textId="1024ECCE" w:rsidR="00F00829" w:rsidRPr="00424274" w:rsidRDefault="00F00829" w:rsidP="00F00829">
            <w:pPr>
              <w:jc w:val="right"/>
              <w:rPr>
                <w:rFonts w:ascii="Arial" w:hAnsi="Arial"/>
                <w:sz w:val="20"/>
              </w:rPr>
            </w:pPr>
            <w:r w:rsidRPr="00424274">
              <w:rPr>
                <w:rFonts w:ascii="Arial" w:hAnsi="Arial"/>
                <w:color w:val="000000"/>
                <w:sz w:val="20"/>
              </w:rPr>
              <w:t>4,89</w:t>
            </w:r>
            <w:r w:rsidR="00DC1B8F">
              <w:rPr>
                <w:rFonts w:ascii="Arial" w:hAnsi="Arial"/>
                <w:color w:val="000000"/>
                <w:sz w:val="20"/>
              </w:rPr>
              <w:t> </w:t>
            </w:r>
            <w:r w:rsidRPr="00424274">
              <w:rPr>
                <w:rFonts w:ascii="Arial" w:hAnsi="Arial"/>
                <w:color w:val="000000"/>
                <w:sz w:val="20"/>
              </w:rPr>
              <w:t>%</w:t>
            </w:r>
          </w:p>
        </w:tc>
      </w:tr>
      <w:tr w:rsidR="00F00829" w:rsidRPr="00424274" w14:paraId="4B6FB33F" w14:textId="77777777" w:rsidTr="00034CED">
        <w:trPr>
          <w:trHeight w:val="315"/>
        </w:trPr>
        <w:tc>
          <w:tcPr>
            <w:tcW w:w="3119" w:type="dxa"/>
            <w:tcBorders>
              <w:top w:val="nil"/>
              <w:left w:val="single" w:sz="8" w:space="0" w:color="auto"/>
              <w:bottom w:val="single" w:sz="8" w:space="0" w:color="auto"/>
              <w:right w:val="single" w:sz="4" w:space="0" w:color="auto"/>
            </w:tcBorders>
            <w:shd w:val="clear" w:color="auto" w:fill="99FF33"/>
            <w:noWrap/>
            <w:vAlign w:val="center"/>
            <w:hideMark/>
          </w:tcPr>
          <w:p w14:paraId="0915975D" w14:textId="77777777" w:rsidR="00F00829" w:rsidRPr="00424274" w:rsidRDefault="00F00829" w:rsidP="00F00829">
            <w:pPr>
              <w:widowControl/>
              <w:jc w:val="left"/>
              <w:rPr>
                <w:rFonts w:ascii="Arial" w:hAnsi="Arial"/>
                <w:color w:val="000000"/>
                <w:sz w:val="20"/>
                <w:lang w:eastAsia="sl-SI"/>
              </w:rPr>
            </w:pPr>
            <w:r w:rsidRPr="00424274">
              <w:rPr>
                <w:rFonts w:ascii="Arial" w:hAnsi="Arial"/>
                <w:color w:val="000000"/>
                <w:sz w:val="20"/>
                <w:lang w:eastAsia="sl-SI"/>
              </w:rPr>
              <w:t>Notarji/odvetniki</w:t>
            </w:r>
          </w:p>
        </w:tc>
        <w:tc>
          <w:tcPr>
            <w:tcW w:w="796" w:type="dxa"/>
            <w:tcBorders>
              <w:top w:val="single" w:sz="4" w:space="0" w:color="auto"/>
              <w:left w:val="single" w:sz="4" w:space="0" w:color="auto"/>
              <w:bottom w:val="single" w:sz="4" w:space="0" w:color="auto"/>
              <w:right w:val="single" w:sz="4" w:space="0" w:color="auto"/>
            </w:tcBorders>
            <w:vAlign w:val="center"/>
          </w:tcPr>
          <w:p w14:paraId="1C5C90EC" w14:textId="77777777" w:rsidR="00F00829" w:rsidRPr="00424274" w:rsidRDefault="00F00829" w:rsidP="00F00829">
            <w:pPr>
              <w:jc w:val="right"/>
              <w:rPr>
                <w:rFonts w:ascii="Arial" w:hAnsi="Arial"/>
                <w:color w:val="000000"/>
                <w:sz w:val="20"/>
              </w:rPr>
            </w:pPr>
            <w:r w:rsidRPr="00424274">
              <w:rPr>
                <w:rFonts w:ascii="Arial" w:hAnsi="Arial"/>
                <w:color w:val="000000"/>
                <w:sz w:val="20"/>
              </w:rPr>
              <w:t>5</w:t>
            </w:r>
          </w:p>
        </w:tc>
        <w:tc>
          <w:tcPr>
            <w:tcW w:w="819" w:type="dxa"/>
            <w:tcBorders>
              <w:top w:val="single" w:sz="4" w:space="0" w:color="auto"/>
              <w:left w:val="nil"/>
              <w:bottom w:val="single" w:sz="4" w:space="0" w:color="auto"/>
              <w:right w:val="nil"/>
            </w:tcBorders>
            <w:shd w:val="clear" w:color="auto" w:fill="auto"/>
            <w:vAlign w:val="center"/>
          </w:tcPr>
          <w:p w14:paraId="263061D0" w14:textId="2E55FA2B" w:rsidR="00F00829" w:rsidRPr="00424274" w:rsidRDefault="00F00829" w:rsidP="00F00829">
            <w:pPr>
              <w:jc w:val="right"/>
              <w:rPr>
                <w:rFonts w:ascii="Arial" w:hAnsi="Arial"/>
                <w:color w:val="000000"/>
                <w:sz w:val="20"/>
              </w:rPr>
            </w:pPr>
            <w:r w:rsidRPr="00424274">
              <w:rPr>
                <w:rFonts w:ascii="Arial" w:hAnsi="Arial"/>
                <w:color w:val="000000"/>
                <w:sz w:val="20"/>
              </w:rPr>
              <w:t>0,01</w:t>
            </w:r>
            <w:r w:rsidR="00DC1B8F">
              <w:rPr>
                <w:rFonts w:ascii="Arial" w:hAnsi="Arial"/>
                <w:color w:val="000000"/>
                <w:sz w:val="20"/>
              </w:rPr>
              <w:t> </w:t>
            </w:r>
            <w:r w:rsidRPr="00424274">
              <w:rPr>
                <w:rFonts w:ascii="Arial" w:hAnsi="Arial"/>
                <w:color w:val="000000"/>
                <w:sz w:val="20"/>
              </w:rPr>
              <w:t>%</w:t>
            </w:r>
          </w:p>
        </w:tc>
        <w:tc>
          <w:tcPr>
            <w:tcW w:w="796" w:type="dxa"/>
            <w:tcBorders>
              <w:top w:val="single" w:sz="4" w:space="0" w:color="auto"/>
              <w:left w:val="single" w:sz="4" w:space="0" w:color="auto"/>
              <w:bottom w:val="single" w:sz="4" w:space="0" w:color="auto"/>
              <w:right w:val="single" w:sz="4" w:space="0" w:color="auto"/>
            </w:tcBorders>
            <w:vAlign w:val="center"/>
          </w:tcPr>
          <w:p w14:paraId="29252542" w14:textId="77777777" w:rsidR="00F00829" w:rsidRPr="00424274" w:rsidRDefault="00F00829" w:rsidP="00F00829">
            <w:pPr>
              <w:jc w:val="right"/>
              <w:rPr>
                <w:rFonts w:ascii="Arial" w:hAnsi="Arial"/>
                <w:color w:val="000000"/>
                <w:sz w:val="20"/>
              </w:rPr>
            </w:pPr>
            <w:r w:rsidRPr="00424274">
              <w:rPr>
                <w:rFonts w:ascii="Arial" w:hAnsi="Arial"/>
                <w:color w:val="000000"/>
                <w:sz w:val="20"/>
              </w:rPr>
              <w:t>17</w:t>
            </w:r>
          </w:p>
        </w:tc>
        <w:tc>
          <w:tcPr>
            <w:tcW w:w="819" w:type="dxa"/>
            <w:tcBorders>
              <w:top w:val="single" w:sz="4" w:space="0" w:color="auto"/>
              <w:left w:val="nil"/>
              <w:bottom w:val="single" w:sz="4" w:space="0" w:color="auto"/>
              <w:right w:val="nil"/>
            </w:tcBorders>
            <w:shd w:val="clear" w:color="auto" w:fill="auto"/>
            <w:vAlign w:val="center"/>
          </w:tcPr>
          <w:p w14:paraId="11130D67" w14:textId="09281161" w:rsidR="00F00829" w:rsidRPr="00424274" w:rsidRDefault="00F00829" w:rsidP="00F00829">
            <w:pPr>
              <w:jc w:val="right"/>
              <w:rPr>
                <w:rFonts w:ascii="Arial" w:hAnsi="Arial"/>
                <w:color w:val="000000"/>
                <w:sz w:val="20"/>
              </w:rPr>
            </w:pPr>
            <w:r w:rsidRPr="00424274">
              <w:rPr>
                <w:rFonts w:ascii="Arial" w:hAnsi="Arial"/>
                <w:color w:val="000000"/>
                <w:sz w:val="20"/>
              </w:rPr>
              <w:t>0,04</w:t>
            </w:r>
            <w:r w:rsidR="00DC1B8F">
              <w:rPr>
                <w:rFonts w:ascii="Arial" w:hAnsi="Arial"/>
                <w:color w:val="000000"/>
                <w:sz w:val="20"/>
              </w:rPr>
              <w:t> </w:t>
            </w:r>
            <w:r w:rsidRPr="00424274">
              <w:rPr>
                <w:rFonts w:ascii="Arial" w:hAnsi="Arial"/>
                <w:color w:val="000000"/>
                <w:sz w:val="20"/>
              </w:rPr>
              <w:t>%</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5D347" w14:textId="77777777" w:rsidR="00F00829" w:rsidRPr="00424274" w:rsidRDefault="00F00829" w:rsidP="00F00829">
            <w:pPr>
              <w:jc w:val="right"/>
              <w:rPr>
                <w:rFonts w:ascii="Arial" w:hAnsi="Arial"/>
                <w:color w:val="000000"/>
                <w:sz w:val="20"/>
              </w:rPr>
            </w:pPr>
            <w:r w:rsidRPr="00424274">
              <w:rPr>
                <w:rFonts w:ascii="Arial" w:hAnsi="Arial"/>
                <w:color w:val="000000"/>
                <w:sz w:val="20"/>
              </w:rPr>
              <w:t>1</w:t>
            </w:r>
          </w:p>
        </w:tc>
        <w:tc>
          <w:tcPr>
            <w:tcW w:w="1415" w:type="dxa"/>
            <w:tcBorders>
              <w:top w:val="single" w:sz="4" w:space="0" w:color="auto"/>
              <w:left w:val="nil"/>
              <w:bottom w:val="single" w:sz="4" w:space="0" w:color="auto"/>
              <w:right w:val="single" w:sz="4" w:space="0" w:color="auto"/>
            </w:tcBorders>
            <w:shd w:val="clear" w:color="auto" w:fill="auto"/>
            <w:noWrap/>
            <w:vAlign w:val="center"/>
          </w:tcPr>
          <w:p w14:paraId="4BB720BC" w14:textId="739D5FC4" w:rsidR="00F00829" w:rsidRPr="00424274" w:rsidRDefault="00F00829" w:rsidP="00F00829">
            <w:pPr>
              <w:jc w:val="right"/>
              <w:rPr>
                <w:rFonts w:ascii="Arial" w:hAnsi="Arial"/>
                <w:color w:val="000000"/>
                <w:sz w:val="20"/>
              </w:rPr>
            </w:pPr>
            <w:r w:rsidRPr="00424274">
              <w:rPr>
                <w:rFonts w:ascii="Arial" w:hAnsi="Arial"/>
                <w:color w:val="000000"/>
                <w:sz w:val="20"/>
              </w:rPr>
              <w:t>0,00</w:t>
            </w:r>
            <w:r w:rsidR="00DC1B8F">
              <w:rPr>
                <w:rFonts w:ascii="Arial" w:hAnsi="Arial"/>
                <w:color w:val="000000"/>
                <w:sz w:val="20"/>
              </w:rPr>
              <w:t> </w:t>
            </w:r>
            <w:r w:rsidRPr="00424274">
              <w:rPr>
                <w:rFonts w:ascii="Arial" w:hAnsi="Arial"/>
                <w:color w:val="000000"/>
                <w:sz w:val="20"/>
              </w:rPr>
              <w:t>%</w:t>
            </w:r>
          </w:p>
        </w:tc>
      </w:tr>
      <w:tr w:rsidR="00F00829" w:rsidRPr="00424274" w14:paraId="3A1BDF0F" w14:textId="77777777" w:rsidTr="00034CED">
        <w:trPr>
          <w:trHeight w:val="315"/>
        </w:trPr>
        <w:tc>
          <w:tcPr>
            <w:tcW w:w="3119" w:type="dxa"/>
            <w:tcBorders>
              <w:top w:val="nil"/>
              <w:left w:val="single" w:sz="8" w:space="0" w:color="auto"/>
              <w:bottom w:val="single" w:sz="8" w:space="0" w:color="auto"/>
              <w:right w:val="single" w:sz="4" w:space="0" w:color="auto"/>
            </w:tcBorders>
            <w:shd w:val="clear" w:color="auto" w:fill="99FF33"/>
            <w:noWrap/>
            <w:vAlign w:val="center"/>
          </w:tcPr>
          <w:p w14:paraId="173C67C2" w14:textId="77777777" w:rsidR="00F00829" w:rsidRPr="00424274" w:rsidRDefault="00F00829" w:rsidP="00F00829">
            <w:pPr>
              <w:widowControl/>
              <w:jc w:val="left"/>
              <w:rPr>
                <w:rFonts w:ascii="Arial" w:hAnsi="Arial"/>
                <w:color w:val="000000"/>
                <w:sz w:val="20"/>
                <w:lang w:eastAsia="sl-SI"/>
              </w:rPr>
            </w:pPr>
            <w:r w:rsidRPr="00424274">
              <w:rPr>
                <w:rFonts w:ascii="Arial" w:hAnsi="Arial"/>
                <w:color w:val="000000"/>
                <w:sz w:val="20"/>
                <w:lang w:eastAsia="sl-SI"/>
              </w:rPr>
              <w:t>Ostali</w:t>
            </w:r>
          </w:p>
        </w:tc>
        <w:tc>
          <w:tcPr>
            <w:tcW w:w="796" w:type="dxa"/>
            <w:tcBorders>
              <w:top w:val="single" w:sz="4" w:space="0" w:color="auto"/>
              <w:left w:val="single" w:sz="4" w:space="0" w:color="auto"/>
              <w:bottom w:val="single" w:sz="4" w:space="0" w:color="auto"/>
              <w:right w:val="single" w:sz="4" w:space="0" w:color="auto"/>
            </w:tcBorders>
            <w:vAlign w:val="center"/>
          </w:tcPr>
          <w:p w14:paraId="03653839" w14:textId="77777777" w:rsidR="00F00829" w:rsidRPr="00424274" w:rsidRDefault="00F00829" w:rsidP="00F00829">
            <w:pPr>
              <w:jc w:val="right"/>
              <w:rPr>
                <w:rFonts w:ascii="Arial" w:hAnsi="Arial"/>
                <w:color w:val="000000"/>
                <w:sz w:val="20"/>
              </w:rPr>
            </w:pPr>
            <w:r w:rsidRPr="00424274">
              <w:rPr>
                <w:rFonts w:ascii="Arial" w:hAnsi="Arial"/>
                <w:color w:val="000000"/>
                <w:sz w:val="20"/>
              </w:rPr>
              <w:t>8</w:t>
            </w:r>
          </w:p>
        </w:tc>
        <w:tc>
          <w:tcPr>
            <w:tcW w:w="819" w:type="dxa"/>
            <w:tcBorders>
              <w:top w:val="single" w:sz="4" w:space="0" w:color="auto"/>
              <w:left w:val="nil"/>
              <w:bottom w:val="single" w:sz="4" w:space="0" w:color="auto"/>
              <w:right w:val="nil"/>
            </w:tcBorders>
            <w:shd w:val="clear" w:color="auto" w:fill="auto"/>
            <w:vAlign w:val="center"/>
          </w:tcPr>
          <w:p w14:paraId="5D2AA5C4" w14:textId="336AFEAA" w:rsidR="00F00829" w:rsidRPr="00424274" w:rsidRDefault="00F00829" w:rsidP="00F00829">
            <w:pPr>
              <w:jc w:val="right"/>
              <w:rPr>
                <w:rFonts w:ascii="Arial" w:hAnsi="Arial"/>
                <w:color w:val="000000"/>
                <w:sz w:val="20"/>
              </w:rPr>
            </w:pPr>
            <w:r w:rsidRPr="00424274">
              <w:rPr>
                <w:rFonts w:ascii="Arial" w:hAnsi="Arial"/>
                <w:color w:val="000000"/>
                <w:sz w:val="20"/>
              </w:rPr>
              <w:t>0,02</w:t>
            </w:r>
            <w:r w:rsidR="00DC1B8F">
              <w:rPr>
                <w:rFonts w:ascii="Arial" w:hAnsi="Arial"/>
                <w:color w:val="000000"/>
                <w:sz w:val="20"/>
              </w:rPr>
              <w:t> </w:t>
            </w:r>
            <w:r w:rsidRPr="00424274">
              <w:rPr>
                <w:rFonts w:ascii="Arial" w:hAnsi="Arial"/>
                <w:color w:val="000000"/>
                <w:sz w:val="20"/>
              </w:rPr>
              <w:t>%</w:t>
            </w:r>
          </w:p>
        </w:tc>
        <w:tc>
          <w:tcPr>
            <w:tcW w:w="796" w:type="dxa"/>
            <w:tcBorders>
              <w:top w:val="single" w:sz="4" w:space="0" w:color="auto"/>
              <w:left w:val="single" w:sz="4" w:space="0" w:color="auto"/>
              <w:bottom w:val="single" w:sz="4" w:space="0" w:color="auto"/>
              <w:right w:val="single" w:sz="4" w:space="0" w:color="auto"/>
            </w:tcBorders>
            <w:vAlign w:val="center"/>
          </w:tcPr>
          <w:p w14:paraId="48263FD9" w14:textId="77777777" w:rsidR="00F00829" w:rsidRPr="00424274" w:rsidRDefault="00F00829" w:rsidP="00F00829">
            <w:pPr>
              <w:jc w:val="right"/>
              <w:rPr>
                <w:rFonts w:ascii="Arial" w:hAnsi="Arial"/>
                <w:color w:val="000000"/>
                <w:sz w:val="20"/>
              </w:rPr>
            </w:pPr>
            <w:r w:rsidRPr="00424274">
              <w:rPr>
                <w:rFonts w:ascii="Arial" w:hAnsi="Arial"/>
                <w:color w:val="000000"/>
                <w:sz w:val="20"/>
              </w:rPr>
              <w:t>6</w:t>
            </w:r>
          </w:p>
        </w:tc>
        <w:tc>
          <w:tcPr>
            <w:tcW w:w="819" w:type="dxa"/>
            <w:tcBorders>
              <w:top w:val="single" w:sz="4" w:space="0" w:color="auto"/>
              <w:left w:val="nil"/>
              <w:bottom w:val="single" w:sz="4" w:space="0" w:color="auto"/>
              <w:right w:val="nil"/>
            </w:tcBorders>
            <w:shd w:val="clear" w:color="auto" w:fill="auto"/>
            <w:vAlign w:val="center"/>
          </w:tcPr>
          <w:p w14:paraId="7E6C3408" w14:textId="612F78B3" w:rsidR="00F00829" w:rsidRPr="00424274" w:rsidRDefault="00F00829" w:rsidP="00F00829">
            <w:pPr>
              <w:jc w:val="right"/>
              <w:rPr>
                <w:rFonts w:ascii="Arial" w:hAnsi="Arial"/>
                <w:color w:val="000000"/>
                <w:sz w:val="20"/>
              </w:rPr>
            </w:pPr>
            <w:r w:rsidRPr="00424274">
              <w:rPr>
                <w:rFonts w:ascii="Arial" w:hAnsi="Arial"/>
                <w:color w:val="000000"/>
                <w:sz w:val="20"/>
              </w:rPr>
              <w:t>0,01</w:t>
            </w:r>
            <w:r w:rsidR="00DC1B8F">
              <w:rPr>
                <w:rFonts w:ascii="Arial" w:hAnsi="Arial"/>
                <w:color w:val="000000"/>
                <w:sz w:val="20"/>
              </w:rPr>
              <w:t> </w:t>
            </w:r>
            <w:r w:rsidRPr="00424274">
              <w:rPr>
                <w:rFonts w:ascii="Arial" w:hAnsi="Arial"/>
                <w:color w:val="000000"/>
                <w:sz w:val="20"/>
              </w:rPr>
              <w:t>%</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50CB2" w14:textId="77777777" w:rsidR="00F00829" w:rsidRPr="00424274" w:rsidRDefault="00F00829" w:rsidP="00F00829">
            <w:pPr>
              <w:jc w:val="right"/>
              <w:rPr>
                <w:rFonts w:ascii="Arial" w:hAnsi="Arial"/>
                <w:color w:val="000000"/>
                <w:sz w:val="20"/>
              </w:rPr>
            </w:pPr>
            <w:r w:rsidRPr="00424274">
              <w:rPr>
                <w:rFonts w:ascii="Arial" w:hAnsi="Arial"/>
                <w:color w:val="000000"/>
                <w:sz w:val="20"/>
              </w:rPr>
              <w:t>2</w:t>
            </w:r>
          </w:p>
        </w:tc>
        <w:tc>
          <w:tcPr>
            <w:tcW w:w="1415" w:type="dxa"/>
            <w:tcBorders>
              <w:top w:val="single" w:sz="4" w:space="0" w:color="auto"/>
              <w:left w:val="nil"/>
              <w:bottom w:val="single" w:sz="4" w:space="0" w:color="auto"/>
              <w:right w:val="single" w:sz="4" w:space="0" w:color="auto"/>
            </w:tcBorders>
            <w:shd w:val="clear" w:color="auto" w:fill="auto"/>
            <w:noWrap/>
            <w:vAlign w:val="center"/>
          </w:tcPr>
          <w:p w14:paraId="7A94D0D1" w14:textId="776FE699" w:rsidR="00F00829" w:rsidRPr="00424274" w:rsidRDefault="00F00829" w:rsidP="00F00829">
            <w:pPr>
              <w:jc w:val="right"/>
              <w:rPr>
                <w:rFonts w:ascii="Arial" w:hAnsi="Arial"/>
                <w:color w:val="000000"/>
                <w:sz w:val="20"/>
              </w:rPr>
            </w:pPr>
            <w:r w:rsidRPr="00424274">
              <w:rPr>
                <w:rFonts w:ascii="Arial" w:hAnsi="Arial"/>
                <w:color w:val="000000"/>
                <w:sz w:val="20"/>
              </w:rPr>
              <w:t>0,01</w:t>
            </w:r>
            <w:r w:rsidR="00DC1B8F">
              <w:rPr>
                <w:rFonts w:ascii="Arial" w:hAnsi="Arial"/>
                <w:color w:val="000000"/>
                <w:sz w:val="20"/>
              </w:rPr>
              <w:t> </w:t>
            </w:r>
            <w:r w:rsidRPr="00424274">
              <w:rPr>
                <w:rFonts w:ascii="Arial" w:hAnsi="Arial"/>
                <w:color w:val="000000"/>
                <w:sz w:val="20"/>
              </w:rPr>
              <w:t>%</w:t>
            </w:r>
          </w:p>
        </w:tc>
      </w:tr>
      <w:tr w:rsidR="00F00829" w:rsidRPr="00424274" w14:paraId="4C175F50" w14:textId="77777777" w:rsidTr="00034CED">
        <w:trPr>
          <w:trHeight w:val="315"/>
        </w:trPr>
        <w:tc>
          <w:tcPr>
            <w:tcW w:w="3119" w:type="dxa"/>
            <w:tcBorders>
              <w:top w:val="nil"/>
              <w:left w:val="single" w:sz="8" w:space="0" w:color="auto"/>
              <w:bottom w:val="single" w:sz="4" w:space="0" w:color="auto"/>
              <w:right w:val="single" w:sz="4" w:space="0" w:color="auto"/>
            </w:tcBorders>
            <w:shd w:val="clear" w:color="auto" w:fill="33CCFF"/>
            <w:noWrap/>
            <w:vAlign w:val="center"/>
            <w:hideMark/>
          </w:tcPr>
          <w:p w14:paraId="5A49031C" w14:textId="77777777" w:rsidR="00F00829" w:rsidRPr="00424274" w:rsidRDefault="00F00829" w:rsidP="00F00829">
            <w:pPr>
              <w:widowControl/>
              <w:jc w:val="left"/>
              <w:rPr>
                <w:rFonts w:ascii="Arial" w:hAnsi="Arial"/>
                <w:b/>
                <w:bCs/>
                <w:color w:val="000000"/>
                <w:sz w:val="20"/>
                <w:lang w:eastAsia="sl-SI"/>
              </w:rPr>
            </w:pPr>
            <w:r w:rsidRPr="00424274">
              <w:rPr>
                <w:rFonts w:ascii="Arial" w:hAnsi="Arial"/>
                <w:b/>
                <w:bCs/>
                <w:color w:val="000000"/>
                <w:sz w:val="20"/>
                <w:lang w:eastAsia="sl-SI"/>
              </w:rPr>
              <w:t>Skupaj gotovinske transakcije</w:t>
            </w:r>
          </w:p>
        </w:tc>
        <w:tc>
          <w:tcPr>
            <w:tcW w:w="796" w:type="dxa"/>
            <w:tcBorders>
              <w:top w:val="single" w:sz="4" w:space="0" w:color="auto"/>
              <w:left w:val="single" w:sz="4" w:space="0" w:color="auto"/>
              <w:bottom w:val="single" w:sz="4" w:space="0" w:color="auto"/>
              <w:right w:val="single" w:sz="4" w:space="0" w:color="auto"/>
            </w:tcBorders>
            <w:shd w:val="clear" w:color="auto" w:fill="33CCFF"/>
            <w:vAlign w:val="center"/>
          </w:tcPr>
          <w:p w14:paraId="3E094002" w14:textId="77777777" w:rsidR="00F00829" w:rsidRPr="00424274" w:rsidRDefault="00F00829" w:rsidP="00F00829">
            <w:pPr>
              <w:jc w:val="right"/>
              <w:rPr>
                <w:rFonts w:ascii="Arial" w:hAnsi="Arial"/>
                <w:b/>
                <w:bCs/>
                <w:color w:val="000000"/>
                <w:sz w:val="20"/>
              </w:rPr>
            </w:pPr>
            <w:r w:rsidRPr="00424274">
              <w:rPr>
                <w:rFonts w:ascii="Arial" w:hAnsi="Arial"/>
                <w:b/>
                <w:bCs/>
                <w:color w:val="000000"/>
                <w:sz w:val="20"/>
              </w:rPr>
              <w:t>44.537</w:t>
            </w:r>
          </w:p>
        </w:tc>
        <w:tc>
          <w:tcPr>
            <w:tcW w:w="819" w:type="dxa"/>
            <w:tcBorders>
              <w:top w:val="single" w:sz="4" w:space="0" w:color="auto"/>
              <w:left w:val="single" w:sz="4" w:space="0" w:color="auto"/>
              <w:bottom w:val="single" w:sz="4" w:space="0" w:color="auto"/>
              <w:right w:val="single" w:sz="4" w:space="0" w:color="auto"/>
            </w:tcBorders>
            <w:shd w:val="clear" w:color="auto" w:fill="33CCFF"/>
            <w:vAlign w:val="center"/>
          </w:tcPr>
          <w:p w14:paraId="03E969B7" w14:textId="77777777" w:rsidR="00F00829" w:rsidRPr="00424274" w:rsidRDefault="00F00829" w:rsidP="00F00829">
            <w:pPr>
              <w:jc w:val="right"/>
              <w:rPr>
                <w:rFonts w:ascii="Arial" w:hAnsi="Arial"/>
                <w:color w:val="000000"/>
                <w:sz w:val="20"/>
              </w:rPr>
            </w:pPr>
          </w:p>
        </w:tc>
        <w:tc>
          <w:tcPr>
            <w:tcW w:w="796" w:type="dxa"/>
            <w:tcBorders>
              <w:top w:val="single" w:sz="4" w:space="0" w:color="auto"/>
              <w:left w:val="single" w:sz="4" w:space="0" w:color="auto"/>
              <w:bottom w:val="single" w:sz="4" w:space="0" w:color="auto"/>
              <w:right w:val="single" w:sz="4" w:space="0" w:color="auto"/>
            </w:tcBorders>
            <w:shd w:val="clear" w:color="auto" w:fill="33CCFF"/>
            <w:vAlign w:val="center"/>
          </w:tcPr>
          <w:p w14:paraId="2C8954EB" w14:textId="77777777" w:rsidR="00F00829" w:rsidRPr="00424274" w:rsidRDefault="00F00829" w:rsidP="00F00829">
            <w:pPr>
              <w:jc w:val="right"/>
              <w:rPr>
                <w:rFonts w:ascii="Arial" w:hAnsi="Arial"/>
                <w:color w:val="000000"/>
                <w:sz w:val="20"/>
              </w:rPr>
            </w:pPr>
            <w:r w:rsidRPr="00424274">
              <w:rPr>
                <w:rFonts w:ascii="Arial" w:hAnsi="Arial"/>
                <w:b/>
                <w:sz w:val="20"/>
                <w:lang w:eastAsia="sl-SI"/>
              </w:rPr>
              <w:t>42.879</w:t>
            </w:r>
          </w:p>
        </w:tc>
        <w:tc>
          <w:tcPr>
            <w:tcW w:w="819" w:type="dxa"/>
            <w:tcBorders>
              <w:top w:val="single" w:sz="4" w:space="0" w:color="auto"/>
              <w:left w:val="single" w:sz="4" w:space="0" w:color="auto"/>
              <w:bottom w:val="single" w:sz="4" w:space="0" w:color="auto"/>
              <w:right w:val="single" w:sz="4" w:space="0" w:color="auto"/>
            </w:tcBorders>
            <w:shd w:val="clear" w:color="auto" w:fill="33CCFF"/>
            <w:vAlign w:val="center"/>
          </w:tcPr>
          <w:p w14:paraId="2B8B8122" w14:textId="77777777" w:rsidR="00F00829" w:rsidRPr="00424274" w:rsidRDefault="00F00829" w:rsidP="00F00829">
            <w:pPr>
              <w:jc w:val="right"/>
              <w:rPr>
                <w:rFonts w:ascii="Arial" w:hAnsi="Arial"/>
                <w:color w:val="000000"/>
                <w:sz w:val="20"/>
              </w:rPr>
            </w:pPr>
          </w:p>
        </w:tc>
        <w:tc>
          <w:tcPr>
            <w:tcW w:w="814" w:type="dxa"/>
            <w:tcBorders>
              <w:top w:val="single" w:sz="4" w:space="0" w:color="auto"/>
              <w:left w:val="single" w:sz="4" w:space="0" w:color="auto"/>
              <w:bottom w:val="single" w:sz="4" w:space="0" w:color="auto"/>
              <w:right w:val="single" w:sz="4" w:space="0" w:color="auto"/>
            </w:tcBorders>
            <w:shd w:val="clear" w:color="auto" w:fill="33CCFF"/>
            <w:noWrap/>
            <w:vAlign w:val="center"/>
          </w:tcPr>
          <w:p w14:paraId="21E5ACF3" w14:textId="77777777" w:rsidR="00F00829" w:rsidRPr="00424274" w:rsidRDefault="00F00829" w:rsidP="00F00829">
            <w:pPr>
              <w:jc w:val="right"/>
              <w:rPr>
                <w:rFonts w:ascii="Arial" w:hAnsi="Arial"/>
                <w:b/>
                <w:bCs/>
                <w:color w:val="000000"/>
                <w:sz w:val="20"/>
              </w:rPr>
            </w:pPr>
            <w:r w:rsidRPr="00424274">
              <w:rPr>
                <w:rFonts w:ascii="Arial" w:hAnsi="Arial"/>
                <w:b/>
                <w:bCs/>
                <w:color w:val="000000"/>
                <w:sz w:val="20"/>
              </w:rPr>
              <w:t>36.195</w:t>
            </w:r>
          </w:p>
        </w:tc>
        <w:tc>
          <w:tcPr>
            <w:tcW w:w="1415" w:type="dxa"/>
            <w:tcBorders>
              <w:top w:val="single" w:sz="4" w:space="0" w:color="auto"/>
              <w:left w:val="single" w:sz="4" w:space="0" w:color="auto"/>
              <w:bottom w:val="single" w:sz="4" w:space="0" w:color="auto"/>
              <w:right w:val="single" w:sz="4" w:space="0" w:color="auto"/>
            </w:tcBorders>
            <w:shd w:val="clear" w:color="auto" w:fill="33CCFF"/>
            <w:noWrap/>
            <w:vAlign w:val="center"/>
          </w:tcPr>
          <w:p w14:paraId="0328B794" w14:textId="77777777" w:rsidR="00F00829" w:rsidRPr="00424274" w:rsidRDefault="00F00829" w:rsidP="00F00829">
            <w:pPr>
              <w:jc w:val="right"/>
              <w:rPr>
                <w:rFonts w:ascii="Arial" w:hAnsi="Arial"/>
                <w:color w:val="000000"/>
                <w:sz w:val="20"/>
              </w:rPr>
            </w:pPr>
          </w:p>
        </w:tc>
      </w:tr>
      <w:tr w:rsidR="00F00829" w:rsidRPr="00424274" w14:paraId="73C2C7D0" w14:textId="77777777" w:rsidTr="00034CED">
        <w:trPr>
          <w:trHeight w:val="315"/>
        </w:trPr>
        <w:tc>
          <w:tcPr>
            <w:tcW w:w="3119" w:type="dxa"/>
            <w:tcBorders>
              <w:top w:val="single" w:sz="4" w:space="0" w:color="auto"/>
              <w:left w:val="single" w:sz="4" w:space="0" w:color="auto"/>
              <w:bottom w:val="single" w:sz="4" w:space="0" w:color="auto"/>
              <w:right w:val="single" w:sz="4" w:space="0" w:color="auto"/>
            </w:tcBorders>
            <w:shd w:val="clear" w:color="auto" w:fill="33CCFF"/>
            <w:noWrap/>
            <w:vAlign w:val="center"/>
          </w:tcPr>
          <w:p w14:paraId="37B062E5" w14:textId="77777777" w:rsidR="00F00829" w:rsidRPr="00424274" w:rsidRDefault="00F00829" w:rsidP="00F00829">
            <w:pPr>
              <w:widowControl/>
              <w:jc w:val="left"/>
              <w:rPr>
                <w:rFonts w:ascii="Arial" w:hAnsi="Arial"/>
                <w:b/>
                <w:bCs/>
                <w:color w:val="000000"/>
                <w:sz w:val="20"/>
                <w:lang w:eastAsia="sl-SI"/>
              </w:rPr>
            </w:pPr>
            <w:r w:rsidRPr="00424274">
              <w:rPr>
                <w:rFonts w:ascii="Arial" w:hAnsi="Arial"/>
                <w:b/>
                <w:bCs/>
                <w:color w:val="000000"/>
                <w:sz w:val="20"/>
                <w:lang w:eastAsia="sl-SI"/>
              </w:rPr>
              <w:t>Skupni znesek</w:t>
            </w:r>
          </w:p>
        </w:tc>
        <w:tc>
          <w:tcPr>
            <w:tcW w:w="1615" w:type="dxa"/>
            <w:gridSpan w:val="2"/>
            <w:tcBorders>
              <w:top w:val="single" w:sz="4" w:space="0" w:color="auto"/>
              <w:left w:val="single" w:sz="4" w:space="0" w:color="auto"/>
              <w:bottom w:val="single" w:sz="4" w:space="0" w:color="auto"/>
              <w:right w:val="single" w:sz="4" w:space="0" w:color="auto"/>
            </w:tcBorders>
            <w:shd w:val="clear" w:color="auto" w:fill="33CCFF"/>
            <w:vAlign w:val="center"/>
          </w:tcPr>
          <w:p w14:paraId="04CECC14" w14:textId="77777777" w:rsidR="00F00829" w:rsidRPr="00424274" w:rsidRDefault="00F00829" w:rsidP="00F00829">
            <w:pPr>
              <w:jc w:val="right"/>
              <w:rPr>
                <w:rFonts w:ascii="Arial" w:hAnsi="Arial"/>
                <w:b/>
                <w:bCs/>
                <w:color w:val="000000"/>
                <w:sz w:val="20"/>
              </w:rPr>
            </w:pPr>
            <w:r w:rsidRPr="00424274">
              <w:rPr>
                <w:rFonts w:ascii="Arial" w:hAnsi="Arial"/>
                <w:b/>
                <w:sz w:val="20"/>
                <w:lang w:eastAsia="sl-SI"/>
              </w:rPr>
              <w:t>1.528.639.650</w:t>
            </w:r>
          </w:p>
        </w:tc>
        <w:tc>
          <w:tcPr>
            <w:tcW w:w="1615" w:type="dxa"/>
            <w:gridSpan w:val="2"/>
            <w:tcBorders>
              <w:top w:val="single" w:sz="4" w:space="0" w:color="auto"/>
              <w:left w:val="single" w:sz="4" w:space="0" w:color="auto"/>
              <w:bottom w:val="single" w:sz="4" w:space="0" w:color="auto"/>
              <w:right w:val="single" w:sz="4" w:space="0" w:color="auto"/>
            </w:tcBorders>
            <w:shd w:val="clear" w:color="auto" w:fill="33CCFF"/>
            <w:vAlign w:val="center"/>
          </w:tcPr>
          <w:p w14:paraId="0C77C96D" w14:textId="77777777" w:rsidR="00F00829" w:rsidRPr="00424274" w:rsidRDefault="00F00829" w:rsidP="00F00829">
            <w:pPr>
              <w:jc w:val="right"/>
              <w:rPr>
                <w:rFonts w:ascii="Arial" w:hAnsi="Arial"/>
                <w:b/>
                <w:bCs/>
                <w:color w:val="000000"/>
                <w:sz w:val="20"/>
              </w:rPr>
            </w:pPr>
            <w:r w:rsidRPr="00424274">
              <w:rPr>
                <w:rFonts w:ascii="Arial" w:hAnsi="Arial"/>
                <w:b/>
                <w:sz w:val="20"/>
              </w:rPr>
              <w:t>1.533.261.465</w:t>
            </w:r>
          </w:p>
        </w:tc>
        <w:tc>
          <w:tcPr>
            <w:tcW w:w="2229" w:type="dxa"/>
            <w:gridSpan w:val="2"/>
            <w:tcBorders>
              <w:top w:val="single" w:sz="4" w:space="0" w:color="auto"/>
              <w:left w:val="single" w:sz="4" w:space="0" w:color="auto"/>
              <w:bottom w:val="single" w:sz="4" w:space="0" w:color="auto"/>
              <w:right w:val="single" w:sz="4" w:space="0" w:color="auto"/>
            </w:tcBorders>
            <w:shd w:val="clear" w:color="auto" w:fill="33CCFF"/>
            <w:vAlign w:val="center"/>
          </w:tcPr>
          <w:p w14:paraId="6A7709E0" w14:textId="77777777" w:rsidR="00F00829" w:rsidRPr="00424274" w:rsidRDefault="00F00829" w:rsidP="00F00829">
            <w:pPr>
              <w:jc w:val="right"/>
              <w:rPr>
                <w:rFonts w:ascii="Arial" w:hAnsi="Arial"/>
                <w:b/>
                <w:sz w:val="20"/>
              </w:rPr>
            </w:pPr>
            <w:r w:rsidRPr="00424274">
              <w:rPr>
                <w:rFonts w:ascii="Arial" w:hAnsi="Arial"/>
                <w:b/>
                <w:sz w:val="20"/>
              </w:rPr>
              <w:t>1.280.791.830</w:t>
            </w:r>
          </w:p>
        </w:tc>
      </w:tr>
      <w:tr w:rsidR="00F00829" w:rsidRPr="00424274" w14:paraId="57841FA7" w14:textId="77777777" w:rsidTr="00034CED">
        <w:trPr>
          <w:trHeight w:val="315"/>
        </w:trPr>
        <w:tc>
          <w:tcPr>
            <w:tcW w:w="3119" w:type="dxa"/>
            <w:tcBorders>
              <w:top w:val="single" w:sz="4" w:space="0" w:color="auto"/>
              <w:left w:val="single" w:sz="4" w:space="0" w:color="auto"/>
              <w:bottom w:val="single" w:sz="4" w:space="0" w:color="auto"/>
              <w:right w:val="single" w:sz="4" w:space="0" w:color="auto"/>
            </w:tcBorders>
            <w:shd w:val="clear" w:color="auto" w:fill="33CCFF"/>
            <w:noWrap/>
            <w:vAlign w:val="center"/>
          </w:tcPr>
          <w:p w14:paraId="127876EB" w14:textId="77777777" w:rsidR="00F00829" w:rsidRPr="00424274" w:rsidRDefault="00F00829" w:rsidP="00F00829">
            <w:pPr>
              <w:widowControl/>
              <w:jc w:val="left"/>
              <w:rPr>
                <w:rFonts w:ascii="Arial" w:hAnsi="Arial"/>
                <w:b/>
                <w:bCs/>
                <w:color w:val="000000"/>
                <w:sz w:val="20"/>
                <w:lang w:eastAsia="sl-SI"/>
              </w:rPr>
            </w:pPr>
            <w:r w:rsidRPr="00424274">
              <w:rPr>
                <w:rFonts w:ascii="Arial" w:hAnsi="Arial"/>
                <w:b/>
                <w:bCs/>
                <w:color w:val="000000"/>
                <w:sz w:val="20"/>
                <w:lang w:eastAsia="sl-SI"/>
              </w:rPr>
              <w:t>Znesek/obrazec</w:t>
            </w:r>
          </w:p>
        </w:tc>
        <w:tc>
          <w:tcPr>
            <w:tcW w:w="1615" w:type="dxa"/>
            <w:gridSpan w:val="2"/>
            <w:tcBorders>
              <w:top w:val="single" w:sz="4" w:space="0" w:color="auto"/>
              <w:left w:val="single" w:sz="4" w:space="0" w:color="auto"/>
              <w:bottom w:val="single" w:sz="4" w:space="0" w:color="auto"/>
              <w:right w:val="single" w:sz="4" w:space="0" w:color="auto"/>
            </w:tcBorders>
            <w:shd w:val="clear" w:color="auto" w:fill="33CCFF"/>
            <w:vAlign w:val="center"/>
          </w:tcPr>
          <w:p w14:paraId="3276CEB1" w14:textId="77777777" w:rsidR="00F00829" w:rsidRPr="00424274" w:rsidRDefault="00F00829" w:rsidP="00F00829">
            <w:pPr>
              <w:widowControl/>
              <w:jc w:val="right"/>
              <w:rPr>
                <w:rFonts w:ascii="Arial" w:hAnsi="Arial"/>
                <w:b/>
                <w:bCs/>
                <w:color w:val="000000"/>
                <w:sz w:val="20"/>
              </w:rPr>
            </w:pPr>
            <w:r w:rsidRPr="00424274">
              <w:rPr>
                <w:rFonts w:ascii="Arial" w:hAnsi="Arial"/>
                <w:b/>
                <w:color w:val="000000"/>
                <w:sz w:val="20"/>
              </w:rPr>
              <w:t>34.323</w:t>
            </w:r>
          </w:p>
        </w:tc>
        <w:tc>
          <w:tcPr>
            <w:tcW w:w="1615" w:type="dxa"/>
            <w:gridSpan w:val="2"/>
            <w:tcBorders>
              <w:top w:val="single" w:sz="4" w:space="0" w:color="auto"/>
              <w:left w:val="single" w:sz="4" w:space="0" w:color="auto"/>
              <w:bottom w:val="single" w:sz="4" w:space="0" w:color="auto"/>
              <w:right w:val="single" w:sz="4" w:space="0" w:color="auto"/>
            </w:tcBorders>
            <w:shd w:val="clear" w:color="auto" w:fill="33CCFF"/>
            <w:vAlign w:val="center"/>
          </w:tcPr>
          <w:p w14:paraId="12E4346B" w14:textId="77777777" w:rsidR="00F00829" w:rsidRPr="00424274" w:rsidRDefault="00F00829" w:rsidP="00F00829">
            <w:pPr>
              <w:widowControl/>
              <w:jc w:val="right"/>
              <w:rPr>
                <w:rFonts w:ascii="Arial" w:hAnsi="Arial"/>
                <w:b/>
                <w:bCs/>
                <w:color w:val="000000"/>
                <w:sz w:val="20"/>
              </w:rPr>
            </w:pPr>
            <w:r w:rsidRPr="00424274">
              <w:rPr>
                <w:rFonts w:ascii="Arial" w:hAnsi="Arial"/>
                <w:b/>
                <w:color w:val="000000"/>
                <w:sz w:val="20"/>
              </w:rPr>
              <w:t>35.773</w:t>
            </w:r>
          </w:p>
        </w:tc>
        <w:tc>
          <w:tcPr>
            <w:tcW w:w="2229" w:type="dxa"/>
            <w:gridSpan w:val="2"/>
            <w:tcBorders>
              <w:top w:val="single" w:sz="4" w:space="0" w:color="auto"/>
              <w:left w:val="single" w:sz="4" w:space="0" w:color="auto"/>
              <w:bottom w:val="single" w:sz="4" w:space="0" w:color="auto"/>
              <w:right w:val="single" w:sz="4" w:space="0" w:color="auto"/>
            </w:tcBorders>
            <w:shd w:val="clear" w:color="auto" w:fill="33CCFF"/>
            <w:vAlign w:val="center"/>
          </w:tcPr>
          <w:p w14:paraId="57BBB7B9" w14:textId="77777777" w:rsidR="00F00829" w:rsidRPr="00424274" w:rsidRDefault="00F00829" w:rsidP="00F00829">
            <w:pPr>
              <w:widowControl/>
              <w:jc w:val="right"/>
              <w:rPr>
                <w:rFonts w:ascii="Arial" w:hAnsi="Arial"/>
                <w:b/>
                <w:bCs/>
                <w:color w:val="000000"/>
                <w:sz w:val="20"/>
              </w:rPr>
            </w:pPr>
            <w:r w:rsidRPr="00424274">
              <w:rPr>
                <w:rFonts w:ascii="Arial" w:hAnsi="Arial"/>
                <w:b/>
                <w:color w:val="000000"/>
                <w:sz w:val="20"/>
              </w:rPr>
              <w:t>35.386</w:t>
            </w:r>
          </w:p>
        </w:tc>
      </w:tr>
    </w:tbl>
    <w:p w14:paraId="633204C9" w14:textId="77777777" w:rsidR="00F00829" w:rsidRPr="00424274" w:rsidRDefault="00F00829" w:rsidP="000441D3">
      <w:pPr>
        <w:tabs>
          <w:tab w:val="left" w:pos="-1049"/>
          <w:tab w:val="left" w:pos="-689"/>
          <w:tab w:val="left" w:pos="0"/>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ind w:left="993" w:hanging="993"/>
        <w:rPr>
          <w:rFonts w:ascii="Arial" w:hAnsi="Arial"/>
          <w:b/>
          <w:i/>
          <w:sz w:val="20"/>
        </w:rPr>
      </w:pPr>
    </w:p>
    <w:p w14:paraId="2A60A5B1" w14:textId="77777777" w:rsidR="00635403" w:rsidRPr="00424274" w:rsidRDefault="00635403" w:rsidP="009C6E4A">
      <w:pPr>
        <w:tabs>
          <w:tab w:val="left" w:pos="-1049"/>
          <w:tab w:val="left" w:pos="-689"/>
          <w:tab w:val="left" w:pos="0"/>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rFonts w:ascii="Arial" w:hAnsi="Arial"/>
          <w:b/>
          <w:sz w:val="20"/>
        </w:rPr>
      </w:pPr>
    </w:p>
    <w:p w14:paraId="00BF114C" w14:textId="4D83F6D1" w:rsidR="00A23AEB" w:rsidRPr="00424274" w:rsidRDefault="00A23AEB" w:rsidP="00A23AEB">
      <w:pPr>
        <w:spacing w:line="276" w:lineRule="auto"/>
        <w:rPr>
          <w:rFonts w:ascii="Arial" w:hAnsi="Arial"/>
          <w:sz w:val="20"/>
        </w:rPr>
      </w:pPr>
      <w:r w:rsidRPr="00424274">
        <w:rPr>
          <w:rFonts w:ascii="Arial" w:hAnsi="Arial"/>
          <w:sz w:val="20"/>
        </w:rPr>
        <w:t xml:space="preserve">Iz triletne primerjave izhaja, da največ gotovinskih transakcij, tako kot že vsa leta poprej, </w:t>
      </w:r>
      <w:r w:rsidR="00DC1B8F">
        <w:rPr>
          <w:rFonts w:ascii="Arial" w:hAnsi="Arial"/>
          <w:sz w:val="20"/>
        </w:rPr>
        <w:t>u</w:t>
      </w:r>
      <w:r w:rsidRPr="00424274">
        <w:rPr>
          <w:rFonts w:ascii="Arial" w:hAnsi="Arial"/>
          <w:sz w:val="20"/>
        </w:rPr>
        <w:t xml:space="preserve">radu sporočijo zavezanci iz bančnega sektorja, sledi sektor hranilnic ter igralnic, medtem ko </w:t>
      </w:r>
      <w:r w:rsidR="00361F5F">
        <w:rPr>
          <w:rFonts w:ascii="Arial" w:hAnsi="Arial"/>
          <w:sz w:val="20"/>
        </w:rPr>
        <w:t>drugi</w:t>
      </w:r>
      <w:r w:rsidR="00361F5F" w:rsidRPr="00424274">
        <w:rPr>
          <w:rFonts w:ascii="Arial" w:hAnsi="Arial"/>
          <w:sz w:val="20"/>
        </w:rPr>
        <w:t xml:space="preserve"> </w:t>
      </w:r>
      <w:r w:rsidRPr="00424274">
        <w:rPr>
          <w:rFonts w:ascii="Arial" w:hAnsi="Arial"/>
          <w:sz w:val="20"/>
        </w:rPr>
        <w:t xml:space="preserve">zavezanci iz ZPPDFT-1 (menjalnice, odvetniki, notarji …) </w:t>
      </w:r>
      <w:r w:rsidR="00361F5F">
        <w:rPr>
          <w:rFonts w:ascii="Arial" w:hAnsi="Arial"/>
          <w:sz w:val="20"/>
        </w:rPr>
        <w:t>sporočijo</w:t>
      </w:r>
      <w:r w:rsidR="00361F5F" w:rsidRPr="00424274">
        <w:rPr>
          <w:rFonts w:ascii="Arial" w:hAnsi="Arial"/>
          <w:sz w:val="20"/>
        </w:rPr>
        <w:t xml:space="preserve"> </w:t>
      </w:r>
      <w:r w:rsidRPr="00424274">
        <w:rPr>
          <w:rFonts w:ascii="Arial" w:hAnsi="Arial"/>
          <w:sz w:val="20"/>
        </w:rPr>
        <w:t xml:space="preserve">manj kot 20 gotovinskih transakcij letno. Glavna ugotovitev medletne primerjave je, da </w:t>
      </w:r>
      <w:r w:rsidR="00201DC2">
        <w:rPr>
          <w:rFonts w:ascii="Arial" w:hAnsi="Arial"/>
          <w:sz w:val="20"/>
        </w:rPr>
        <w:t xml:space="preserve">sta </w:t>
      </w:r>
      <w:r w:rsidRPr="00424274">
        <w:rPr>
          <w:rFonts w:ascii="Arial" w:hAnsi="Arial"/>
          <w:sz w:val="20"/>
        </w:rPr>
        <w:t>se v letu 2020 močno zmanjšal</w:t>
      </w:r>
      <w:r w:rsidR="00201DC2">
        <w:rPr>
          <w:rFonts w:ascii="Arial" w:hAnsi="Arial"/>
          <w:sz w:val="20"/>
        </w:rPr>
        <w:t>a</w:t>
      </w:r>
      <w:r w:rsidRPr="00424274">
        <w:rPr>
          <w:rFonts w:ascii="Arial" w:hAnsi="Arial"/>
          <w:sz w:val="20"/>
        </w:rPr>
        <w:t xml:space="preserve"> tako število sporočenih obrazcev kot tudi skupna vsota transakcij, pri čemer se povprečni znesek na sporočeno prijavo </w:t>
      </w:r>
      <w:r w:rsidRPr="00424274">
        <w:rPr>
          <w:rFonts w:ascii="Arial" w:hAnsi="Arial"/>
          <w:sz w:val="20"/>
        </w:rPr>
        <w:lastRenderedPageBreak/>
        <w:t xml:space="preserve">gotovinske transakcije ni bistveno spremenil. </w:t>
      </w:r>
    </w:p>
    <w:p w14:paraId="3D074210" w14:textId="77777777" w:rsidR="00A23AEB" w:rsidRPr="00424274" w:rsidRDefault="00A23AEB" w:rsidP="00A23AEB">
      <w:pPr>
        <w:spacing w:line="276" w:lineRule="auto"/>
        <w:rPr>
          <w:rFonts w:ascii="Arial" w:hAnsi="Arial"/>
          <w:b/>
          <w:bCs/>
          <w:iCs/>
          <w:sz w:val="20"/>
          <w:highlight w:val="yellow"/>
        </w:rPr>
      </w:pPr>
    </w:p>
    <w:p w14:paraId="5A7E3528" w14:textId="5BB8170A" w:rsidR="00A23AEB" w:rsidRPr="00424274" w:rsidRDefault="00A23AEB" w:rsidP="00A23AEB">
      <w:pPr>
        <w:spacing w:line="276" w:lineRule="auto"/>
        <w:rPr>
          <w:rFonts w:ascii="Arial" w:hAnsi="Arial"/>
          <w:bCs/>
          <w:sz w:val="20"/>
        </w:rPr>
      </w:pPr>
      <w:r w:rsidRPr="00424274">
        <w:rPr>
          <w:rFonts w:ascii="Arial" w:hAnsi="Arial"/>
          <w:sz w:val="20"/>
        </w:rPr>
        <w:t xml:space="preserve">V prejšnjih poročilih smo zaradi sprememb v zakonodaji primerjali samo </w:t>
      </w:r>
      <w:r w:rsidRPr="00424274">
        <w:rPr>
          <w:rFonts w:ascii="Arial" w:hAnsi="Arial"/>
          <w:bCs/>
          <w:sz w:val="20"/>
        </w:rPr>
        <w:t xml:space="preserve">gotovinske transakcije nad zneskom 30.000 EUR, pri čemer smo ugotavljali strm padec tako sporočenih transakcij kot </w:t>
      </w:r>
      <w:r w:rsidR="00DC1B8F">
        <w:rPr>
          <w:rFonts w:ascii="Arial" w:hAnsi="Arial"/>
          <w:bCs/>
          <w:sz w:val="20"/>
        </w:rPr>
        <w:t xml:space="preserve">tudi </w:t>
      </w:r>
      <w:r w:rsidRPr="00424274">
        <w:rPr>
          <w:rFonts w:ascii="Arial" w:hAnsi="Arial"/>
          <w:bCs/>
          <w:sz w:val="20"/>
        </w:rPr>
        <w:t>njihovo skupno vsoto. Ugotavljamo, da je enak trend zaznati tudi pri primerjavi gotovinskih transakcij nad 15.000</w:t>
      </w:r>
      <w:r w:rsidR="00DC1B8F">
        <w:rPr>
          <w:rFonts w:ascii="Arial" w:hAnsi="Arial"/>
          <w:bCs/>
          <w:sz w:val="20"/>
        </w:rPr>
        <w:t> </w:t>
      </w:r>
      <w:r w:rsidRPr="00424274">
        <w:rPr>
          <w:rFonts w:ascii="Arial" w:hAnsi="Arial"/>
          <w:bCs/>
          <w:sz w:val="20"/>
        </w:rPr>
        <w:t>EUR.</w:t>
      </w:r>
    </w:p>
    <w:p w14:paraId="11EAE2B9" w14:textId="77777777" w:rsidR="006101A1" w:rsidRPr="00424274" w:rsidRDefault="006101A1" w:rsidP="00D21F86">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rFonts w:ascii="Arial" w:hAnsi="Arial"/>
          <w:sz w:val="20"/>
        </w:rPr>
      </w:pPr>
    </w:p>
    <w:p w14:paraId="7B088D46" w14:textId="794DC753" w:rsidR="00851C49" w:rsidRPr="00424274" w:rsidRDefault="00851C49">
      <w:pPr>
        <w:pStyle w:val="Naslov2"/>
      </w:pPr>
      <w:bookmarkStart w:id="30" w:name="_Toc113535449"/>
      <w:r w:rsidRPr="00424274">
        <w:t xml:space="preserve">NAKAZILA V VREDNOSTI NAD </w:t>
      </w:r>
      <w:r w:rsidR="0004315C" w:rsidRPr="00424274">
        <w:t>15</w:t>
      </w:r>
      <w:r w:rsidRPr="00424274">
        <w:t>.000 EUR</w:t>
      </w:r>
      <w:r w:rsidR="00DC1B8F">
        <w:t>,</w:t>
      </w:r>
      <w:r w:rsidRPr="00424274">
        <w:t xml:space="preserve"> </w:t>
      </w:r>
      <w:r w:rsidR="004238B0" w:rsidRPr="00424274">
        <w:t xml:space="preserve">POVEZANA </w:t>
      </w:r>
      <w:r w:rsidR="002C5326" w:rsidRPr="00424274">
        <w:t xml:space="preserve">S TVEGANIMI </w:t>
      </w:r>
      <w:r w:rsidRPr="00424274">
        <w:t>DRŽAV</w:t>
      </w:r>
      <w:r w:rsidR="004238B0" w:rsidRPr="00424274">
        <w:t>AMI</w:t>
      </w:r>
      <w:bookmarkEnd w:id="30"/>
    </w:p>
    <w:p w14:paraId="1220ADDE" w14:textId="77777777" w:rsidR="00851C49" w:rsidRPr="00424274" w:rsidRDefault="00851C49" w:rsidP="00D21F86">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rFonts w:ascii="Arial" w:hAnsi="Arial"/>
          <w:b/>
          <w:bCs/>
          <w:iCs/>
          <w:sz w:val="20"/>
        </w:rPr>
      </w:pPr>
    </w:p>
    <w:p w14:paraId="010C5393" w14:textId="77777777" w:rsidR="00C90F3B" w:rsidRPr="00424274" w:rsidRDefault="00C90F3B" w:rsidP="00C90F3B">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rFonts w:ascii="Arial" w:hAnsi="Arial"/>
          <w:sz w:val="20"/>
        </w:rPr>
      </w:pPr>
      <w:r w:rsidRPr="00424274">
        <w:rPr>
          <w:rFonts w:ascii="Arial" w:hAnsi="Arial"/>
          <w:sz w:val="20"/>
        </w:rPr>
        <w:t>V skladu z 68. členom ZPPDFT-1 morajo zavezanci od 19. 11. 2016 najpozneje v treh delovnih dneh uradu sporočiti podatke o vsakem nakazilu nad 15.000 EUR, ki je bilo na zahtevo stranke izvršeno:</w:t>
      </w:r>
    </w:p>
    <w:p w14:paraId="50EEDAD6" w14:textId="37E4AEB1" w:rsidR="00C90F3B" w:rsidRPr="00424274" w:rsidRDefault="00C90F3B" w:rsidP="00C90F3B">
      <w:pPr>
        <w:widowControl/>
        <w:numPr>
          <w:ilvl w:val="0"/>
          <w:numId w:val="18"/>
        </w:num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contextualSpacing/>
        <w:rPr>
          <w:rFonts w:ascii="Arial" w:hAnsi="Arial" w:cs="Times New Roman"/>
          <w:sz w:val="20"/>
          <w:szCs w:val="24"/>
        </w:rPr>
      </w:pPr>
      <w:r w:rsidRPr="00424274">
        <w:rPr>
          <w:rFonts w:ascii="Arial" w:hAnsi="Arial" w:cs="Times New Roman"/>
          <w:sz w:val="20"/>
          <w:szCs w:val="24"/>
        </w:rPr>
        <w:t>na račune fizičnih in pravnih oseb s stalnim ali začasnim prebivališčem ali sedežem v državah, v zvezi s katerimi obstaja visoko ali povečano tveganje za pojav pranja denarja ali financiranja terorizma</w:t>
      </w:r>
      <w:r w:rsidR="00DC1B8F">
        <w:rPr>
          <w:rFonts w:ascii="Arial" w:hAnsi="Arial" w:cs="Times New Roman"/>
          <w:sz w:val="20"/>
          <w:szCs w:val="24"/>
        </w:rPr>
        <w:t>,</w:t>
      </w:r>
      <w:r w:rsidRPr="00424274">
        <w:rPr>
          <w:rFonts w:ascii="Arial" w:hAnsi="Arial" w:cs="Times New Roman"/>
          <w:sz w:val="20"/>
          <w:szCs w:val="24"/>
        </w:rPr>
        <w:t xml:space="preserve"> ali</w:t>
      </w:r>
    </w:p>
    <w:p w14:paraId="764E1291" w14:textId="77777777" w:rsidR="00C90F3B" w:rsidRPr="00424274" w:rsidRDefault="00C90F3B" w:rsidP="00C90F3B">
      <w:pPr>
        <w:widowControl/>
        <w:numPr>
          <w:ilvl w:val="0"/>
          <w:numId w:val="18"/>
        </w:num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contextualSpacing/>
        <w:jc w:val="left"/>
        <w:rPr>
          <w:rFonts w:ascii="Arial" w:hAnsi="Arial" w:cs="Times New Roman"/>
          <w:sz w:val="20"/>
          <w:szCs w:val="24"/>
        </w:rPr>
      </w:pPr>
      <w:r w:rsidRPr="00424274">
        <w:rPr>
          <w:rFonts w:ascii="Arial" w:hAnsi="Arial" w:cs="Times New Roman"/>
          <w:sz w:val="20"/>
          <w:szCs w:val="24"/>
        </w:rPr>
        <w:t>na račune v države iz prejšnje alineje.</w:t>
      </w:r>
    </w:p>
    <w:p w14:paraId="2C2B2D47" w14:textId="77777777" w:rsidR="00C90F3B" w:rsidRPr="00424274" w:rsidRDefault="00C90F3B" w:rsidP="00C90F3B">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rFonts w:ascii="Arial" w:hAnsi="Arial"/>
          <w:sz w:val="20"/>
        </w:rPr>
      </w:pPr>
    </w:p>
    <w:p w14:paraId="0F74C627" w14:textId="60328720" w:rsidR="00C90F3B" w:rsidRPr="00424274" w:rsidRDefault="00C90F3B" w:rsidP="00C90F3B">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rFonts w:ascii="Arial" w:hAnsi="Arial"/>
          <w:sz w:val="20"/>
        </w:rPr>
      </w:pPr>
      <w:r w:rsidRPr="00424274">
        <w:rPr>
          <w:rFonts w:ascii="Arial" w:hAnsi="Arial"/>
          <w:sz w:val="20"/>
        </w:rPr>
        <w:t xml:space="preserve">V nadaljevanju </w:t>
      </w:r>
      <w:r w:rsidR="00E544D8">
        <w:rPr>
          <w:rFonts w:ascii="Arial" w:hAnsi="Arial"/>
          <w:sz w:val="20"/>
        </w:rPr>
        <w:t>poročila</w:t>
      </w:r>
      <w:r w:rsidR="00201DC2">
        <w:rPr>
          <w:rFonts w:ascii="Arial" w:hAnsi="Arial"/>
          <w:sz w:val="20"/>
        </w:rPr>
        <w:t xml:space="preserve"> </w:t>
      </w:r>
      <w:r w:rsidRPr="00424274">
        <w:rPr>
          <w:rFonts w:ascii="Arial" w:hAnsi="Arial"/>
          <w:sz w:val="20"/>
        </w:rPr>
        <w:t>te transakcije poimenujemo nakazila</w:t>
      </w:r>
      <w:r w:rsidR="00DC1B8F">
        <w:rPr>
          <w:rFonts w:ascii="Arial" w:hAnsi="Arial"/>
          <w:sz w:val="20"/>
        </w:rPr>
        <w:t>,</w:t>
      </w:r>
      <w:r w:rsidRPr="00424274">
        <w:rPr>
          <w:rFonts w:ascii="Arial" w:hAnsi="Arial"/>
          <w:sz w:val="20"/>
        </w:rPr>
        <w:t xml:space="preserve"> povezana s tveganimi državami. Seznam držav, v zvezi s katerimi obstaja visoko ali povečano tveganje za pojav pranja denarja ali financiranja terorizma, se je v letu 2020 spremenil trikrat in je skupno zajemal med 73 in 77 držav. Urad sezname tveganih držav javno objavlja na spletnih straneh.</w:t>
      </w:r>
    </w:p>
    <w:p w14:paraId="0DE272FA" w14:textId="77777777" w:rsidR="00C90F3B" w:rsidRPr="00424274" w:rsidRDefault="00C90F3B" w:rsidP="00C90F3B">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rFonts w:ascii="Arial" w:hAnsi="Arial"/>
          <w:sz w:val="20"/>
          <w:highlight w:val="yellow"/>
        </w:rPr>
      </w:pPr>
    </w:p>
    <w:p w14:paraId="4361AC20" w14:textId="36DEA2C1" w:rsidR="00C90F3B" w:rsidRPr="00424274" w:rsidRDefault="00C90F3B" w:rsidP="00C90F3B">
      <w:pPr>
        <w:widowControl/>
        <w:rPr>
          <w:rFonts w:ascii="Arial" w:hAnsi="Arial"/>
          <w:b/>
          <w:bCs/>
          <w:sz w:val="20"/>
          <w:lang w:eastAsia="sl-SI"/>
        </w:rPr>
      </w:pPr>
      <w:r w:rsidRPr="00424274">
        <w:rPr>
          <w:rFonts w:ascii="Arial" w:hAnsi="Arial"/>
          <w:sz w:val="20"/>
        </w:rPr>
        <w:t xml:space="preserve">V </w:t>
      </w:r>
      <w:r w:rsidR="00DC1B8F">
        <w:rPr>
          <w:rFonts w:ascii="Arial" w:hAnsi="Arial"/>
          <w:sz w:val="20"/>
        </w:rPr>
        <w:t>obdobju</w:t>
      </w:r>
      <w:r w:rsidR="00DC1B8F" w:rsidRPr="00424274">
        <w:rPr>
          <w:rFonts w:ascii="Arial" w:hAnsi="Arial"/>
          <w:sz w:val="20"/>
        </w:rPr>
        <w:t xml:space="preserve"> </w:t>
      </w:r>
      <w:r w:rsidRPr="00424274">
        <w:rPr>
          <w:rFonts w:ascii="Arial" w:hAnsi="Arial"/>
          <w:sz w:val="20"/>
        </w:rPr>
        <w:t xml:space="preserve">od 1. 1. 2020 do 31. 12. 2020 so zavezanci uradu sporočili podatke o </w:t>
      </w:r>
      <w:r w:rsidRPr="00424274">
        <w:rPr>
          <w:rFonts w:ascii="Arial" w:hAnsi="Arial"/>
          <w:b/>
          <w:sz w:val="20"/>
          <w:lang w:eastAsia="sl-SI"/>
        </w:rPr>
        <w:t>5.847</w:t>
      </w:r>
      <w:r w:rsidRPr="00424274">
        <w:rPr>
          <w:rFonts w:ascii="Arial" w:hAnsi="Arial"/>
          <w:sz w:val="20"/>
          <w:lang w:eastAsia="sl-SI"/>
        </w:rPr>
        <w:t xml:space="preserve"> </w:t>
      </w:r>
      <w:r w:rsidRPr="00424274">
        <w:rPr>
          <w:rFonts w:ascii="Arial" w:hAnsi="Arial"/>
          <w:b/>
          <w:bCs/>
          <w:sz w:val="20"/>
        </w:rPr>
        <w:t xml:space="preserve">transakcijah v skupnem znesku </w:t>
      </w:r>
      <w:r w:rsidRPr="00424274">
        <w:rPr>
          <w:rFonts w:ascii="Arial" w:hAnsi="Arial"/>
          <w:b/>
          <w:bCs/>
          <w:sz w:val="20"/>
          <w:lang w:eastAsia="sl-SI"/>
        </w:rPr>
        <w:t xml:space="preserve">608.137.910 EUR, 83.449.338 USD, 1.077.506 BAM in 173.921 CHF </w:t>
      </w:r>
      <w:r w:rsidRPr="00424274">
        <w:rPr>
          <w:rFonts w:ascii="Arial" w:hAnsi="Arial"/>
          <w:b/>
          <w:bCs/>
          <w:sz w:val="20"/>
        </w:rPr>
        <w:t xml:space="preserve">(skupaj </w:t>
      </w:r>
      <w:r w:rsidRPr="00424274">
        <w:rPr>
          <w:rFonts w:ascii="Arial" w:hAnsi="Arial"/>
          <w:b/>
          <w:color w:val="000000"/>
          <w:sz w:val="20"/>
          <w:lang w:eastAsia="sl-SI"/>
        </w:rPr>
        <w:t>676.304.817 EUR</w:t>
      </w:r>
      <w:r w:rsidRPr="00424274">
        <w:rPr>
          <w:rFonts w:ascii="Arial" w:hAnsi="Arial"/>
          <w:b/>
          <w:bCs/>
          <w:sz w:val="20"/>
        </w:rPr>
        <w:t xml:space="preserve"> po tečaju </w:t>
      </w:r>
      <w:r w:rsidR="00DC1B8F">
        <w:rPr>
          <w:rFonts w:ascii="Arial" w:hAnsi="Arial"/>
          <w:b/>
          <w:bCs/>
          <w:sz w:val="20"/>
        </w:rPr>
        <w:t xml:space="preserve">evra </w:t>
      </w:r>
      <w:r w:rsidRPr="00424274">
        <w:rPr>
          <w:rFonts w:ascii="Arial" w:hAnsi="Arial"/>
          <w:b/>
          <w:bCs/>
          <w:sz w:val="20"/>
        </w:rPr>
        <w:t>na dan 31.</w:t>
      </w:r>
      <w:r w:rsidR="00DC1B8F">
        <w:rPr>
          <w:rFonts w:ascii="Arial" w:hAnsi="Arial"/>
          <w:b/>
          <w:bCs/>
          <w:sz w:val="20"/>
        </w:rPr>
        <w:t> </w:t>
      </w:r>
      <w:r w:rsidRPr="00424274">
        <w:rPr>
          <w:rFonts w:ascii="Arial" w:hAnsi="Arial"/>
          <w:b/>
          <w:bCs/>
          <w:sz w:val="20"/>
        </w:rPr>
        <w:t>12.</w:t>
      </w:r>
      <w:r w:rsidR="00DC1B8F">
        <w:rPr>
          <w:rFonts w:ascii="Arial" w:hAnsi="Arial"/>
          <w:b/>
          <w:bCs/>
          <w:sz w:val="20"/>
        </w:rPr>
        <w:t> </w:t>
      </w:r>
      <w:r w:rsidRPr="00424274">
        <w:rPr>
          <w:rFonts w:ascii="Arial" w:hAnsi="Arial"/>
          <w:b/>
          <w:bCs/>
          <w:sz w:val="20"/>
        </w:rPr>
        <w:t>2020)</w:t>
      </w:r>
      <w:r w:rsidRPr="00424274">
        <w:rPr>
          <w:rFonts w:ascii="Arial" w:hAnsi="Arial"/>
          <w:sz w:val="20"/>
        </w:rPr>
        <w:t>, ki so bile izvršene osebam s sedežem v tvegani državi ali na bančne račune</w:t>
      </w:r>
      <w:r w:rsidR="00DC1B8F">
        <w:rPr>
          <w:rFonts w:ascii="Arial" w:hAnsi="Arial"/>
          <w:sz w:val="20"/>
        </w:rPr>
        <w:t>,</w:t>
      </w:r>
      <w:r w:rsidRPr="00424274">
        <w:rPr>
          <w:rFonts w:ascii="Arial" w:hAnsi="Arial"/>
          <w:sz w:val="20"/>
        </w:rPr>
        <w:t xml:space="preserve"> odprte v tvegani državi</w:t>
      </w:r>
      <w:r w:rsidRPr="00424274">
        <w:rPr>
          <w:rFonts w:ascii="Arial" w:hAnsi="Arial"/>
          <w:b/>
          <w:bCs/>
          <w:sz w:val="20"/>
          <w:lang w:eastAsia="sl-SI"/>
        </w:rPr>
        <w:t>.</w:t>
      </w:r>
    </w:p>
    <w:p w14:paraId="15151029" w14:textId="77777777" w:rsidR="00C90F3B" w:rsidRPr="00424274" w:rsidRDefault="00C90F3B" w:rsidP="00C90F3B">
      <w:pPr>
        <w:widowControl/>
        <w:rPr>
          <w:rFonts w:ascii="Calibri" w:hAnsi="Calibri" w:cs="Calibri"/>
          <w:b/>
          <w:bCs/>
          <w:sz w:val="22"/>
          <w:szCs w:val="22"/>
          <w:lang w:eastAsia="sl-SI"/>
        </w:rPr>
      </w:pPr>
    </w:p>
    <w:p w14:paraId="6419A1C6" w14:textId="733CD045" w:rsidR="00C90F3B" w:rsidRPr="00424274" w:rsidRDefault="00C90F3B" w:rsidP="00C90F3B">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rFonts w:ascii="Arial" w:hAnsi="Arial"/>
          <w:sz w:val="20"/>
        </w:rPr>
      </w:pPr>
      <w:r w:rsidRPr="00424274">
        <w:rPr>
          <w:rFonts w:ascii="Arial" w:hAnsi="Arial"/>
          <w:sz w:val="20"/>
        </w:rPr>
        <w:t>Skupno število izvršenih transakcij</w:t>
      </w:r>
      <w:r w:rsidR="00DC1B8F">
        <w:rPr>
          <w:rFonts w:ascii="Arial" w:hAnsi="Arial"/>
          <w:sz w:val="20"/>
        </w:rPr>
        <w:t>,</w:t>
      </w:r>
      <w:r w:rsidRPr="00424274">
        <w:rPr>
          <w:rFonts w:ascii="Arial" w:hAnsi="Arial"/>
          <w:sz w:val="20"/>
        </w:rPr>
        <w:t xml:space="preserve"> povezanih s tveganimi državami</w:t>
      </w:r>
      <w:r w:rsidR="00DC1B8F">
        <w:rPr>
          <w:rFonts w:ascii="Arial" w:hAnsi="Arial"/>
          <w:sz w:val="20"/>
        </w:rPr>
        <w:t>,</w:t>
      </w:r>
      <w:r w:rsidRPr="00424274">
        <w:rPr>
          <w:rFonts w:ascii="Arial" w:hAnsi="Arial"/>
          <w:sz w:val="20"/>
        </w:rPr>
        <w:t xml:space="preserve"> se je v letu 2020 zmanjšalo za kar 70</w:t>
      </w:r>
      <w:r w:rsidR="00DC1B8F">
        <w:rPr>
          <w:rFonts w:ascii="Arial" w:hAnsi="Arial"/>
          <w:sz w:val="20"/>
        </w:rPr>
        <w:t> </w:t>
      </w:r>
      <w:r w:rsidRPr="00424274">
        <w:rPr>
          <w:rFonts w:ascii="Arial" w:hAnsi="Arial"/>
          <w:sz w:val="20"/>
        </w:rPr>
        <w:t xml:space="preserve">% predvsem zaradi umika Srbije ter Bosne in Hercegovine </w:t>
      </w:r>
      <w:r w:rsidR="00DC1B8F">
        <w:rPr>
          <w:rFonts w:ascii="Arial" w:hAnsi="Arial"/>
          <w:sz w:val="20"/>
        </w:rPr>
        <w:t>s</w:t>
      </w:r>
      <w:r w:rsidR="00DC1B8F" w:rsidRPr="00424274">
        <w:rPr>
          <w:rFonts w:ascii="Arial" w:hAnsi="Arial"/>
          <w:sz w:val="20"/>
        </w:rPr>
        <w:t xml:space="preserve"> </w:t>
      </w:r>
      <w:r w:rsidRPr="00424274">
        <w:rPr>
          <w:rFonts w:ascii="Arial" w:hAnsi="Arial"/>
          <w:sz w:val="20"/>
        </w:rPr>
        <w:t>seznama tveganih držav. Skladno s tem se je za 59</w:t>
      </w:r>
      <w:r w:rsidR="00DC1B8F">
        <w:rPr>
          <w:rFonts w:ascii="Arial" w:hAnsi="Arial"/>
          <w:sz w:val="20"/>
        </w:rPr>
        <w:t> </w:t>
      </w:r>
      <w:r w:rsidRPr="00424274">
        <w:rPr>
          <w:rFonts w:ascii="Arial" w:hAnsi="Arial"/>
          <w:sz w:val="20"/>
        </w:rPr>
        <w:t>% zmanjšal tudi skup</w:t>
      </w:r>
      <w:r w:rsidR="00DC1B8F">
        <w:rPr>
          <w:rFonts w:ascii="Arial" w:hAnsi="Arial"/>
          <w:sz w:val="20"/>
        </w:rPr>
        <w:t>ni</w:t>
      </w:r>
      <w:r w:rsidRPr="00424274">
        <w:rPr>
          <w:rFonts w:ascii="Arial" w:hAnsi="Arial"/>
          <w:sz w:val="20"/>
        </w:rPr>
        <w:t xml:space="preserve"> znesek izvedenih transakcij. Struktura teh transakcij po valutah ostaja enaka</w:t>
      </w:r>
      <w:r w:rsidR="00DC1B8F">
        <w:rPr>
          <w:rFonts w:ascii="Arial" w:hAnsi="Arial"/>
          <w:sz w:val="20"/>
        </w:rPr>
        <w:t>,</w:t>
      </w:r>
      <w:r w:rsidRPr="00424274">
        <w:rPr>
          <w:rFonts w:ascii="Arial" w:hAnsi="Arial"/>
          <w:sz w:val="20"/>
        </w:rPr>
        <w:t xml:space="preserve"> saj je tako kot prejšnja leta okoli 90</w:t>
      </w:r>
      <w:r w:rsidR="00DC1B8F">
        <w:rPr>
          <w:rFonts w:ascii="Arial" w:hAnsi="Arial"/>
          <w:sz w:val="20"/>
        </w:rPr>
        <w:t> </w:t>
      </w:r>
      <w:r w:rsidRPr="00424274">
        <w:rPr>
          <w:rFonts w:ascii="Arial" w:hAnsi="Arial"/>
          <w:sz w:val="20"/>
        </w:rPr>
        <w:t>% vseh transakcij</w:t>
      </w:r>
      <w:r w:rsidR="00F944D1">
        <w:rPr>
          <w:rFonts w:ascii="Arial" w:hAnsi="Arial"/>
          <w:sz w:val="20"/>
        </w:rPr>
        <w:t>,</w:t>
      </w:r>
      <w:r w:rsidRPr="00424274">
        <w:rPr>
          <w:rFonts w:ascii="Arial" w:hAnsi="Arial"/>
          <w:sz w:val="20"/>
        </w:rPr>
        <w:t xml:space="preserve"> povezanih s tveganimi državami</w:t>
      </w:r>
      <w:r w:rsidR="00DC1B8F">
        <w:rPr>
          <w:rFonts w:ascii="Arial" w:hAnsi="Arial"/>
          <w:sz w:val="20"/>
        </w:rPr>
        <w:t>,</w:t>
      </w:r>
      <w:r w:rsidRPr="00424274">
        <w:rPr>
          <w:rFonts w:ascii="Arial" w:hAnsi="Arial"/>
          <w:sz w:val="20"/>
        </w:rPr>
        <w:t xml:space="preserve"> izvršena v valuti EUR.</w:t>
      </w:r>
    </w:p>
    <w:p w14:paraId="46602190" w14:textId="77777777" w:rsidR="00C90F3B" w:rsidRPr="00424274" w:rsidRDefault="00C90F3B" w:rsidP="00C90F3B">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rFonts w:ascii="Arial" w:hAnsi="Arial"/>
          <w:sz w:val="20"/>
        </w:rPr>
      </w:pPr>
    </w:p>
    <w:p w14:paraId="70F47C15" w14:textId="7F0EECBC" w:rsidR="00C90F3B" w:rsidRPr="00424274" w:rsidRDefault="00C90F3B" w:rsidP="00C90F3B">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rFonts w:ascii="Arial" w:hAnsi="Arial"/>
          <w:sz w:val="20"/>
        </w:rPr>
      </w:pPr>
      <w:r w:rsidRPr="00424274">
        <w:rPr>
          <w:rFonts w:ascii="Arial" w:hAnsi="Arial"/>
          <w:sz w:val="20"/>
        </w:rPr>
        <w:t>Skoraj vsa nakazila</w:t>
      </w:r>
      <w:r w:rsidR="00DC1B8F">
        <w:rPr>
          <w:rFonts w:ascii="Arial" w:hAnsi="Arial"/>
          <w:sz w:val="20"/>
        </w:rPr>
        <w:t>,</w:t>
      </w:r>
      <w:r w:rsidRPr="00424274">
        <w:rPr>
          <w:rFonts w:ascii="Arial" w:hAnsi="Arial"/>
          <w:sz w:val="20"/>
        </w:rPr>
        <w:t xml:space="preserve"> povezana s tveganimi državami</w:t>
      </w:r>
      <w:r w:rsidR="00DC1B8F">
        <w:rPr>
          <w:rFonts w:ascii="Arial" w:hAnsi="Arial"/>
          <w:sz w:val="20"/>
        </w:rPr>
        <w:t>,</w:t>
      </w:r>
      <w:r w:rsidRPr="00424274">
        <w:rPr>
          <w:rFonts w:ascii="Arial" w:hAnsi="Arial"/>
          <w:sz w:val="20"/>
        </w:rPr>
        <w:t xml:space="preserve"> so bila izvršena za račune pravnih oseb, pri katerih se kot prejemnik prav tako pojavlja pravna oseba. Za račune fizičnih oseb je bilo izvršenih le 170 transakcij, medtem ko fizične osebe kot prejemnice nastopajo le </w:t>
      </w:r>
      <w:r w:rsidR="00DC1B8F">
        <w:rPr>
          <w:rFonts w:ascii="Arial" w:hAnsi="Arial"/>
          <w:sz w:val="20"/>
        </w:rPr>
        <w:t xml:space="preserve">v </w:t>
      </w:r>
      <w:r w:rsidRPr="00424274">
        <w:rPr>
          <w:rFonts w:ascii="Arial" w:hAnsi="Arial"/>
          <w:sz w:val="20"/>
        </w:rPr>
        <w:t xml:space="preserve">184 transakcijah. </w:t>
      </w:r>
    </w:p>
    <w:p w14:paraId="6E492B9C" w14:textId="77777777" w:rsidR="00C90F3B" w:rsidRPr="00424274" w:rsidRDefault="00C90F3B" w:rsidP="00C90F3B">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rFonts w:ascii="Arial" w:hAnsi="Arial"/>
          <w:color w:val="FF0000"/>
          <w:sz w:val="20"/>
        </w:rPr>
      </w:pPr>
    </w:p>
    <w:p w14:paraId="081AF4CA" w14:textId="7A9CEA4B" w:rsidR="00C90F3B" w:rsidRPr="00424274" w:rsidRDefault="00C90F3B" w:rsidP="00C90F3B">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rFonts w:ascii="Arial" w:hAnsi="Arial"/>
          <w:bCs/>
          <w:sz w:val="20"/>
        </w:rPr>
      </w:pPr>
      <w:r w:rsidRPr="00424274">
        <w:rPr>
          <w:rFonts w:ascii="Arial" w:hAnsi="Arial"/>
          <w:sz w:val="20"/>
        </w:rPr>
        <w:t xml:space="preserve">Podatki o izvršenih transakcijah v imenu in </w:t>
      </w:r>
      <w:r w:rsidR="00F944D1">
        <w:rPr>
          <w:rFonts w:ascii="Arial" w:hAnsi="Arial"/>
          <w:sz w:val="20"/>
        </w:rPr>
        <w:t>z</w:t>
      </w:r>
      <w:r w:rsidR="00DC1B8F">
        <w:rPr>
          <w:rFonts w:ascii="Arial" w:hAnsi="Arial"/>
          <w:sz w:val="20"/>
        </w:rPr>
        <w:t xml:space="preserve">a </w:t>
      </w:r>
      <w:r w:rsidRPr="00424274">
        <w:rPr>
          <w:rFonts w:ascii="Arial" w:hAnsi="Arial"/>
          <w:sz w:val="20"/>
        </w:rPr>
        <w:t xml:space="preserve">račun pravnih oseb in na bančne račune pravnih oseb so objavljeni tudi na spletnih straneh </w:t>
      </w:r>
      <w:r w:rsidR="00DC1B8F">
        <w:rPr>
          <w:rFonts w:ascii="Arial" w:hAnsi="Arial"/>
          <w:sz w:val="20"/>
        </w:rPr>
        <w:t>u</w:t>
      </w:r>
      <w:r w:rsidRPr="00424274">
        <w:rPr>
          <w:rFonts w:ascii="Arial" w:hAnsi="Arial"/>
          <w:sz w:val="20"/>
        </w:rPr>
        <w:t>rada. Transakcije</w:t>
      </w:r>
      <w:r w:rsidR="00DC1B8F">
        <w:rPr>
          <w:rFonts w:ascii="Arial" w:hAnsi="Arial"/>
          <w:sz w:val="20"/>
        </w:rPr>
        <w:t>,</w:t>
      </w:r>
      <w:r w:rsidRPr="00424274">
        <w:rPr>
          <w:rFonts w:ascii="Arial" w:hAnsi="Arial"/>
          <w:sz w:val="20"/>
        </w:rPr>
        <w:t xml:space="preserve"> povezane s tveganimi državami</w:t>
      </w:r>
      <w:r w:rsidR="00DC1B8F">
        <w:rPr>
          <w:rFonts w:ascii="Arial" w:hAnsi="Arial"/>
          <w:sz w:val="20"/>
        </w:rPr>
        <w:t>,</w:t>
      </w:r>
      <w:r w:rsidRPr="00424274">
        <w:rPr>
          <w:rFonts w:ascii="Arial" w:hAnsi="Arial"/>
          <w:sz w:val="20"/>
        </w:rPr>
        <w:t xml:space="preserve"> je izvedlo skupaj okoli 850 različnih pravnih oseb, od tega le okoli 30 tujih. </w:t>
      </w:r>
    </w:p>
    <w:p w14:paraId="0D2D9944" w14:textId="77777777" w:rsidR="00C90F3B" w:rsidRPr="00424274" w:rsidRDefault="00C90F3B" w:rsidP="00C90F3B">
      <w:pPr>
        <w:widowControl/>
        <w:spacing w:line="276" w:lineRule="auto"/>
        <w:rPr>
          <w:rFonts w:ascii="Arial" w:hAnsi="Arial"/>
          <w:sz w:val="20"/>
          <w:highlight w:val="yellow"/>
        </w:rPr>
      </w:pPr>
    </w:p>
    <w:p w14:paraId="295D7BCE" w14:textId="5EFD416F" w:rsidR="00C90F3B" w:rsidRPr="00424274" w:rsidRDefault="00C90F3B" w:rsidP="00C90F3B">
      <w:pPr>
        <w:widowControl/>
        <w:spacing w:line="276" w:lineRule="auto"/>
        <w:rPr>
          <w:rFonts w:ascii="Arial" w:hAnsi="Arial"/>
          <w:sz w:val="20"/>
        </w:rPr>
      </w:pPr>
      <w:r w:rsidRPr="00424274">
        <w:rPr>
          <w:rFonts w:ascii="Arial" w:hAnsi="Arial"/>
          <w:sz w:val="20"/>
        </w:rPr>
        <w:t>V nadaljevanju podrobneje predstavljamo nakazila</w:t>
      </w:r>
      <w:r w:rsidR="00DC1B8F">
        <w:rPr>
          <w:rFonts w:ascii="Arial" w:hAnsi="Arial"/>
          <w:sz w:val="20"/>
        </w:rPr>
        <w:t>,</w:t>
      </w:r>
      <w:r w:rsidRPr="00424274">
        <w:rPr>
          <w:rFonts w:ascii="Arial" w:hAnsi="Arial"/>
          <w:sz w:val="20"/>
        </w:rPr>
        <w:t xml:space="preserve"> povezana s tveganimi državami</w:t>
      </w:r>
      <w:r w:rsidR="00DC1B8F">
        <w:rPr>
          <w:rFonts w:ascii="Arial" w:hAnsi="Arial"/>
          <w:sz w:val="20"/>
        </w:rPr>
        <w:t>,</w:t>
      </w:r>
      <w:r w:rsidRPr="00424274">
        <w:rPr>
          <w:rFonts w:ascii="Arial" w:hAnsi="Arial"/>
          <w:sz w:val="20"/>
        </w:rPr>
        <w:t xml:space="preserve"> kjer so kot nalogodajalke in prejemnice nastopale pravne osebe, in sicer po obeh </w:t>
      </w:r>
      <w:r w:rsidR="00DC1B8F">
        <w:rPr>
          <w:rFonts w:ascii="Arial" w:hAnsi="Arial"/>
          <w:sz w:val="20"/>
        </w:rPr>
        <w:t>merilih</w:t>
      </w:r>
      <w:r w:rsidR="00DC1B8F" w:rsidRPr="00424274">
        <w:rPr>
          <w:rFonts w:ascii="Arial" w:hAnsi="Arial"/>
          <w:sz w:val="20"/>
        </w:rPr>
        <w:t xml:space="preserve"> </w:t>
      </w:r>
      <w:r w:rsidRPr="00424274">
        <w:rPr>
          <w:rFonts w:ascii="Arial" w:hAnsi="Arial"/>
          <w:sz w:val="20"/>
        </w:rPr>
        <w:t>ločeno. Najprej nakazila glede na sedež prejemnika, nato pa še nakazila</w:t>
      </w:r>
      <w:r w:rsidR="00DC1B8F">
        <w:rPr>
          <w:rFonts w:ascii="Arial" w:hAnsi="Arial"/>
          <w:sz w:val="20"/>
        </w:rPr>
        <w:t>,</w:t>
      </w:r>
      <w:r w:rsidRPr="00424274">
        <w:rPr>
          <w:rFonts w:ascii="Arial" w:hAnsi="Arial"/>
          <w:sz w:val="20"/>
        </w:rPr>
        <w:t xml:space="preserve"> izvršena na račun v tvegani državi, in to samo v valutah EUR in USD, ki predstavljajo 99 % vseh nakazil v tvegane države.</w:t>
      </w:r>
    </w:p>
    <w:p w14:paraId="25D99156" w14:textId="77777777" w:rsidR="00EC3744" w:rsidRPr="00424274" w:rsidRDefault="00EC3744" w:rsidP="00D21F86">
      <w:pPr>
        <w:widowControl/>
        <w:spacing w:line="276" w:lineRule="auto"/>
        <w:rPr>
          <w:rFonts w:ascii="Arial" w:hAnsi="Arial"/>
          <w:sz w:val="20"/>
        </w:rPr>
      </w:pPr>
    </w:p>
    <w:p w14:paraId="26A96284" w14:textId="084C6FF5" w:rsidR="00851C49" w:rsidRPr="00424274" w:rsidRDefault="00292A8B" w:rsidP="006D5A5A">
      <w:pPr>
        <w:pStyle w:val="Naslov3"/>
      </w:pPr>
      <w:bookmarkStart w:id="31" w:name="_Toc113535450"/>
      <w:r w:rsidRPr="00424274">
        <w:t xml:space="preserve">2.2.1 </w:t>
      </w:r>
      <w:r w:rsidR="00851C49" w:rsidRPr="00424274">
        <w:t xml:space="preserve">Nakazila na račune tujih pravnih oseb s sedežem v </w:t>
      </w:r>
      <w:r w:rsidR="009121FA" w:rsidRPr="00424274">
        <w:t xml:space="preserve">tveganih </w:t>
      </w:r>
      <w:r w:rsidR="00851C49" w:rsidRPr="00424274">
        <w:t>državah</w:t>
      </w:r>
      <w:bookmarkEnd w:id="31"/>
    </w:p>
    <w:p w14:paraId="4B35265D" w14:textId="77777777" w:rsidR="00851C49" w:rsidRPr="00424274" w:rsidRDefault="00851C49" w:rsidP="00D21F86">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rFonts w:ascii="Arial" w:hAnsi="Arial"/>
          <w:sz w:val="20"/>
        </w:rPr>
      </w:pPr>
    </w:p>
    <w:p w14:paraId="40E390AB" w14:textId="34C42E72" w:rsidR="00C27E0B" w:rsidRPr="00424274" w:rsidRDefault="00C27E0B" w:rsidP="00C27E0B">
      <w:pPr>
        <w:widowControl/>
        <w:rPr>
          <w:rFonts w:ascii="Arial" w:hAnsi="Arial"/>
          <w:bCs/>
          <w:sz w:val="20"/>
        </w:rPr>
      </w:pPr>
      <w:r w:rsidRPr="00424274">
        <w:rPr>
          <w:rFonts w:ascii="Arial" w:hAnsi="Arial"/>
          <w:bCs/>
          <w:sz w:val="20"/>
        </w:rPr>
        <w:t xml:space="preserve">Pravnim osebam s sedežem v tveganih državah je bilo v letu 2020 skupno izvedenih </w:t>
      </w:r>
      <w:r w:rsidRPr="00424274">
        <w:rPr>
          <w:rFonts w:ascii="Arial" w:hAnsi="Arial"/>
          <w:b/>
          <w:bCs/>
          <w:sz w:val="20"/>
        </w:rPr>
        <w:t>5.123</w:t>
      </w:r>
      <w:r w:rsidRPr="00424274">
        <w:rPr>
          <w:rFonts w:ascii="Arial" w:hAnsi="Arial"/>
          <w:b/>
          <w:sz w:val="20"/>
        </w:rPr>
        <w:t xml:space="preserve"> transakcij, in sicer v valuti evro </w:t>
      </w:r>
      <w:r w:rsidRPr="00424274">
        <w:rPr>
          <w:rFonts w:ascii="Arial" w:hAnsi="Arial"/>
          <w:b/>
          <w:bCs/>
          <w:color w:val="000000"/>
          <w:sz w:val="20"/>
          <w:lang w:eastAsia="sl-SI"/>
        </w:rPr>
        <w:t>4.082</w:t>
      </w:r>
      <w:r w:rsidRPr="00424274">
        <w:rPr>
          <w:rFonts w:ascii="Arial" w:hAnsi="Arial"/>
          <w:b/>
          <w:sz w:val="20"/>
        </w:rPr>
        <w:t xml:space="preserve"> transakcij v skupnem znesku 4</w:t>
      </w:r>
      <w:r w:rsidRPr="00424274">
        <w:rPr>
          <w:rFonts w:ascii="Arial" w:hAnsi="Arial"/>
          <w:b/>
          <w:bCs/>
          <w:color w:val="000000"/>
          <w:sz w:val="20"/>
          <w:lang w:eastAsia="sl-SI"/>
        </w:rPr>
        <w:t>16.728.793 E</w:t>
      </w:r>
      <w:r w:rsidRPr="00424274">
        <w:rPr>
          <w:rFonts w:ascii="Arial" w:hAnsi="Arial"/>
          <w:b/>
          <w:sz w:val="20"/>
        </w:rPr>
        <w:t>UR in v valuti ameriški dolar 1.041 transakcij v skupnem znesku 81.552.667 USD.</w:t>
      </w:r>
      <w:r w:rsidRPr="00424274">
        <w:rPr>
          <w:rFonts w:ascii="Arial" w:hAnsi="Arial"/>
          <w:bCs/>
          <w:sz w:val="20"/>
        </w:rPr>
        <w:t xml:space="preserve"> V spodnji </w:t>
      </w:r>
      <w:r w:rsidR="00814A21">
        <w:rPr>
          <w:rFonts w:ascii="Arial" w:hAnsi="Arial"/>
          <w:bCs/>
          <w:sz w:val="20"/>
        </w:rPr>
        <w:t>preglednici</w:t>
      </w:r>
      <w:r w:rsidRPr="00424274">
        <w:rPr>
          <w:rFonts w:ascii="Arial" w:hAnsi="Arial"/>
          <w:bCs/>
          <w:sz w:val="20"/>
        </w:rPr>
        <w:t xml:space="preserve"> prikazujemo seznam tveganih držav, v katerih imajo družbe prejemnice svoje sedeže, in sicer samo tiste države sedeža prejemnika, ki so skupno prejeli več kot 10 mio</w:t>
      </w:r>
      <w:r w:rsidR="00B51F1F">
        <w:rPr>
          <w:rFonts w:ascii="Arial" w:hAnsi="Arial"/>
          <w:bCs/>
          <w:sz w:val="20"/>
        </w:rPr>
        <w:t>.</w:t>
      </w:r>
      <w:r w:rsidRPr="00424274">
        <w:rPr>
          <w:rFonts w:ascii="Arial" w:hAnsi="Arial"/>
          <w:bCs/>
          <w:sz w:val="20"/>
        </w:rPr>
        <w:t xml:space="preserve"> EUR ali več kot 50 nakazil.</w:t>
      </w:r>
    </w:p>
    <w:p w14:paraId="10901189" w14:textId="1B66725B" w:rsidR="009330EB" w:rsidRPr="00424274" w:rsidRDefault="009330EB" w:rsidP="00D21F86">
      <w:pPr>
        <w:widowControl/>
        <w:spacing w:line="276" w:lineRule="auto"/>
        <w:rPr>
          <w:rFonts w:ascii="Arial" w:hAnsi="Arial"/>
          <w:b/>
          <w:i/>
          <w:sz w:val="20"/>
        </w:rPr>
      </w:pPr>
    </w:p>
    <w:p w14:paraId="443DD79D" w14:textId="1385719D" w:rsidR="00601780" w:rsidRPr="00424274" w:rsidRDefault="00601780" w:rsidP="00D21F86">
      <w:pPr>
        <w:widowControl/>
        <w:spacing w:line="276" w:lineRule="auto"/>
        <w:rPr>
          <w:rFonts w:ascii="Arial" w:hAnsi="Arial"/>
          <w:b/>
          <w:i/>
          <w:sz w:val="20"/>
        </w:rPr>
      </w:pPr>
    </w:p>
    <w:p w14:paraId="016443C5" w14:textId="72DD2104" w:rsidR="00601780" w:rsidRPr="00424274" w:rsidRDefault="00601780" w:rsidP="00D21F86">
      <w:pPr>
        <w:widowControl/>
        <w:spacing w:line="276" w:lineRule="auto"/>
        <w:rPr>
          <w:rFonts w:ascii="Arial" w:hAnsi="Arial"/>
          <w:b/>
          <w:i/>
          <w:sz w:val="20"/>
        </w:rPr>
      </w:pPr>
    </w:p>
    <w:p w14:paraId="28488A72" w14:textId="38A05BA6" w:rsidR="0045665B" w:rsidRPr="00424274" w:rsidRDefault="0045665B" w:rsidP="00D21F86">
      <w:pPr>
        <w:widowControl/>
        <w:spacing w:line="276" w:lineRule="auto"/>
        <w:rPr>
          <w:rFonts w:ascii="Arial" w:hAnsi="Arial"/>
          <w:b/>
          <w:i/>
          <w:sz w:val="20"/>
        </w:rPr>
      </w:pPr>
    </w:p>
    <w:p w14:paraId="7AE8C731" w14:textId="4F2EA57A" w:rsidR="0045665B" w:rsidRPr="00424274" w:rsidRDefault="0045665B" w:rsidP="00D21F86">
      <w:pPr>
        <w:widowControl/>
        <w:spacing w:line="276" w:lineRule="auto"/>
        <w:rPr>
          <w:rFonts w:ascii="Arial" w:hAnsi="Arial"/>
          <w:b/>
          <w:i/>
          <w:sz w:val="20"/>
        </w:rPr>
      </w:pPr>
    </w:p>
    <w:p w14:paraId="4B8F0AC4" w14:textId="6ACF3ACB" w:rsidR="0045665B" w:rsidRPr="00424274" w:rsidRDefault="0045665B" w:rsidP="00D21F86">
      <w:pPr>
        <w:widowControl/>
        <w:spacing w:line="276" w:lineRule="auto"/>
        <w:rPr>
          <w:rFonts w:ascii="Arial" w:hAnsi="Arial"/>
          <w:b/>
          <w:i/>
          <w:sz w:val="20"/>
        </w:rPr>
      </w:pPr>
    </w:p>
    <w:p w14:paraId="2B0F5E41" w14:textId="08110394" w:rsidR="00AF46CC" w:rsidRPr="00424274" w:rsidRDefault="00AF46CC" w:rsidP="00D21F86">
      <w:pPr>
        <w:widowControl/>
        <w:spacing w:line="276" w:lineRule="auto"/>
        <w:rPr>
          <w:rFonts w:ascii="Arial" w:hAnsi="Arial"/>
          <w:b/>
          <w:i/>
          <w:sz w:val="20"/>
        </w:rPr>
      </w:pPr>
    </w:p>
    <w:p w14:paraId="0FC30A01" w14:textId="77777777" w:rsidR="00AF46CC" w:rsidRPr="00424274" w:rsidRDefault="00AF46CC" w:rsidP="00D21F86">
      <w:pPr>
        <w:widowControl/>
        <w:spacing w:line="276" w:lineRule="auto"/>
        <w:rPr>
          <w:rFonts w:ascii="Arial" w:hAnsi="Arial"/>
          <w:b/>
          <w:i/>
          <w:sz w:val="20"/>
        </w:rPr>
      </w:pPr>
    </w:p>
    <w:p w14:paraId="24188950" w14:textId="77777777" w:rsidR="0045665B" w:rsidRPr="00424274" w:rsidRDefault="0045665B" w:rsidP="00D21F86">
      <w:pPr>
        <w:widowControl/>
        <w:spacing w:line="276" w:lineRule="auto"/>
        <w:rPr>
          <w:rFonts w:ascii="Arial" w:hAnsi="Arial"/>
          <w:b/>
          <w:i/>
          <w:sz w:val="20"/>
        </w:rPr>
      </w:pPr>
    </w:p>
    <w:p w14:paraId="13FC55D0" w14:textId="65368D33" w:rsidR="00A56C03" w:rsidRPr="00424274" w:rsidRDefault="00814A21" w:rsidP="00A56C03">
      <w:pPr>
        <w:tabs>
          <w:tab w:val="left" w:pos="-1049"/>
          <w:tab w:val="left" w:pos="-689"/>
          <w:tab w:val="left" w:pos="0"/>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ind w:left="993" w:hanging="993"/>
        <w:rPr>
          <w:rFonts w:ascii="Arial" w:hAnsi="Arial"/>
          <w:b/>
          <w:i/>
          <w:sz w:val="20"/>
        </w:rPr>
      </w:pPr>
      <w:r>
        <w:rPr>
          <w:rFonts w:ascii="Arial" w:hAnsi="Arial"/>
          <w:b/>
          <w:i/>
          <w:sz w:val="20"/>
        </w:rPr>
        <w:t>Preglednica</w:t>
      </w:r>
      <w:r w:rsidR="00C21F02" w:rsidRPr="00424274">
        <w:rPr>
          <w:rFonts w:ascii="Arial" w:hAnsi="Arial"/>
          <w:b/>
          <w:i/>
          <w:sz w:val="20"/>
        </w:rPr>
        <w:t xml:space="preserve"> 2: </w:t>
      </w:r>
      <w:r w:rsidR="00D5703F" w:rsidRPr="00424274">
        <w:rPr>
          <w:rFonts w:ascii="Arial" w:hAnsi="Arial"/>
          <w:b/>
          <w:i/>
          <w:sz w:val="20"/>
        </w:rPr>
        <w:tab/>
      </w:r>
      <w:r w:rsidR="00A56C03" w:rsidRPr="00424274">
        <w:rPr>
          <w:rFonts w:ascii="Arial" w:hAnsi="Arial"/>
          <w:b/>
          <w:i/>
          <w:sz w:val="20"/>
        </w:rPr>
        <w:t>Nakazila nad 15.000 EUR tujim podjetjem s sedežem v tveganih državah od 1. 1. 2020 do 31. 12. 2020 v EUR in USD</w:t>
      </w:r>
    </w:p>
    <w:tbl>
      <w:tblPr>
        <w:tblW w:w="9017" w:type="dxa"/>
        <w:tblInd w:w="55" w:type="dxa"/>
        <w:tblCellMar>
          <w:left w:w="70" w:type="dxa"/>
          <w:right w:w="70" w:type="dxa"/>
        </w:tblCellMar>
        <w:tblLook w:val="04A0" w:firstRow="1" w:lastRow="0" w:firstColumn="1" w:lastColumn="0" w:noHBand="0" w:noVBand="1"/>
      </w:tblPr>
      <w:tblGrid>
        <w:gridCol w:w="3097"/>
        <w:gridCol w:w="1357"/>
        <w:gridCol w:w="1603"/>
        <w:gridCol w:w="1432"/>
        <w:gridCol w:w="1528"/>
      </w:tblGrid>
      <w:tr w:rsidR="0079049C" w:rsidRPr="00424274" w14:paraId="383CA11B" w14:textId="77777777" w:rsidTr="00E70569">
        <w:trPr>
          <w:trHeight w:val="300"/>
        </w:trPr>
        <w:tc>
          <w:tcPr>
            <w:tcW w:w="3097" w:type="dxa"/>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0514F6AF" w14:textId="77777777" w:rsidR="0079049C" w:rsidRPr="00424274" w:rsidRDefault="0079049C" w:rsidP="0079049C">
            <w:pPr>
              <w:widowControl/>
              <w:jc w:val="left"/>
              <w:rPr>
                <w:rFonts w:ascii="Arial" w:hAnsi="Arial"/>
                <w:b/>
                <w:bCs/>
                <w:color w:val="000000"/>
                <w:sz w:val="20"/>
                <w:lang w:eastAsia="sl-SI"/>
              </w:rPr>
            </w:pPr>
            <w:r w:rsidRPr="00424274">
              <w:rPr>
                <w:rFonts w:ascii="Arial" w:hAnsi="Arial"/>
                <w:b/>
                <w:bCs/>
                <w:color w:val="000000"/>
                <w:sz w:val="20"/>
                <w:lang w:eastAsia="sl-SI"/>
              </w:rPr>
              <w:t>VALUTA</w:t>
            </w:r>
          </w:p>
        </w:tc>
        <w:tc>
          <w:tcPr>
            <w:tcW w:w="2960" w:type="dxa"/>
            <w:gridSpan w:val="2"/>
            <w:tcBorders>
              <w:top w:val="single" w:sz="4" w:space="0" w:color="auto"/>
              <w:left w:val="nil"/>
              <w:bottom w:val="single" w:sz="4" w:space="0" w:color="auto"/>
              <w:right w:val="single" w:sz="4" w:space="0" w:color="auto"/>
            </w:tcBorders>
            <w:shd w:val="clear" w:color="000000" w:fill="00CCFF"/>
            <w:noWrap/>
            <w:vAlign w:val="center"/>
            <w:hideMark/>
          </w:tcPr>
          <w:p w14:paraId="10483938" w14:textId="77777777" w:rsidR="0079049C" w:rsidRPr="00424274" w:rsidRDefault="0079049C" w:rsidP="0079049C">
            <w:pPr>
              <w:widowControl/>
              <w:jc w:val="center"/>
              <w:rPr>
                <w:rFonts w:ascii="Arial" w:hAnsi="Arial"/>
                <w:b/>
                <w:bCs/>
                <w:color w:val="000000"/>
                <w:sz w:val="20"/>
                <w:lang w:eastAsia="sl-SI"/>
              </w:rPr>
            </w:pPr>
            <w:r w:rsidRPr="00424274">
              <w:rPr>
                <w:rFonts w:ascii="Arial" w:hAnsi="Arial"/>
                <w:b/>
                <w:bCs/>
                <w:color w:val="000000"/>
                <w:sz w:val="20"/>
                <w:lang w:eastAsia="sl-SI"/>
              </w:rPr>
              <w:t>USD</w:t>
            </w:r>
          </w:p>
        </w:tc>
        <w:tc>
          <w:tcPr>
            <w:tcW w:w="2960" w:type="dxa"/>
            <w:gridSpan w:val="2"/>
            <w:tcBorders>
              <w:top w:val="single" w:sz="4" w:space="0" w:color="auto"/>
              <w:left w:val="nil"/>
              <w:bottom w:val="single" w:sz="4" w:space="0" w:color="auto"/>
              <w:right w:val="single" w:sz="4" w:space="0" w:color="auto"/>
            </w:tcBorders>
            <w:shd w:val="clear" w:color="000000" w:fill="00CCFF"/>
            <w:noWrap/>
            <w:vAlign w:val="center"/>
            <w:hideMark/>
          </w:tcPr>
          <w:p w14:paraId="3DC7E22D" w14:textId="77777777" w:rsidR="0079049C" w:rsidRPr="00424274" w:rsidRDefault="0079049C" w:rsidP="0079049C">
            <w:pPr>
              <w:widowControl/>
              <w:jc w:val="center"/>
              <w:rPr>
                <w:rFonts w:ascii="Arial" w:hAnsi="Arial"/>
                <w:b/>
                <w:bCs/>
                <w:color w:val="000000"/>
                <w:sz w:val="20"/>
                <w:lang w:eastAsia="sl-SI"/>
              </w:rPr>
            </w:pPr>
            <w:r w:rsidRPr="00424274">
              <w:rPr>
                <w:rFonts w:ascii="Arial" w:hAnsi="Arial"/>
                <w:b/>
                <w:bCs/>
                <w:color w:val="000000"/>
                <w:sz w:val="20"/>
                <w:lang w:eastAsia="sl-SI"/>
              </w:rPr>
              <w:t>EUR</w:t>
            </w:r>
          </w:p>
        </w:tc>
      </w:tr>
      <w:tr w:rsidR="0079049C" w:rsidRPr="00424274" w14:paraId="2EFC4BDE" w14:textId="77777777" w:rsidTr="00E70569">
        <w:trPr>
          <w:trHeight w:val="510"/>
        </w:trPr>
        <w:tc>
          <w:tcPr>
            <w:tcW w:w="3097" w:type="dxa"/>
            <w:tcBorders>
              <w:top w:val="nil"/>
              <w:left w:val="single" w:sz="4" w:space="0" w:color="auto"/>
              <w:bottom w:val="single" w:sz="4" w:space="0" w:color="auto"/>
              <w:right w:val="single" w:sz="4" w:space="0" w:color="auto"/>
            </w:tcBorders>
            <w:shd w:val="clear" w:color="000000" w:fill="00CCFF"/>
            <w:noWrap/>
            <w:vAlign w:val="center"/>
            <w:hideMark/>
          </w:tcPr>
          <w:p w14:paraId="08FD4A99" w14:textId="77777777" w:rsidR="0079049C" w:rsidRPr="00424274" w:rsidRDefault="0079049C" w:rsidP="0079049C">
            <w:pPr>
              <w:widowControl/>
              <w:jc w:val="left"/>
              <w:rPr>
                <w:rFonts w:ascii="Arial" w:hAnsi="Arial"/>
                <w:b/>
                <w:bCs/>
                <w:color w:val="000000"/>
                <w:sz w:val="20"/>
                <w:lang w:eastAsia="sl-SI"/>
              </w:rPr>
            </w:pPr>
            <w:r w:rsidRPr="00424274">
              <w:rPr>
                <w:rFonts w:ascii="Arial" w:hAnsi="Arial"/>
                <w:b/>
                <w:bCs/>
                <w:color w:val="000000"/>
                <w:sz w:val="20"/>
                <w:lang w:eastAsia="sl-SI"/>
              </w:rPr>
              <w:t>DRŽAVA SEDEŽA PREJEMNIKA</w:t>
            </w:r>
          </w:p>
        </w:tc>
        <w:tc>
          <w:tcPr>
            <w:tcW w:w="1357" w:type="dxa"/>
            <w:tcBorders>
              <w:top w:val="nil"/>
              <w:left w:val="nil"/>
              <w:bottom w:val="single" w:sz="4" w:space="0" w:color="auto"/>
              <w:right w:val="single" w:sz="4" w:space="0" w:color="auto"/>
            </w:tcBorders>
            <w:shd w:val="clear" w:color="000000" w:fill="00CCFF"/>
            <w:noWrap/>
            <w:vAlign w:val="center"/>
            <w:hideMark/>
          </w:tcPr>
          <w:p w14:paraId="7823957D" w14:textId="77777777" w:rsidR="0079049C" w:rsidRPr="00424274" w:rsidRDefault="0079049C" w:rsidP="0079049C">
            <w:pPr>
              <w:widowControl/>
              <w:jc w:val="left"/>
              <w:rPr>
                <w:rFonts w:ascii="Arial" w:hAnsi="Arial"/>
                <w:b/>
                <w:bCs/>
                <w:color w:val="000000"/>
                <w:sz w:val="20"/>
                <w:lang w:eastAsia="sl-SI"/>
              </w:rPr>
            </w:pPr>
            <w:r w:rsidRPr="00424274">
              <w:rPr>
                <w:rFonts w:ascii="Arial" w:hAnsi="Arial"/>
                <w:b/>
                <w:bCs/>
                <w:color w:val="000000"/>
                <w:sz w:val="20"/>
                <w:lang w:eastAsia="sl-SI"/>
              </w:rPr>
              <w:t>Znesek</w:t>
            </w:r>
          </w:p>
        </w:tc>
        <w:tc>
          <w:tcPr>
            <w:tcW w:w="1603" w:type="dxa"/>
            <w:tcBorders>
              <w:top w:val="nil"/>
              <w:left w:val="nil"/>
              <w:bottom w:val="single" w:sz="4" w:space="0" w:color="auto"/>
              <w:right w:val="single" w:sz="4" w:space="0" w:color="auto"/>
            </w:tcBorders>
            <w:shd w:val="clear" w:color="000000" w:fill="00CCFF"/>
            <w:vAlign w:val="center"/>
            <w:hideMark/>
          </w:tcPr>
          <w:p w14:paraId="082AC850" w14:textId="77777777" w:rsidR="0079049C" w:rsidRPr="00424274" w:rsidRDefault="0079049C" w:rsidP="0079049C">
            <w:pPr>
              <w:widowControl/>
              <w:jc w:val="left"/>
              <w:rPr>
                <w:rFonts w:ascii="Arial" w:hAnsi="Arial"/>
                <w:b/>
                <w:bCs/>
                <w:color w:val="000000"/>
                <w:sz w:val="20"/>
                <w:lang w:eastAsia="sl-SI"/>
              </w:rPr>
            </w:pPr>
            <w:r w:rsidRPr="00424274">
              <w:rPr>
                <w:rFonts w:ascii="Arial" w:hAnsi="Arial"/>
                <w:b/>
                <w:bCs/>
                <w:color w:val="000000"/>
                <w:sz w:val="20"/>
                <w:lang w:eastAsia="sl-SI"/>
              </w:rPr>
              <w:t>Število transakcij</w:t>
            </w:r>
          </w:p>
        </w:tc>
        <w:tc>
          <w:tcPr>
            <w:tcW w:w="1432" w:type="dxa"/>
            <w:tcBorders>
              <w:top w:val="nil"/>
              <w:left w:val="nil"/>
              <w:bottom w:val="single" w:sz="4" w:space="0" w:color="auto"/>
              <w:right w:val="single" w:sz="4" w:space="0" w:color="auto"/>
            </w:tcBorders>
            <w:shd w:val="clear" w:color="000000" w:fill="00CCFF"/>
            <w:noWrap/>
            <w:vAlign w:val="center"/>
            <w:hideMark/>
          </w:tcPr>
          <w:p w14:paraId="6C5347C0" w14:textId="77777777" w:rsidR="0079049C" w:rsidRPr="00424274" w:rsidRDefault="0079049C" w:rsidP="0079049C">
            <w:pPr>
              <w:widowControl/>
              <w:jc w:val="left"/>
              <w:rPr>
                <w:rFonts w:ascii="Arial" w:hAnsi="Arial"/>
                <w:b/>
                <w:bCs/>
                <w:color w:val="000000"/>
                <w:sz w:val="20"/>
                <w:lang w:eastAsia="sl-SI"/>
              </w:rPr>
            </w:pPr>
            <w:r w:rsidRPr="00424274">
              <w:rPr>
                <w:rFonts w:ascii="Arial" w:hAnsi="Arial"/>
                <w:b/>
                <w:bCs/>
                <w:color w:val="000000"/>
                <w:sz w:val="20"/>
                <w:lang w:eastAsia="sl-SI"/>
              </w:rPr>
              <w:t>Znesek</w:t>
            </w:r>
          </w:p>
        </w:tc>
        <w:tc>
          <w:tcPr>
            <w:tcW w:w="1528" w:type="dxa"/>
            <w:tcBorders>
              <w:top w:val="nil"/>
              <w:left w:val="nil"/>
              <w:bottom w:val="single" w:sz="4" w:space="0" w:color="auto"/>
              <w:right w:val="single" w:sz="4" w:space="0" w:color="auto"/>
            </w:tcBorders>
            <w:shd w:val="clear" w:color="000000" w:fill="00CCFF"/>
            <w:vAlign w:val="center"/>
            <w:hideMark/>
          </w:tcPr>
          <w:p w14:paraId="51F494C6" w14:textId="77777777" w:rsidR="0079049C" w:rsidRPr="00424274" w:rsidRDefault="0079049C" w:rsidP="0079049C">
            <w:pPr>
              <w:widowControl/>
              <w:jc w:val="left"/>
              <w:rPr>
                <w:rFonts w:ascii="Arial" w:hAnsi="Arial"/>
                <w:b/>
                <w:bCs/>
                <w:color w:val="000000"/>
                <w:sz w:val="20"/>
                <w:lang w:eastAsia="sl-SI"/>
              </w:rPr>
            </w:pPr>
            <w:r w:rsidRPr="00424274">
              <w:rPr>
                <w:rFonts w:ascii="Arial" w:hAnsi="Arial"/>
                <w:b/>
                <w:bCs/>
                <w:color w:val="000000"/>
                <w:sz w:val="20"/>
                <w:lang w:eastAsia="sl-SI"/>
              </w:rPr>
              <w:t>Število transakcij</w:t>
            </w:r>
          </w:p>
        </w:tc>
      </w:tr>
      <w:tr w:rsidR="0079049C" w:rsidRPr="00424274" w14:paraId="040450D0" w14:textId="77777777" w:rsidTr="00E70569">
        <w:trPr>
          <w:trHeight w:val="300"/>
        </w:trPr>
        <w:tc>
          <w:tcPr>
            <w:tcW w:w="3097" w:type="dxa"/>
            <w:tcBorders>
              <w:top w:val="nil"/>
              <w:left w:val="single" w:sz="4" w:space="0" w:color="auto"/>
              <w:bottom w:val="single" w:sz="4" w:space="0" w:color="auto"/>
              <w:right w:val="single" w:sz="4" w:space="0" w:color="auto"/>
            </w:tcBorders>
            <w:shd w:val="clear" w:color="auto" w:fill="auto"/>
            <w:noWrap/>
            <w:vAlign w:val="bottom"/>
          </w:tcPr>
          <w:p w14:paraId="1FF7589F" w14:textId="77777777" w:rsidR="0079049C" w:rsidRPr="00424274" w:rsidRDefault="0079049C" w:rsidP="0079049C">
            <w:pPr>
              <w:widowControl/>
              <w:jc w:val="left"/>
              <w:rPr>
                <w:rFonts w:ascii="Arial" w:hAnsi="Arial"/>
                <w:color w:val="000000"/>
                <w:sz w:val="20"/>
                <w:lang w:eastAsia="sl-SI"/>
              </w:rPr>
            </w:pPr>
            <w:r w:rsidRPr="00424274">
              <w:rPr>
                <w:rFonts w:ascii="Arial" w:hAnsi="Arial"/>
                <w:color w:val="000000"/>
                <w:sz w:val="20"/>
                <w:lang w:eastAsia="sl-SI"/>
              </w:rPr>
              <w:t>Bosna in Hercegovina</w:t>
            </w:r>
          </w:p>
        </w:tc>
        <w:tc>
          <w:tcPr>
            <w:tcW w:w="1357" w:type="dxa"/>
            <w:tcBorders>
              <w:top w:val="nil"/>
              <w:left w:val="nil"/>
              <w:bottom w:val="single" w:sz="4" w:space="0" w:color="auto"/>
              <w:right w:val="single" w:sz="4" w:space="0" w:color="auto"/>
            </w:tcBorders>
            <w:shd w:val="clear" w:color="auto" w:fill="auto"/>
            <w:noWrap/>
            <w:vAlign w:val="bottom"/>
          </w:tcPr>
          <w:p w14:paraId="6F0F7E7C"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1.689.932</w:t>
            </w:r>
          </w:p>
        </w:tc>
        <w:tc>
          <w:tcPr>
            <w:tcW w:w="1603" w:type="dxa"/>
            <w:tcBorders>
              <w:top w:val="nil"/>
              <w:left w:val="nil"/>
              <w:bottom w:val="single" w:sz="4" w:space="0" w:color="auto"/>
              <w:right w:val="single" w:sz="4" w:space="0" w:color="auto"/>
            </w:tcBorders>
            <w:shd w:val="clear" w:color="auto" w:fill="auto"/>
            <w:noWrap/>
            <w:vAlign w:val="bottom"/>
          </w:tcPr>
          <w:p w14:paraId="40745A20"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19</w:t>
            </w:r>
          </w:p>
        </w:tc>
        <w:tc>
          <w:tcPr>
            <w:tcW w:w="1432" w:type="dxa"/>
            <w:tcBorders>
              <w:top w:val="nil"/>
              <w:left w:val="nil"/>
              <w:bottom w:val="single" w:sz="4" w:space="0" w:color="auto"/>
              <w:right w:val="single" w:sz="4" w:space="0" w:color="auto"/>
            </w:tcBorders>
            <w:shd w:val="clear" w:color="auto" w:fill="auto"/>
            <w:noWrap/>
            <w:vAlign w:val="bottom"/>
          </w:tcPr>
          <w:p w14:paraId="4AB259DD"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220.344.078</w:t>
            </w:r>
          </w:p>
        </w:tc>
        <w:tc>
          <w:tcPr>
            <w:tcW w:w="1528" w:type="dxa"/>
            <w:tcBorders>
              <w:top w:val="nil"/>
              <w:left w:val="nil"/>
              <w:bottom w:val="single" w:sz="4" w:space="0" w:color="auto"/>
              <w:right w:val="single" w:sz="4" w:space="0" w:color="auto"/>
            </w:tcBorders>
            <w:shd w:val="clear" w:color="auto" w:fill="auto"/>
            <w:noWrap/>
            <w:vAlign w:val="bottom"/>
          </w:tcPr>
          <w:p w14:paraId="372E3DC4"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2526</w:t>
            </w:r>
          </w:p>
        </w:tc>
      </w:tr>
      <w:tr w:rsidR="0079049C" w:rsidRPr="00424274" w14:paraId="3EFBE7CC" w14:textId="77777777" w:rsidTr="00E70569">
        <w:trPr>
          <w:trHeight w:val="300"/>
        </w:trPr>
        <w:tc>
          <w:tcPr>
            <w:tcW w:w="3097" w:type="dxa"/>
            <w:tcBorders>
              <w:top w:val="nil"/>
              <w:left w:val="single" w:sz="4" w:space="0" w:color="auto"/>
              <w:bottom w:val="single" w:sz="4" w:space="0" w:color="auto"/>
              <w:right w:val="single" w:sz="4" w:space="0" w:color="auto"/>
            </w:tcBorders>
            <w:shd w:val="clear" w:color="auto" w:fill="auto"/>
            <w:noWrap/>
            <w:vAlign w:val="bottom"/>
          </w:tcPr>
          <w:p w14:paraId="349CEF6A" w14:textId="77777777" w:rsidR="0079049C" w:rsidRPr="00424274" w:rsidRDefault="0079049C" w:rsidP="0079049C">
            <w:pPr>
              <w:widowControl/>
              <w:jc w:val="left"/>
              <w:rPr>
                <w:rFonts w:ascii="Arial" w:hAnsi="Arial"/>
                <w:color w:val="000000"/>
                <w:sz w:val="20"/>
                <w:lang w:eastAsia="sl-SI"/>
              </w:rPr>
            </w:pPr>
            <w:proofErr w:type="spellStart"/>
            <w:r w:rsidRPr="00424274">
              <w:rPr>
                <w:rFonts w:ascii="Arial" w:hAnsi="Arial"/>
                <w:color w:val="000000"/>
                <w:sz w:val="20"/>
                <w:lang w:eastAsia="sl-SI"/>
              </w:rPr>
              <w:t>Saint</w:t>
            </w:r>
            <w:proofErr w:type="spellEnd"/>
            <w:r w:rsidRPr="00424274">
              <w:rPr>
                <w:rFonts w:ascii="Arial" w:hAnsi="Arial"/>
                <w:color w:val="000000"/>
                <w:sz w:val="20"/>
                <w:lang w:eastAsia="sl-SI"/>
              </w:rPr>
              <w:t xml:space="preserve"> Vincent in Grenadine</w:t>
            </w:r>
          </w:p>
        </w:tc>
        <w:tc>
          <w:tcPr>
            <w:tcW w:w="1357" w:type="dxa"/>
            <w:tcBorders>
              <w:top w:val="nil"/>
              <w:left w:val="nil"/>
              <w:bottom w:val="single" w:sz="4" w:space="0" w:color="auto"/>
              <w:right w:val="single" w:sz="4" w:space="0" w:color="auto"/>
            </w:tcBorders>
            <w:shd w:val="clear" w:color="auto" w:fill="auto"/>
            <w:noWrap/>
            <w:vAlign w:val="bottom"/>
          </w:tcPr>
          <w:p w14:paraId="039983A9" w14:textId="77777777" w:rsidR="0079049C" w:rsidRPr="00424274" w:rsidRDefault="0079049C" w:rsidP="0079049C">
            <w:pPr>
              <w:widowControl/>
              <w:jc w:val="right"/>
              <w:rPr>
                <w:rFonts w:ascii="Arial" w:hAnsi="Arial"/>
                <w:color w:val="000000"/>
                <w:sz w:val="20"/>
                <w:lang w:eastAsia="sl-SI"/>
              </w:rPr>
            </w:pPr>
          </w:p>
        </w:tc>
        <w:tc>
          <w:tcPr>
            <w:tcW w:w="1603" w:type="dxa"/>
            <w:tcBorders>
              <w:top w:val="nil"/>
              <w:left w:val="nil"/>
              <w:bottom w:val="single" w:sz="4" w:space="0" w:color="auto"/>
              <w:right w:val="single" w:sz="4" w:space="0" w:color="auto"/>
            </w:tcBorders>
            <w:shd w:val="clear" w:color="auto" w:fill="auto"/>
            <w:noWrap/>
            <w:vAlign w:val="bottom"/>
          </w:tcPr>
          <w:p w14:paraId="335CAF2E" w14:textId="77777777" w:rsidR="0079049C" w:rsidRPr="00424274" w:rsidRDefault="0079049C" w:rsidP="0079049C">
            <w:pPr>
              <w:widowControl/>
              <w:jc w:val="right"/>
              <w:rPr>
                <w:rFonts w:ascii="Arial" w:hAnsi="Arial"/>
                <w:color w:val="000000"/>
                <w:sz w:val="20"/>
                <w:lang w:eastAsia="sl-SI"/>
              </w:rPr>
            </w:pPr>
          </w:p>
        </w:tc>
        <w:tc>
          <w:tcPr>
            <w:tcW w:w="1432" w:type="dxa"/>
            <w:tcBorders>
              <w:top w:val="nil"/>
              <w:left w:val="nil"/>
              <w:bottom w:val="single" w:sz="4" w:space="0" w:color="auto"/>
              <w:right w:val="single" w:sz="4" w:space="0" w:color="auto"/>
            </w:tcBorders>
            <w:shd w:val="clear" w:color="auto" w:fill="auto"/>
            <w:noWrap/>
            <w:vAlign w:val="bottom"/>
          </w:tcPr>
          <w:p w14:paraId="05B947D0"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62.961.324</w:t>
            </w:r>
          </w:p>
        </w:tc>
        <w:tc>
          <w:tcPr>
            <w:tcW w:w="1528" w:type="dxa"/>
            <w:tcBorders>
              <w:top w:val="nil"/>
              <w:left w:val="nil"/>
              <w:bottom w:val="single" w:sz="4" w:space="0" w:color="auto"/>
              <w:right w:val="single" w:sz="4" w:space="0" w:color="auto"/>
            </w:tcBorders>
            <w:shd w:val="clear" w:color="auto" w:fill="auto"/>
            <w:noWrap/>
            <w:vAlign w:val="bottom"/>
          </w:tcPr>
          <w:p w14:paraId="3004B0B5"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170</w:t>
            </w:r>
          </w:p>
        </w:tc>
      </w:tr>
      <w:tr w:rsidR="0079049C" w:rsidRPr="00424274" w14:paraId="723E5461" w14:textId="77777777" w:rsidTr="00E70569">
        <w:trPr>
          <w:trHeight w:val="300"/>
        </w:trPr>
        <w:tc>
          <w:tcPr>
            <w:tcW w:w="3097" w:type="dxa"/>
            <w:tcBorders>
              <w:top w:val="nil"/>
              <w:left w:val="single" w:sz="4" w:space="0" w:color="auto"/>
              <w:bottom w:val="single" w:sz="4" w:space="0" w:color="auto"/>
              <w:right w:val="single" w:sz="4" w:space="0" w:color="auto"/>
            </w:tcBorders>
            <w:shd w:val="clear" w:color="auto" w:fill="auto"/>
            <w:noWrap/>
            <w:vAlign w:val="bottom"/>
          </w:tcPr>
          <w:p w14:paraId="60F840FE" w14:textId="77777777" w:rsidR="0079049C" w:rsidRPr="00424274" w:rsidRDefault="0079049C" w:rsidP="0079049C">
            <w:pPr>
              <w:widowControl/>
              <w:jc w:val="left"/>
              <w:rPr>
                <w:rFonts w:ascii="Arial" w:hAnsi="Arial"/>
                <w:color w:val="000000"/>
                <w:sz w:val="20"/>
                <w:lang w:eastAsia="sl-SI"/>
              </w:rPr>
            </w:pPr>
            <w:r w:rsidRPr="00424274">
              <w:rPr>
                <w:rFonts w:ascii="Arial" w:hAnsi="Arial"/>
                <w:color w:val="000000"/>
                <w:sz w:val="20"/>
                <w:lang w:eastAsia="sl-SI"/>
              </w:rPr>
              <w:t>Egipt</w:t>
            </w:r>
          </w:p>
        </w:tc>
        <w:tc>
          <w:tcPr>
            <w:tcW w:w="1357" w:type="dxa"/>
            <w:tcBorders>
              <w:top w:val="nil"/>
              <w:left w:val="nil"/>
              <w:bottom w:val="single" w:sz="4" w:space="0" w:color="auto"/>
              <w:right w:val="single" w:sz="4" w:space="0" w:color="auto"/>
            </w:tcBorders>
            <w:shd w:val="clear" w:color="auto" w:fill="auto"/>
            <w:noWrap/>
            <w:vAlign w:val="bottom"/>
          </w:tcPr>
          <w:p w14:paraId="2EE23FD8"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4.062.993</w:t>
            </w:r>
          </w:p>
        </w:tc>
        <w:tc>
          <w:tcPr>
            <w:tcW w:w="1603" w:type="dxa"/>
            <w:tcBorders>
              <w:top w:val="nil"/>
              <w:left w:val="nil"/>
              <w:bottom w:val="single" w:sz="4" w:space="0" w:color="auto"/>
              <w:right w:val="single" w:sz="4" w:space="0" w:color="auto"/>
            </w:tcBorders>
            <w:shd w:val="clear" w:color="auto" w:fill="auto"/>
            <w:noWrap/>
            <w:vAlign w:val="bottom"/>
          </w:tcPr>
          <w:p w14:paraId="38B806B4"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67</w:t>
            </w:r>
          </w:p>
        </w:tc>
        <w:tc>
          <w:tcPr>
            <w:tcW w:w="1432" w:type="dxa"/>
            <w:tcBorders>
              <w:top w:val="nil"/>
              <w:left w:val="nil"/>
              <w:bottom w:val="single" w:sz="4" w:space="0" w:color="auto"/>
              <w:right w:val="single" w:sz="4" w:space="0" w:color="auto"/>
            </w:tcBorders>
            <w:shd w:val="clear" w:color="auto" w:fill="auto"/>
            <w:noWrap/>
            <w:vAlign w:val="bottom"/>
          </w:tcPr>
          <w:p w14:paraId="06E5FAF1"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25.397.006</w:t>
            </w:r>
          </w:p>
        </w:tc>
        <w:tc>
          <w:tcPr>
            <w:tcW w:w="1528" w:type="dxa"/>
            <w:tcBorders>
              <w:top w:val="nil"/>
              <w:left w:val="nil"/>
              <w:bottom w:val="single" w:sz="4" w:space="0" w:color="auto"/>
              <w:right w:val="single" w:sz="4" w:space="0" w:color="auto"/>
            </w:tcBorders>
            <w:shd w:val="clear" w:color="auto" w:fill="auto"/>
            <w:noWrap/>
            <w:vAlign w:val="bottom"/>
          </w:tcPr>
          <w:p w14:paraId="3FD890F8"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151</w:t>
            </w:r>
          </w:p>
        </w:tc>
      </w:tr>
      <w:tr w:rsidR="0079049C" w:rsidRPr="00424274" w14:paraId="464FBF71" w14:textId="77777777" w:rsidTr="00E70569">
        <w:trPr>
          <w:trHeight w:val="300"/>
        </w:trPr>
        <w:tc>
          <w:tcPr>
            <w:tcW w:w="3097" w:type="dxa"/>
            <w:tcBorders>
              <w:top w:val="nil"/>
              <w:left w:val="single" w:sz="4" w:space="0" w:color="auto"/>
              <w:bottom w:val="single" w:sz="4" w:space="0" w:color="auto"/>
              <w:right w:val="single" w:sz="4" w:space="0" w:color="auto"/>
            </w:tcBorders>
            <w:shd w:val="clear" w:color="auto" w:fill="auto"/>
            <w:noWrap/>
            <w:vAlign w:val="bottom"/>
          </w:tcPr>
          <w:p w14:paraId="5C3808B8" w14:textId="77777777" w:rsidR="0079049C" w:rsidRPr="00424274" w:rsidRDefault="0079049C" w:rsidP="0079049C">
            <w:pPr>
              <w:widowControl/>
              <w:jc w:val="left"/>
              <w:rPr>
                <w:rFonts w:ascii="Arial" w:hAnsi="Arial"/>
                <w:color w:val="000000"/>
                <w:sz w:val="20"/>
                <w:lang w:eastAsia="sl-SI"/>
              </w:rPr>
            </w:pPr>
            <w:r w:rsidRPr="00424274">
              <w:rPr>
                <w:rFonts w:ascii="Arial" w:hAnsi="Arial"/>
                <w:color w:val="000000"/>
                <w:sz w:val="20"/>
                <w:lang w:eastAsia="sl-SI"/>
              </w:rPr>
              <w:t>Ukrajina</w:t>
            </w:r>
          </w:p>
        </w:tc>
        <w:tc>
          <w:tcPr>
            <w:tcW w:w="1357" w:type="dxa"/>
            <w:tcBorders>
              <w:top w:val="nil"/>
              <w:left w:val="nil"/>
              <w:bottom w:val="single" w:sz="4" w:space="0" w:color="auto"/>
              <w:right w:val="single" w:sz="4" w:space="0" w:color="auto"/>
            </w:tcBorders>
            <w:shd w:val="clear" w:color="auto" w:fill="auto"/>
            <w:noWrap/>
            <w:vAlign w:val="bottom"/>
          </w:tcPr>
          <w:p w14:paraId="6CB361DE"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3.272.060</w:t>
            </w:r>
          </w:p>
        </w:tc>
        <w:tc>
          <w:tcPr>
            <w:tcW w:w="1603" w:type="dxa"/>
            <w:tcBorders>
              <w:top w:val="nil"/>
              <w:left w:val="nil"/>
              <w:bottom w:val="single" w:sz="4" w:space="0" w:color="auto"/>
              <w:right w:val="single" w:sz="4" w:space="0" w:color="auto"/>
            </w:tcBorders>
            <w:shd w:val="clear" w:color="auto" w:fill="auto"/>
            <w:noWrap/>
            <w:vAlign w:val="bottom"/>
          </w:tcPr>
          <w:p w14:paraId="38BE787C"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32</w:t>
            </w:r>
          </w:p>
        </w:tc>
        <w:tc>
          <w:tcPr>
            <w:tcW w:w="1432" w:type="dxa"/>
            <w:tcBorders>
              <w:top w:val="nil"/>
              <w:left w:val="nil"/>
              <w:bottom w:val="single" w:sz="4" w:space="0" w:color="auto"/>
              <w:right w:val="single" w:sz="4" w:space="0" w:color="auto"/>
            </w:tcBorders>
            <w:shd w:val="clear" w:color="auto" w:fill="auto"/>
            <w:noWrap/>
            <w:vAlign w:val="bottom"/>
          </w:tcPr>
          <w:p w14:paraId="7E210A2E"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21.013.490</w:t>
            </w:r>
          </w:p>
        </w:tc>
        <w:tc>
          <w:tcPr>
            <w:tcW w:w="1528" w:type="dxa"/>
            <w:tcBorders>
              <w:top w:val="nil"/>
              <w:left w:val="nil"/>
              <w:bottom w:val="single" w:sz="4" w:space="0" w:color="auto"/>
              <w:right w:val="single" w:sz="4" w:space="0" w:color="auto"/>
            </w:tcBorders>
            <w:shd w:val="clear" w:color="auto" w:fill="auto"/>
            <w:noWrap/>
            <w:vAlign w:val="bottom"/>
          </w:tcPr>
          <w:p w14:paraId="54907E72"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472</w:t>
            </w:r>
          </w:p>
        </w:tc>
      </w:tr>
      <w:tr w:rsidR="0079049C" w:rsidRPr="00424274" w14:paraId="183E5AB2" w14:textId="77777777" w:rsidTr="00E70569">
        <w:trPr>
          <w:trHeight w:val="300"/>
        </w:trPr>
        <w:tc>
          <w:tcPr>
            <w:tcW w:w="3097" w:type="dxa"/>
            <w:tcBorders>
              <w:top w:val="nil"/>
              <w:left w:val="single" w:sz="4" w:space="0" w:color="auto"/>
              <w:bottom w:val="single" w:sz="4" w:space="0" w:color="auto"/>
              <w:right w:val="single" w:sz="4" w:space="0" w:color="auto"/>
            </w:tcBorders>
            <w:shd w:val="clear" w:color="auto" w:fill="auto"/>
            <w:noWrap/>
            <w:vAlign w:val="bottom"/>
          </w:tcPr>
          <w:p w14:paraId="7C703EB2" w14:textId="77777777" w:rsidR="0079049C" w:rsidRPr="00424274" w:rsidRDefault="0079049C" w:rsidP="0079049C">
            <w:pPr>
              <w:widowControl/>
              <w:jc w:val="left"/>
              <w:rPr>
                <w:rFonts w:ascii="Arial" w:hAnsi="Arial"/>
                <w:color w:val="000000"/>
                <w:sz w:val="20"/>
                <w:lang w:eastAsia="sl-SI"/>
              </w:rPr>
            </w:pPr>
            <w:r w:rsidRPr="00424274">
              <w:rPr>
                <w:rFonts w:ascii="Arial" w:hAnsi="Arial"/>
                <w:color w:val="000000"/>
                <w:sz w:val="20"/>
                <w:lang w:eastAsia="sl-SI"/>
              </w:rPr>
              <w:t>Kolumbija</w:t>
            </w:r>
          </w:p>
        </w:tc>
        <w:tc>
          <w:tcPr>
            <w:tcW w:w="1357" w:type="dxa"/>
            <w:tcBorders>
              <w:top w:val="nil"/>
              <w:left w:val="nil"/>
              <w:bottom w:val="single" w:sz="4" w:space="0" w:color="auto"/>
              <w:right w:val="single" w:sz="4" w:space="0" w:color="auto"/>
            </w:tcBorders>
            <w:shd w:val="clear" w:color="auto" w:fill="auto"/>
            <w:noWrap/>
            <w:vAlign w:val="bottom"/>
          </w:tcPr>
          <w:p w14:paraId="79221B09"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17.599.280</w:t>
            </w:r>
          </w:p>
        </w:tc>
        <w:tc>
          <w:tcPr>
            <w:tcW w:w="1603" w:type="dxa"/>
            <w:tcBorders>
              <w:top w:val="nil"/>
              <w:left w:val="nil"/>
              <w:bottom w:val="single" w:sz="4" w:space="0" w:color="auto"/>
              <w:right w:val="single" w:sz="4" w:space="0" w:color="auto"/>
            </w:tcBorders>
            <w:shd w:val="clear" w:color="auto" w:fill="auto"/>
            <w:noWrap/>
            <w:vAlign w:val="bottom"/>
          </w:tcPr>
          <w:p w14:paraId="2C742986"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42</w:t>
            </w:r>
          </w:p>
        </w:tc>
        <w:tc>
          <w:tcPr>
            <w:tcW w:w="1432" w:type="dxa"/>
            <w:tcBorders>
              <w:top w:val="nil"/>
              <w:left w:val="nil"/>
              <w:bottom w:val="single" w:sz="4" w:space="0" w:color="auto"/>
              <w:right w:val="single" w:sz="4" w:space="0" w:color="auto"/>
            </w:tcBorders>
            <w:shd w:val="clear" w:color="auto" w:fill="auto"/>
            <w:noWrap/>
            <w:vAlign w:val="bottom"/>
          </w:tcPr>
          <w:p w14:paraId="7F69B9E4"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21.560</w:t>
            </w:r>
          </w:p>
        </w:tc>
        <w:tc>
          <w:tcPr>
            <w:tcW w:w="1528" w:type="dxa"/>
            <w:tcBorders>
              <w:top w:val="nil"/>
              <w:left w:val="nil"/>
              <w:bottom w:val="single" w:sz="4" w:space="0" w:color="auto"/>
              <w:right w:val="single" w:sz="4" w:space="0" w:color="auto"/>
            </w:tcBorders>
            <w:shd w:val="clear" w:color="auto" w:fill="auto"/>
            <w:noWrap/>
            <w:vAlign w:val="bottom"/>
          </w:tcPr>
          <w:p w14:paraId="160D5338"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1</w:t>
            </w:r>
          </w:p>
        </w:tc>
      </w:tr>
      <w:tr w:rsidR="0079049C" w:rsidRPr="00424274" w14:paraId="72330435" w14:textId="77777777" w:rsidTr="00E70569">
        <w:trPr>
          <w:trHeight w:val="300"/>
        </w:trPr>
        <w:tc>
          <w:tcPr>
            <w:tcW w:w="3097" w:type="dxa"/>
            <w:tcBorders>
              <w:top w:val="nil"/>
              <w:left w:val="single" w:sz="4" w:space="0" w:color="auto"/>
              <w:bottom w:val="single" w:sz="4" w:space="0" w:color="auto"/>
              <w:right w:val="single" w:sz="4" w:space="0" w:color="auto"/>
            </w:tcBorders>
            <w:shd w:val="clear" w:color="auto" w:fill="auto"/>
            <w:noWrap/>
            <w:vAlign w:val="bottom"/>
          </w:tcPr>
          <w:p w14:paraId="2B2A1FDA" w14:textId="77777777" w:rsidR="0079049C" w:rsidRPr="00424274" w:rsidRDefault="0079049C" w:rsidP="0079049C">
            <w:pPr>
              <w:widowControl/>
              <w:jc w:val="left"/>
              <w:rPr>
                <w:rFonts w:ascii="Arial" w:hAnsi="Arial"/>
                <w:color w:val="000000"/>
                <w:sz w:val="20"/>
                <w:lang w:eastAsia="sl-SI"/>
              </w:rPr>
            </w:pPr>
            <w:r w:rsidRPr="00424274">
              <w:rPr>
                <w:rFonts w:ascii="Arial" w:hAnsi="Arial"/>
                <w:color w:val="000000"/>
                <w:sz w:val="20"/>
                <w:lang w:eastAsia="sl-SI"/>
              </w:rPr>
              <w:t>Belize</w:t>
            </w:r>
          </w:p>
        </w:tc>
        <w:tc>
          <w:tcPr>
            <w:tcW w:w="1357" w:type="dxa"/>
            <w:tcBorders>
              <w:top w:val="nil"/>
              <w:left w:val="nil"/>
              <w:bottom w:val="single" w:sz="4" w:space="0" w:color="auto"/>
              <w:right w:val="single" w:sz="4" w:space="0" w:color="auto"/>
            </w:tcBorders>
            <w:shd w:val="clear" w:color="auto" w:fill="auto"/>
            <w:noWrap/>
            <w:vAlign w:val="bottom"/>
          </w:tcPr>
          <w:p w14:paraId="0A14C916"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555.803</w:t>
            </w:r>
          </w:p>
        </w:tc>
        <w:tc>
          <w:tcPr>
            <w:tcW w:w="1603" w:type="dxa"/>
            <w:tcBorders>
              <w:top w:val="nil"/>
              <w:left w:val="nil"/>
              <w:bottom w:val="single" w:sz="4" w:space="0" w:color="auto"/>
              <w:right w:val="single" w:sz="4" w:space="0" w:color="auto"/>
            </w:tcBorders>
            <w:shd w:val="clear" w:color="auto" w:fill="auto"/>
            <w:noWrap/>
            <w:vAlign w:val="bottom"/>
          </w:tcPr>
          <w:p w14:paraId="5A731121"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13</w:t>
            </w:r>
          </w:p>
        </w:tc>
        <w:tc>
          <w:tcPr>
            <w:tcW w:w="1432" w:type="dxa"/>
            <w:tcBorders>
              <w:top w:val="nil"/>
              <w:left w:val="nil"/>
              <w:bottom w:val="single" w:sz="4" w:space="0" w:color="auto"/>
              <w:right w:val="single" w:sz="4" w:space="0" w:color="auto"/>
            </w:tcBorders>
            <w:shd w:val="clear" w:color="auto" w:fill="auto"/>
            <w:noWrap/>
            <w:vAlign w:val="bottom"/>
          </w:tcPr>
          <w:p w14:paraId="0B650B6A"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15.153.274</w:t>
            </w:r>
          </w:p>
        </w:tc>
        <w:tc>
          <w:tcPr>
            <w:tcW w:w="1528" w:type="dxa"/>
            <w:tcBorders>
              <w:top w:val="nil"/>
              <w:left w:val="nil"/>
              <w:bottom w:val="single" w:sz="4" w:space="0" w:color="auto"/>
              <w:right w:val="single" w:sz="4" w:space="0" w:color="auto"/>
            </w:tcBorders>
            <w:shd w:val="clear" w:color="auto" w:fill="auto"/>
            <w:noWrap/>
            <w:vAlign w:val="bottom"/>
          </w:tcPr>
          <w:p w14:paraId="3E738E9D"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35</w:t>
            </w:r>
          </w:p>
        </w:tc>
      </w:tr>
      <w:tr w:rsidR="0079049C" w:rsidRPr="00424274" w14:paraId="1230BF9E" w14:textId="77777777" w:rsidTr="00E70569">
        <w:trPr>
          <w:trHeight w:val="300"/>
        </w:trPr>
        <w:tc>
          <w:tcPr>
            <w:tcW w:w="3097" w:type="dxa"/>
            <w:tcBorders>
              <w:top w:val="nil"/>
              <w:left w:val="single" w:sz="4" w:space="0" w:color="auto"/>
              <w:bottom w:val="single" w:sz="4" w:space="0" w:color="auto"/>
              <w:right w:val="single" w:sz="4" w:space="0" w:color="auto"/>
            </w:tcBorders>
            <w:shd w:val="clear" w:color="auto" w:fill="auto"/>
            <w:noWrap/>
            <w:vAlign w:val="bottom"/>
          </w:tcPr>
          <w:p w14:paraId="2A356A07" w14:textId="77777777" w:rsidR="0079049C" w:rsidRPr="00424274" w:rsidRDefault="0079049C" w:rsidP="0079049C">
            <w:pPr>
              <w:widowControl/>
              <w:jc w:val="left"/>
              <w:rPr>
                <w:rFonts w:ascii="Arial" w:hAnsi="Arial"/>
                <w:color w:val="000000"/>
                <w:sz w:val="20"/>
                <w:lang w:eastAsia="sl-SI"/>
              </w:rPr>
            </w:pPr>
            <w:r w:rsidRPr="00424274">
              <w:rPr>
                <w:rFonts w:ascii="Arial" w:hAnsi="Arial"/>
                <w:color w:val="000000"/>
                <w:sz w:val="20"/>
                <w:lang w:eastAsia="sl-SI"/>
              </w:rPr>
              <w:t>Liechtenstein</w:t>
            </w:r>
          </w:p>
        </w:tc>
        <w:tc>
          <w:tcPr>
            <w:tcW w:w="1357" w:type="dxa"/>
            <w:tcBorders>
              <w:top w:val="nil"/>
              <w:left w:val="nil"/>
              <w:bottom w:val="single" w:sz="4" w:space="0" w:color="auto"/>
              <w:right w:val="single" w:sz="4" w:space="0" w:color="auto"/>
            </w:tcBorders>
            <w:shd w:val="clear" w:color="auto" w:fill="auto"/>
            <w:noWrap/>
            <w:vAlign w:val="bottom"/>
          </w:tcPr>
          <w:p w14:paraId="5E316349" w14:textId="77777777" w:rsidR="0079049C" w:rsidRPr="00424274" w:rsidRDefault="0079049C" w:rsidP="0079049C">
            <w:pPr>
              <w:widowControl/>
              <w:jc w:val="right"/>
              <w:rPr>
                <w:rFonts w:ascii="Arial" w:hAnsi="Arial"/>
                <w:color w:val="000000"/>
                <w:sz w:val="20"/>
                <w:lang w:eastAsia="sl-SI"/>
              </w:rPr>
            </w:pPr>
          </w:p>
        </w:tc>
        <w:tc>
          <w:tcPr>
            <w:tcW w:w="1603" w:type="dxa"/>
            <w:tcBorders>
              <w:top w:val="nil"/>
              <w:left w:val="nil"/>
              <w:bottom w:val="single" w:sz="4" w:space="0" w:color="auto"/>
              <w:right w:val="single" w:sz="4" w:space="0" w:color="auto"/>
            </w:tcBorders>
            <w:shd w:val="clear" w:color="auto" w:fill="auto"/>
            <w:noWrap/>
            <w:vAlign w:val="bottom"/>
          </w:tcPr>
          <w:p w14:paraId="27BAD212" w14:textId="77777777" w:rsidR="0079049C" w:rsidRPr="00424274" w:rsidRDefault="0079049C" w:rsidP="0079049C">
            <w:pPr>
              <w:widowControl/>
              <w:jc w:val="right"/>
              <w:rPr>
                <w:rFonts w:ascii="Arial" w:hAnsi="Arial"/>
                <w:color w:val="000000"/>
                <w:sz w:val="20"/>
                <w:lang w:eastAsia="sl-SI"/>
              </w:rPr>
            </w:pPr>
          </w:p>
        </w:tc>
        <w:tc>
          <w:tcPr>
            <w:tcW w:w="1432" w:type="dxa"/>
            <w:tcBorders>
              <w:top w:val="nil"/>
              <w:left w:val="nil"/>
              <w:bottom w:val="single" w:sz="4" w:space="0" w:color="auto"/>
              <w:right w:val="single" w:sz="4" w:space="0" w:color="auto"/>
            </w:tcBorders>
            <w:shd w:val="clear" w:color="auto" w:fill="auto"/>
            <w:noWrap/>
            <w:vAlign w:val="bottom"/>
          </w:tcPr>
          <w:p w14:paraId="4519BB41"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12.894.682</w:t>
            </w:r>
          </w:p>
        </w:tc>
        <w:tc>
          <w:tcPr>
            <w:tcW w:w="1528" w:type="dxa"/>
            <w:tcBorders>
              <w:top w:val="nil"/>
              <w:left w:val="nil"/>
              <w:bottom w:val="single" w:sz="4" w:space="0" w:color="auto"/>
              <w:right w:val="single" w:sz="4" w:space="0" w:color="auto"/>
            </w:tcBorders>
            <w:shd w:val="clear" w:color="auto" w:fill="auto"/>
            <w:noWrap/>
            <w:vAlign w:val="bottom"/>
          </w:tcPr>
          <w:p w14:paraId="073187BB"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271</w:t>
            </w:r>
          </w:p>
        </w:tc>
      </w:tr>
      <w:tr w:rsidR="0079049C" w:rsidRPr="00424274" w14:paraId="06D4CCD2" w14:textId="77777777" w:rsidTr="00E70569">
        <w:trPr>
          <w:trHeight w:val="300"/>
        </w:trPr>
        <w:tc>
          <w:tcPr>
            <w:tcW w:w="3097" w:type="dxa"/>
            <w:tcBorders>
              <w:top w:val="nil"/>
              <w:left w:val="single" w:sz="4" w:space="0" w:color="auto"/>
              <w:bottom w:val="single" w:sz="4" w:space="0" w:color="auto"/>
              <w:right w:val="single" w:sz="4" w:space="0" w:color="auto"/>
            </w:tcBorders>
            <w:shd w:val="clear" w:color="auto" w:fill="auto"/>
            <w:noWrap/>
            <w:vAlign w:val="bottom"/>
          </w:tcPr>
          <w:p w14:paraId="7333CA17" w14:textId="77777777" w:rsidR="0079049C" w:rsidRPr="00424274" w:rsidRDefault="0079049C" w:rsidP="0079049C">
            <w:pPr>
              <w:widowControl/>
              <w:jc w:val="left"/>
              <w:rPr>
                <w:rFonts w:ascii="Arial" w:hAnsi="Arial"/>
                <w:color w:val="000000"/>
                <w:sz w:val="20"/>
                <w:lang w:eastAsia="sl-SI"/>
              </w:rPr>
            </w:pPr>
            <w:r w:rsidRPr="00424274">
              <w:rPr>
                <w:rFonts w:ascii="Arial" w:hAnsi="Arial"/>
                <w:color w:val="000000"/>
                <w:sz w:val="20"/>
                <w:lang w:eastAsia="sl-SI"/>
              </w:rPr>
              <w:t>Združeni arabski emirati</w:t>
            </w:r>
          </w:p>
        </w:tc>
        <w:tc>
          <w:tcPr>
            <w:tcW w:w="1357" w:type="dxa"/>
            <w:tcBorders>
              <w:top w:val="nil"/>
              <w:left w:val="nil"/>
              <w:bottom w:val="single" w:sz="4" w:space="0" w:color="auto"/>
              <w:right w:val="single" w:sz="4" w:space="0" w:color="auto"/>
            </w:tcBorders>
            <w:shd w:val="clear" w:color="auto" w:fill="auto"/>
            <w:noWrap/>
            <w:vAlign w:val="bottom"/>
          </w:tcPr>
          <w:p w14:paraId="24DCCF51"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4.306.821</w:t>
            </w:r>
          </w:p>
        </w:tc>
        <w:tc>
          <w:tcPr>
            <w:tcW w:w="1603" w:type="dxa"/>
            <w:tcBorders>
              <w:top w:val="nil"/>
              <w:left w:val="nil"/>
              <w:bottom w:val="single" w:sz="4" w:space="0" w:color="auto"/>
              <w:right w:val="single" w:sz="4" w:space="0" w:color="auto"/>
            </w:tcBorders>
            <w:shd w:val="clear" w:color="auto" w:fill="auto"/>
            <w:noWrap/>
            <w:vAlign w:val="bottom"/>
          </w:tcPr>
          <w:p w14:paraId="460A0CC0"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70</w:t>
            </w:r>
          </w:p>
        </w:tc>
        <w:tc>
          <w:tcPr>
            <w:tcW w:w="1432" w:type="dxa"/>
            <w:tcBorders>
              <w:top w:val="nil"/>
              <w:left w:val="nil"/>
              <w:bottom w:val="single" w:sz="4" w:space="0" w:color="auto"/>
              <w:right w:val="single" w:sz="4" w:space="0" w:color="auto"/>
            </w:tcBorders>
            <w:shd w:val="clear" w:color="auto" w:fill="auto"/>
            <w:noWrap/>
            <w:vAlign w:val="bottom"/>
          </w:tcPr>
          <w:p w14:paraId="0A97EFAE"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6.947.807</w:t>
            </w:r>
          </w:p>
        </w:tc>
        <w:tc>
          <w:tcPr>
            <w:tcW w:w="1528" w:type="dxa"/>
            <w:tcBorders>
              <w:top w:val="nil"/>
              <w:left w:val="nil"/>
              <w:bottom w:val="single" w:sz="4" w:space="0" w:color="auto"/>
              <w:right w:val="single" w:sz="4" w:space="0" w:color="auto"/>
            </w:tcBorders>
            <w:shd w:val="clear" w:color="auto" w:fill="auto"/>
            <w:noWrap/>
            <w:vAlign w:val="bottom"/>
          </w:tcPr>
          <w:p w14:paraId="01D29618"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90</w:t>
            </w:r>
          </w:p>
        </w:tc>
      </w:tr>
      <w:tr w:rsidR="0079049C" w:rsidRPr="00424274" w14:paraId="552B6208" w14:textId="77777777" w:rsidTr="00E70569">
        <w:trPr>
          <w:trHeight w:val="300"/>
        </w:trPr>
        <w:tc>
          <w:tcPr>
            <w:tcW w:w="3097" w:type="dxa"/>
            <w:tcBorders>
              <w:top w:val="nil"/>
              <w:left w:val="single" w:sz="4" w:space="0" w:color="auto"/>
              <w:bottom w:val="single" w:sz="4" w:space="0" w:color="auto"/>
              <w:right w:val="single" w:sz="4" w:space="0" w:color="auto"/>
            </w:tcBorders>
            <w:shd w:val="clear" w:color="auto" w:fill="auto"/>
            <w:noWrap/>
            <w:vAlign w:val="bottom"/>
          </w:tcPr>
          <w:p w14:paraId="2CC24D50" w14:textId="77777777" w:rsidR="0079049C" w:rsidRPr="00424274" w:rsidRDefault="0079049C" w:rsidP="0079049C">
            <w:pPr>
              <w:widowControl/>
              <w:jc w:val="left"/>
              <w:rPr>
                <w:rFonts w:ascii="Arial" w:hAnsi="Arial"/>
                <w:color w:val="000000"/>
                <w:sz w:val="20"/>
                <w:lang w:eastAsia="sl-SI"/>
              </w:rPr>
            </w:pPr>
            <w:r w:rsidRPr="00424274">
              <w:rPr>
                <w:rFonts w:ascii="Arial" w:hAnsi="Arial"/>
                <w:color w:val="000000"/>
                <w:sz w:val="20"/>
                <w:lang w:eastAsia="sl-SI"/>
              </w:rPr>
              <w:t>Malezija</w:t>
            </w:r>
          </w:p>
        </w:tc>
        <w:tc>
          <w:tcPr>
            <w:tcW w:w="1357" w:type="dxa"/>
            <w:tcBorders>
              <w:top w:val="nil"/>
              <w:left w:val="nil"/>
              <w:bottom w:val="single" w:sz="4" w:space="0" w:color="auto"/>
              <w:right w:val="single" w:sz="4" w:space="0" w:color="auto"/>
            </w:tcBorders>
            <w:shd w:val="clear" w:color="auto" w:fill="auto"/>
            <w:noWrap/>
            <w:vAlign w:val="bottom"/>
          </w:tcPr>
          <w:p w14:paraId="351CC94D"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8.624.415</w:t>
            </w:r>
          </w:p>
        </w:tc>
        <w:tc>
          <w:tcPr>
            <w:tcW w:w="1603" w:type="dxa"/>
            <w:tcBorders>
              <w:top w:val="nil"/>
              <w:left w:val="nil"/>
              <w:bottom w:val="single" w:sz="4" w:space="0" w:color="auto"/>
              <w:right w:val="single" w:sz="4" w:space="0" w:color="auto"/>
            </w:tcBorders>
            <w:shd w:val="clear" w:color="auto" w:fill="auto"/>
            <w:noWrap/>
            <w:vAlign w:val="bottom"/>
          </w:tcPr>
          <w:p w14:paraId="2C6351FF"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177</w:t>
            </w:r>
          </w:p>
        </w:tc>
        <w:tc>
          <w:tcPr>
            <w:tcW w:w="1432" w:type="dxa"/>
            <w:tcBorders>
              <w:top w:val="nil"/>
              <w:left w:val="nil"/>
              <w:bottom w:val="single" w:sz="4" w:space="0" w:color="auto"/>
              <w:right w:val="single" w:sz="4" w:space="0" w:color="auto"/>
            </w:tcBorders>
            <w:shd w:val="clear" w:color="auto" w:fill="auto"/>
            <w:noWrap/>
            <w:vAlign w:val="bottom"/>
          </w:tcPr>
          <w:p w14:paraId="794D7C9C"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1.820.038</w:t>
            </w:r>
          </w:p>
        </w:tc>
        <w:tc>
          <w:tcPr>
            <w:tcW w:w="1528" w:type="dxa"/>
            <w:tcBorders>
              <w:top w:val="nil"/>
              <w:left w:val="nil"/>
              <w:bottom w:val="single" w:sz="4" w:space="0" w:color="auto"/>
              <w:right w:val="single" w:sz="4" w:space="0" w:color="auto"/>
            </w:tcBorders>
            <w:shd w:val="clear" w:color="auto" w:fill="auto"/>
            <w:noWrap/>
            <w:vAlign w:val="bottom"/>
          </w:tcPr>
          <w:p w14:paraId="2CB2747B"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34</w:t>
            </w:r>
          </w:p>
        </w:tc>
      </w:tr>
      <w:tr w:rsidR="0079049C" w:rsidRPr="00424274" w14:paraId="22CEBBEA" w14:textId="77777777" w:rsidTr="00E70569">
        <w:trPr>
          <w:trHeight w:val="300"/>
        </w:trPr>
        <w:tc>
          <w:tcPr>
            <w:tcW w:w="3097" w:type="dxa"/>
            <w:tcBorders>
              <w:top w:val="nil"/>
              <w:left w:val="single" w:sz="4" w:space="0" w:color="auto"/>
              <w:bottom w:val="single" w:sz="4" w:space="0" w:color="auto"/>
              <w:right w:val="single" w:sz="4" w:space="0" w:color="auto"/>
            </w:tcBorders>
            <w:shd w:val="clear" w:color="auto" w:fill="auto"/>
            <w:noWrap/>
            <w:vAlign w:val="bottom"/>
          </w:tcPr>
          <w:p w14:paraId="7C5CB474" w14:textId="77777777" w:rsidR="0079049C" w:rsidRPr="00424274" w:rsidRDefault="0079049C" w:rsidP="0079049C">
            <w:pPr>
              <w:widowControl/>
              <w:jc w:val="left"/>
              <w:rPr>
                <w:rFonts w:ascii="Arial" w:hAnsi="Arial"/>
                <w:color w:val="000000"/>
                <w:sz w:val="20"/>
                <w:lang w:eastAsia="sl-SI"/>
              </w:rPr>
            </w:pPr>
            <w:r w:rsidRPr="00424274">
              <w:rPr>
                <w:rFonts w:ascii="Arial" w:hAnsi="Arial"/>
                <w:color w:val="000000"/>
                <w:sz w:val="20"/>
                <w:lang w:eastAsia="sl-SI"/>
              </w:rPr>
              <w:t>Maroko</w:t>
            </w:r>
          </w:p>
        </w:tc>
        <w:tc>
          <w:tcPr>
            <w:tcW w:w="1357" w:type="dxa"/>
            <w:tcBorders>
              <w:top w:val="nil"/>
              <w:left w:val="nil"/>
              <w:bottom w:val="single" w:sz="4" w:space="0" w:color="auto"/>
              <w:right w:val="single" w:sz="4" w:space="0" w:color="auto"/>
            </w:tcBorders>
            <w:shd w:val="clear" w:color="auto" w:fill="auto"/>
            <w:noWrap/>
            <w:vAlign w:val="bottom"/>
          </w:tcPr>
          <w:p w14:paraId="0B83C765"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1.428.620</w:t>
            </w:r>
          </w:p>
        </w:tc>
        <w:tc>
          <w:tcPr>
            <w:tcW w:w="1603" w:type="dxa"/>
            <w:tcBorders>
              <w:top w:val="nil"/>
              <w:left w:val="nil"/>
              <w:bottom w:val="single" w:sz="4" w:space="0" w:color="auto"/>
              <w:right w:val="single" w:sz="4" w:space="0" w:color="auto"/>
            </w:tcBorders>
            <w:shd w:val="clear" w:color="auto" w:fill="auto"/>
            <w:noWrap/>
            <w:vAlign w:val="bottom"/>
          </w:tcPr>
          <w:p w14:paraId="59852DE7"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60</w:t>
            </w:r>
          </w:p>
        </w:tc>
        <w:tc>
          <w:tcPr>
            <w:tcW w:w="1432" w:type="dxa"/>
            <w:tcBorders>
              <w:top w:val="nil"/>
              <w:left w:val="nil"/>
              <w:bottom w:val="single" w:sz="4" w:space="0" w:color="auto"/>
              <w:right w:val="single" w:sz="4" w:space="0" w:color="auto"/>
            </w:tcBorders>
            <w:shd w:val="clear" w:color="auto" w:fill="auto"/>
            <w:noWrap/>
            <w:vAlign w:val="bottom"/>
          </w:tcPr>
          <w:p w14:paraId="653EEA4E"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8.770.975</w:t>
            </w:r>
          </w:p>
        </w:tc>
        <w:tc>
          <w:tcPr>
            <w:tcW w:w="1528" w:type="dxa"/>
            <w:tcBorders>
              <w:top w:val="nil"/>
              <w:left w:val="nil"/>
              <w:bottom w:val="single" w:sz="4" w:space="0" w:color="auto"/>
              <w:right w:val="single" w:sz="4" w:space="0" w:color="auto"/>
            </w:tcBorders>
            <w:shd w:val="clear" w:color="auto" w:fill="auto"/>
            <w:noWrap/>
            <w:vAlign w:val="bottom"/>
          </w:tcPr>
          <w:p w14:paraId="39AFA80D"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38</w:t>
            </w:r>
          </w:p>
        </w:tc>
      </w:tr>
      <w:tr w:rsidR="0079049C" w:rsidRPr="00424274" w14:paraId="1FDFD77E" w14:textId="77777777" w:rsidTr="00E70569">
        <w:trPr>
          <w:trHeight w:val="300"/>
        </w:trPr>
        <w:tc>
          <w:tcPr>
            <w:tcW w:w="3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BB488" w14:textId="77777777" w:rsidR="0079049C" w:rsidRPr="00424274" w:rsidRDefault="0079049C" w:rsidP="0079049C">
            <w:pPr>
              <w:widowControl/>
              <w:jc w:val="left"/>
              <w:rPr>
                <w:rFonts w:ascii="Arial" w:hAnsi="Arial"/>
                <w:color w:val="000000"/>
                <w:sz w:val="20"/>
                <w:lang w:eastAsia="sl-SI"/>
              </w:rPr>
            </w:pPr>
            <w:r w:rsidRPr="00424274">
              <w:rPr>
                <w:rFonts w:ascii="Arial" w:hAnsi="Arial"/>
                <w:color w:val="000000"/>
                <w:sz w:val="20"/>
                <w:lang w:eastAsia="sl-SI"/>
              </w:rPr>
              <w:t>Bahami</w:t>
            </w:r>
          </w:p>
        </w:tc>
        <w:tc>
          <w:tcPr>
            <w:tcW w:w="1357" w:type="dxa"/>
            <w:tcBorders>
              <w:top w:val="single" w:sz="4" w:space="0" w:color="auto"/>
              <w:left w:val="nil"/>
              <w:bottom w:val="single" w:sz="4" w:space="0" w:color="auto"/>
              <w:right w:val="single" w:sz="4" w:space="0" w:color="auto"/>
            </w:tcBorders>
            <w:shd w:val="clear" w:color="auto" w:fill="auto"/>
            <w:noWrap/>
            <w:vAlign w:val="bottom"/>
          </w:tcPr>
          <w:p w14:paraId="0C19ABE9"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115.989</w:t>
            </w:r>
          </w:p>
        </w:tc>
        <w:tc>
          <w:tcPr>
            <w:tcW w:w="1603" w:type="dxa"/>
            <w:tcBorders>
              <w:top w:val="single" w:sz="4" w:space="0" w:color="auto"/>
              <w:left w:val="nil"/>
              <w:bottom w:val="single" w:sz="4" w:space="0" w:color="auto"/>
              <w:right w:val="single" w:sz="4" w:space="0" w:color="auto"/>
            </w:tcBorders>
            <w:shd w:val="clear" w:color="auto" w:fill="auto"/>
            <w:noWrap/>
            <w:vAlign w:val="bottom"/>
          </w:tcPr>
          <w:p w14:paraId="4FE4CFB4"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3</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1800FFDD"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9.990.783</w:t>
            </w:r>
          </w:p>
        </w:tc>
        <w:tc>
          <w:tcPr>
            <w:tcW w:w="1528" w:type="dxa"/>
            <w:tcBorders>
              <w:top w:val="single" w:sz="4" w:space="0" w:color="auto"/>
              <w:left w:val="nil"/>
              <w:bottom w:val="single" w:sz="4" w:space="0" w:color="auto"/>
              <w:right w:val="single" w:sz="4" w:space="0" w:color="auto"/>
            </w:tcBorders>
            <w:shd w:val="clear" w:color="auto" w:fill="auto"/>
            <w:noWrap/>
            <w:vAlign w:val="bottom"/>
          </w:tcPr>
          <w:p w14:paraId="79648218"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12</w:t>
            </w:r>
          </w:p>
        </w:tc>
      </w:tr>
      <w:tr w:rsidR="0079049C" w:rsidRPr="00424274" w14:paraId="1C9C2AB8" w14:textId="77777777" w:rsidTr="00E70569">
        <w:trPr>
          <w:trHeight w:val="300"/>
        </w:trPr>
        <w:tc>
          <w:tcPr>
            <w:tcW w:w="3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5AD184" w14:textId="77777777" w:rsidR="0079049C" w:rsidRPr="00424274" w:rsidRDefault="0079049C" w:rsidP="0079049C">
            <w:pPr>
              <w:widowControl/>
              <w:jc w:val="left"/>
              <w:rPr>
                <w:rFonts w:ascii="Arial" w:hAnsi="Arial"/>
                <w:color w:val="000000"/>
                <w:sz w:val="20"/>
                <w:lang w:eastAsia="sl-SI"/>
              </w:rPr>
            </w:pPr>
            <w:r w:rsidRPr="00424274">
              <w:rPr>
                <w:rFonts w:ascii="Arial" w:hAnsi="Arial"/>
                <w:color w:val="000000"/>
                <w:sz w:val="20"/>
                <w:lang w:eastAsia="sl-SI"/>
              </w:rPr>
              <w:t>Pakistan</w:t>
            </w:r>
          </w:p>
        </w:tc>
        <w:tc>
          <w:tcPr>
            <w:tcW w:w="1357" w:type="dxa"/>
            <w:tcBorders>
              <w:top w:val="single" w:sz="4" w:space="0" w:color="auto"/>
              <w:left w:val="nil"/>
              <w:bottom w:val="single" w:sz="4" w:space="0" w:color="auto"/>
              <w:right w:val="single" w:sz="4" w:space="0" w:color="auto"/>
            </w:tcBorders>
            <w:shd w:val="clear" w:color="auto" w:fill="auto"/>
            <w:noWrap/>
            <w:vAlign w:val="bottom"/>
          </w:tcPr>
          <w:p w14:paraId="5C249F80"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3.881.550</w:t>
            </w:r>
          </w:p>
        </w:tc>
        <w:tc>
          <w:tcPr>
            <w:tcW w:w="1603" w:type="dxa"/>
            <w:tcBorders>
              <w:top w:val="single" w:sz="4" w:space="0" w:color="auto"/>
              <w:left w:val="nil"/>
              <w:bottom w:val="single" w:sz="4" w:space="0" w:color="auto"/>
              <w:right w:val="single" w:sz="4" w:space="0" w:color="auto"/>
            </w:tcBorders>
            <w:shd w:val="clear" w:color="auto" w:fill="auto"/>
            <w:noWrap/>
            <w:vAlign w:val="bottom"/>
          </w:tcPr>
          <w:p w14:paraId="0407D695"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79</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3BBFC6E1"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1.923.414</w:t>
            </w:r>
          </w:p>
        </w:tc>
        <w:tc>
          <w:tcPr>
            <w:tcW w:w="1528" w:type="dxa"/>
            <w:tcBorders>
              <w:top w:val="single" w:sz="4" w:space="0" w:color="auto"/>
              <w:left w:val="nil"/>
              <w:bottom w:val="single" w:sz="4" w:space="0" w:color="auto"/>
              <w:right w:val="single" w:sz="4" w:space="0" w:color="auto"/>
            </w:tcBorders>
            <w:shd w:val="clear" w:color="auto" w:fill="auto"/>
            <w:noWrap/>
            <w:vAlign w:val="bottom"/>
          </w:tcPr>
          <w:p w14:paraId="473D7AC8"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51</w:t>
            </w:r>
          </w:p>
        </w:tc>
      </w:tr>
      <w:tr w:rsidR="0079049C" w:rsidRPr="00424274" w14:paraId="6674D535" w14:textId="77777777" w:rsidTr="00E70569">
        <w:trPr>
          <w:trHeight w:val="300"/>
        </w:trPr>
        <w:tc>
          <w:tcPr>
            <w:tcW w:w="3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1F8313" w14:textId="77777777" w:rsidR="0079049C" w:rsidRPr="00424274" w:rsidRDefault="0079049C" w:rsidP="0079049C">
            <w:pPr>
              <w:widowControl/>
              <w:jc w:val="left"/>
              <w:rPr>
                <w:rFonts w:ascii="Arial" w:hAnsi="Arial"/>
                <w:color w:val="000000"/>
                <w:sz w:val="20"/>
                <w:lang w:eastAsia="sl-SI"/>
              </w:rPr>
            </w:pPr>
            <w:r w:rsidRPr="00424274">
              <w:rPr>
                <w:rFonts w:ascii="Arial" w:hAnsi="Arial"/>
                <w:color w:val="000000"/>
                <w:sz w:val="20"/>
                <w:lang w:eastAsia="sl-SI"/>
              </w:rPr>
              <w:t>Albanija</w:t>
            </w:r>
          </w:p>
        </w:tc>
        <w:tc>
          <w:tcPr>
            <w:tcW w:w="1357" w:type="dxa"/>
            <w:tcBorders>
              <w:top w:val="single" w:sz="4" w:space="0" w:color="auto"/>
              <w:left w:val="nil"/>
              <w:bottom w:val="single" w:sz="4" w:space="0" w:color="auto"/>
              <w:right w:val="single" w:sz="4" w:space="0" w:color="auto"/>
            </w:tcBorders>
            <w:shd w:val="clear" w:color="auto" w:fill="auto"/>
            <w:noWrap/>
            <w:vAlign w:val="bottom"/>
          </w:tcPr>
          <w:p w14:paraId="09F44C84"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225.397</w:t>
            </w:r>
          </w:p>
        </w:tc>
        <w:tc>
          <w:tcPr>
            <w:tcW w:w="1603" w:type="dxa"/>
            <w:tcBorders>
              <w:top w:val="single" w:sz="4" w:space="0" w:color="auto"/>
              <w:left w:val="nil"/>
              <w:bottom w:val="single" w:sz="4" w:space="0" w:color="auto"/>
              <w:right w:val="single" w:sz="4" w:space="0" w:color="auto"/>
            </w:tcBorders>
            <w:shd w:val="clear" w:color="auto" w:fill="auto"/>
            <w:noWrap/>
            <w:vAlign w:val="bottom"/>
          </w:tcPr>
          <w:p w14:paraId="7C282AE8"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3</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2C030702"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7.726.430</w:t>
            </w:r>
          </w:p>
        </w:tc>
        <w:tc>
          <w:tcPr>
            <w:tcW w:w="1528" w:type="dxa"/>
            <w:tcBorders>
              <w:top w:val="single" w:sz="4" w:space="0" w:color="auto"/>
              <w:left w:val="nil"/>
              <w:bottom w:val="single" w:sz="4" w:space="0" w:color="auto"/>
              <w:right w:val="single" w:sz="4" w:space="0" w:color="auto"/>
            </w:tcBorders>
            <w:shd w:val="clear" w:color="auto" w:fill="auto"/>
            <w:noWrap/>
            <w:vAlign w:val="bottom"/>
          </w:tcPr>
          <w:p w14:paraId="0B30B3F8"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124</w:t>
            </w:r>
          </w:p>
        </w:tc>
      </w:tr>
      <w:tr w:rsidR="0079049C" w:rsidRPr="00424274" w14:paraId="2F301AD7" w14:textId="77777777" w:rsidTr="00E70569">
        <w:trPr>
          <w:trHeight w:val="300"/>
        </w:trPr>
        <w:tc>
          <w:tcPr>
            <w:tcW w:w="3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244139" w14:textId="77777777" w:rsidR="0079049C" w:rsidRPr="00424274" w:rsidRDefault="0079049C" w:rsidP="0079049C">
            <w:pPr>
              <w:widowControl/>
              <w:jc w:val="left"/>
              <w:rPr>
                <w:rFonts w:ascii="Arial" w:hAnsi="Arial"/>
                <w:color w:val="000000"/>
                <w:sz w:val="20"/>
                <w:lang w:eastAsia="sl-SI"/>
              </w:rPr>
            </w:pPr>
            <w:r w:rsidRPr="00424274">
              <w:rPr>
                <w:rFonts w:ascii="Arial" w:hAnsi="Arial"/>
                <w:color w:val="000000"/>
                <w:sz w:val="20"/>
                <w:lang w:eastAsia="sl-SI"/>
              </w:rPr>
              <w:t>Tunizija</w:t>
            </w:r>
          </w:p>
        </w:tc>
        <w:tc>
          <w:tcPr>
            <w:tcW w:w="1357" w:type="dxa"/>
            <w:tcBorders>
              <w:top w:val="single" w:sz="4" w:space="0" w:color="auto"/>
              <w:left w:val="nil"/>
              <w:bottom w:val="single" w:sz="4" w:space="0" w:color="auto"/>
              <w:right w:val="single" w:sz="4" w:space="0" w:color="auto"/>
            </w:tcBorders>
            <w:shd w:val="clear" w:color="auto" w:fill="auto"/>
            <w:noWrap/>
            <w:vAlign w:val="bottom"/>
          </w:tcPr>
          <w:p w14:paraId="28E701EC"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1.001.264</w:t>
            </w:r>
          </w:p>
        </w:tc>
        <w:tc>
          <w:tcPr>
            <w:tcW w:w="1603" w:type="dxa"/>
            <w:tcBorders>
              <w:top w:val="single" w:sz="4" w:space="0" w:color="auto"/>
              <w:left w:val="nil"/>
              <w:bottom w:val="single" w:sz="4" w:space="0" w:color="auto"/>
              <w:right w:val="single" w:sz="4" w:space="0" w:color="auto"/>
            </w:tcBorders>
            <w:shd w:val="clear" w:color="auto" w:fill="auto"/>
            <w:noWrap/>
            <w:vAlign w:val="bottom"/>
          </w:tcPr>
          <w:p w14:paraId="414188E3"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26</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0A2D3141"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1.474.217</w:t>
            </w:r>
          </w:p>
        </w:tc>
        <w:tc>
          <w:tcPr>
            <w:tcW w:w="1528" w:type="dxa"/>
            <w:tcBorders>
              <w:top w:val="single" w:sz="4" w:space="0" w:color="auto"/>
              <w:left w:val="nil"/>
              <w:bottom w:val="single" w:sz="4" w:space="0" w:color="auto"/>
              <w:right w:val="single" w:sz="4" w:space="0" w:color="auto"/>
            </w:tcBorders>
            <w:shd w:val="clear" w:color="auto" w:fill="auto"/>
            <w:noWrap/>
            <w:vAlign w:val="bottom"/>
          </w:tcPr>
          <w:p w14:paraId="02C7345A"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41</w:t>
            </w:r>
          </w:p>
        </w:tc>
      </w:tr>
      <w:tr w:rsidR="0079049C" w:rsidRPr="00424274" w14:paraId="1FDDD493" w14:textId="77777777" w:rsidTr="00E70569">
        <w:trPr>
          <w:trHeight w:val="300"/>
        </w:trPr>
        <w:tc>
          <w:tcPr>
            <w:tcW w:w="3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28226" w14:textId="77777777" w:rsidR="0079049C" w:rsidRPr="00424274" w:rsidRDefault="0079049C" w:rsidP="0079049C">
            <w:pPr>
              <w:widowControl/>
              <w:jc w:val="left"/>
              <w:rPr>
                <w:rFonts w:ascii="Arial" w:hAnsi="Arial"/>
                <w:color w:val="000000"/>
                <w:sz w:val="20"/>
                <w:lang w:eastAsia="sl-SI"/>
              </w:rPr>
            </w:pPr>
            <w:r w:rsidRPr="00424274">
              <w:rPr>
                <w:rFonts w:ascii="Arial" w:hAnsi="Arial"/>
                <w:color w:val="000000"/>
                <w:sz w:val="20"/>
                <w:lang w:eastAsia="sl-SI"/>
              </w:rPr>
              <w:t>Indonezija</w:t>
            </w:r>
          </w:p>
        </w:tc>
        <w:tc>
          <w:tcPr>
            <w:tcW w:w="1357" w:type="dxa"/>
            <w:tcBorders>
              <w:top w:val="single" w:sz="4" w:space="0" w:color="auto"/>
              <w:left w:val="nil"/>
              <w:bottom w:val="single" w:sz="4" w:space="0" w:color="auto"/>
              <w:right w:val="single" w:sz="4" w:space="0" w:color="auto"/>
            </w:tcBorders>
            <w:shd w:val="clear" w:color="auto" w:fill="auto"/>
            <w:noWrap/>
            <w:vAlign w:val="bottom"/>
          </w:tcPr>
          <w:p w14:paraId="20C7C6B2"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824.910</w:t>
            </w:r>
          </w:p>
        </w:tc>
        <w:tc>
          <w:tcPr>
            <w:tcW w:w="1603" w:type="dxa"/>
            <w:tcBorders>
              <w:top w:val="single" w:sz="4" w:space="0" w:color="auto"/>
              <w:left w:val="nil"/>
              <w:bottom w:val="single" w:sz="4" w:space="0" w:color="auto"/>
              <w:right w:val="single" w:sz="4" w:space="0" w:color="auto"/>
            </w:tcBorders>
            <w:shd w:val="clear" w:color="auto" w:fill="auto"/>
            <w:noWrap/>
            <w:vAlign w:val="bottom"/>
          </w:tcPr>
          <w:p w14:paraId="2B1E5ACE"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26</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468E56E5"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1.854.336</w:t>
            </w:r>
          </w:p>
        </w:tc>
        <w:tc>
          <w:tcPr>
            <w:tcW w:w="1528" w:type="dxa"/>
            <w:tcBorders>
              <w:top w:val="single" w:sz="4" w:space="0" w:color="auto"/>
              <w:left w:val="nil"/>
              <w:bottom w:val="single" w:sz="4" w:space="0" w:color="auto"/>
              <w:right w:val="single" w:sz="4" w:space="0" w:color="auto"/>
            </w:tcBorders>
            <w:shd w:val="clear" w:color="auto" w:fill="auto"/>
            <w:noWrap/>
            <w:vAlign w:val="bottom"/>
          </w:tcPr>
          <w:p w14:paraId="5DA862A9"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38</w:t>
            </w:r>
          </w:p>
        </w:tc>
      </w:tr>
      <w:tr w:rsidR="0079049C" w:rsidRPr="00424274" w14:paraId="60F5D899" w14:textId="77777777" w:rsidTr="00E70569">
        <w:trPr>
          <w:trHeight w:val="300"/>
        </w:trPr>
        <w:tc>
          <w:tcPr>
            <w:tcW w:w="3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0C374" w14:textId="77777777" w:rsidR="0079049C" w:rsidRPr="00424274" w:rsidRDefault="0079049C" w:rsidP="0079049C">
            <w:pPr>
              <w:widowControl/>
              <w:jc w:val="left"/>
              <w:rPr>
                <w:rFonts w:ascii="Arial" w:hAnsi="Arial"/>
                <w:color w:val="000000"/>
                <w:sz w:val="20"/>
                <w:lang w:eastAsia="sl-SI"/>
              </w:rPr>
            </w:pPr>
            <w:r w:rsidRPr="00424274">
              <w:rPr>
                <w:rFonts w:ascii="Arial" w:hAnsi="Arial"/>
                <w:color w:val="000000"/>
                <w:sz w:val="20"/>
                <w:lang w:eastAsia="sl-SI"/>
              </w:rPr>
              <w:t>Mehika</w:t>
            </w:r>
          </w:p>
        </w:tc>
        <w:tc>
          <w:tcPr>
            <w:tcW w:w="1357" w:type="dxa"/>
            <w:tcBorders>
              <w:top w:val="single" w:sz="4" w:space="0" w:color="auto"/>
              <w:left w:val="nil"/>
              <w:bottom w:val="single" w:sz="4" w:space="0" w:color="auto"/>
              <w:right w:val="single" w:sz="4" w:space="0" w:color="auto"/>
            </w:tcBorders>
            <w:shd w:val="clear" w:color="auto" w:fill="auto"/>
            <w:noWrap/>
            <w:vAlign w:val="bottom"/>
          </w:tcPr>
          <w:p w14:paraId="15C6E786"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3.789.476</w:t>
            </w:r>
          </w:p>
        </w:tc>
        <w:tc>
          <w:tcPr>
            <w:tcW w:w="1603" w:type="dxa"/>
            <w:tcBorders>
              <w:top w:val="single" w:sz="4" w:space="0" w:color="auto"/>
              <w:left w:val="nil"/>
              <w:bottom w:val="single" w:sz="4" w:space="0" w:color="auto"/>
              <w:right w:val="single" w:sz="4" w:space="0" w:color="auto"/>
            </w:tcBorders>
            <w:shd w:val="clear" w:color="auto" w:fill="auto"/>
            <w:noWrap/>
            <w:vAlign w:val="bottom"/>
          </w:tcPr>
          <w:p w14:paraId="0AACC3DE"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33</w:t>
            </w: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20E2DA5E"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794.024</w:t>
            </w:r>
          </w:p>
        </w:tc>
        <w:tc>
          <w:tcPr>
            <w:tcW w:w="1528" w:type="dxa"/>
            <w:tcBorders>
              <w:top w:val="single" w:sz="4" w:space="0" w:color="auto"/>
              <w:left w:val="nil"/>
              <w:bottom w:val="single" w:sz="4" w:space="0" w:color="auto"/>
              <w:right w:val="single" w:sz="4" w:space="0" w:color="auto"/>
            </w:tcBorders>
            <w:shd w:val="clear" w:color="auto" w:fill="auto"/>
            <w:noWrap/>
            <w:vAlign w:val="bottom"/>
          </w:tcPr>
          <w:p w14:paraId="39DFFCE6"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29</w:t>
            </w:r>
          </w:p>
        </w:tc>
      </w:tr>
      <w:tr w:rsidR="0079049C" w:rsidRPr="00424274" w14:paraId="2400AD3A" w14:textId="77777777" w:rsidTr="00E70569">
        <w:trPr>
          <w:trHeight w:val="300"/>
        </w:trPr>
        <w:tc>
          <w:tcPr>
            <w:tcW w:w="3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8345A4" w14:textId="77777777" w:rsidR="0079049C" w:rsidRPr="00424274" w:rsidRDefault="0079049C" w:rsidP="0079049C">
            <w:pPr>
              <w:widowControl/>
              <w:jc w:val="left"/>
              <w:rPr>
                <w:rFonts w:ascii="Arial" w:hAnsi="Arial"/>
                <w:color w:val="000000"/>
                <w:sz w:val="20"/>
                <w:lang w:eastAsia="sl-SI"/>
              </w:rPr>
            </w:pPr>
            <w:r w:rsidRPr="00424274">
              <w:rPr>
                <w:rFonts w:ascii="Arial" w:hAnsi="Arial"/>
                <w:color w:val="000000"/>
                <w:sz w:val="20"/>
                <w:lang w:eastAsia="sl-SI"/>
              </w:rPr>
              <w:t>Islandija</w:t>
            </w:r>
          </w:p>
        </w:tc>
        <w:tc>
          <w:tcPr>
            <w:tcW w:w="1357" w:type="dxa"/>
            <w:tcBorders>
              <w:top w:val="single" w:sz="4" w:space="0" w:color="auto"/>
              <w:left w:val="nil"/>
              <w:bottom w:val="single" w:sz="4" w:space="0" w:color="auto"/>
              <w:right w:val="single" w:sz="4" w:space="0" w:color="auto"/>
            </w:tcBorders>
            <w:shd w:val="clear" w:color="auto" w:fill="auto"/>
            <w:noWrap/>
            <w:vAlign w:val="bottom"/>
          </w:tcPr>
          <w:p w14:paraId="1113792D" w14:textId="77777777" w:rsidR="0079049C" w:rsidRPr="00424274" w:rsidRDefault="0079049C" w:rsidP="0079049C">
            <w:pPr>
              <w:widowControl/>
              <w:jc w:val="right"/>
              <w:rPr>
                <w:rFonts w:ascii="Arial" w:hAnsi="Arial"/>
                <w:color w:val="000000"/>
                <w:sz w:val="20"/>
                <w:lang w:eastAsia="sl-SI"/>
              </w:rPr>
            </w:pPr>
          </w:p>
        </w:tc>
        <w:tc>
          <w:tcPr>
            <w:tcW w:w="1603" w:type="dxa"/>
            <w:tcBorders>
              <w:top w:val="single" w:sz="4" w:space="0" w:color="auto"/>
              <w:left w:val="nil"/>
              <w:bottom w:val="single" w:sz="4" w:space="0" w:color="auto"/>
              <w:right w:val="single" w:sz="4" w:space="0" w:color="auto"/>
            </w:tcBorders>
            <w:shd w:val="clear" w:color="auto" w:fill="auto"/>
            <w:noWrap/>
            <w:vAlign w:val="bottom"/>
          </w:tcPr>
          <w:p w14:paraId="331C6999" w14:textId="77777777" w:rsidR="0079049C" w:rsidRPr="00424274" w:rsidRDefault="0079049C" w:rsidP="0079049C">
            <w:pPr>
              <w:widowControl/>
              <w:jc w:val="right"/>
              <w:rPr>
                <w:rFonts w:ascii="Arial" w:hAnsi="Arial"/>
                <w:color w:val="000000"/>
                <w:sz w:val="20"/>
                <w:lang w:eastAsia="sl-SI"/>
              </w:rPr>
            </w:pPr>
          </w:p>
        </w:tc>
        <w:tc>
          <w:tcPr>
            <w:tcW w:w="1432" w:type="dxa"/>
            <w:tcBorders>
              <w:top w:val="single" w:sz="4" w:space="0" w:color="auto"/>
              <w:left w:val="nil"/>
              <w:bottom w:val="single" w:sz="4" w:space="0" w:color="auto"/>
              <w:right w:val="single" w:sz="4" w:space="0" w:color="auto"/>
            </w:tcBorders>
            <w:shd w:val="clear" w:color="auto" w:fill="auto"/>
            <w:noWrap/>
            <w:vAlign w:val="bottom"/>
          </w:tcPr>
          <w:p w14:paraId="640BD98A"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2.547.462</w:t>
            </w:r>
          </w:p>
        </w:tc>
        <w:tc>
          <w:tcPr>
            <w:tcW w:w="1528" w:type="dxa"/>
            <w:tcBorders>
              <w:top w:val="single" w:sz="4" w:space="0" w:color="auto"/>
              <w:left w:val="nil"/>
              <w:bottom w:val="single" w:sz="4" w:space="0" w:color="auto"/>
              <w:right w:val="single" w:sz="4" w:space="0" w:color="auto"/>
            </w:tcBorders>
            <w:shd w:val="clear" w:color="auto" w:fill="auto"/>
            <w:noWrap/>
            <w:vAlign w:val="bottom"/>
          </w:tcPr>
          <w:p w14:paraId="35A55D7F" w14:textId="77777777" w:rsidR="0079049C" w:rsidRPr="00424274" w:rsidRDefault="0079049C" w:rsidP="0079049C">
            <w:pPr>
              <w:widowControl/>
              <w:jc w:val="right"/>
              <w:rPr>
                <w:rFonts w:ascii="Arial" w:hAnsi="Arial"/>
                <w:color w:val="000000"/>
                <w:sz w:val="20"/>
                <w:lang w:eastAsia="sl-SI"/>
              </w:rPr>
            </w:pPr>
            <w:r w:rsidRPr="00424274">
              <w:rPr>
                <w:rFonts w:ascii="Arial" w:hAnsi="Arial"/>
                <w:color w:val="000000"/>
                <w:sz w:val="20"/>
                <w:lang w:eastAsia="sl-SI"/>
              </w:rPr>
              <w:t>58</w:t>
            </w:r>
          </w:p>
        </w:tc>
      </w:tr>
    </w:tbl>
    <w:p w14:paraId="290CC13A" w14:textId="695D9F97" w:rsidR="0079049C" w:rsidRPr="00424274" w:rsidRDefault="0079049C" w:rsidP="00C94D7D">
      <w:pPr>
        <w:tabs>
          <w:tab w:val="left" w:pos="-1049"/>
          <w:tab w:val="left" w:pos="-689"/>
          <w:tab w:val="left" w:pos="0"/>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rFonts w:ascii="Arial" w:hAnsi="Arial"/>
          <w:b/>
          <w:i/>
          <w:sz w:val="20"/>
        </w:rPr>
      </w:pPr>
    </w:p>
    <w:p w14:paraId="7ACEF574" w14:textId="78D3C9CC" w:rsidR="007021FD" w:rsidRPr="00424274" w:rsidRDefault="007021FD" w:rsidP="007021FD">
      <w:pPr>
        <w:tabs>
          <w:tab w:val="left" w:pos="-1049"/>
          <w:tab w:val="left" w:pos="-689"/>
          <w:tab w:val="left" w:pos="0"/>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rFonts w:ascii="Arial" w:hAnsi="Arial"/>
          <w:bCs/>
          <w:iCs/>
          <w:sz w:val="20"/>
        </w:rPr>
      </w:pPr>
      <w:r w:rsidRPr="00424274">
        <w:rPr>
          <w:rFonts w:ascii="Arial" w:hAnsi="Arial"/>
          <w:bCs/>
          <w:iCs/>
          <w:sz w:val="20"/>
        </w:rPr>
        <w:t>Večina transakcij, ali 49 % vseh transakcij pravnim osebam s sedežem v tvegani državi, je bila nakazanih družbam s sedežem v Bosni in Hercegovini, kar predstavlja 45</w:t>
      </w:r>
      <w:r w:rsidR="00EB6478">
        <w:rPr>
          <w:rFonts w:ascii="Arial" w:hAnsi="Arial"/>
          <w:bCs/>
          <w:iCs/>
          <w:sz w:val="20"/>
        </w:rPr>
        <w:t> </w:t>
      </w:r>
      <w:r w:rsidRPr="00424274">
        <w:rPr>
          <w:rFonts w:ascii="Arial" w:hAnsi="Arial"/>
          <w:bCs/>
          <w:iCs/>
          <w:sz w:val="20"/>
        </w:rPr>
        <w:t>% celotnega zneska. V Bosno in Hercegovino je sredstva nakazalo okoli 490 domačih družb. Od celotnega zneska se 14 % nanaša na izplačila pokojnine in 10 % na plačila energentov. Delež nakazil v Bosno in Hercegovino ali osebam s sedežem/prebivališčem v tej državi je precej nižji kot prejšnja leta</w:t>
      </w:r>
      <w:r w:rsidR="00EB6478">
        <w:rPr>
          <w:rFonts w:ascii="Arial" w:hAnsi="Arial"/>
          <w:bCs/>
          <w:iCs/>
          <w:sz w:val="20"/>
        </w:rPr>
        <w:t>,</w:t>
      </w:r>
      <w:r w:rsidRPr="00424274">
        <w:rPr>
          <w:rFonts w:ascii="Arial" w:hAnsi="Arial"/>
          <w:bCs/>
          <w:iCs/>
          <w:sz w:val="20"/>
        </w:rPr>
        <w:t xml:space="preserve"> saj je bila država v juliju 2020 umaknjena </w:t>
      </w:r>
      <w:r w:rsidR="00EB6478">
        <w:rPr>
          <w:rFonts w:ascii="Arial" w:hAnsi="Arial"/>
          <w:bCs/>
          <w:iCs/>
          <w:sz w:val="20"/>
        </w:rPr>
        <w:t>s</w:t>
      </w:r>
      <w:r w:rsidRPr="00424274">
        <w:rPr>
          <w:rFonts w:ascii="Arial" w:hAnsi="Arial"/>
          <w:bCs/>
          <w:iCs/>
          <w:sz w:val="20"/>
        </w:rPr>
        <w:t xml:space="preserve"> seznama tveganih držav. </w:t>
      </w:r>
    </w:p>
    <w:p w14:paraId="7931A2BF" w14:textId="77777777" w:rsidR="007021FD" w:rsidRPr="00424274" w:rsidRDefault="007021FD" w:rsidP="007021FD">
      <w:pPr>
        <w:tabs>
          <w:tab w:val="left" w:pos="-1049"/>
          <w:tab w:val="left" w:pos="-689"/>
          <w:tab w:val="left" w:pos="0"/>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rFonts w:ascii="Arial" w:hAnsi="Arial"/>
          <w:bCs/>
          <w:iCs/>
          <w:sz w:val="20"/>
          <w:highlight w:val="yellow"/>
        </w:rPr>
      </w:pPr>
    </w:p>
    <w:p w14:paraId="003D6B35" w14:textId="728DA4AE" w:rsidR="007021FD" w:rsidRPr="00424274" w:rsidRDefault="007021FD" w:rsidP="007021FD">
      <w:pPr>
        <w:tabs>
          <w:tab w:val="left" w:pos="-1049"/>
          <w:tab w:val="left" w:pos="-689"/>
          <w:tab w:val="left" w:pos="0"/>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rFonts w:ascii="Arial" w:hAnsi="Arial"/>
          <w:bCs/>
          <w:iCs/>
          <w:sz w:val="20"/>
        </w:rPr>
      </w:pPr>
      <w:r w:rsidRPr="00424274">
        <w:rPr>
          <w:rFonts w:ascii="Arial" w:hAnsi="Arial"/>
          <w:bCs/>
          <w:iCs/>
          <w:sz w:val="20"/>
        </w:rPr>
        <w:t xml:space="preserve">Med </w:t>
      </w:r>
      <w:r w:rsidR="00EB6478">
        <w:rPr>
          <w:rFonts w:ascii="Arial" w:hAnsi="Arial"/>
          <w:bCs/>
          <w:iCs/>
          <w:sz w:val="20"/>
        </w:rPr>
        <w:t>pre</w:t>
      </w:r>
      <w:r w:rsidRPr="00424274">
        <w:rPr>
          <w:rFonts w:ascii="Arial" w:hAnsi="Arial"/>
          <w:bCs/>
          <w:iCs/>
          <w:sz w:val="20"/>
        </w:rPr>
        <w:t xml:space="preserve">ostalimi nakazili družbam, ki imajo sedež v tveganih državah, po skupnem znesku nakazil izstopajo še nakazila prejemnikom iz </w:t>
      </w:r>
      <w:proofErr w:type="spellStart"/>
      <w:r w:rsidRPr="00424274">
        <w:rPr>
          <w:rFonts w:ascii="Arial" w:hAnsi="Arial"/>
          <w:bCs/>
          <w:iCs/>
          <w:sz w:val="20"/>
        </w:rPr>
        <w:t>Saint</w:t>
      </w:r>
      <w:proofErr w:type="spellEnd"/>
      <w:r w:rsidRPr="00424274">
        <w:rPr>
          <w:rFonts w:ascii="Arial" w:hAnsi="Arial"/>
          <w:bCs/>
          <w:iCs/>
          <w:sz w:val="20"/>
        </w:rPr>
        <w:t xml:space="preserve"> Vincent in Grenadine v višini 13</w:t>
      </w:r>
      <w:r w:rsidR="00EB6478">
        <w:rPr>
          <w:rFonts w:ascii="Arial" w:hAnsi="Arial"/>
          <w:bCs/>
          <w:iCs/>
          <w:sz w:val="20"/>
        </w:rPr>
        <w:t xml:space="preserve"> </w:t>
      </w:r>
      <w:r w:rsidRPr="00424274">
        <w:rPr>
          <w:rFonts w:ascii="Arial" w:hAnsi="Arial"/>
          <w:bCs/>
          <w:iCs/>
          <w:sz w:val="20"/>
        </w:rPr>
        <w:t>% celotnega zneska, kamor je nakazila izvajala tuja družba, ki se ukvarja z virtualnimi valutami. Po deležu celotnega števila nakazil v tvegane države izstopajo še nakazila prejemnikom iz Ukrajine, kamor je bilo nakazanih skoraj 10</w:t>
      </w:r>
      <w:r w:rsidR="00EB6478">
        <w:rPr>
          <w:rFonts w:ascii="Arial" w:hAnsi="Arial"/>
          <w:bCs/>
          <w:iCs/>
          <w:sz w:val="20"/>
        </w:rPr>
        <w:t> </w:t>
      </w:r>
      <w:r w:rsidRPr="00424274">
        <w:rPr>
          <w:rFonts w:ascii="Arial" w:hAnsi="Arial"/>
          <w:bCs/>
          <w:iCs/>
          <w:sz w:val="20"/>
        </w:rPr>
        <w:t>% nakazil</w:t>
      </w:r>
      <w:r w:rsidR="00EB6478">
        <w:rPr>
          <w:rFonts w:ascii="Arial" w:hAnsi="Arial"/>
          <w:bCs/>
          <w:iCs/>
          <w:sz w:val="20"/>
        </w:rPr>
        <w:t>,</w:t>
      </w:r>
      <w:r w:rsidRPr="00424274">
        <w:rPr>
          <w:rFonts w:ascii="Arial" w:hAnsi="Arial"/>
          <w:bCs/>
          <w:iCs/>
          <w:sz w:val="20"/>
        </w:rPr>
        <w:t xml:space="preserve"> večino njih pa so izvedle slovenske družbe, ki trgujejo z energenti.</w:t>
      </w:r>
    </w:p>
    <w:p w14:paraId="4F46806F" w14:textId="77777777" w:rsidR="007021FD" w:rsidRPr="00424274" w:rsidRDefault="007021FD" w:rsidP="007021FD">
      <w:pPr>
        <w:tabs>
          <w:tab w:val="left" w:pos="-1049"/>
          <w:tab w:val="left" w:pos="-689"/>
          <w:tab w:val="left" w:pos="0"/>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rFonts w:ascii="Arial" w:hAnsi="Arial"/>
          <w:bCs/>
          <w:iCs/>
          <w:sz w:val="20"/>
        </w:rPr>
      </w:pPr>
    </w:p>
    <w:p w14:paraId="5EB9F44C" w14:textId="6FF18301" w:rsidR="007021FD" w:rsidRPr="00424274" w:rsidRDefault="007021FD" w:rsidP="007021FD">
      <w:pPr>
        <w:tabs>
          <w:tab w:val="left" w:pos="-1049"/>
          <w:tab w:val="left" w:pos="-689"/>
          <w:tab w:val="left" w:pos="0"/>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rFonts w:ascii="Arial" w:hAnsi="Arial"/>
          <w:bCs/>
          <w:iCs/>
          <w:sz w:val="20"/>
        </w:rPr>
      </w:pPr>
      <w:r w:rsidRPr="00424274">
        <w:rPr>
          <w:rFonts w:ascii="Arial" w:hAnsi="Arial"/>
          <w:bCs/>
          <w:iCs/>
          <w:sz w:val="20"/>
        </w:rPr>
        <w:t>Po številu transakcij in skupnem znesku izvršenih transakcij iz Slovenije izstopa družba, ki se ukvarja z virtualnimi valutami in je izvršila 4</w:t>
      </w:r>
      <w:r w:rsidR="00EB6478">
        <w:rPr>
          <w:rFonts w:ascii="Arial" w:hAnsi="Arial"/>
          <w:bCs/>
          <w:iCs/>
          <w:sz w:val="20"/>
        </w:rPr>
        <w:t> </w:t>
      </w:r>
      <w:r w:rsidRPr="00424274">
        <w:rPr>
          <w:rFonts w:ascii="Arial" w:hAnsi="Arial"/>
          <w:bCs/>
          <w:iCs/>
          <w:sz w:val="20"/>
        </w:rPr>
        <w:t>% vseh transakcij v tvegane države ter 16</w:t>
      </w:r>
      <w:r w:rsidR="00EB6478">
        <w:rPr>
          <w:rFonts w:ascii="Arial" w:hAnsi="Arial"/>
          <w:bCs/>
          <w:iCs/>
          <w:sz w:val="20"/>
        </w:rPr>
        <w:t> </w:t>
      </w:r>
      <w:r w:rsidRPr="00424274">
        <w:rPr>
          <w:rFonts w:ascii="Arial" w:hAnsi="Arial"/>
          <w:bCs/>
          <w:iCs/>
          <w:sz w:val="20"/>
        </w:rPr>
        <w:t xml:space="preserve">% celotnega zneska. </w:t>
      </w:r>
    </w:p>
    <w:p w14:paraId="2CCF524D" w14:textId="77777777" w:rsidR="005F7CBA" w:rsidRPr="00424274" w:rsidRDefault="005F7CBA" w:rsidP="00D21F86">
      <w:pPr>
        <w:tabs>
          <w:tab w:val="left" w:pos="-1049"/>
          <w:tab w:val="left" w:pos="-689"/>
          <w:tab w:val="left" w:pos="0"/>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rFonts w:ascii="Arial" w:hAnsi="Arial"/>
          <w:bCs/>
          <w:iCs/>
          <w:sz w:val="20"/>
        </w:rPr>
      </w:pPr>
    </w:p>
    <w:p w14:paraId="28952293" w14:textId="1C5E1D70" w:rsidR="00CB10C4" w:rsidRPr="00424274" w:rsidRDefault="00292A8B" w:rsidP="006D5A5A">
      <w:pPr>
        <w:pStyle w:val="Naslov3"/>
      </w:pPr>
      <w:bookmarkStart w:id="32" w:name="_Toc113535451"/>
      <w:r w:rsidRPr="00424274">
        <w:t xml:space="preserve">2.2.2 </w:t>
      </w:r>
      <w:r w:rsidR="00CB10C4" w:rsidRPr="00424274">
        <w:t>Nakazila na račune tujih pravnih oseb na račune</w:t>
      </w:r>
      <w:r w:rsidR="00EB6478">
        <w:t>,</w:t>
      </w:r>
      <w:r w:rsidR="00CB10C4" w:rsidRPr="00424274">
        <w:t xml:space="preserve"> odprte v tveganih državah</w:t>
      </w:r>
      <w:bookmarkEnd w:id="32"/>
    </w:p>
    <w:p w14:paraId="7C5C29A1" w14:textId="77777777" w:rsidR="00851C49" w:rsidRPr="00424274" w:rsidRDefault="00851C49" w:rsidP="00D21F86">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rFonts w:ascii="Arial" w:hAnsi="Arial"/>
          <w:sz w:val="20"/>
        </w:rPr>
      </w:pPr>
    </w:p>
    <w:p w14:paraId="47765233" w14:textId="3D45A916" w:rsidR="00C41881" w:rsidRPr="00424274" w:rsidRDefault="00C41881" w:rsidP="00C41881">
      <w:pPr>
        <w:widowControl/>
        <w:rPr>
          <w:rFonts w:ascii="Arial" w:hAnsi="Arial"/>
          <w:bCs/>
          <w:sz w:val="20"/>
        </w:rPr>
      </w:pPr>
      <w:r w:rsidRPr="00424274">
        <w:rPr>
          <w:rFonts w:ascii="Arial" w:hAnsi="Arial"/>
          <w:bCs/>
          <w:sz w:val="20"/>
        </w:rPr>
        <w:t>Družbam z odprtimi bančnimi računi v tveganih državah je bilo v letu 2020 nakazan</w:t>
      </w:r>
      <w:r w:rsidR="00EB6478">
        <w:rPr>
          <w:rFonts w:ascii="Arial" w:hAnsi="Arial"/>
          <w:bCs/>
          <w:sz w:val="20"/>
        </w:rPr>
        <w:t>ih</w:t>
      </w:r>
      <w:r w:rsidRPr="00424274">
        <w:rPr>
          <w:rFonts w:ascii="Arial" w:hAnsi="Arial"/>
          <w:bCs/>
          <w:sz w:val="20"/>
        </w:rPr>
        <w:t xml:space="preserve"> skupno </w:t>
      </w:r>
      <w:r w:rsidRPr="00424274">
        <w:rPr>
          <w:rFonts w:ascii="Arial" w:hAnsi="Arial"/>
          <w:b/>
          <w:sz w:val="20"/>
        </w:rPr>
        <w:t xml:space="preserve">5.190 transakcij, od tega v valuti evro </w:t>
      </w:r>
      <w:r w:rsidRPr="00424274">
        <w:rPr>
          <w:rFonts w:ascii="Arial" w:hAnsi="Arial"/>
          <w:b/>
          <w:bCs/>
          <w:color w:val="000000"/>
          <w:sz w:val="20"/>
          <w:lang w:eastAsia="sl-SI"/>
        </w:rPr>
        <w:t xml:space="preserve">4.221 </w:t>
      </w:r>
      <w:r w:rsidRPr="00424274">
        <w:rPr>
          <w:rFonts w:ascii="Arial" w:hAnsi="Arial"/>
          <w:b/>
          <w:sz w:val="20"/>
        </w:rPr>
        <w:t xml:space="preserve">transakcij v skupnem znesku </w:t>
      </w:r>
      <w:r w:rsidRPr="00424274">
        <w:rPr>
          <w:rFonts w:ascii="Arial" w:hAnsi="Arial"/>
          <w:b/>
          <w:bCs/>
          <w:color w:val="000000"/>
          <w:sz w:val="20"/>
          <w:lang w:eastAsia="sl-SI"/>
        </w:rPr>
        <w:t xml:space="preserve">507.069.645 </w:t>
      </w:r>
      <w:r w:rsidRPr="00424274">
        <w:rPr>
          <w:rFonts w:ascii="Arial" w:hAnsi="Arial"/>
          <w:b/>
          <w:sz w:val="20"/>
        </w:rPr>
        <w:t xml:space="preserve">EUR in v valuti ameriški dolar 969 transakcij v skupnem znesku </w:t>
      </w:r>
      <w:r w:rsidRPr="00424274">
        <w:rPr>
          <w:rFonts w:ascii="Arial" w:hAnsi="Arial"/>
          <w:b/>
          <w:bCs/>
          <w:color w:val="000000"/>
          <w:sz w:val="20"/>
          <w:lang w:eastAsia="sl-SI"/>
        </w:rPr>
        <w:t xml:space="preserve">66.920.764 </w:t>
      </w:r>
      <w:r w:rsidRPr="00424274">
        <w:rPr>
          <w:rFonts w:ascii="Arial" w:hAnsi="Arial"/>
          <w:b/>
          <w:sz w:val="20"/>
        </w:rPr>
        <w:t>USD.</w:t>
      </w:r>
      <w:r w:rsidRPr="00424274">
        <w:rPr>
          <w:rFonts w:ascii="Arial" w:hAnsi="Arial"/>
          <w:bCs/>
          <w:sz w:val="20"/>
        </w:rPr>
        <w:t xml:space="preserve"> V spodnji </w:t>
      </w:r>
      <w:r w:rsidR="00814A21">
        <w:rPr>
          <w:rFonts w:ascii="Arial" w:hAnsi="Arial"/>
          <w:bCs/>
          <w:sz w:val="20"/>
        </w:rPr>
        <w:t>preglednici</w:t>
      </w:r>
      <w:r w:rsidRPr="00424274">
        <w:rPr>
          <w:rFonts w:ascii="Arial" w:hAnsi="Arial"/>
          <w:bCs/>
          <w:sz w:val="20"/>
        </w:rPr>
        <w:t xml:space="preserve"> prikazujemo seznam tveganih držav, v katerih imajo družbe prejemnice odprte bančne račune, in sicer samo tiste države, </w:t>
      </w:r>
      <w:r w:rsidR="00EB6478">
        <w:rPr>
          <w:rFonts w:ascii="Arial" w:hAnsi="Arial"/>
          <w:bCs/>
          <w:sz w:val="20"/>
        </w:rPr>
        <w:t>v katerih</w:t>
      </w:r>
      <w:r w:rsidR="00EB6478" w:rsidRPr="00424274">
        <w:rPr>
          <w:rFonts w:ascii="Arial" w:hAnsi="Arial"/>
          <w:bCs/>
          <w:sz w:val="20"/>
        </w:rPr>
        <w:t xml:space="preserve"> </w:t>
      </w:r>
      <w:r w:rsidRPr="00424274">
        <w:rPr>
          <w:rFonts w:ascii="Arial" w:hAnsi="Arial"/>
          <w:bCs/>
          <w:sz w:val="20"/>
        </w:rPr>
        <w:t>so družbe prejele skupno več kot 10 mio</w:t>
      </w:r>
      <w:r w:rsidR="00EB6478">
        <w:rPr>
          <w:rFonts w:ascii="Arial" w:hAnsi="Arial"/>
          <w:bCs/>
          <w:sz w:val="20"/>
        </w:rPr>
        <w:t>.</w:t>
      </w:r>
      <w:r w:rsidRPr="00424274">
        <w:rPr>
          <w:rFonts w:ascii="Arial" w:hAnsi="Arial"/>
          <w:bCs/>
          <w:sz w:val="20"/>
        </w:rPr>
        <w:t xml:space="preserve"> EUR ali več kot 50 nakazil.</w:t>
      </w:r>
    </w:p>
    <w:p w14:paraId="409AA253" w14:textId="3944382C" w:rsidR="00526881" w:rsidRPr="00424274" w:rsidRDefault="00526881" w:rsidP="00D21F86">
      <w:pPr>
        <w:widowControl/>
        <w:spacing w:line="276" w:lineRule="auto"/>
        <w:rPr>
          <w:rFonts w:ascii="Arial" w:hAnsi="Arial"/>
          <w:bCs/>
          <w:sz w:val="20"/>
        </w:rPr>
      </w:pPr>
    </w:p>
    <w:p w14:paraId="092BB6DF" w14:textId="6D13360B" w:rsidR="00296ED3" w:rsidRPr="00424274" w:rsidRDefault="00296ED3" w:rsidP="00D21F86">
      <w:pPr>
        <w:widowControl/>
        <w:spacing w:line="276" w:lineRule="auto"/>
        <w:rPr>
          <w:rFonts w:ascii="Arial" w:hAnsi="Arial"/>
          <w:bCs/>
          <w:sz w:val="20"/>
        </w:rPr>
      </w:pPr>
    </w:p>
    <w:p w14:paraId="150D2435" w14:textId="3432C16C" w:rsidR="00296ED3" w:rsidRPr="00424274" w:rsidRDefault="00296ED3" w:rsidP="00D21F86">
      <w:pPr>
        <w:widowControl/>
        <w:spacing w:line="276" w:lineRule="auto"/>
        <w:rPr>
          <w:rFonts w:ascii="Arial" w:hAnsi="Arial"/>
          <w:bCs/>
          <w:sz w:val="20"/>
        </w:rPr>
      </w:pPr>
    </w:p>
    <w:p w14:paraId="1A33209B" w14:textId="3676A204" w:rsidR="00296ED3" w:rsidRPr="00424274" w:rsidRDefault="00296ED3" w:rsidP="00D21F86">
      <w:pPr>
        <w:widowControl/>
        <w:spacing w:line="276" w:lineRule="auto"/>
        <w:rPr>
          <w:rFonts w:ascii="Arial" w:hAnsi="Arial"/>
          <w:bCs/>
          <w:sz w:val="20"/>
        </w:rPr>
      </w:pPr>
    </w:p>
    <w:p w14:paraId="003246C7" w14:textId="23D1F32C" w:rsidR="00296ED3" w:rsidRPr="00424274" w:rsidRDefault="00296ED3" w:rsidP="00D21F86">
      <w:pPr>
        <w:widowControl/>
        <w:spacing w:line="276" w:lineRule="auto"/>
        <w:rPr>
          <w:rFonts w:ascii="Arial" w:hAnsi="Arial"/>
          <w:bCs/>
          <w:sz w:val="20"/>
        </w:rPr>
      </w:pPr>
    </w:p>
    <w:p w14:paraId="486A9F46" w14:textId="3D6D22D0" w:rsidR="00296ED3" w:rsidRPr="00424274" w:rsidRDefault="00296ED3" w:rsidP="00D21F86">
      <w:pPr>
        <w:widowControl/>
        <w:spacing w:line="276" w:lineRule="auto"/>
        <w:rPr>
          <w:rFonts w:ascii="Arial" w:hAnsi="Arial"/>
          <w:bCs/>
          <w:sz w:val="20"/>
        </w:rPr>
      </w:pPr>
    </w:p>
    <w:p w14:paraId="1EDD4BFF" w14:textId="2AB94596" w:rsidR="00296ED3" w:rsidRPr="00424274" w:rsidRDefault="00296ED3" w:rsidP="00D21F86">
      <w:pPr>
        <w:widowControl/>
        <w:spacing w:line="276" w:lineRule="auto"/>
        <w:rPr>
          <w:rFonts w:ascii="Arial" w:hAnsi="Arial"/>
          <w:bCs/>
          <w:sz w:val="20"/>
        </w:rPr>
      </w:pPr>
    </w:p>
    <w:p w14:paraId="20AF5E11" w14:textId="77777777" w:rsidR="00296ED3" w:rsidRPr="00424274" w:rsidRDefault="00296ED3" w:rsidP="00D21F86">
      <w:pPr>
        <w:widowControl/>
        <w:spacing w:line="276" w:lineRule="auto"/>
        <w:rPr>
          <w:rFonts w:ascii="Arial" w:hAnsi="Arial"/>
          <w:bCs/>
          <w:sz w:val="20"/>
        </w:rPr>
      </w:pPr>
    </w:p>
    <w:p w14:paraId="4366B48C" w14:textId="347473E7" w:rsidR="008A4E21" w:rsidRPr="00424274" w:rsidRDefault="00814A21" w:rsidP="008A4E21">
      <w:pPr>
        <w:tabs>
          <w:tab w:val="left" w:pos="-1049"/>
          <w:tab w:val="left" w:pos="-689"/>
          <w:tab w:val="left" w:pos="0"/>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ind w:left="993" w:hanging="993"/>
        <w:rPr>
          <w:rFonts w:ascii="Arial" w:hAnsi="Arial"/>
          <w:b/>
          <w:i/>
          <w:sz w:val="20"/>
        </w:rPr>
      </w:pPr>
      <w:r>
        <w:rPr>
          <w:rFonts w:ascii="Arial" w:hAnsi="Arial"/>
          <w:b/>
          <w:i/>
          <w:sz w:val="20"/>
        </w:rPr>
        <w:t>Preglednica</w:t>
      </w:r>
      <w:r w:rsidR="00C21F02" w:rsidRPr="00424274">
        <w:rPr>
          <w:rFonts w:ascii="Arial" w:hAnsi="Arial"/>
          <w:b/>
          <w:i/>
          <w:sz w:val="20"/>
        </w:rPr>
        <w:t xml:space="preserve"> 3: </w:t>
      </w:r>
      <w:r w:rsidR="00D5703F" w:rsidRPr="00424274">
        <w:rPr>
          <w:rFonts w:ascii="Arial" w:hAnsi="Arial"/>
          <w:b/>
          <w:i/>
          <w:sz w:val="20"/>
        </w:rPr>
        <w:tab/>
      </w:r>
      <w:r w:rsidR="008A4E21" w:rsidRPr="00424274">
        <w:rPr>
          <w:rFonts w:ascii="Arial" w:hAnsi="Arial"/>
          <w:b/>
          <w:i/>
          <w:sz w:val="20"/>
        </w:rPr>
        <w:t>Nakazila nad 15.000 EUR tujim podjetjem na račune v tvegane države od 1. 1. 2020 do 31. 12. 2020 v EUR in USD</w:t>
      </w:r>
    </w:p>
    <w:p w14:paraId="1CC3795C" w14:textId="12138861" w:rsidR="00296ED3" w:rsidRPr="00424274" w:rsidRDefault="00296ED3" w:rsidP="008A4E21">
      <w:pPr>
        <w:tabs>
          <w:tab w:val="left" w:pos="-1049"/>
          <w:tab w:val="left" w:pos="-689"/>
          <w:tab w:val="left" w:pos="0"/>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ind w:left="993" w:hanging="993"/>
        <w:rPr>
          <w:rFonts w:ascii="Arial" w:hAnsi="Arial"/>
          <w:b/>
          <w:i/>
          <w:sz w:val="20"/>
        </w:rPr>
      </w:pPr>
    </w:p>
    <w:p w14:paraId="1263AF6F" w14:textId="154DDFA9" w:rsidR="00296ED3" w:rsidRPr="00424274" w:rsidRDefault="00296ED3" w:rsidP="008A4E21">
      <w:pPr>
        <w:tabs>
          <w:tab w:val="left" w:pos="-1049"/>
          <w:tab w:val="left" w:pos="-689"/>
          <w:tab w:val="left" w:pos="0"/>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ind w:left="993" w:hanging="993"/>
        <w:rPr>
          <w:rFonts w:ascii="Arial" w:hAnsi="Arial"/>
          <w:b/>
          <w:i/>
          <w:sz w:val="20"/>
        </w:rPr>
      </w:pPr>
    </w:p>
    <w:tbl>
      <w:tblPr>
        <w:tblW w:w="8196" w:type="dxa"/>
        <w:tblInd w:w="55" w:type="dxa"/>
        <w:tblCellMar>
          <w:left w:w="70" w:type="dxa"/>
          <w:right w:w="70" w:type="dxa"/>
        </w:tblCellMar>
        <w:tblLook w:val="04A0" w:firstRow="1" w:lastRow="0" w:firstColumn="1" w:lastColumn="0" w:noHBand="0" w:noVBand="1"/>
      </w:tblPr>
      <w:tblGrid>
        <w:gridCol w:w="2452"/>
        <w:gridCol w:w="1363"/>
        <w:gridCol w:w="1536"/>
        <w:gridCol w:w="1422"/>
        <w:gridCol w:w="1423"/>
      </w:tblGrid>
      <w:tr w:rsidR="00296ED3" w:rsidRPr="00424274" w14:paraId="2B79B84E" w14:textId="77777777" w:rsidTr="00E70569">
        <w:trPr>
          <w:trHeight w:val="300"/>
        </w:trPr>
        <w:tc>
          <w:tcPr>
            <w:tcW w:w="2452" w:type="dxa"/>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02B86C19" w14:textId="77777777" w:rsidR="00296ED3" w:rsidRPr="00424274" w:rsidRDefault="00296ED3" w:rsidP="00296ED3">
            <w:pPr>
              <w:widowControl/>
              <w:jc w:val="left"/>
              <w:rPr>
                <w:rFonts w:ascii="Arial" w:hAnsi="Arial"/>
                <w:b/>
                <w:bCs/>
                <w:color w:val="000000"/>
                <w:sz w:val="20"/>
                <w:lang w:eastAsia="sl-SI"/>
              </w:rPr>
            </w:pPr>
            <w:bookmarkStart w:id="33" w:name="_Hlk73373130"/>
            <w:r w:rsidRPr="00424274">
              <w:rPr>
                <w:rFonts w:ascii="Arial" w:hAnsi="Arial"/>
                <w:b/>
                <w:bCs/>
                <w:color w:val="000000"/>
                <w:sz w:val="20"/>
                <w:lang w:eastAsia="sl-SI"/>
              </w:rPr>
              <w:t>VALUTA</w:t>
            </w:r>
          </w:p>
        </w:tc>
        <w:tc>
          <w:tcPr>
            <w:tcW w:w="2899" w:type="dxa"/>
            <w:gridSpan w:val="2"/>
            <w:tcBorders>
              <w:top w:val="single" w:sz="4" w:space="0" w:color="auto"/>
              <w:left w:val="nil"/>
              <w:bottom w:val="single" w:sz="4" w:space="0" w:color="auto"/>
              <w:right w:val="single" w:sz="4" w:space="0" w:color="auto"/>
            </w:tcBorders>
            <w:shd w:val="clear" w:color="000000" w:fill="00CCFF"/>
            <w:noWrap/>
            <w:vAlign w:val="center"/>
            <w:hideMark/>
          </w:tcPr>
          <w:p w14:paraId="7817BE37" w14:textId="77777777" w:rsidR="00296ED3" w:rsidRPr="00424274" w:rsidRDefault="00296ED3" w:rsidP="00296ED3">
            <w:pPr>
              <w:widowControl/>
              <w:jc w:val="center"/>
              <w:rPr>
                <w:rFonts w:ascii="Arial" w:hAnsi="Arial"/>
                <w:b/>
                <w:bCs/>
                <w:color w:val="000000"/>
                <w:sz w:val="20"/>
                <w:lang w:eastAsia="sl-SI"/>
              </w:rPr>
            </w:pPr>
            <w:r w:rsidRPr="00424274">
              <w:rPr>
                <w:rFonts w:ascii="Arial" w:hAnsi="Arial"/>
                <w:b/>
                <w:bCs/>
                <w:color w:val="000000"/>
                <w:sz w:val="20"/>
                <w:lang w:eastAsia="sl-SI"/>
              </w:rPr>
              <w:t>USD</w:t>
            </w:r>
          </w:p>
        </w:tc>
        <w:tc>
          <w:tcPr>
            <w:tcW w:w="2845" w:type="dxa"/>
            <w:gridSpan w:val="2"/>
            <w:tcBorders>
              <w:top w:val="single" w:sz="4" w:space="0" w:color="auto"/>
              <w:left w:val="nil"/>
              <w:bottom w:val="single" w:sz="4" w:space="0" w:color="auto"/>
              <w:right w:val="single" w:sz="4" w:space="0" w:color="auto"/>
            </w:tcBorders>
            <w:shd w:val="clear" w:color="000000" w:fill="00CCFF"/>
            <w:noWrap/>
            <w:vAlign w:val="center"/>
            <w:hideMark/>
          </w:tcPr>
          <w:p w14:paraId="41E93A98" w14:textId="77777777" w:rsidR="00296ED3" w:rsidRPr="00424274" w:rsidRDefault="00296ED3" w:rsidP="00296ED3">
            <w:pPr>
              <w:widowControl/>
              <w:jc w:val="center"/>
              <w:rPr>
                <w:rFonts w:ascii="Arial" w:hAnsi="Arial"/>
                <w:b/>
                <w:bCs/>
                <w:color w:val="000000"/>
                <w:sz w:val="20"/>
                <w:lang w:eastAsia="sl-SI"/>
              </w:rPr>
            </w:pPr>
            <w:r w:rsidRPr="00424274">
              <w:rPr>
                <w:rFonts w:ascii="Arial" w:hAnsi="Arial"/>
                <w:b/>
                <w:bCs/>
                <w:color w:val="000000"/>
                <w:sz w:val="20"/>
                <w:lang w:eastAsia="sl-SI"/>
              </w:rPr>
              <w:t>EUR</w:t>
            </w:r>
          </w:p>
        </w:tc>
      </w:tr>
      <w:tr w:rsidR="00296ED3" w:rsidRPr="00424274" w14:paraId="71FB4F77" w14:textId="77777777" w:rsidTr="00E70569">
        <w:trPr>
          <w:trHeight w:val="510"/>
        </w:trPr>
        <w:tc>
          <w:tcPr>
            <w:tcW w:w="2452" w:type="dxa"/>
            <w:tcBorders>
              <w:top w:val="nil"/>
              <w:left w:val="single" w:sz="4" w:space="0" w:color="auto"/>
              <w:bottom w:val="single" w:sz="4" w:space="0" w:color="auto"/>
              <w:right w:val="single" w:sz="4" w:space="0" w:color="auto"/>
            </w:tcBorders>
            <w:shd w:val="clear" w:color="000000" w:fill="00CCFF"/>
            <w:noWrap/>
            <w:vAlign w:val="center"/>
            <w:hideMark/>
          </w:tcPr>
          <w:p w14:paraId="77A04F11" w14:textId="77777777" w:rsidR="00296ED3" w:rsidRPr="00424274" w:rsidRDefault="00296ED3" w:rsidP="00296ED3">
            <w:pPr>
              <w:widowControl/>
              <w:jc w:val="left"/>
              <w:rPr>
                <w:rFonts w:ascii="Arial" w:hAnsi="Arial"/>
                <w:b/>
                <w:bCs/>
                <w:color w:val="000000"/>
                <w:sz w:val="20"/>
                <w:lang w:eastAsia="sl-SI"/>
              </w:rPr>
            </w:pPr>
            <w:r w:rsidRPr="00424274">
              <w:rPr>
                <w:rFonts w:ascii="Arial" w:hAnsi="Arial"/>
                <w:b/>
                <w:bCs/>
                <w:color w:val="000000"/>
                <w:sz w:val="20"/>
                <w:lang w:eastAsia="sl-SI"/>
              </w:rPr>
              <w:t>NAKAZILO V DRŽAVO</w:t>
            </w:r>
          </w:p>
        </w:tc>
        <w:tc>
          <w:tcPr>
            <w:tcW w:w="1363" w:type="dxa"/>
            <w:tcBorders>
              <w:top w:val="nil"/>
              <w:left w:val="nil"/>
              <w:bottom w:val="single" w:sz="4" w:space="0" w:color="auto"/>
              <w:right w:val="single" w:sz="4" w:space="0" w:color="auto"/>
            </w:tcBorders>
            <w:shd w:val="clear" w:color="000000" w:fill="00CCFF"/>
            <w:noWrap/>
            <w:vAlign w:val="center"/>
            <w:hideMark/>
          </w:tcPr>
          <w:p w14:paraId="5C062AFF" w14:textId="77777777" w:rsidR="00296ED3" w:rsidRPr="00424274" w:rsidRDefault="00296ED3" w:rsidP="00296ED3">
            <w:pPr>
              <w:widowControl/>
              <w:jc w:val="left"/>
              <w:rPr>
                <w:rFonts w:ascii="Arial" w:hAnsi="Arial"/>
                <w:b/>
                <w:bCs/>
                <w:color w:val="000000"/>
                <w:sz w:val="20"/>
                <w:lang w:eastAsia="sl-SI"/>
              </w:rPr>
            </w:pPr>
            <w:r w:rsidRPr="00424274">
              <w:rPr>
                <w:rFonts w:ascii="Arial" w:hAnsi="Arial"/>
                <w:b/>
                <w:bCs/>
                <w:color w:val="000000"/>
                <w:sz w:val="20"/>
                <w:lang w:eastAsia="sl-SI"/>
              </w:rPr>
              <w:t>Znesek</w:t>
            </w:r>
          </w:p>
        </w:tc>
        <w:tc>
          <w:tcPr>
            <w:tcW w:w="1536" w:type="dxa"/>
            <w:tcBorders>
              <w:top w:val="nil"/>
              <w:left w:val="nil"/>
              <w:bottom w:val="single" w:sz="4" w:space="0" w:color="auto"/>
              <w:right w:val="single" w:sz="4" w:space="0" w:color="auto"/>
            </w:tcBorders>
            <w:shd w:val="clear" w:color="000000" w:fill="00CCFF"/>
            <w:vAlign w:val="center"/>
            <w:hideMark/>
          </w:tcPr>
          <w:p w14:paraId="73AC6129" w14:textId="77777777" w:rsidR="00296ED3" w:rsidRPr="00424274" w:rsidRDefault="00296ED3" w:rsidP="00296ED3">
            <w:pPr>
              <w:widowControl/>
              <w:jc w:val="left"/>
              <w:rPr>
                <w:rFonts w:ascii="Arial" w:hAnsi="Arial"/>
                <w:b/>
                <w:bCs/>
                <w:color w:val="000000"/>
                <w:sz w:val="20"/>
                <w:lang w:eastAsia="sl-SI"/>
              </w:rPr>
            </w:pPr>
            <w:r w:rsidRPr="00424274">
              <w:rPr>
                <w:rFonts w:ascii="Arial" w:hAnsi="Arial"/>
                <w:b/>
                <w:bCs/>
                <w:color w:val="000000"/>
                <w:sz w:val="20"/>
                <w:lang w:eastAsia="sl-SI"/>
              </w:rPr>
              <w:t>Število transakcij</w:t>
            </w:r>
          </w:p>
        </w:tc>
        <w:tc>
          <w:tcPr>
            <w:tcW w:w="1422" w:type="dxa"/>
            <w:tcBorders>
              <w:top w:val="nil"/>
              <w:left w:val="nil"/>
              <w:bottom w:val="single" w:sz="4" w:space="0" w:color="auto"/>
              <w:right w:val="single" w:sz="4" w:space="0" w:color="auto"/>
            </w:tcBorders>
            <w:shd w:val="clear" w:color="000000" w:fill="00CCFF"/>
            <w:noWrap/>
            <w:vAlign w:val="center"/>
            <w:hideMark/>
          </w:tcPr>
          <w:p w14:paraId="37184AA5" w14:textId="77777777" w:rsidR="00296ED3" w:rsidRPr="00424274" w:rsidRDefault="00296ED3" w:rsidP="00296ED3">
            <w:pPr>
              <w:widowControl/>
              <w:jc w:val="left"/>
              <w:rPr>
                <w:rFonts w:ascii="Arial" w:hAnsi="Arial"/>
                <w:b/>
                <w:bCs/>
                <w:color w:val="000000"/>
                <w:sz w:val="20"/>
                <w:lang w:eastAsia="sl-SI"/>
              </w:rPr>
            </w:pPr>
            <w:r w:rsidRPr="00424274">
              <w:rPr>
                <w:rFonts w:ascii="Arial" w:hAnsi="Arial"/>
                <w:b/>
                <w:bCs/>
                <w:color w:val="000000"/>
                <w:sz w:val="20"/>
                <w:lang w:eastAsia="sl-SI"/>
              </w:rPr>
              <w:t>Znesek</w:t>
            </w:r>
          </w:p>
        </w:tc>
        <w:tc>
          <w:tcPr>
            <w:tcW w:w="1423" w:type="dxa"/>
            <w:tcBorders>
              <w:top w:val="nil"/>
              <w:left w:val="nil"/>
              <w:bottom w:val="single" w:sz="4" w:space="0" w:color="auto"/>
              <w:right w:val="single" w:sz="4" w:space="0" w:color="auto"/>
            </w:tcBorders>
            <w:shd w:val="clear" w:color="000000" w:fill="00CCFF"/>
            <w:vAlign w:val="center"/>
            <w:hideMark/>
          </w:tcPr>
          <w:p w14:paraId="39F47362" w14:textId="77777777" w:rsidR="00296ED3" w:rsidRPr="00424274" w:rsidRDefault="00296ED3" w:rsidP="00296ED3">
            <w:pPr>
              <w:widowControl/>
              <w:jc w:val="left"/>
              <w:rPr>
                <w:rFonts w:ascii="Arial" w:hAnsi="Arial"/>
                <w:b/>
                <w:bCs/>
                <w:color w:val="000000"/>
                <w:sz w:val="20"/>
                <w:lang w:eastAsia="sl-SI"/>
              </w:rPr>
            </w:pPr>
            <w:r w:rsidRPr="00424274">
              <w:rPr>
                <w:rFonts w:ascii="Arial" w:hAnsi="Arial"/>
                <w:b/>
                <w:bCs/>
                <w:color w:val="000000"/>
                <w:sz w:val="20"/>
                <w:lang w:eastAsia="sl-SI"/>
              </w:rPr>
              <w:t>Število transakcij</w:t>
            </w:r>
          </w:p>
        </w:tc>
      </w:tr>
      <w:tr w:rsidR="00296ED3" w:rsidRPr="00424274" w14:paraId="1C01C8A5" w14:textId="77777777" w:rsidTr="00E70569">
        <w:trPr>
          <w:trHeight w:val="300"/>
        </w:trPr>
        <w:tc>
          <w:tcPr>
            <w:tcW w:w="2452" w:type="dxa"/>
            <w:tcBorders>
              <w:top w:val="nil"/>
              <w:left w:val="single" w:sz="4" w:space="0" w:color="auto"/>
              <w:bottom w:val="single" w:sz="4" w:space="0" w:color="auto"/>
              <w:right w:val="single" w:sz="4" w:space="0" w:color="auto"/>
            </w:tcBorders>
            <w:shd w:val="clear" w:color="auto" w:fill="auto"/>
            <w:noWrap/>
            <w:vAlign w:val="bottom"/>
            <w:hideMark/>
          </w:tcPr>
          <w:p w14:paraId="51247267" w14:textId="77777777" w:rsidR="00296ED3" w:rsidRPr="00424274" w:rsidRDefault="00296ED3" w:rsidP="00296ED3">
            <w:pPr>
              <w:widowControl/>
              <w:jc w:val="left"/>
              <w:rPr>
                <w:rFonts w:ascii="Arial" w:hAnsi="Arial"/>
                <w:color w:val="000000"/>
                <w:sz w:val="20"/>
                <w:lang w:eastAsia="sl-SI"/>
              </w:rPr>
            </w:pPr>
            <w:r w:rsidRPr="00424274">
              <w:rPr>
                <w:rFonts w:ascii="Arial" w:hAnsi="Arial"/>
                <w:color w:val="000000"/>
                <w:sz w:val="20"/>
                <w:lang w:eastAsia="sl-SI"/>
              </w:rPr>
              <w:t>Bosna in Hercegovina</w:t>
            </w:r>
          </w:p>
        </w:tc>
        <w:tc>
          <w:tcPr>
            <w:tcW w:w="1363" w:type="dxa"/>
            <w:tcBorders>
              <w:top w:val="nil"/>
              <w:left w:val="nil"/>
              <w:bottom w:val="single" w:sz="4" w:space="0" w:color="auto"/>
              <w:right w:val="single" w:sz="4" w:space="0" w:color="auto"/>
            </w:tcBorders>
            <w:shd w:val="clear" w:color="auto" w:fill="auto"/>
            <w:noWrap/>
            <w:vAlign w:val="bottom"/>
            <w:hideMark/>
          </w:tcPr>
          <w:p w14:paraId="7E45C217" w14:textId="77777777" w:rsidR="00296ED3" w:rsidRPr="00424274" w:rsidRDefault="00296ED3" w:rsidP="00296ED3">
            <w:pPr>
              <w:widowControl/>
              <w:jc w:val="right"/>
              <w:rPr>
                <w:rFonts w:ascii="Arial" w:hAnsi="Arial"/>
                <w:color w:val="000000"/>
                <w:sz w:val="20"/>
                <w:lang w:eastAsia="sl-SI"/>
              </w:rPr>
            </w:pPr>
            <w:r w:rsidRPr="00424274">
              <w:rPr>
                <w:rFonts w:ascii="Arial" w:hAnsi="Arial"/>
                <w:color w:val="000000"/>
                <w:sz w:val="20"/>
                <w:lang w:eastAsia="sl-SI"/>
              </w:rPr>
              <w:t>1.689.932</w:t>
            </w:r>
          </w:p>
        </w:tc>
        <w:tc>
          <w:tcPr>
            <w:tcW w:w="1536" w:type="dxa"/>
            <w:tcBorders>
              <w:top w:val="nil"/>
              <w:left w:val="nil"/>
              <w:bottom w:val="single" w:sz="4" w:space="0" w:color="auto"/>
              <w:right w:val="single" w:sz="4" w:space="0" w:color="auto"/>
            </w:tcBorders>
            <w:shd w:val="clear" w:color="auto" w:fill="auto"/>
            <w:noWrap/>
            <w:vAlign w:val="bottom"/>
            <w:hideMark/>
          </w:tcPr>
          <w:p w14:paraId="5533E30A" w14:textId="77777777" w:rsidR="00296ED3" w:rsidRPr="00424274" w:rsidRDefault="00296ED3" w:rsidP="00296ED3">
            <w:pPr>
              <w:widowControl/>
              <w:jc w:val="right"/>
              <w:rPr>
                <w:rFonts w:ascii="Arial" w:hAnsi="Arial"/>
                <w:color w:val="000000"/>
                <w:sz w:val="20"/>
                <w:lang w:eastAsia="sl-SI"/>
              </w:rPr>
            </w:pPr>
            <w:r w:rsidRPr="00424274">
              <w:rPr>
                <w:rFonts w:ascii="Arial" w:hAnsi="Arial"/>
                <w:color w:val="000000"/>
                <w:sz w:val="20"/>
                <w:lang w:eastAsia="sl-SI"/>
              </w:rPr>
              <w:t>19</w:t>
            </w:r>
          </w:p>
        </w:tc>
        <w:tc>
          <w:tcPr>
            <w:tcW w:w="1422" w:type="dxa"/>
            <w:tcBorders>
              <w:top w:val="nil"/>
              <w:left w:val="nil"/>
              <w:bottom w:val="single" w:sz="4" w:space="0" w:color="auto"/>
              <w:right w:val="single" w:sz="4" w:space="0" w:color="auto"/>
            </w:tcBorders>
            <w:shd w:val="clear" w:color="auto" w:fill="auto"/>
            <w:noWrap/>
            <w:vAlign w:val="bottom"/>
            <w:hideMark/>
          </w:tcPr>
          <w:p w14:paraId="4299EC0C" w14:textId="77777777" w:rsidR="00296ED3" w:rsidRPr="00424274" w:rsidRDefault="00296ED3" w:rsidP="00296ED3">
            <w:pPr>
              <w:widowControl/>
              <w:jc w:val="right"/>
              <w:rPr>
                <w:rFonts w:ascii="Arial" w:hAnsi="Arial"/>
                <w:color w:val="000000"/>
                <w:sz w:val="20"/>
                <w:lang w:eastAsia="sl-SI"/>
              </w:rPr>
            </w:pPr>
            <w:r w:rsidRPr="00424274">
              <w:rPr>
                <w:rFonts w:ascii="Arial" w:hAnsi="Arial"/>
                <w:color w:val="000000"/>
                <w:sz w:val="20"/>
                <w:lang w:eastAsia="sl-SI"/>
              </w:rPr>
              <w:t>221.119.719</w:t>
            </w:r>
          </w:p>
        </w:tc>
        <w:tc>
          <w:tcPr>
            <w:tcW w:w="1423" w:type="dxa"/>
            <w:tcBorders>
              <w:top w:val="nil"/>
              <w:left w:val="nil"/>
              <w:bottom w:val="single" w:sz="4" w:space="0" w:color="auto"/>
              <w:right w:val="single" w:sz="4" w:space="0" w:color="auto"/>
            </w:tcBorders>
            <w:shd w:val="clear" w:color="auto" w:fill="auto"/>
            <w:noWrap/>
            <w:vAlign w:val="bottom"/>
            <w:hideMark/>
          </w:tcPr>
          <w:p w14:paraId="2601540A" w14:textId="77777777" w:rsidR="00296ED3" w:rsidRPr="00424274" w:rsidRDefault="00296ED3" w:rsidP="00296ED3">
            <w:pPr>
              <w:widowControl/>
              <w:jc w:val="right"/>
              <w:rPr>
                <w:rFonts w:ascii="Arial" w:hAnsi="Arial"/>
                <w:color w:val="000000"/>
                <w:sz w:val="20"/>
                <w:lang w:eastAsia="sl-SI"/>
              </w:rPr>
            </w:pPr>
            <w:r w:rsidRPr="00424274">
              <w:rPr>
                <w:rFonts w:ascii="Arial" w:hAnsi="Arial"/>
                <w:color w:val="000000"/>
                <w:sz w:val="20"/>
                <w:lang w:eastAsia="sl-SI"/>
              </w:rPr>
              <w:t>2560</w:t>
            </w:r>
          </w:p>
        </w:tc>
      </w:tr>
      <w:tr w:rsidR="00296ED3" w:rsidRPr="00424274" w14:paraId="3F4B2DFE" w14:textId="77777777" w:rsidTr="00E70569">
        <w:trPr>
          <w:trHeight w:val="300"/>
        </w:trPr>
        <w:tc>
          <w:tcPr>
            <w:tcW w:w="2452" w:type="dxa"/>
            <w:tcBorders>
              <w:top w:val="nil"/>
              <w:left w:val="single" w:sz="4" w:space="0" w:color="auto"/>
              <w:bottom w:val="single" w:sz="4" w:space="0" w:color="auto"/>
              <w:right w:val="single" w:sz="4" w:space="0" w:color="auto"/>
            </w:tcBorders>
            <w:shd w:val="clear" w:color="auto" w:fill="auto"/>
            <w:noWrap/>
            <w:vAlign w:val="bottom"/>
            <w:hideMark/>
          </w:tcPr>
          <w:p w14:paraId="0B7B2096" w14:textId="77777777" w:rsidR="00296ED3" w:rsidRPr="00424274" w:rsidRDefault="00296ED3" w:rsidP="00296ED3">
            <w:pPr>
              <w:widowControl/>
              <w:jc w:val="left"/>
              <w:rPr>
                <w:rFonts w:ascii="Arial" w:hAnsi="Arial"/>
                <w:color w:val="000000"/>
                <w:sz w:val="20"/>
                <w:lang w:eastAsia="sl-SI"/>
              </w:rPr>
            </w:pPr>
            <w:r w:rsidRPr="00424274">
              <w:rPr>
                <w:rFonts w:ascii="Arial" w:hAnsi="Arial"/>
                <w:color w:val="000000"/>
                <w:sz w:val="20"/>
                <w:lang w:eastAsia="sl-SI"/>
              </w:rPr>
              <w:t>Liechtenstein</w:t>
            </w:r>
          </w:p>
        </w:tc>
        <w:tc>
          <w:tcPr>
            <w:tcW w:w="1363" w:type="dxa"/>
            <w:tcBorders>
              <w:top w:val="nil"/>
              <w:left w:val="nil"/>
              <w:bottom w:val="single" w:sz="4" w:space="0" w:color="auto"/>
              <w:right w:val="single" w:sz="4" w:space="0" w:color="auto"/>
            </w:tcBorders>
            <w:shd w:val="clear" w:color="auto" w:fill="auto"/>
            <w:noWrap/>
            <w:vAlign w:val="bottom"/>
            <w:hideMark/>
          </w:tcPr>
          <w:p w14:paraId="0D9DC847" w14:textId="77777777" w:rsidR="00296ED3" w:rsidRPr="00424274" w:rsidRDefault="00296ED3" w:rsidP="00296ED3">
            <w:pPr>
              <w:widowControl/>
              <w:jc w:val="right"/>
              <w:rPr>
                <w:rFonts w:ascii="Arial" w:hAnsi="Arial"/>
                <w:color w:val="000000"/>
                <w:sz w:val="20"/>
                <w:lang w:eastAsia="sl-SI"/>
              </w:rPr>
            </w:pPr>
          </w:p>
        </w:tc>
        <w:tc>
          <w:tcPr>
            <w:tcW w:w="1536" w:type="dxa"/>
            <w:tcBorders>
              <w:top w:val="nil"/>
              <w:left w:val="nil"/>
              <w:bottom w:val="single" w:sz="4" w:space="0" w:color="auto"/>
              <w:right w:val="single" w:sz="4" w:space="0" w:color="auto"/>
            </w:tcBorders>
            <w:shd w:val="clear" w:color="auto" w:fill="auto"/>
            <w:noWrap/>
            <w:vAlign w:val="bottom"/>
            <w:hideMark/>
          </w:tcPr>
          <w:p w14:paraId="7918FE97" w14:textId="77777777" w:rsidR="00296ED3" w:rsidRPr="00424274" w:rsidRDefault="00296ED3" w:rsidP="00296ED3">
            <w:pPr>
              <w:widowControl/>
              <w:jc w:val="right"/>
              <w:rPr>
                <w:rFonts w:ascii="Arial" w:hAnsi="Arial"/>
                <w:color w:val="000000"/>
                <w:sz w:val="20"/>
                <w:lang w:eastAsia="sl-SI"/>
              </w:rPr>
            </w:pPr>
          </w:p>
        </w:tc>
        <w:tc>
          <w:tcPr>
            <w:tcW w:w="1422" w:type="dxa"/>
            <w:tcBorders>
              <w:top w:val="nil"/>
              <w:left w:val="nil"/>
              <w:bottom w:val="single" w:sz="4" w:space="0" w:color="auto"/>
              <w:right w:val="single" w:sz="4" w:space="0" w:color="auto"/>
            </w:tcBorders>
            <w:shd w:val="clear" w:color="auto" w:fill="auto"/>
            <w:noWrap/>
            <w:vAlign w:val="bottom"/>
            <w:hideMark/>
          </w:tcPr>
          <w:p w14:paraId="4EEBECE7" w14:textId="77777777" w:rsidR="00296ED3" w:rsidRPr="00424274" w:rsidRDefault="00296ED3" w:rsidP="00296ED3">
            <w:pPr>
              <w:widowControl/>
              <w:jc w:val="right"/>
              <w:rPr>
                <w:rFonts w:ascii="Arial" w:hAnsi="Arial"/>
                <w:color w:val="000000"/>
                <w:sz w:val="20"/>
                <w:lang w:eastAsia="sl-SI"/>
              </w:rPr>
            </w:pPr>
            <w:r w:rsidRPr="00424274">
              <w:rPr>
                <w:rFonts w:ascii="Arial" w:hAnsi="Arial"/>
                <w:color w:val="000000"/>
                <w:sz w:val="20"/>
                <w:lang w:eastAsia="sl-SI"/>
              </w:rPr>
              <w:t>167.299.132</w:t>
            </w:r>
          </w:p>
        </w:tc>
        <w:tc>
          <w:tcPr>
            <w:tcW w:w="1423" w:type="dxa"/>
            <w:tcBorders>
              <w:top w:val="nil"/>
              <w:left w:val="nil"/>
              <w:bottom w:val="single" w:sz="4" w:space="0" w:color="auto"/>
              <w:right w:val="single" w:sz="4" w:space="0" w:color="auto"/>
            </w:tcBorders>
            <w:shd w:val="clear" w:color="auto" w:fill="auto"/>
            <w:noWrap/>
            <w:vAlign w:val="bottom"/>
            <w:hideMark/>
          </w:tcPr>
          <w:p w14:paraId="4BEC321C" w14:textId="77777777" w:rsidR="00296ED3" w:rsidRPr="00424274" w:rsidRDefault="00296ED3" w:rsidP="00296ED3">
            <w:pPr>
              <w:widowControl/>
              <w:jc w:val="right"/>
              <w:rPr>
                <w:rFonts w:ascii="Arial" w:hAnsi="Arial"/>
                <w:color w:val="000000"/>
                <w:sz w:val="20"/>
                <w:lang w:eastAsia="sl-SI"/>
              </w:rPr>
            </w:pPr>
            <w:r w:rsidRPr="00424274">
              <w:rPr>
                <w:rFonts w:ascii="Arial" w:hAnsi="Arial"/>
                <w:color w:val="000000"/>
                <w:sz w:val="20"/>
                <w:lang w:eastAsia="sl-SI"/>
              </w:rPr>
              <w:t>337</w:t>
            </w:r>
          </w:p>
        </w:tc>
      </w:tr>
      <w:tr w:rsidR="00296ED3" w:rsidRPr="00424274" w14:paraId="77F06E02" w14:textId="77777777" w:rsidTr="00E70569">
        <w:trPr>
          <w:trHeight w:val="300"/>
        </w:trPr>
        <w:tc>
          <w:tcPr>
            <w:tcW w:w="2452" w:type="dxa"/>
            <w:tcBorders>
              <w:top w:val="nil"/>
              <w:left w:val="single" w:sz="4" w:space="0" w:color="auto"/>
              <w:bottom w:val="single" w:sz="4" w:space="0" w:color="auto"/>
              <w:right w:val="single" w:sz="4" w:space="0" w:color="auto"/>
            </w:tcBorders>
            <w:shd w:val="clear" w:color="auto" w:fill="auto"/>
            <w:noWrap/>
            <w:vAlign w:val="bottom"/>
            <w:hideMark/>
          </w:tcPr>
          <w:p w14:paraId="4230509A" w14:textId="77777777" w:rsidR="00296ED3" w:rsidRPr="00424274" w:rsidRDefault="00296ED3" w:rsidP="00296ED3">
            <w:pPr>
              <w:widowControl/>
              <w:jc w:val="left"/>
              <w:rPr>
                <w:rFonts w:ascii="Arial" w:hAnsi="Arial"/>
                <w:color w:val="000000"/>
                <w:sz w:val="20"/>
                <w:lang w:eastAsia="sl-SI"/>
              </w:rPr>
            </w:pPr>
            <w:r w:rsidRPr="00424274">
              <w:rPr>
                <w:rFonts w:ascii="Arial" w:hAnsi="Arial"/>
                <w:color w:val="000000"/>
                <w:sz w:val="20"/>
                <w:lang w:eastAsia="sl-SI"/>
              </w:rPr>
              <w:t>Egipt</w:t>
            </w:r>
          </w:p>
        </w:tc>
        <w:tc>
          <w:tcPr>
            <w:tcW w:w="1363" w:type="dxa"/>
            <w:tcBorders>
              <w:top w:val="nil"/>
              <w:left w:val="nil"/>
              <w:bottom w:val="single" w:sz="4" w:space="0" w:color="auto"/>
              <w:right w:val="single" w:sz="4" w:space="0" w:color="auto"/>
            </w:tcBorders>
            <w:shd w:val="clear" w:color="auto" w:fill="auto"/>
            <w:noWrap/>
            <w:vAlign w:val="bottom"/>
            <w:hideMark/>
          </w:tcPr>
          <w:p w14:paraId="5290E9ED" w14:textId="77777777" w:rsidR="00296ED3" w:rsidRPr="00424274" w:rsidRDefault="00296ED3" w:rsidP="00296ED3">
            <w:pPr>
              <w:widowControl/>
              <w:jc w:val="right"/>
              <w:rPr>
                <w:rFonts w:ascii="Arial" w:hAnsi="Arial"/>
                <w:color w:val="000000"/>
                <w:sz w:val="20"/>
                <w:lang w:eastAsia="sl-SI"/>
              </w:rPr>
            </w:pPr>
            <w:r w:rsidRPr="00424274">
              <w:rPr>
                <w:rFonts w:ascii="Arial" w:hAnsi="Arial"/>
                <w:color w:val="000000"/>
                <w:sz w:val="20"/>
                <w:lang w:eastAsia="sl-SI"/>
              </w:rPr>
              <w:t>2.451.234</w:t>
            </w:r>
          </w:p>
        </w:tc>
        <w:tc>
          <w:tcPr>
            <w:tcW w:w="1536" w:type="dxa"/>
            <w:tcBorders>
              <w:top w:val="nil"/>
              <w:left w:val="nil"/>
              <w:bottom w:val="single" w:sz="4" w:space="0" w:color="auto"/>
              <w:right w:val="single" w:sz="4" w:space="0" w:color="auto"/>
            </w:tcBorders>
            <w:shd w:val="clear" w:color="auto" w:fill="auto"/>
            <w:noWrap/>
            <w:vAlign w:val="bottom"/>
            <w:hideMark/>
          </w:tcPr>
          <w:p w14:paraId="1C6B1BF7" w14:textId="77777777" w:rsidR="00296ED3" w:rsidRPr="00424274" w:rsidRDefault="00296ED3" w:rsidP="00296ED3">
            <w:pPr>
              <w:widowControl/>
              <w:jc w:val="right"/>
              <w:rPr>
                <w:rFonts w:ascii="Arial" w:hAnsi="Arial"/>
                <w:color w:val="000000"/>
                <w:sz w:val="20"/>
                <w:lang w:eastAsia="sl-SI"/>
              </w:rPr>
            </w:pPr>
            <w:r w:rsidRPr="00424274">
              <w:rPr>
                <w:rFonts w:ascii="Arial" w:hAnsi="Arial"/>
                <w:color w:val="000000"/>
                <w:sz w:val="20"/>
                <w:lang w:eastAsia="sl-SI"/>
              </w:rPr>
              <w:t>46</w:t>
            </w:r>
          </w:p>
        </w:tc>
        <w:tc>
          <w:tcPr>
            <w:tcW w:w="1422" w:type="dxa"/>
            <w:tcBorders>
              <w:top w:val="nil"/>
              <w:left w:val="nil"/>
              <w:bottom w:val="single" w:sz="4" w:space="0" w:color="auto"/>
              <w:right w:val="single" w:sz="4" w:space="0" w:color="auto"/>
            </w:tcBorders>
            <w:shd w:val="clear" w:color="auto" w:fill="auto"/>
            <w:noWrap/>
            <w:vAlign w:val="bottom"/>
            <w:hideMark/>
          </w:tcPr>
          <w:p w14:paraId="541C97AA" w14:textId="77777777" w:rsidR="00296ED3" w:rsidRPr="00424274" w:rsidRDefault="00296ED3" w:rsidP="00296ED3">
            <w:pPr>
              <w:widowControl/>
              <w:jc w:val="right"/>
              <w:rPr>
                <w:rFonts w:ascii="Arial" w:hAnsi="Arial"/>
                <w:color w:val="000000"/>
                <w:sz w:val="20"/>
                <w:lang w:eastAsia="sl-SI"/>
              </w:rPr>
            </w:pPr>
            <w:r w:rsidRPr="00424274">
              <w:rPr>
                <w:rFonts w:ascii="Arial" w:hAnsi="Arial"/>
                <w:color w:val="000000"/>
                <w:sz w:val="20"/>
                <w:lang w:eastAsia="sl-SI"/>
              </w:rPr>
              <w:t>24.925.063</w:t>
            </w:r>
          </w:p>
        </w:tc>
        <w:tc>
          <w:tcPr>
            <w:tcW w:w="1423" w:type="dxa"/>
            <w:tcBorders>
              <w:top w:val="nil"/>
              <w:left w:val="nil"/>
              <w:bottom w:val="single" w:sz="4" w:space="0" w:color="auto"/>
              <w:right w:val="single" w:sz="4" w:space="0" w:color="auto"/>
            </w:tcBorders>
            <w:shd w:val="clear" w:color="auto" w:fill="auto"/>
            <w:noWrap/>
            <w:vAlign w:val="bottom"/>
            <w:hideMark/>
          </w:tcPr>
          <w:p w14:paraId="67F332CA" w14:textId="77777777" w:rsidR="00296ED3" w:rsidRPr="00424274" w:rsidRDefault="00296ED3" w:rsidP="00296ED3">
            <w:pPr>
              <w:widowControl/>
              <w:jc w:val="right"/>
              <w:rPr>
                <w:rFonts w:ascii="Arial" w:hAnsi="Arial"/>
                <w:color w:val="000000"/>
                <w:sz w:val="20"/>
                <w:lang w:eastAsia="sl-SI"/>
              </w:rPr>
            </w:pPr>
            <w:r w:rsidRPr="00424274">
              <w:rPr>
                <w:rFonts w:ascii="Arial" w:hAnsi="Arial"/>
                <w:color w:val="000000"/>
                <w:sz w:val="20"/>
                <w:lang w:eastAsia="sl-SI"/>
              </w:rPr>
              <w:t>146</w:t>
            </w:r>
          </w:p>
        </w:tc>
      </w:tr>
      <w:tr w:rsidR="00296ED3" w:rsidRPr="00424274" w14:paraId="2BD2E22C" w14:textId="77777777" w:rsidTr="00E70569">
        <w:trPr>
          <w:trHeight w:val="300"/>
        </w:trPr>
        <w:tc>
          <w:tcPr>
            <w:tcW w:w="2452" w:type="dxa"/>
            <w:tcBorders>
              <w:top w:val="nil"/>
              <w:left w:val="single" w:sz="4" w:space="0" w:color="auto"/>
              <w:bottom w:val="single" w:sz="4" w:space="0" w:color="auto"/>
              <w:right w:val="single" w:sz="4" w:space="0" w:color="auto"/>
            </w:tcBorders>
            <w:shd w:val="clear" w:color="auto" w:fill="auto"/>
            <w:noWrap/>
            <w:vAlign w:val="bottom"/>
            <w:hideMark/>
          </w:tcPr>
          <w:p w14:paraId="5DB941E1" w14:textId="77777777" w:rsidR="00296ED3" w:rsidRPr="00424274" w:rsidRDefault="00296ED3" w:rsidP="00296ED3">
            <w:pPr>
              <w:widowControl/>
              <w:jc w:val="left"/>
              <w:rPr>
                <w:rFonts w:ascii="Arial" w:hAnsi="Arial"/>
                <w:color w:val="000000"/>
                <w:sz w:val="20"/>
                <w:lang w:eastAsia="sl-SI"/>
              </w:rPr>
            </w:pPr>
            <w:r w:rsidRPr="00424274">
              <w:rPr>
                <w:rFonts w:ascii="Arial" w:hAnsi="Arial"/>
                <w:color w:val="000000"/>
                <w:sz w:val="20"/>
                <w:lang w:eastAsia="sl-SI"/>
              </w:rPr>
              <w:t>Ukrajina</w:t>
            </w:r>
          </w:p>
        </w:tc>
        <w:tc>
          <w:tcPr>
            <w:tcW w:w="1363" w:type="dxa"/>
            <w:tcBorders>
              <w:top w:val="nil"/>
              <w:left w:val="nil"/>
              <w:bottom w:val="single" w:sz="4" w:space="0" w:color="auto"/>
              <w:right w:val="single" w:sz="4" w:space="0" w:color="auto"/>
            </w:tcBorders>
            <w:shd w:val="clear" w:color="auto" w:fill="auto"/>
            <w:noWrap/>
            <w:vAlign w:val="bottom"/>
            <w:hideMark/>
          </w:tcPr>
          <w:p w14:paraId="27213805" w14:textId="77777777" w:rsidR="00296ED3" w:rsidRPr="00424274" w:rsidRDefault="00296ED3" w:rsidP="00296ED3">
            <w:pPr>
              <w:widowControl/>
              <w:jc w:val="right"/>
              <w:rPr>
                <w:rFonts w:ascii="Arial" w:hAnsi="Arial"/>
                <w:color w:val="000000"/>
                <w:sz w:val="20"/>
                <w:lang w:eastAsia="sl-SI"/>
              </w:rPr>
            </w:pPr>
            <w:r w:rsidRPr="00424274">
              <w:rPr>
                <w:rFonts w:ascii="Arial" w:hAnsi="Arial"/>
                <w:color w:val="000000"/>
                <w:sz w:val="20"/>
                <w:lang w:eastAsia="sl-SI"/>
              </w:rPr>
              <w:t>3.272.060</w:t>
            </w:r>
          </w:p>
        </w:tc>
        <w:tc>
          <w:tcPr>
            <w:tcW w:w="1536" w:type="dxa"/>
            <w:tcBorders>
              <w:top w:val="nil"/>
              <w:left w:val="nil"/>
              <w:bottom w:val="single" w:sz="4" w:space="0" w:color="auto"/>
              <w:right w:val="single" w:sz="4" w:space="0" w:color="auto"/>
            </w:tcBorders>
            <w:shd w:val="clear" w:color="auto" w:fill="auto"/>
            <w:noWrap/>
            <w:vAlign w:val="bottom"/>
            <w:hideMark/>
          </w:tcPr>
          <w:p w14:paraId="406EE525" w14:textId="77777777" w:rsidR="00296ED3" w:rsidRPr="00424274" w:rsidRDefault="00296ED3" w:rsidP="00296ED3">
            <w:pPr>
              <w:widowControl/>
              <w:jc w:val="right"/>
              <w:rPr>
                <w:rFonts w:ascii="Arial" w:hAnsi="Arial"/>
                <w:color w:val="000000"/>
                <w:sz w:val="20"/>
                <w:lang w:eastAsia="sl-SI"/>
              </w:rPr>
            </w:pPr>
            <w:r w:rsidRPr="00424274">
              <w:rPr>
                <w:rFonts w:ascii="Arial" w:hAnsi="Arial"/>
                <w:color w:val="000000"/>
                <w:sz w:val="20"/>
                <w:lang w:eastAsia="sl-SI"/>
              </w:rPr>
              <w:t>32</w:t>
            </w:r>
          </w:p>
        </w:tc>
        <w:tc>
          <w:tcPr>
            <w:tcW w:w="1422" w:type="dxa"/>
            <w:tcBorders>
              <w:top w:val="nil"/>
              <w:left w:val="nil"/>
              <w:bottom w:val="single" w:sz="4" w:space="0" w:color="auto"/>
              <w:right w:val="single" w:sz="4" w:space="0" w:color="auto"/>
            </w:tcBorders>
            <w:shd w:val="clear" w:color="auto" w:fill="auto"/>
            <w:noWrap/>
            <w:vAlign w:val="bottom"/>
            <w:hideMark/>
          </w:tcPr>
          <w:p w14:paraId="7959814C" w14:textId="77777777" w:rsidR="00296ED3" w:rsidRPr="00424274" w:rsidRDefault="00296ED3" w:rsidP="00296ED3">
            <w:pPr>
              <w:widowControl/>
              <w:jc w:val="right"/>
              <w:rPr>
                <w:rFonts w:ascii="Arial" w:hAnsi="Arial"/>
                <w:color w:val="000000"/>
                <w:sz w:val="20"/>
                <w:lang w:eastAsia="sl-SI"/>
              </w:rPr>
            </w:pPr>
            <w:r w:rsidRPr="00424274">
              <w:rPr>
                <w:rFonts w:ascii="Arial" w:hAnsi="Arial"/>
                <w:color w:val="000000"/>
                <w:sz w:val="20"/>
                <w:lang w:eastAsia="sl-SI"/>
              </w:rPr>
              <w:t>20.685.347</w:t>
            </w:r>
          </w:p>
        </w:tc>
        <w:tc>
          <w:tcPr>
            <w:tcW w:w="1423" w:type="dxa"/>
            <w:tcBorders>
              <w:top w:val="nil"/>
              <w:left w:val="nil"/>
              <w:bottom w:val="single" w:sz="4" w:space="0" w:color="auto"/>
              <w:right w:val="single" w:sz="4" w:space="0" w:color="auto"/>
            </w:tcBorders>
            <w:shd w:val="clear" w:color="auto" w:fill="auto"/>
            <w:noWrap/>
            <w:vAlign w:val="bottom"/>
            <w:hideMark/>
          </w:tcPr>
          <w:p w14:paraId="79C23E09" w14:textId="77777777" w:rsidR="00296ED3" w:rsidRPr="00424274" w:rsidRDefault="00296ED3" w:rsidP="00296ED3">
            <w:pPr>
              <w:widowControl/>
              <w:jc w:val="right"/>
              <w:rPr>
                <w:rFonts w:ascii="Arial" w:hAnsi="Arial"/>
                <w:color w:val="000000"/>
                <w:sz w:val="20"/>
                <w:lang w:eastAsia="sl-SI"/>
              </w:rPr>
            </w:pPr>
            <w:r w:rsidRPr="00424274">
              <w:rPr>
                <w:rFonts w:ascii="Arial" w:hAnsi="Arial"/>
                <w:color w:val="000000"/>
                <w:sz w:val="20"/>
                <w:lang w:eastAsia="sl-SI"/>
              </w:rPr>
              <w:t>464</w:t>
            </w:r>
          </w:p>
        </w:tc>
      </w:tr>
      <w:tr w:rsidR="00296ED3" w:rsidRPr="00424274" w14:paraId="662B7387" w14:textId="77777777" w:rsidTr="00E70569">
        <w:trPr>
          <w:trHeight w:val="300"/>
        </w:trPr>
        <w:tc>
          <w:tcPr>
            <w:tcW w:w="2452" w:type="dxa"/>
            <w:tcBorders>
              <w:top w:val="nil"/>
              <w:left w:val="single" w:sz="4" w:space="0" w:color="auto"/>
              <w:bottom w:val="single" w:sz="4" w:space="0" w:color="auto"/>
              <w:right w:val="single" w:sz="4" w:space="0" w:color="auto"/>
            </w:tcBorders>
            <w:shd w:val="clear" w:color="auto" w:fill="auto"/>
            <w:noWrap/>
            <w:vAlign w:val="bottom"/>
            <w:hideMark/>
          </w:tcPr>
          <w:p w14:paraId="543B720C" w14:textId="77777777" w:rsidR="00296ED3" w:rsidRPr="00424274" w:rsidRDefault="00296ED3" w:rsidP="00296ED3">
            <w:pPr>
              <w:widowControl/>
              <w:jc w:val="left"/>
              <w:rPr>
                <w:rFonts w:ascii="Arial" w:hAnsi="Arial"/>
                <w:color w:val="000000"/>
                <w:sz w:val="20"/>
                <w:lang w:eastAsia="sl-SI"/>
              </w:rPr>
            </w:pPr>
            <w:r w:rsidRPr="00424274">
              <w:rPr>
                <w:rFonts w:ascii="Arial" w:hAnsi="Arial"/>
                <w:color w:val="000000"/>
                <w:sz w:val="20"/>
                <w:lang w:eastAsia="sl-SI"/>
              </w:rPr>
              <w:t>Malezija</w:t>
            </w:r>
          </w:p>
        </w:tc>
        <w:tc>
          <w:tcPr>
            <w:tcW w:w="1363" w:type="dxa"/>
            <w:tcBorders>
              <w:top w:val="nil"/>
              <w:left w:val="nil"/>
              <w:bottom w:val="single" w:sz="4" w:space="0" w:color="auto"/>
              <w:right w:val="single" w:sz="4" w:space="0" w:color="auto"/>
            </w:tcBorders>
            <w:shd w:val="clear" w:color="auto" w:fill="auto"/>
            <w:noWrap/>
            <w:vAlign w:val="bottom"/>
            <w:hideMark/>
          </w:tcPr>
          <w:p w14:paraId="07931BD1" w14:textId="77777777" w:rsidR="00296ED3" w:rsidRPr="00424274" w:rsidRDefault="00296ED3" w:rsidP="00296ED3">
            <w:pPr>
              <w:widowControl/>
              <w:jc w:val="right"/>
              <w:rPr>
                <w:rFonts w:ascii="Arial" w:hAnsi="Arial"/>
                <w:color w:val="000000"/>
                <w:sz w:val="20"/>
                <w:lang w:eastAsia="sl-SI"/>
              </w:rPr>
            </w:pPr>
            <w:r w:rsidRPr="00424274">
              <w:rPr>
                <w:rFonts w:ascii="Arial" w:hAnsi="Arial"/>
                <w:color w:val="000000"/>
                <w:sz w:val="20"/>
                <w:lang w:eastAsia="sl-SI"/>
              </w:rPr>
              <w:t>8.191.529</w:t>
            </w:r>
          </w:p>
        </w:tc>
        <w:tc>
          <w:tcPr>
            <w:tcW w:w="1536" w:type="dxa"/>
            <w:tcBorders>
              <w:top w:val="nil"/>
              <w:left w:val="nil"/>
              <w:bottom w:val="single" w:sz="4" w:space="0" w:color="auto"/>
              <w:right w:val="single" w:sz="4" w:space="0" w:color="auto"/>
            </w:tcBorders>
            <w:shd w:val="clear" w:color="auto" w:fill="auto"/>
            <w:noWrap/>
            <w:vAlign w:val="bottom"/>
            <w:hideMark/>
          </w:tcPr>
          <w:p w14:paraId="319ED228" w14:textId="77777777" w:rsidR="00296ED3" w:rsidRPr="00424274" w:rsidRDefault="00296ED3" w:rsidP="00296ED3">
            <w:pPr>
              <w:widowControl/>
              <w:jc w:val="right"/>
              <w:rPr>
                <w:rFonts w:ascii="Arial" w:hAnsi="Arial"/>
                <w:color w:val="000000"/>
                <w:sz w:val="20"/>
                <w:lang w:eastAsia="sl-SI"/>
              </w:rPr>
            </w:pPr>
            <w:r w:rsidRPr="00424274">
              <w:rPr>
                <w:rFonts w:ascii="Arial" w:hAnsi="Arial"/>
                <w:color w:val="000000"/>
                <w:sz w:val="20"/>
                <w:lang w:eastAsia="sl-SI"/>
              </w:rPr>
              <w:t>165</w:t>
            </w:r>
          </w:p>
        </w:tc>
        <w:tc>
          <w:tcPr>
            <w:tcW w:w="1422" w:type="dxa"/>
            <w:tcBorders>
              <w:top w:val="nil"/>
              <w:left w:val="nil"/>
              <w:bottom w:val="single" w:sz="4" w:space="0" w:color="auto"/>
              <w:right w:val="single" w:sz="4" w:space="0" w:color="auto"/>
            </w:tcBorders>
            <w:shd w:val="clear" w:color="auto" w:fill="auto"/>
            <w:noWrap/>
            <w:vAlign w:val="bottom"/>
            <w:hideMark/>
          </w:tcPr>
          <w:p w14:paraId="34F108F8" w14:textId="77777777" w:rsidR="00296ED3" w:rsidRPr="00424274" w:rsidRDefault="00296ED3" w:rsidP="00296ED3">
            <w:pPr>
              <w:widowControl/>
              <w:jc w:val="right"/>
              <w:rPr>
                <w:rFonts w:ascii="Arial" w:hAnsi="Arial"/>
                <w:color w:val="000000"/>
                <w:sz w:val="20"/>
                <w:lang w:eastAsia="sl-SI"/>
              </w:rPr>
            </w:pPr>
            <w:r w:rsidRPr="00424274">
              <w:rPr>
                <w:rFonts w:ascii="Arial" w:hAnsi="Arial"/>
                <w:color w:val="000000"/>
                <w:sz w:val="20"/>
                <w:lang w:eastAsia="sl-SI"/>
              </w:rPr>
              <w:t>8.901.294</w:t>
            </w:r>
          </w:p>
        </w:tc>
        <w:tc>
          <w:tcPr>
            <w:tcW w:w="1423" w:type="dxa"/>
            <w:tcBorders>
              <w:top w:val="nil"/>
              <w:left w:val="nil"/>
              <w:bottom w:val="single" w:sz="4" w:space="0" w:color="auto"/>
              <w:right w:val="single" w:sz="4" w:space="0" w:color="auto"/>
            </w:tcBorders>
            <w:shd w:val="clear" w:color="auto" w:fill="auto"/>
            <w:noWrap/>
            <w:vAlign w:val="bottom"/>
            <w:hideMark/>
          </w:tcPr>
          <w:p w14:paraId="1DF1F407" w14:textId="77777777" w:rsidR="00296ED3" w:rsidRPr="00424274" w:rsidRDefault="00296ED3" w:rsidP="00296ED3">
            <w:pPr>
              <w:widowControl/>
              <w:jc w:val="right"/>
              <w:rPr>
                <w:rFonts w:ascii="Arial" w:hAnsi="Arial"/>
                <w:color w:val="000000"/>
                <w:sz w:val="20"/>
                <w:lang w:eastAsia="sl-SI"/>
              </w:rPr>
            </w:pPr>
            <w:r w:rsidRPr="00424274">
              <w:rPr>
                <w:rFonts w:ascii="Arial" w:hAnsi="Arial"/>
                <w:color w:val="000000"/>
                <w:sz w:val="20"/>
                <w:lang w:eastAsia="sl-SI"/>
              </w:rPr>
              <w:t>54</w:t>
            </w:r>
          </w:p>
        </w:tc>
      </w:tr>
      <w:tr w:rsidR="00296ED3" w:rsidRPr="00424274" w14:paraId="4DFAA699" w14:textId="77777777" w:rsidTr="00E70569">
        <w:trPr>
          <w:trHeight w:val="300"/>
        </w:trPr>
        <w:tc>
          <w:tcPr>
            <w:tcW w:w="2452" w:type="dxa"/>
            <w:tcBorders>
              <w:top w:val="nil"/>
              <w:left w:val="single" w:sz="4" w:space="0" w:color="auto"/>
              <w:bottom w:val="single" w:sz="4" w:space="0" w:color="auto"/>
              <w:right w:val="single" w:sz="4" w:space="0" w:color="auto"/>
            </w:tcBorders>
            <w:shd w:val="clear" w:color="auto" w:fill="auto"/>
            <w:noWrap/>
            <w:vAlign w:val="bottom"/>
            <w:hideMark/>
          </w:tcPr>
          <w:p w14:paraId="2BFBEAB8" w14:textId="77777777" w:rsidR="00296ED3" w:rsidRPr="00424274" w:rsidRDefault="00296ED3" w:rsidP="00296ED3">
            <w:pPr>
              <w:widowControl/>
              <w:jc w:val="left"/>
              <w:rPr>
                <w:rFonts w:ascii="Arial" w:hAnsi="Arial"/>
                <w:color w:val="000000"/>
                <w:sz w:val="20"/>
                <w:lang w:eastAsia="sl-SI"/>
              </w:rPr>
            </w:pPr>
            <w:r w:rsidRPr="00424274">
              <w:rPr>
                <w:rFonts w:ascii="Arial" w:hAnsi="Arial"/>
                <w:color w:val="000000"/>
                <w:sz w:val="20"/>
                <w:lang w:eastAsia="sl-SI"/>
              </w:rPr>
              <w:t>Panama</w:t>
            </w:r>
          </w:p>
        </w:tc>
        <w:tc>
          <w:tcPr>
            <w:tcW w:w="1363" w:type="dxa"/>
            <w:tcBorders>
              <w:top w:val="nil"/>
              <w:left w:val="nil"/>
              <w:bottom w:val="single" w:sz="4" w:space="0" w:color="auto"/>
              <w:right w:val="single" w:sz="4" w:space="0" w:color="auto"/>
            </w:tcBorders>
            <w:shd w:val="clear" w:color="auto" w:fill="auto"/>
            <w:noWrap/>
            <w:vAlign w:val="bottom"/>
            <w:hideMark/>
          </w:tcPr>
          <w:p w14:paraId="7A68652A" w14:textId="77777777" w:rsidR="00296ED3" w:rsidRPr="00424274" w:rsidRDefault="00296ED3" w:rsidP="00296ED3">
            <w:pPr>
              <w:widowControl/>
              <w:jc w:val="right"/>
              <w:rPr>
                <w:rFonts w:ascii="Arial" w:hAnsi="Arial"/>
                <w:color w:val="000000"/>
                <w:sz w:val="20"/>
                <w:lang w:eastAsia="sl-SI"/>
              </w:rPr>
            </w:pPr>
            <w:r w:rsidRPr="00424274">
              <w:rPr>
                <w:rFonts w:ascii="Arial" w:hAnsi="Arial"/>
                <w:color w:val="000000"/>
                <w:sz w:val="20"/>
                <w:lang w:eastAsia="sl-SI"/>
              </w:rPr>
              <w:t>11.392.577</w:t>
            </w:r>
          </w:p>
        </w:tc>
        <w:tc>
          <w:tcPr>
            <w:tcW w:w="1536" w:type="dxa"/>
            <w:tcBorders>
              <w:top w:val="nil"/>
              <w:left w:val="nil"/>
              <w:bottom w:val="single" w:sz="4" w:space="0" w:color="auto"/>
              <w:right w:val="single" w:sz="4" w:space="0" w:color="auto"/>
            </w:tcBorders>
            <w:shd w:val="clear" w:color="auto" w:fill="auto"/>
            <w:noWrap/>
            <w:vAlign w:val="bottom"/>
            <w:hideMark/>
          </w:tcPr>
          <w:p w14:paraId="11FDF1AC" w14:textId="77777777" w:rsidR="00296ED3" w:rsidRPr="00424274" w:rsidRDefault="00296ED3" w:rsidP="00296ED3">
            <w:pPr>
              <w:widowControl/>
              <w:jc w:val="right"/>
              <w:rPr>
                <w:rFonts w:ascii="Arial" w:hAnsi="Arial"/>
                <w:color w:val="000000"/>
                <w:sz w:val="20"/>
                <w:lang w:eastAsia="sl-SI"/>
              </w:rPr>
            </w:pPr>
            <w:r w:rsidRPr="00424274">
              <w:rPr>
                <w:rFonts w:ascii="Arial" w:hAnsi="Arial"/>
                <w:color w:val="000000"/>
                <w:sz w:val="20"/>
                <w:lang w:eastAsia="sl-SI"/>
              </w:rPr>
              <w:t>40</w:t>
            </w:r>
          </w:p>
        </w:tc>
        <w:tc>
          <w:tcPr>
            <w:tcW w:w="1422" w:type="dxa"/>
            <w:tcBorders>
              <w:top w:val="nil"/>
              <w:left w:val="nil"/>
              <w:bottom w:val="single" w:sz="4" w:space="0" w:color="auto"/>
              <w:right w:val="single" w:sz="4" w:space="0" w:color="auto"/>
            </w:tcBorders>
            <w:shd w:val="clear" w:color="auto" w:fill="auto"/>
            <w:noWrap/>
            <w:vAlign w:val="bottom"/>
            <w:hideMark/>
          </w:tcPr>
          <w:p w14:paraId="562D1F3C" w14:textId="77777777" w:rsidR="00296ED3" w:rsidRPr="00424274" w:rsidRDefault="00296ED3" w:rsidP="00296ED3">
            <w:pPr>
              <w:widowControl/>
              <w:jc w:val="right"/>
              <w:rPr>
                <w:rFonts w:ascii="Arial" w:hAnsi="Arial"/>
                <w:color w:val="000000"/>
                <w:sz w:val="20"/>
                <w:lang w:eastAsia="sl-SI"/>
              </w:rPr>
            </w:pPr>
            <w:r w:rsidRPr="00424274">
              <w:rPr>
                <w:rFonts w:ascii="Arial" w:hAnsi="Arial"/>
                <w:color w:val="000000"/>
                <w:sz w:val="20"/>
                <w:lang w:eastAsia="sl-SI"/>
              </w:rPr>
              <w:t>179.029</w:t>
            </w:r>
          </w:p>
        </w:tc>
        <w:tc>
          <w:tcPr>
            <w:tcW w:w="1423" w:type="dxa"/>
            <w:tcBorders>
              <w:top w:val="nil"/>
              <w:left w:val="nil"/>
              <w:bottom w:val="single" w:sz="4" w:space="0" w:color="auto"/>
              <w:right w:val="single" w:sz="4" w:space="0" w:color="auto"/>
            </w:tcBorders>
            <w:shd w:val="clear" w:color="auto" w:fill="auto"/>
            <w:noWrap/>
            <w:vAlign w:val="bottom"/>
            <w:hideMark/>
          </w:tcPr>
          <w:p w14:paraId="1C143324" w14:textId="77777777" w:rsidR="00296ED3" w:rsidRPr="00424274" w:rsidRDefault="00296ED3" w:rsidP="00296ED3">
            <w:pPr>
              <w:widowControl/>
              <w:jc w:val="right"/>
              <w:rPr>
                <w:rFonts w:ascii="Arial" w:hAnsi="Arial"/>
                <w:color w:val="000000"/>
                <w:sz w:val="20"/>
                <w:lang w:eastAsia="sl-SI"/>
              </w:rPr>
            </w:pPr>
            <w:r w:rsidRPr="00424274">
              <w:rPr>
                <w:rFonts w:ascii="Arial" w:hAnsi="Arial"/>
                <w:color w:val="000000"/>
                <w:sz w:val="20"/>
                <w:lang w:eastAsia="sl-SI"/>
              </w:rPr>
              <w:t>2</w:t>
            </w:r>
          </w:p>
        </w:tc>
      </w:tr>
      <w:tr w:rsidR="00296ED3" w:rsidRPr="00424274" w14:paraId="29548BA2" w14:textId="77777777" w:rsidTr="00E70569">
        <w:trPr>
          <w:trHeight w:val="300"/>
        </w:trPr>
        <w:tc>
          <w:tcPr>
            <w:tcW w:w="2452" w:type="dxa"/>
            <w:tcBorders>
              <w:top w:val="nil"/>
              <w:left w:val="single" w:sz="4" w:space="0" w:color="auto"/>
              <w:bottom w:val="single" w:sz="4" w:space="0" w:color="auto"/>
              <w:right w:val="single" w:sz="4" w:space="0" w:color="auto"/>
            </w:tcBorders>
            <w:shd w:val="clear" w:color="auto" w:fill="auto"/>
            <w:noWrap/>
            <w:vAlign w:val="bottom"/>
            <w:hideMark/>
          </w:tcPr>
          <w:p w14:paraId="23D6101A" w14:textId="77777777" w:rsidR="00296ED3" w:rsidRPr="00424274" w:rsidRDefault="00296ED3" w:rsidP="00296ED3">
            <w:pPr>
              <w:widowControl/>
              <w:jc w:val="left"/>
              <w:rPr>
                <w:rFonts w:ascii="Arial" w:hAnsi="Arial"/>
                <w:color w:val="000000"/>
                <w:sz w:val="20"/>
                <w:lang w:eastAsia="sl-SI"/>
              </w:rPr>
            </w:pPr>
            <w:r w:rsidRPr="00424274">
              <w:rPr>
                <w:rFonts w:ascii="Arial" w:hAnsi="Arial"/>
                <w:color w:val="000000"/>
                <w:sz w:val="20"/>
                <w:lang w:eastAsia="sl-SI"/>
              </w:rPr>
              <w:t>Maroko</w:t>
            </w:r>
          </w:p>
        </w:tc>
        <w:tc>
          <w:tcPr>
            <w:tcW w:w="1363" w:type="dxa"/>
            <w:tcBorders>
              <w:top w:val="nil"/>
              <w:left w:val="nil"/>
              <w:bottom w:val="single" w:sz="4" w:space="0" w:color="auto"/>
              <w:right w:val="single" w:sz="4" w:space="0" w:color="auto"/>
            </w:tcBorders>
            <w:shd w:val="clear" w:color="auto" w:fill="auto"/>
            <w:noWrap/>
            <w:vAlign w:val="bottom"/>
            <w:hideMark/>
          </w:tcPr>
          <w:p w14:paraId="66348B16" w14:textId="77777777" w:rsidR="00296ED3" w:rsidRPr="00424274" w:rsidRDefault="00296ED3" w:rsidP="00296ED3">
            <w:pPr>
              <w:widowControl/>
              <w:jc w:val="right"/>
              <w:rPr>
                <w:rFonts w:ascii="Arial" w:hAnsi="Arial"/>
                <w:color w:val="000000"/>
                <w:sz w:val="20"/>
                <w:lang w:eastAsia="sl-SI"/>
              </w:rPr>
            </w:pPr>
            <w:r w:rsidRPr="00424274">
              <w:rPr>
                <w:rFonts w:ascii="Arial" w:hAnsi="Arial"/>
                <w:color w:val="000000"/>
                <w:sz w:val="20"/>
                <w:lang w:eastAsia="sl-SI"/>
              </w:rPr>
              <w:t>1.428.620</w:t>
            </w:r>
          </w:p>
        </w:tc>
        <w:tc>
          <w:tcPr>
            <w:tcW w:w="1536" w:type="dxa"/>
            <w:tcBorders>
              <w:top w:val="nil"/>
              <w:left w:val="nil"/>
              <w:bottom w:val="single" w:sz="4" w:space="0" w:color="auto"/>
              <w:right w:val="single" w:sz="4" w:space="0" w:color="auto"/>
            </w:tcBorders>
            <w:shd w:val="clear" w:color="auto" w:fill="auto"/>
            <w:noWrap/>
            <w:vAlign w:val="bottom"/>
            <w:hideMark/>
          </w:tcPr>
          <w:p w14:paraId="08C8BC70" w14:textId="77777777" w:rsidR="00296ED3" w:rsidRPr="00424274" w:rsidRDefault="00296ED3" w:rsidP="00296ED3">
            <w:pPr>
              <w:widowControl/>
              <w:jc w:val="right"/>
              <w:rPr>
                <w:rFonts w:ascii="Arial" w:hAnsi="Arial"/>
                <w:color w:val="000000"/>
                <w:sz w:val="20"/>
                <w:lang w:eastAsia="sl-SI"/>
              </w:rPr>
            </w:pPr>
            <w:r w:rsidRPr="00424274">
              <w:rPr>
                <w:rFonts w:ascii="Arial" w:hAnsi="Arial"/>
                <w:color w:val="000000"/>
                <w:sz w:val="20"/>
                <w:lang w:eastAsia="sl-SI"/>
              </w:rPr>
              <w:t>60</w:t>
            </w:r>
          </w:p>
        </w:tc>
        <w:tc>
          <w:tcPr>
            <w:tcW w:w="1422" w:type="dxa"/>
            <w:tcBorders>
              <w:top w:val="nil"/>
              <w:left w:val="nil"/>
              <w:bottom w:val="single" w:sz="4" w:space="0" w:color="auto"/>
              <w:right w:val="single" w:sz="4" w:space="0" w:color="auto"/>
            </w:tcBorders>
            <w:shd w:val="clear" w:color="auto" w:fill="auto"/>
            <w:noWrap/>
            <w:vAlign w:val="bottom"/>
            <w:hideMark/>
          </w:tcPr>
          <w:p w14:paraId="17F1C851" w14:textId="77777777" w:rsidR="00296ED3" w:rsidRPr="00424274" w:rsidRDefault="00296ED3" w:rsidP="00296ED3">
            <w:pPr>
              <w:widowControl/>
              <w:jc w:val="right"/>
              <w:rPr>
                <w:rFonts w:ascii="Arial" w:hAnsi="Arial"/>
                <w:color w:val="000000"/>
                <w:sz w:val="20"/>
                <w:lang w:eastAsia="sl-SI"/>
              </w:rPr>
            </w:pPr>
            <w:r w:rsidRPr="00424274">
              <w:rPr>
                <w:rFonts w:ascii="Arial" w:hAnsi="Arial"/>
                <w:color w:val="000000"/>
                <w:sz w:val="20"/>
                <w:lang w:eastAsia="sl-SI"/>
              </w:rPr>
              <w:t>8.809.318</w:t>
            </w:r>
          </w:p>
        </w:tc>
        <w:tc>
          <w:tcPr>
            <w:tcW w:w="1423" w:type="dxa"/>
            <w:tcBorders>
              <w:top w:val="nil"/>
              <w:left w:val="nil"/>
              <w:bottom w:val="single" w:sz="4" w:space="0" w:color="auto"/>
              <w:right w:val="single" w:sz="4" w:space="0" w:color="auto"/>
            </w:tcBorders>
            <w:shd w:val="clear" w:color="auto" w:fill="auto"/>
            <w:noWrap/>
            <w:vAlign w:val="bottom"/>
            <w:hideMark/>
          </w:tcPr>
          <w:p w14:paraId="319E84AC" w14:textId="77777777" w:rsidR="00296ED3" w:rsidRPr="00424274" w:rsidRDefault="00296ED3" w:rsidP="00296ED3">
            <w:pPr>
              <w:widowControl/>
              <w:jc w:val="right"/>
              <w:rPr>
                <w:rFonts w:ascii="Arial" w:hAnsi="Arial"/>
                <w:color w:val="000000"/>
                <w:sz w:val="20"/>
                <w:lang w:eastAsia="sl-SI"/>
              </w:rPr>
            </w:pPr>
            <w:r w:rsidRPr="00424274">
              <w:rPr>
                <w:rFonts w:ascii="Arial" w:hAnsi="Arial"/>
                <w:color w:val="000000"/>
                <w:sz w:val="20"/>
                <w:lang w:eastAsia="sl-SI"/>
              </w:rPr>
              <w:t>38</w:t>
            </w:r>
          </w:p>
        </w:tc>
      </w:tr>
      <w:tr w:rsidR="00296ED3" w:rsidRPr="00424274" w14:paraId="5B50E26F" w14:textId="77777777" w:rsidTr="00E70569">
        <w:trPr>
          <w:trHeight w:val="300"/>
        </w:trPr>
        <w:tc>
          <w:tcPr>
            <w:tcW w:w="2452" w:type="dxa"/>
            <w:tcBorders>
              <w:top w:val="nil"/>
              <w:left w:val="single" w:sz="4" w:space="0" w:color="auto"/>
              <w:bottom w:val="single" w:sz="4" w:space="0" w:color="auto"/>
              <w:right w:val="single" w:sz="4" w:space="0" w:color="auto"/>
            </w:tcBorders>
            <w:shd w:val="clear" w:color="auto" w:fill="auto"/>
            <w:noWrap/>
            <w:vAlign w:val="bottom"/>
            <w:hideMark/>
          </w:tcPr>
          <w:p w14:paraId="2B7D94D4" w14:textId="77777777" w:rsidR="00296ED3" w:rsidRPr="00424274" w:rsidRDefault="00296ED3" w:rsidP="00296ED3">
            <w:pPr>
              <w:widowControl/>
              <w:jc w:val="left"/>
              <w:rPr>
                <w:rFonts w:ascii="Arial" w:hAnsi="Arial"/>
                <w:color w:val="000000"/>
                <w:sz w:val="20"/>
                <w:lang w:eastAsia="sl-SI"/>
              </w:rPr>
            </w:pPr>
            <w:r w:rsidRPr="00424274">
              <w:rPr>
                <w:rFonts w:ascii="Arial" w:hAnsi="Arial"/>
                <w:color w:val="000000"/>
                <w:sz w:val="20"/>
                <w:lang w:eastAsia="sl-SI"/>
              </w:rPr>
              <w:t>Združeni arabski emirati</w:t>
            </w:r>
          </w:p>
        </w:tc>
        <w:tc>
          <w:tcPr>
            <w:tcW w:w="1363" w:type="dxa"/>
            <w:tcBorders>
              <w:top w:val="nil"/>
              <w:left w:val="nil"/>
              <w:bottom w:val="single" w:sz="4" w:space="0" w:color="auto"/>
              <w:right w:val="single" w:sz="4" w:space="0" w:color="auto"/>
            </w:tcBorders>
            <w:shd w:val="clear" w:color="auto" w:fill="auto"/>
            <w:noWrap/>
            <w:vAlign w:val="bottom"/>
            <w:hideMark/>
          </w:tcPr>
          <w:p w14:paraId="0BC34DBA" w14:textId="77777777" w:rsidR="00296ED3" w:rsidRPr="00424274" w:rsidRDefault="00296ED3" w:rsidP="00296ED3">
            <w:pPr>
              <w:widowControl/>
              <w:jc w:val="right"/>
              <w:rPr>
                <w:rFonts w:ascii="Arial" w:hAnsi="Arial"/>
                <w:color w:val="000000"/>
                <w:sz w:val="20"/>
                <w:lang w:eastAsia="sl-SI"/>
              </w:rPr>
            </w:pPr>
            <w:r w:rsidRPr="00424274">
              <w:rPr>
                <w:rFonts w:ascii="Arial" w:hAnsi="Arial"/>
                <w:color w:val="000000"/>
                <w:sz w:val="20"/>
                <w:lang w:eastAsia="sl-SI"/>
              </w:rPr>
              <w:t>4.371.425</w:t>
            </w:r>
          </w:p>
        </w:tc>
        <w:tc>
          <w:tcPr>
            <w:tcW w:w="1536" w:type="dxa"/>
            <w:tcBorders>
              <w:top w:val="nil"/>
              <w:left w:val="nil"/>
              <w:bottom w:val="single" w:sz="4" w:space="0" w:color="auto"/>
              <w:right w:val="single" w:sz="4" w:space="0" w:color="auto"/>
            </w:tcBorders>
            <w:shd w:val="clear" w:color="auto" w:fill="auto"/>
            <w:noWrap/>
            <w:vAlign w:val="bottom"/>
            <w:hideMark/>
          </w:tcPr>
          <w:p w14:paraId="5E89A1B3" w14:textId="77777777" w:rsidR="00296ED3" w:rsidRPr="00424274" w:rsidRDefault="00296ED3" w:rsidP="00296ED3">
            <w:pPr>
              <w:widowControl/>
              <w:jc w:val="right"/>
              <w:rPr>
                <w:rFonts w:ascii="Arial" w:hAnsi="Arial"/>
                <w:color w:val="000000"/>
                <w:sz w:val="20"/>
                <w:lang w:eastAsia="sl-SI"/>
              </w:rPr>
            </w:pPr>
            <w:r w:rsidRPr="00424274">
              <w:rPr>
                <w:rFonts w:ascii="Arial" w:hAnsi="Arial"/>
                <w:color w:val="000000"/>
                <w:sz w:val="20"/>
                <w:lang w:eastAsia="sl-SI"/>
              </w:rPr>
              <w:t>75</w:t>
            </w:r>
          </w:p>
        </w:tc>
        <w:tc>
          <w:tcPr>
            <w:tcW w:w="1422" w:type="dxa"/>
            <w:tcBorders>
              <w:top w:val="nil"/>
              <w:left w:val="nil"/>
              <w:bottom w:val="single" w:sz="4" w:space="0" w:color="auto"/>
              <w:right w:val="single" w:sz="4" w:space="0" w:color="auto"/>
            </w:tcBorders>
            <w:shd w:val="clear" w:color="auto" w:fill="auto"/>
            <w:noWrap/>
            <w:vAlign w:val="bottom"/>
            <w:hideMark/>
          </w:tcPr>
          <w:p w14:paraId="610D34A8" w14:textId="77777777" w:rsidR="00296ED3" w:rsidRPr="00424274" w:rsidRDefault="00296ED3" w:rsidP="00296ED3">
            <w:pPr>
              <w:widowControl/>
              <w:jc w:val="right"/>
              <w:rPr>
                <w:rFonts w:ascii="Arial" w:hAnsi="Arial"/>
                <w:color w:val="000000"/>
                <w:sz w:val="20"/>
                <w:lang w:eastAsia="sl-SI"/>
              </w:rPr>
            </w:pPr>
            <w:r w:rsidRPr="00424274">
              <w:rPr>
                <w:rFonts w:ascii="Arial" w:hAnsi="Arial"/>
                <w:color w:val="000000"/>
                <w:sz w:val="20"/>
                <w:lang w:eastAsia="sl-SI"/>
              </w:rPr>
              <w:t>4.858.196</w:t>
            </w:r>
          </w:p>
        </w:tc>
        <w:tc>
          <w:tcPr>
            <w:tcW w:w="1423" w:type="dxa"/>
            <w:tcBorders>
              <w:top w:val="nil"/>
              <w:left w:val="nil"/>
              <w:bottom w:val="single" w:sz="4" w:space="0" w:color="auto"/>
              <w:right w:val="single" w:sz="4" w:space="0" w:color="auto"/>
            </w:tcBorders>
            <w:shd w:val="clear" w:color="auto" w:fill="auto"/>
            <w:noWrap/>
            <w:vAlign w:val="bottom"/>
            <w:hideMark/>
          </w:tcPr>
          <w:p w14:paraId="52A9E8B2" w14:textId="77777777" w:rsidR="00296ED3" w:rsidRPr="00424274" w:rsidRDefault="00296ED3" w:rsidP="00296ED3">
            <w:pPr>
              <w:widowControl/>
              <w:jc w:val="right"/>
              <w:rPr>
                <w:rFonts w:ascii="Arial" w:hAnsi="Arial"/>
                <w:color w:val="000000"/>
                <w:sz w:val="20"/>
                <w:lang w:eastAsia="sl-SI"/>
              </w:rPr>
            </w:pPr>
            <w:r w:rsidRPr="00424274">
              <w:rPr>
                <w:rFonts w:ascii="Arial" w:hAnsi="Arial"/>
                <w:color w:val="000000"/>
                <w:sz w:val="20"/>
                <w:lang w:eastAsia="sl-SI"/>
              </w:rPr>
              <w:t>77</w:t>
            </w:r>
          </w:p>
        </w:tc>
      </w:tr>
      <w:tr w:rsidR="00296ED3" w:rsidRPr="00424274" w14:paraId="37178BCD" w14:textId="77777777" w:rsidTr="00E70569">
        <w:trPr>
          <w:trHeight w:val="300"/>
        </w:trPr>
        <w:tc>
          <w:tcPr>
            <w:tcW w:w="2452" w:type="dxa"/>
            <w:tcBorders>
              <w:top w:val="nil"/>
              <w:left w:val="single" w:sz="4" w:space="0" w:color="auto"/>
              <w:bottom w:val="single" w:sz="4" w:space="0" w:color="auto"/>
              <w:right w:val="single" w:sz="4" w:space="0" w:color="auto"/>
            </w:tcBorders>
            <w:shd w:val="clear" w:color="auto" w:fill="auto"/>
            <w:noWrap/>
            <w:vAlign w:val="bottom"/>
            <w:hideMark/>
          </w:tcPr>
          <w:p w14:paraId="490B9A22" w14:textId="77777777" w:rsidR="00296ED3" w:rsidRPr="00424274" w:rsidRDefault="00296ED3" w:rsidP="00296ED3">
            <w:pPr>
              <w:widowControl/>
              <w:jc w:val="left"/>
              <w:rPr>
                <w:rFonts w:ascii="Arial" w:hAnsi="Arial"/>
                <w:color w:val="000000"/>
                <w:sz w:val="20"/>
                <w:lang w:eastAsia="sl-SI"/>
              </w:rPr>
            </w:pPr>
            <w:r w:rsidRPr="00424274">
              <w:rPr>
                <w:rFonts w:ascii="Arial" w:hAnsi="Arial"/>
                <w:color w:val="000000"/>
                <w:sz w:val="20"/>
                <w:lang w:eastAsia="sl-SI"/>
              </w:rPr>
              <w:t>Albanija</w:t>
            </w:r>
          </w:p>
        </w:tc>
        <w:tc>
          <w:tcPr>
            <w:tcW w:w="1363" w:type="dxa"/>
            <w:tcBorders>
              <w:top w:val="nil"/>
              <w:left w:val="nil"/>
              <w:bottom w:val="single" w:sz="4" w:space="0" w:color="auto"/>
              <w:right w:val="single" w:sz="4" w:space="0" w:color="auto"/>
            </w:tcBorders>
            <w:shd w:val="clear" w:color="auto" w:fill="auto"/>
            <w:noWrap/>
            <w:vAlign w:val="bottom"/>
            <w:hideMark/>
          </w:tcPr>
          <w:p w14:paraId="5D24F413" w14:textId="77777777" w:rsidR="00296ED3" w:rsidRPr="00424274" w:rsidRDefault="00296ED3" w:rsidP="00296ED3">
            <w:pPr>
              <w:widowControl/>
              <w:jc w:val="right"/>
              <w:rPr>
                <w:rFonts w:ascii="Arial" w:hAnsi="Arial"/>
                <w:color w:val="000000"/>
                <w:sz w:val="20"/>
                <w:lang w:eastAsia="sl-SI"/>
              </w:rPr>
            </w:pPr>
            <w:r w:rsidRPr="00424274">
              <w:rPr>
                <w:rFonts w:ascii="Arial" w:hAnsi="Arial"/>
                <w:color w:val="000000"/>
                <w:sz w:val="20"/>
                <w:lang w:eastAsia="sl-SI"/>
              </w:rPr>
              <w:t>225.397</w:t>
            </w:r>
          </w:p>
        </w:tc>
        <w:tc>
          <w:tcPr>
            <w:tcW w:w="1536" w:type="dxa"/>
            <w:tcBorders>
              <w:top w:val="nil"/>
              <w:left w:val="nil"/>
              <w:bottom w:val="single" w:sz="4" w:space="0" w:color="auto"/>
              <w:right w:val="single" w:sz="4" w:space="0" w:color="auto"/>
            </w:tcBorders>
            <w:shd w:val="clear" w:color="auto" w:fill="auto"/>
            <w:noWrap/>
            <w:vAlign w:val="bottom"/>
            <w:hideMark/>
          </w:tcPr>
          <w:p w14:paraId="6DB4620E" w14:textId="77777777" w:rsidR="00296ED3" w:rsidRPr="00424274" w:rsidRDefault="00296ED3" w:rsidP="00296ED3">
            <w:pPr>
              <w:widowControl/>
              <w:jc w:val="right"/>
              <w:rPr>
                <w:rFonts w:ascii="Arial" w:hAnsi="Arial"/>
                <w:color w:val="000000"/>
                <w:sz w:val="20"/>
                <w:lang w:eastAsia="sl-SI"/>
              </w:rPr>
            </w:pPr>
            <w:r w:rsidRPr="00424274">
              <w:rPr>
                <w:rFonts w:ascii="Arial" w:hAnsi="Arial"/>
                <w:color w:val="000000"/>
                <w:sz w:val="20"/>
                <w:lang w:eastAsia="sl-SI"/>
              </w:rPr>
              <w:t>3</w:t>
            </w:r>
          </w:p>
        </w:tc>
        <w:tc>
          <w:tcPr>
            <w:tcW w:w="1422" w:type="dxa"/>
            <w:tcBorders>
              <w:top w:val="nil"/>
              <w:left w:val="nil"/>
              <w:bottom w:val="single" w:sz="4" w:space="0" w:color="auto"/>
              <w:right w:val="single" w:sz="4" w:space="0" w:color="auto"/>
            </w:tcBorders>
            <w:shd w:val="clear" w:color="auto" w:fill="auto"/>
            <w:noWrap/>
            <w:vAlign w:val="bottom"/>
            <w:hideMark/>
          </w:tcPr>
          <w:p w14:paraId="3C22952B" w14:textId="77777777" w:rsidR="00296ED3" w:rsidRPr="00424274" w:rsidRDefault="00296ED3" w:rsidP="00296ED3">
            <w:pPr>
              <w:widowControl/>
              <w:jc w:val="right"/>
              <w:rPr>
                <w:rFonts w:ascii="Arial" w:hAnsi="Arial"/>
                <w:color w:val="000000"/>
                <w:sz w:val="20"/>
                <w:lang w:eastAsia="sl-SI"/>
              </w:rPr>
            </w:pPr>
            <w:r w:rsidRPr="00424274">
              <w:rPr>
                <w:rFonts w:ascii="Arial" w:hAnsi="Arial"/>
                <w:color w:val="000000"/>
                <w:sz w:val="20"/>
                <w:lang w:eastAsia="sl-SI"/>
              </w:rPr>
              <w:t>7.351.989</w:t>
            </w:r>
          </w:p>
        </w:tc>
        <w:tc>
          <w:tcPr>
            <w:tcW w:w="1423" w:type="dxa"/>
            <w:tcBorders>
              <w:top w:val="nil"/>
              <w:left w:val="nil"/>
              <w:bottom w:val="single" w:sz="4" w:space="0" w:color="auto"/>
              <w:right w:val="single" w:sz="4" w:space="0" w:color="auto"/>
            </w:tcBorders>
            <w:shd w:val="clear" w:color="auto" w:fill="auto"/>
            <w:noWrap/>
            <w:vAlign w:val="bottom"/>
            <w:hideMark/>
          </w:tcPr>
          <w:p w14:paraId="15C1639F" w14:textId="77777777" w:rsidR="00296ED3" w:rsidRPr="00424274" w:rsidRDefault="00296ED3" w:rsidP="00296ED3">
            <w:pPr>
              <w:widowControl/>
              <w:jc w:val="right"/>
              <w:rPr>
                <w:rFonts w:ascii="Arial" w:hAnsi="Arial"/>
                <w:color w:val="000000"/>
                <w:sz w:val="20"/>
                <w:lang w:eastAsia="sl-SI"/>
              </w:rPr>
            </w:pPr>
            <w:r w:rsidRPr="00424274">
              <w:rPr>
                <w:rFonts w:ascii="Arial" w:hAnsi="Arial"/>
                <w:color w:val="000000"/>
                <w:sz w:val="20"/>
                <w:lang w:eastAsia="sl-SI"/>
              </w:rPr>
              <w:t>122</w:t>
            </w:r>
          </w:p>
        </w:tc>
      </w:tr>
      <w:tr w:rsidR="00296ED3" w:rsidRPr="00424274" w14:paraId="5B0CD39F" w14:textId="77777777" w:rsidTr="00E70569">
        <w:trPr>
          <w:trHeight w:val="300"/>
        </w:trPr>
        <w:tc>
          <w:tcPr>
            <w:tcW w:w="2452" w:type="dxa"/>
            <w:tcBorders>
              <w:top w:val="nil"/>
              <w:left w:val="single" w:sz="4" w:space="0" w:color="auto"/>
              <w:bottom w:val="single" w:sz="4" w:space="0" w:color="auto"/>
              <w:right w:val="single" w:sz="4" w:space="0" w:color="auto"/>
            </w:tcBorders>
            <w:shd w:val="clear" w:color="auto" w:fill="auto"/>
            <w:noWrap/>
            <w:vAlign w:val="bottom"/>
            <w:hideMark/>
          </w:tcPr>
          <w:p w14:paraId="1D5B046D" w14:textId="77777777" w:rsidR="00296ED3" w:rsidRPr="00424274" w:rsidRDefault="00296ED3" w:rsidP="00296ED3">
            <w:pPr>
              <w:widowControl/>
              <w:jc w:val="left"/>
              <w:rPr>
                <w:rFonts w:ascii="Arial" w:hAnsi="Arial"/>
                <w:color w:val="000000"/>
                <w:sz w:val="20"/>
                <w:lang w:eastAsia="sl-SI"/>
              </w:rPr>
            </w:pPr>
            <w:r w:rsidRPr="00424274">
              <w:rPr>
                <w:rFonts w:ascii="Arial" w:hAnsi="Arial"/>
                <w:color w:val="000000"/>
                <w:sz w:val="20"/>
                <w:lang w:eastAsia="sl-SI"/>
              </w:rPr>
              <w:t>Pakistan</w:t>
            </w:r>
          </w:p>
        </w:tc>
        <w:tc>
          <w:tcPr>
            <w:tcW w:w="1363" w:type="dxa"/>
            <w:tcBorders>
              <w:top w:val="nil"/>
              <w:left w:val="nil"/>
              <w:bottom w:val="single" w:sz="4" w:space="0" w:color="auto"/>
              <w:right w:val="single" w:sz="4" w:space="0" w:color="auto"/>
            </w:tcBorders>
            <w:shd w:val="clear" w:color="auto" w:fill="auto"/>
            <w:noWrap/>
            <w:vAlign w:val="bottom"/>
            <w:hideMark/>
          </w:tcPr>
          <w:p w14:paraId="47C591FA" w14:textId="77777777" w:rsidR="00296ED3" w:rsidRPr="00424274" w:rsidRDefault="00296ED3" w:rsidP="00296ED3">
            <w:pPr>
              <w:widowControl/>
              <w:jc w:val="right"/>
              <w:rPr>
                <w:rFonts w:ascii="Arial" w:hAnsi="Arial"/>
                <w:color w:val="000000"/>
                <w:sz w:val="20"/>
                <w:lang w:eastAsia="sl-SI"/>
              </w:rPr>
            </w:pPr>
            <w:r w:rsidRPr="00424274">
              <w:rPr>
                <w:rFonts w:ascii="Arial" w:hAnsi="Arial"/>
                <w:color w:val="000000"/>
                <w:sz w:val="20"/>
                <w:lang w:eastAsia="sl-SI"/>
              </w:rPr>
              <w:t>3.566.440</w:t>
            </w:r>
          </w:p>
        </w:tc>
        <w:tc>
          <w:tcPr>
            <w:tcW w:w="1536" w:type="dxa"/>
            <w:tcBorders>
              <w:top w:val="nil"/>
              <w:left w:val="nil"/>
              <w:bottom w:val="single" w:sz="4" w:space="0" w:color="auto"/>
              <w:right w:val="single" w:sz="4" w:space="0" w:color="auto"/>
            </w:tcBorders>
            <w:shd w:val="clear" w:color="auto" w:fill="auto"/>
            <w:noWrap/>
            <w:vAlign w:val="bottom"/>
            <w:hideMark/>
          </w:tcPr>
          <w:p w14:paraId="017E0F7F" w14:textId="77777777" w:rsidR="00296ED3" w:rsidRPr="00424274" w:rsidRDefault="00296ED3" w:rsidP="00296ED3">
            <w:pPr>
              <w:widowControl/>
              <w:jc w:val="right"/>
              <w:rPr>
                <w:rFonts w:ascii="Arial" w:hAnsi="Arial"/>
                <w:color w:val="000000"/>
                <w:sz w:val="20"/>
                <w:lang w:eastAsia="sl-SI"/>
              </w:rPr>
            </w:pPr>
            <w:r w:rsidRPr="00424274">
              <w:rPr>
                <w:rFonts w:ascii="Arial" w:hAnsi="Arial"/>
                <w:color w:val="000000"/>
                <w:sz w:val="20"/>
                <w:lang w:eastAsia="sl-SI"/>
              </w:rPr>
              <w:t>69</w:t>
            </w:r>
          </w:p>
        </w:tc>
        <w:tc>
          <w:tcPr>
            <w:tcW w:w="1422" w:type="dxa"/>
            <w:tcBorders>
              <w:top w:val="nil"/>
              <w:left w:val="nil"/>
              <w:bottom w:val="single" w:sz="4" w:space="0" w:color="auto"/>
              <w:right w:val="single" w:sz="4" w:space="0" w:color="auto"/>
            </w:tcBorders>
            <w:shd w:val="clear" w:color="auto" w:fill="auto"/>
            <w:noWrap/>
            <w:vAlign w:val="bottom"/>
            <w:hideMark/>
          </w:tcPr>
          <w:p w14:paraId="5C252F49" w14:textId="77777777" w:rsidR="00296ED3" w:rsidRPr="00424274" w:rsidRDefault="00296ED3" w:rsidP="00296ED3">
            <w:pPr>
              <w:widowControl/>
              <w:jc w:val="right"/>
              <w:rPr>
                <w:rFonts w:ascii="Arial" w:hAnsi="Arial"/>
                <w:color w:val="000000"/>
                <w:sz w:val="20"/>
                <w:lang w:eastAsia="sl-SI"/>
              </w:rPr>
            </w:pPr>
            <w:r w:rsidRPr="00424274">
              <w:rPr>
                <w:rFonts w:ascii="Arial" w:hAnsi="Arial"/>
                <w:color w:val="000000"/>
                <w:sz w:val="20"/>
                <w:lang w:eastAsia="sl-SI"/>
              </w:rPr>
              <w:t>1.720.762</w:t>
            </w:r>
          </w:p>
        </w:tc>
        <w:tc>
          <w:tcPr>
            <w:tcW w:w="1423" w:type="dxa"/>
            <w:tcBorders>
              <w:top w:val="nil"/>
              <w:left w:val="nil"/>
              <w:bottom w:val="single" w:sz="4" w:space="0" w:color="auto"/>
              <w:right w:val="single" w:sz="4" w:space="0" w:color="auto"/>
            </w:tcBorders>
            <w:shd w:val="clear" w:color="auto" w:fill="auto"/>
            <w:noWrap/>
            <w:vAlign w:val="bottom"/>
            <w:hideMark/>
          </w:tcPr>
          <w:p w14:paraId="1993ED8C" w14:textId="77777777" w:rsidR="00296ED3" w:rsidRPr="00424274" w:rsidRDefault="00296ED3" w:rsidP="00296ED3">
            <w:pPr>
              <w:widowControl/>
              <w:jc w:val="right"/>
              <w:rPr>
                <w:rFonts w:ascii="Arial" w:hAnsi="Arial"/>
                <w:color w:val="000000"/>
                <w:sz w:val="20"/>
                <w:lang w:eastAsia="sl-SI"/>
              </w:rPr>
            </w:pPr>
            <w:r w:rsidRPr="00424274">
              <w:rPr>
                <w:rFonts w:ascii="Arial" w:hAnsi="Arial"/>
                <w:color w:val="000000"/>
                <w:sz w:val="20"/>
                <w:lang w:eastAsia="sl-SI"/>
              </w:rPr>
              <w:t>45</w:t>
            </w:r>
          </w:p>
        </w:tc>
      </w:tr>
      <w:tr w:rsidR="00296ED3" w:rsidRPr="00424274" w14:paraId="6301791F" w14:textId="77777777" w:rsidTr="00E70569">
        <w:trPr>
          <w:trHeight w:val="300"/>
        </w:trPr>
        <w:tc>
          <w:tcPr>
            <w:tcW w:w="2452" w:type="dxa"/>
            <w:tcBorders>
              <w:top w:val="nil"/>
              <w:left w:val="single" w:sz="4" w:space="0" w:color="auto"/>
              <w:bottom w:val="single" w:sz="4" w:space="0" w:color="auto"/>
              <w:right w:val="single" w:sz="4" w:space="0" w:color="auto"/>
            </w:tcBorders>
            <w:shd w:val="clear" w:color="auto" w:fill="auto"/>
            <w:noWrap/>
            <w:vAlign w:val="bottom"/>
            <w:hideMark/>
          </w:tcPr>
          <w:p w14:paraId="161F6AB5" w14:textId="77777777" w:rsidR="00296ED3" w:rsidRPr="00424274" w:rsidRDefault="00296ED3" w:rsidP="00296ED3">
            <w:pPr>
              <w:widowControl/>
              <w:jc w:val="left"/>
              <w:rPr>
                <w:rFonts w:ascii="Arial" w:hAnsi="Arial"/>
                <w:color w:val="000000"/>
                <w:sz w:val="20"/>
                <w:lang w:eastAsia="sl-SI"/>
              </w:rPr>
            </w:pPr>
            <w:r w:rsidRPr="00424274">
              <w:rPr>
                <w:rFonts w:ascii="Arial" w:hAnsi="Arial"/>
                <w:color w:val="000000"/>
                <w:sz w:val="20"/>
                <w:lang w:eastAsia="sl-SI"/>
              </w:rPr>
              <w:t>Tunizija</w:t>
            </w:r>
          </w:p>
        </w:tc>
        <w:tc>
          <w:tcPr>
            <w:tcW w:w="1363" w:type="dxa"/>
            <w:tcBorders>
              <w:top w:val="nil"/>
              <w:left w:val="nil"/>
              <w:bottom w:val="single" w:sz="4" w:space="0" w:color="auto"/>
              <w:right w:val="single" w:sz="4" w:space="0" w:color="auto"/>
            </w:tcBorders>
            <w:shd w:val="clear" w:color="auto" w:fill="auto"/>
            <w:noWrap/>
            <w:vAlign w:val="bottom"/>
            <w:hideMark/>
          </w:tcPr>
          <w:p w14:paraId="4E4D6377" w14:textId="77777777" w:rsidR="00296ED3" w:rsidRPr="00424274" w:rsidRDefault="00296ED3" w:rsidP="00296ED3">
            <w:pPr>
              <w:widowControl/>
              <w:jc w:val="right"/>
              <w:rPr>
                <w:rFonts w:ascii="Arial" w:hAnsi="Arial"/>
                <w:color w:val="000000"/>
                <w:sz w:val="20"/>
                <w:lang w:eastAsia="sl-SI"/>
              </w:rPr>
            </w:pPr>
            <w:r w:rsidRPr="00424274">
              <w:rPr>
                <w:rFonts w:ascii="Arial" w:hAnsi="Arial"/>
                <w:color w:val="000000"/>
                <w:sz w:val="20"/>
                <w:lang w:eastAsia="sl-SI"/>
              </w:rPr>
              <w:t>1.055.264</w:t>
            </w:r>
          </w:p>
        </w:tc>
        <w:tc>
          <w:tcPr>
            <w:tcW w:w="1536" w:type="dxa"/>
            <w:tcBorders>
              <w:top w:val="nil"/>
              <w:left w:val="nil"/>
              <w:bottom w:val="single" w:sz="4" w:space="0" w:color="auto"/>
              <w:right w:val="single" w:sz="4" w:space="0" w:color="auto"/>
            </w:tcBorders>
            <w:shd w:val="clear" w:color="auto" w:fill="auto"/>
            <w:noWrap/>
            <w:vAlign w:val="bottom"/>
            <w:hideMark/>
          </w:tcPr>
          <w:p w14:paraId="09EDB18A" w14:textId="77777777" w:rsidR="00296ED3" w:rsidRPr="00424274" w:rsidRDefault="00296ED3" w:rsidP="00296ED3">
            <w:pPr>
              <w:widowControl/>
              <w:jc w:val="right"/>
              <w:rPr>
                <w:rFonts w:ascii="Arial" w:hAnsi="Arial"/>
                <w:color w:val="000000"/>
                <w:sz w:val="20"/>
                <w:lang w:eastAsia="sl-SI"/>
              </w:rPr>
            </w:pPr>
            <w:r w:rsidRPr="00424274">
              <w:rPr>
                <w:rFonts w:ascii="Arial" w:hAnsi="Arial"/>
                <w:color w:val="000000"/>
                <w:sz w:val="20"/>
                <w:lang w:eastAsia="sl-SI"/>
              </w:rPr>
              <w:t>27</w:t>
            </w:r>
          </w:p>
        </w:tc>
        <w:tc>
          <w:tcPr>
            <w:tcW w:w="1422" w:type="dxa"/>
            <w:tcBorders>
              <w:top w:val="nil"/>
              <w:left w:val="nil"/>
              <w:bottom w:val="single" w:sz="4" w:space="0" w:color="auto"/>
              <w:right w:val="single" w:sz="4" w:space="0" w:color="auto"/>
            </w:tcBorders>
            <w:shd w:val="clear" w:color="auto" w:fill="auto"/>
            <w:noWrap/>
            <w:vAlign w:val="bottom"/>
            <w:hideMark/>
          </w:tcPr>
          <w:p w14:paraId="7EC09E6C" w14:textId="77777777" w:rsidR="00296ED3" w:rsidRPr="00424274" w:rsidRDefault="00296ED3" w:rsidP="00296ED3">
            <w:pPr>
              <w:widowControl/>
              <w:jc w:val="right"/>
              <w:rPr>
                <w:rFonts w:ascii="Arial" w:hAnsi="Arial"/>
                <w:color w:val="000000"/>
                <w:sz w:val="20"/>
                <w:lang w:eastAsia="sl-SI"/>
              </w:rPr>
            </w:pPr>
            <w:r w:rsidRPr="00424274">
              <w:rPr>
                <w:rFonts w:ascii="Arial" w:hAnsi="Arial"/>
                <w:color w:val="000000"/>
                <w:sz w:val="20"/>
                <w:lang w:eastAsia="sl-SI"/>
              </w:rPr>
              <w:t>3.174.495</w:t>
            </w:r>
          </w:p>
        </w:tc>
        <w:tc>
          <w:tcPr>
            <w:tcW w:w="1423" w:type="dxa"/>
            <w:tcBorders>
              <w:top w:val="nil"/>
              <w:left w:val="nil"/>
              <w:bottom w:val="single" w:sz="4" w:space="0" w:color="auto"/>
              <w:right w:val="single" w:sz="4" w:space="0" w:color="auto"/>
            </w:tcBorders>
            <w:shd w:val="clear" w:color="auto" w:fill="auto"/>
            <w:noWrap/>
            <w:vAlign w:val="bottom"/>
            <w:hideMark/>
          </w:tcPr>
          <w:p w14:paraId="3E8A8447" w14:textId="77777777" w:rsidR="00296ED3" w:rsidRPr="00424274" w:rsidRDefault="00296ED3" w:rsidP="00296ED3">
            <w:pPr>
              <w:widowControl/>
              <w:jc w:val="right"/>
              <w:rPr>
                <w:rFonts w:ascii="Arial" w:hAnsi="Arial"/>
                <w:color w:val="000000"/>
                <w:sz w:val="20"/>
                <w:lang w:eastAsia="sl-SI"/>
              </w:rPr>
            </w:pPr>
            <w:r w:rsidRPr="00424274">
              <w:rPr>
                <w:rFonts w:ascii="Arial" w:hAnsi="Arial"/>
                <w:color w:val="000000"/>
                <w:sz w:val="20"/>
                <w:lang w:eastAsia="sl-SI"/>
              </w:rPr>
              <w:t>49</w:t>
            </w:r>
          </w:p>
        </w:tc>
      </w:tr>
      <w:tr w:rsidR="00296ED3" w:rsidRPr="00424274" w14:paraId="3892B062" w14:textId="77777777" w:rsidTr="00E70569">
        <w:trPr>
          <w:trHeight w:val="300"/>
        </w:trPr>
        <w:tc>
          <w:tcPr>
            <w:tcW w:w="2452" w:type="dxa"/>
            <w:tcBorders>
              <w:top w:val="nil"/>
              <w:left w:val="single" w:sz="4" w:space="0" w:color="auto"/>
              <w:bottom w:val="single" w:sz="4" w:space="0" w:color="auto"/>
              <w:right w:val="single" w:sz="4" w:space="0" w:color="auto"/>
            </w:tcBorders>
            <w:shd w:val="clear" w:color="auto" w:fill="auto"/>
            <w:noWrap/>
            <w:vAlign w:val="bottom"/>
            <w:hideMark/>
          </w:tcPr>
          <w:p w14:paraId="4A909897" w14:textId="77777777" w:rsidR="00296ED3" w:rsidRPr="00424274" w:rsidRDefault="00296ED3" w:rsidP="00296ED3">
            <w:pPr>
              <w:widowControl/>
              <w:jc w:val="left"/>
              <w:rPr>
                <w:rFonts w:ascii="Arial" w:hAnsi="Arial"/>
                <w:color w:val="000000"/>
                <w:sz w:val="20"/>
                <w:lang w:eastAsia="sl-SI"/>
              </w:rPr>
            </w:pPr>
            <w:r w:rsidRPr="00424274">
              <w:rPr>
                <w:rFonts w:ascii="Arial" w:hAnsi="Arial"/>
                <w:color w:val="000000"/>
                <w:sz w:val="20"/>
                <w:lang w:eastAsia="sl-SI"/>
              </w:rPr>
              <w:t>Indonezija</w:t>
            </w:r>
          </w:p>
        </w:tc>
        <w:tc>
          <w:tcPr>
            <w:tcW w:w="1363" w:type="dxa"/>
            <w:tcBorders>
              <w:top w:val="nil"/>
              <w:left w:val="nil"/>
              <w:bottom w:val="single" w:sz="4" w:space="0" w:color="auto"/>
              <w:right w:val="single" w:sz="4" w:space="0" w:color="auto"/>
            </w:tcBorders>
            <w:shd w:val="clear" w:color="auto" w:fill="auto"/>
            <w:noWrap/>
            <w:vAlign w:val="bottom"/>
            <w:hideMark/>
          </w:tcPr>
          <w:p w14:paraId="283ABC23" w14:textId="77777777" w:rsidR="00296ED3" w:rsidRPr="00424274" w:rsidRDefault="00296ED3" w:rsidP="00296ED3">
            <w:pPr>
              <w:widowControl/>
              <w:jc w:val="right"/>
              <w:rPr>
                <w:rFonts w:ascii="Arial" w:hAnsi="Arial"/>
                <w:color w:val="000000"/>
                <w:sz w:val="20"/>
                <w:lang w:eastAsia="sl-SI"/>
              </w:rPr>
            </w:pPr>
            <w:r w:rsidRPr="00424274">
              <w:rPr>
                <w:rFonts w:ascii="Arial" w:hAnsi="Arial"/>
                <w:color w:val="000000"/>
                <w:sz w:val="20"/>
                <w:lang w:eastAsia="sl-SI"/>
              </w:rPr>
              <w:t>790.062</w:t>
            </w:r>
          </w:p>
        </w:tc>
        <w:tc>
          <w:tcPr>
            <w:tcW w:w="1536" w:type="dxa"/>
            <w:tcBorders>
              <w:top w:val="nil"/>
              <w:left w:val="nil"/>
              <w:bottom w:val="single" w:sz="4" w:space="0" w:color="auto"/>
              <w:right w:val="single" w:sz="4" w:space="0" w:color="auto"/>
            </w:tcBorders>
            <w:shd w:val="clear" w:color="auto" w:fill="auto"/>
            <w:noWrap/>
            <w:vAlign w:val="bottom"/>
            <w:hideMark/>
          </w:tcPr>
          <w:p w14:paraId="7050580A" w14:textId="77777777" w:rsidR="00296ED3" w:rsidRPr="00424274" w:rsidRDefault="00296ED3" w:rsidP="00296ED3">
            <w:pPr>
              <w:widowControl/>
              <w:jc w:val="right"/>
              <w:rPr>
                <w:rFonts w:ascii="Arial" w:hAnsi="Arial"/>
                <w:color w:val="000000"/>
                <w:sz w:val="20"/>
                <w:lang w:eastAsia="sl-SI"/>
              </w:rPr>
            </w:pPr>
            <w:r w:rsidRPr="00424274">
              <w:rPr>
                <w:rFonts w:ascii="Arial" w:hAnsi="Arial"/>
                <w:color w:val="000000"/>
                <w:sz w:val="20"/>
                <w:lang w:eastAsia="sl-SI"/>
              </w:rPr>
              <w:t>25</w:t>
            </w:r>
          </w:p>
        </w:tc>
        <w:tc>
          <w:tcPr>
            <w:tcW w:w="1422" w:type="dxa"/>
            <w:tcBorders>
              <w:top w:val="nil"/>
              <w:left w:val="nil"/>
              <w:bottom w:val="single" w:sz="4" w:space="0" w:color="auto"/>
              <w:right w:val="single" w:sz="4" w:space="0" w:color="auto"/>
            </w:tcBorders>
            <w:shd w:val="clear" w:color="auto" w:fill="auto"/>
            <w:noWrap/>
            <w:vAlign w:val="bottom"/>
            <w:hideMark/>
          </w:tcPr>
          <w:p w14:paraId="554E62DB" w14:textId="77777777" w:rsidR="00296ED3" w:rsidRPr="00424274" w:rsidRDefault="00296ED3" w:rsidP="00296ED3">
            <w:pPr>
              <w:widowControl/>
              <w:jc w:val="right"/>
              <w:rPr>
                <w:rFonts w:ascii="Arial" w:hAnsi="Arial"/>
                <w:color w:val="000000"/>
                <w:sz w:val="20"/>
                <w:lang w:eastAsia="sl-SI"/>
              </w:rPr>
            </w:pPr>
            <w:r w:rsidRPr="00424274">
              <w:rPr>
                <w:rFonts w:ascii="Arial" w:hAnsi="Arial"/>
                <w:color w:val="000000"/>
                <w:sz w:val="20"/>
                <w:lang w:eastAsia="sl-SI"/>
              </w:rPr>
              <w:t>1.664.626</w:t>
            </w:r>
          </w:p>
        </w:tc>
        <w:tc>
          <w:tcPr>
            <w:tcW w:w="1423" w:type="dxa"/>
            <w:tcBorders>
              <w:top w:val="nil"/>
              <w:left w:val="nil"/>
              <w:bottom w:val="single" w:sz="4" w:space="0" w:color="auto"/>
              <w:right w:val="single" w:sz="4" w:space="0" w:color="auto"/>
            </w:tcBorders>
            <w:shd w:val="clear" w:color="auto" w:fill="auto"/>
            <w:noWrap/>
            <w:vAlign w:val="bottom"/>
            <w:hideMark/>
          </w:tcPr>
          <w:p w14:paraId="3B3342B3" w14:textId="77777777" w:rsidR="00296ED3" w:rsidRPr="00424274" w:rsidRDefault="00296ED3" w:rsidP="00296ED3">
            <w:pPr>
              <w:widowControl/>
              <w:jc w:val="right"/>
              <w:rPr>
                <w:rFonts w:ascii="Arial" w:hAnsi="Arial"/>
                <w:color w:val="000000"/>
                <w:sz w:val="20"/>
                <w:lang w:eastAsia="sl-SI"/>
              </w:rPr>
            </w:pPr>
            <w:r w:rsidRPr="00424274">
              <w:rPr>
                <w:rFonts w:ascii="Arial" w:hAnsi="Arial"/>
                <w:color w:val="000000"/>
                <w:sz w:val="20"/>
                <w:lang w:eastAsia="sl-SI"/>
              </w:rPr>
              <w:t>36</w:t>
            </w:r>
          </w:p>
        </w:tc>
      </w:tr>
      <w:tr w:rsidR="00296ED3" w:rsidRPr="00424274" w14:paraId="025B078C" w14:textId="77777777" w:rsidTr="00E70569">
        <w:trPr>
          <w:trHeight w:val="300"/>
        </w:trPr>
        <w:tc>
          <w:tcPr>
            <w:tcW w:w="2452" w:type="dxa"/>
            <w:tcBorders>
              <w:top w:val="nil"/>
              <w:left w:val="single" w:sz="4" w:space="0" w:color="auto"/>
              <w:bottom w:val="single" w:sz="4" w:space="0" w:color="auto"/>
              <w:right w:val="single" w:sz="4" w:space="0" w:color="auto"/>
            </w:tcBorders>
            <w:shd w:val="clear" w:color="auto" w:fill="auto"/>
            <w:noWrap/>
            <w:vAlign w:val="bottom"/>
            <w:hideMark/>
          </w:tcPr>
          <w:p w14:paraId="6E8573E5" w14:textId="77777777" w:rsidR="00296ED3" w:rsidRPr="00424274" w:rsidRDefault="00296ED3" w:rsidP="00296ED3">
            <w:pPr>
              <w:widowControl/>
              <w:jc w:val="left"/>
              <w:rPr>
                <w:rFonts w:ascii="Arial" w:hAnsi="Arial"/>
                <w:color w:val="000000"/>
                <w:sz w:val="20"/>
                <w:lang w:eastAsia="sl-SI"/>
              </w:rPr>
            </w:pPr>
            <w:r w:rsidRPr="00424274">
              <w:rPr>
                <w:rFonts w:ascii="Arial" w:hAnsi="Arial"/>
                <w:color w:val="000000"/>
                <w:sz w:val="20"/>
                <w:lang w:eastAsia="sl-SI"/>
              </w:rPr>
              <w:t>Islandija</w:t>
            </w:r>
          </w:p>
        </w:tc>
        <w:tc>
          <w:tcPr>
            <w:tcW w:w="1363" w:type="dxa"/>
            <w:tcBorders>
              <w:top w:val="nil"/>
              <w:left w:val="nil"/>
              <w:bottom w:val="single" w:sz="4" w:space="0" w:color="auto"/>
              <w:right w:val="single" w:sz="4" w:space="0" w:color="auto"/>
            </w:tcBorders>
            <w:shd w:val="clear" w:color="auto" w:fill="auto"/>
            <w:noWrap/>
            <w:vAlign w:val="bottom"/>
            <w:hideMark/>
          </w:tcPr>
          <w:p w14:paraId="10BBFF4C" w14:textId="77777777" w:rsidR="00296ED3" w:rsidRPr="00424274" w:rsidRDefault="00296ED3" w:rsidP="00296ED3">
            <w:pPr>
              <w:widowControl/>
              <w:jc w:val="right"/>
              <w:rPr>
                <w:rFonts w:ascii="Arial" w:hAnsi="Arial"/>
                <w:color w:val="000000"/>
                <w:sz w:val="20"/>
                <w:lang w:eastAsia="sl-SI"/>
              </w:rPr>
            </w:pPr>
          </w:p>
        </w:tc>
        <w:tc>
          <w:tcPr>
            <w:tcW w:w="1536" w:type="dxa"/>
            <w:tcBorders>
              <w:top w:val="nil"/>
              <w:left w:val="nil"/>
              <w:bottom w:val="single" w:sz="4" w:space="0" w:color="auto"/>
              <w:right w:val="single" w:sz="4" w:space="0" w:color="auto"/>
            </w:tcBorders>
            <w:shd w:val="clear" w:color="auto" w:fill="auto"/>
            <w:noWrap/>
            <w:vAlign w:val="bottom"/>
            <w:hideMark/>
          </w:tcPr>
          <w:p w14:paraId="173DB7B1" w14:textId="77777777" w:rsidR="00296ED3" w:rsidRPr="00424274" w:rsidRDefault="00296ED3" w:rsidP="00296ED3">
            <w:pPr>
              <w:widowControl/>
              <w:jc w:val="right"/>
              <w:rPr>
                <w:rFonts w:ascii="Arial" w:hAnsi="Arial"/>
                <w:color w:val="000000"/>
                <w:sz w:val="20"/>
                <w:lang w:eastAsia="sl-SI"/>
              </w:rPr>
            </w:pPr>
          </w:p>
        </w:tc>
        <w:tc>
          <w:tcPr>
            <w:tcW w:w="1422" w:type="dxa"/>
            <w:tcBorders>
              <w:top w:val="nil"/>
              <w:left w:val="nil"/>
              <w:bottom w:val="single" w:sz="4" w:space="0" w:color="auto"/>
              <w:right w:val="single" w:sz="4" w:space="0" w:color="auto"/>
            </w:tcBorders>
            <w:shd w:val="clear" w:color="auto" w:fill="auto"/>
            <w:noWrap/>
            <w:vAlign w:val="bottom"/>
            <w:hideMark/>
          </w:tcPr>
          <w:p w14:paraId="35BCB3CE" w14:textId="77777777" w:rsidR="00296ED3" w:rsidRPr="00424274" w:rsidRDefault="00296ED3" w:rsidP="00296ED3">
            <w:pPr>
              <w:widowControl/>
              <w:jc w:val="right"/>
              <w:rPr>
                <w:rFonts w:ascii="Arial" w:hAnsi="Arial"/>
                <w:color w:val="000000"/>
                <w:sz w:val="20"/>
                <w:lang w:eastAsia="sl-SI"/>
              </w:rPr>
            </w:pPr>
            <w:r w:rsidRPr="00424274">
              <w:rPr>
                <w:rFonts w:ascii="Arial" w:hAnsi="Arial"/>
                <w:color w:val="000000"/>
                <w:sz w:val="20"/>
                <w:lang w:eastAsia="sl-SI"/>
              </w:rPr>
              <w:t>2.268.276</w:t>
            </w:r>
          </w:p>
        </w:tc>
        <w:tc>
          <w:tcPr>
            <w:tcW w:w="1423" w:type="dxa"/>
            <w:tcBorders>
              <w:top w:val="nil"/>
              <w:left w:val="nil"/>
              <w:bottom w:val="single" w:sz="4" w:space="0" w:color="auto"/>
              <w:right w:val="single" w:sz="4" w:space="0" w:color="auto"/>
            </w:tcBorders>
            <w:shd w:val="clear" w:color="auto" w:fill="auto"/>
            <w:noWrap/>
            <w:vAlign w:val="bottom"/>
            <w:hideMark/>
          </w:tcPr>
          <w:p w14:paraId="234AA9A6" w14:textId="77777777" w:rsidR="00296ED3" w:rsidRPr="00424274" w:rsidRDefault="00296ED3" w:rsidP="00296ED3">
            <w:pPr>
              <w:widowControl/>
              <w:jc w:val="right"/>
              <w:rPr>
                <w:rFonts w:ascii="Arial" w:hAnsi="Arial"/>
                <w:color w:val="000000"/>
                <w:sz w:val="20"/>
                <w:lang w:eastAsia="sl-SI"/>
              </w:rPr>
            </w:pPr>
            <w:r w:rsidRPr="00424274">
              <w:rPr>
                <w:rFonts w:ascii="Arial" w:hAnsi="Arial"/>
                <w:color w:val="000000"/>
                <w:sz w:val="20"/>
                <w:lang w:eastAsia="sl-SI"/>
              </w:rPr>
              <w:t>53</w:t>
            </w:r>
          </w:p>
        </w:tc>
      </w:tr>
      <w:bookmarkEnd w:id="33"/>
    </w:tbl>
    <w:p w14:paraId="678A21EC" w14:textId="77777777" w:rsidR="00296ED3" w:rsidRPr="00424274" w:rsidRDefault="00296ED3" w:rsidP="008A4E21">
      <w:pPr>
        <w:tabs>
          <w:tab w:val="left" w:pos="-1049"/>
          <w:tab w:val="left" w:pos="-689"/>
          <w:tab w:val="left" w:pos="0"/>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ind w:left="993" w:hanging="993"/>
        <w:rPr>
          <w:rFonts w:ascii="Arial" w:hAnsi="Arial"/>
          <w:b/>
          <w:i/>
          <w:sz w:val="20"/>
        </w:rPr>
      </w:pPr>
    </w:p>
    <w:p w14:paraId="478C0A31" w14:textId="77777777" w:rsidR="00193131" w:rsidRPr="00424274" w:rsidRDefault="00193131" w:rsidP="0073058A">
      <w:pPr>
        <w:tabs>
          <w:tab w:val="left" w:pos="-1049"/>
          <w:tab w:val="left" w:pos="-689"/>
          <w:tab w:val="left" w:pos="0"/>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rFonts w:ascii="Arial" w:hAnsi="Arial"/>
          <w:b/>
          <w:i/>
          <w:sz w:val="20"/>
        </w:rPr>
      </w:pPr>
    </w:p>
    <w:p w14:paraId="09DA717B" w14:textId="61417BC9" w:rsidR="0020635D" w:rsidRPr="00424274" w:rsidRDefault="0020635D" w:rsidP="0020635D">
      <w:pPr>
        <w:widowControl/>
        <w:spacing w:line="276" w:lineRule="auto"/>
        <w:rPr>
          <w:rFonts w:ascii="Arial" w:hAnsi="Arial"/>
          <w:bCs/>
          <w:iCs/>
          <w:sz w:val="20"/>
        </w:rPr>
      </w:pPr>
      <w:r w:rsidRPr="00424274">
        <w:rPr>
          <w:rFonts w:ascii="Arial" w:hAnsi="Arial"/>
          <w:bCs/>
          <w:sz w:val="20"/>
        </w:rPr>
        <w:t xml:space="preserve">Podobno kot v prejšnjem poglavju je bilo tudi po </w:t>
      </w:r>
      <w:r w:rsidR="003474B3">
        <w:rPr>
          <w:rFonts w:ascii="Arial" w:hAnsi="Arial"/>
          <w:bCs/>
          <w:sz w:val="20"/>
        </w:rPr>
        <w:t>merilu</w:t>
      </w:r>
      <w:r w:rsidR="003474B3" w:rsidRPr="00424274">
        <w:rPr>
          <w:rFonts w:ascii="Arial" w:hAnsi="Arial"/>
          <w:bCs/>
          <w:sz w:val="20"/>
        </w:rPr>
        <w:t xml:space="preserve"> </w:t>
      </w:r>
      <w:r w:rsidRPr="00424274">
        <w:rPr>
          <w:rFonts w:ascii="Arial" w:hAnsi="Arial"/>
          <w:bCs/>
          <w:sz w:val="20"/>
        </w:rPr>
        <w:t>števila nakazil družbam z bančnimi računi v tveganih državah največ nakazil oziroma 50 % iz Slovenije izvršenih v Bosno in Hercegovino oziroma 39</w:t>
      </w:r>
      <w:r w:rsidR="003474B3">
        <w:rPr>
          <w:rFonts w:ascii="Arial" w:hAnsi="Arial"/>
          <w:bCs/>
          <w:sz w:val="20"/>
        </w:rPr>
        <w:t> </w:t>
      </w:r>
      <w:r w:rsidRPr="00424274">
        <w:rPr>
          <w:rFonts w:ascii="Arial" w:hAnsi="Arial"/>
          <w:bCs/>
          <w:sz w:val="20"/>
        </w:rPr>
        <w:t xml:space="preserve">% celotnega zneska. </w:t>
      </w:r>
      <w:r w:rsidRPr="00424274">
        <w:rPr>
          <w:rFonts w:ascii="Arial" w:hAnsi="Arial"/>
          <w:bCs/>
          <w:iCs/>
          <w:sz w:val="20"/>
        </w:rPr>
        <w:t xml:space="preserve">V Bosno in Hercegovino je, podobno kot po prejšnjem </w:t>
      </w:r>
      <w:r w:rsidR="003474B3">
        <w:rPr>
          <w:rFonts w:ascii="Arial" w:hAnsi="Arial"/>
          <w:bCs/>
          <w:iCs/>
          <w:sz w:val="20"/>
        </w:rPr>
        <w:t>merilu</w:t>
      </w:r>
      <w:r w:rsidRPr="00424274">
        <w:rPr>
          <w:rFonts w:ascii="Arial" w:hAnsi="Arial"/>
          <w:bCs/>
          <w:iCs/>
          <w:sz w:val="20"/>
        </w:rPr>
        <w:t>, sredstva nakazalo okoli 490 domačih družb. Od celotnega zneska se 13 % nanaša na pokojnine in 10</w:t>
      </w:r>
      <w:r w:rsidR="003474B3">
        <w:rPr>
          <w:rFonts w:ascii="Arial" w:hAnsi="Arial"/>
          <w:bCs/>
          <w:iCs/>
          <w:sz w:val="20"/>
        </w:rPr>
        <w:t> </w:t>
      </w:r>
      <w:r w:rsidRPr="00424274">
        <w:rPr>
          <w:rFonts w:ascii="Arial" w:hAnsi="Arial"/>
          <w:bCs/>
          <w:iCs/>
          <w:sz w:val="20"/>
        </w:rPr>
        <w:t>% na plačila energentov.</w:t>
      </w:r>
    </w:p>
    <w:p w14:paraId="1C402A4B" w14:textId="77777777" w:rsidR="0020635D" w:rsidRPr="00424274" w:rsidRDefault="0020635D" w:rsidP="0020635D">
      <w:pPr>
        <w:widowControl/>
        <w:spacing w:line="276" w:lineRule="auto"/>
        <w:rPr>
          <w:rFonts w:ascii="Arial" w:hAnsi="Arial"/>
          <w:bCs/>
          <w:sz w:val="20"/>
        </w:rPr>
      </w:pPr>
    </w:p>
    <w:p w14:paraId="64A331F8" w14:textId="2836CAA1" w:rsidR="0020635D" w:rsidRPr="00424274" w:rsidRDefault="0020635D" w:rsidP="0020635D">
      <w:pPr>
        <w:widowControl/>
        <w:spacing w:line="276" w:lineRule="auto"/>
        <w:rPr>
          <w:rFonts w:ascii="Arial" w:hAnsi="Arial"/>
          <w:bCs/>
          <w:sz w:val="20"/>
        </w:rPr>
      </w:pPr>
      <w:r w:rsidRPr="00424274">
        <w:rPr>
          <w:rFonts w:ascii="Arial" w:hAnsi="Arial"/>
          <w:bCs/>
          <w:sz w:val="20"/>
        </w:rPr>
        <w:t>Med nakazili po skupnem znesku izvršenih nakazil izstopajo še nakazila v Liechtenstein, kjer so prejemniki prejeli skoraj 30</w:t>
      </w:r>
      <w:r w:rsidR="003474B3">
        <w:rPr>
          <w:rFonts w:ascii="Arial" w:hAnsi="Arial"/>
          <w:bCs/>
          <w:sz w:val="20"/>
        </w:rPr>
        <w:t> </w:t>
      </w:r>
      <w:r w:rsidRPr="00424274">
        <w:rPr>
          <w:rFonts w:ascii="Arial" w:hAnsi="Arial"/>
          <w:bCs/>
          <w:sz w:val="20"/>
        </w:rPr>
        <w:t>% celotnega zneska nakazil</w:t>
      </w:r>
      <w:r w:rsidR="003474B3">
        <w:rPr>
          <w:rFonts w:ascii="Arial" w:hAnsi="Arial"/>
          <w:bCs/>
          <w:sz w:val="20"/>
        </w:rPr>
        <w:t>,</w:t>
      </w:r>
      <w:r w:rsidRPr="00424274">
        <w:rPr>
          <w:rFonts w:ascii="Arial" w:hAnsi="Arial"/>
          <w:bCs/>
          <w:sz w:val="20"/>
        </w:rPr>
        <w:t xml:space="preserve"> izvršenih v tvegane države, od tega je 88</w:t>
      </w:r>
      <w:r w:rsidR="003474B3">
        <w:rPr>
          <w:rFonts w:ascii="Arial" w:hAnsi="Arial"/>
          <w:bCs/>
          <w:sz w:val="20"/>
        </w:rPr>
        <w:t> </w:t>
      </w:r>
      <w:r w:rsidRPr="00424274">
        <w:rPr>
          <w:rFonts w:ascii="Arial" w:hAnsi="Arial"/>
          <w:bCs/>
          <w:sz w:val="20"/>
        </w:rPr>
        <w:t>% zneska nakazala tuja družba, ki se ukvarja z virtualnimi valutami. Po številu izvršenih nakazil izstopajo še nakazila</w:t>
      </w:r>
      <w:r w:rsidR="003474B3">
        <w:rPr>
          <w:rFonts w:ascii="Arial" w:hAnsi="Arial"/>
          <w:bCs/>
          <w:sz w:val="20"/>
        </w:rPr>
        <w:t>,</w:t>
      </w:r>
      <w:r w:rsidRPr="00424274">
        <w:rPr>
          <w:rFonts w:ascii="Arial" w:hAnsi="Arial"/>
          <w:bCs/>
          <w:sz w:val="20"/>
        </w:rPr>
        <w:t xml:space="preserve"> izvršena v Ukrajino, kamor je okoli 100 slovenskih družb skupaj nakazalo okoli 10</w:t>
      </w:r>
      <w:r w:rsidR="003474B3">
        <w:rPr>
          <w:rFonts w:ascii="Arial" w:hAnsi="Arial"/>
          <w:bCs/>
          <w:sz w:val="20"/>
        </w:rPr>
        <w:t> </w:t>
      </w:r>
      <w:r w:rsidRPr="00424274">
        <w:rPr>
          <w:rFonts w:ascii="Arial" w:hAnsi="Arial"/>
          <w:bCs/>
          <w:sz w:val="20"/>
        </w:rPr>
        <w:t>% vseh nakazil v tvegane države.</w:t>
      </w:r>
    </w:p>
    <w:p w14:paraId="2ACDEBFA" w14:textId="77777777" w:rsidR="0019759E" w:rsidRPr="00424274" w:rsidRDefault="0019759E" w:rsidP="00D21F86">
      <w:pPr>
        <w:widowControl/>
        <w:spacing w:line="276" w:lineRule="auto"/>
        <w:rPr>
          <w:rFonts w:ascii="Arial" w:hAnsi="Arial"/>
          <w:sz w:val="20"/>
        </w:rPr>
      </w:pPr>
    </w:p>
    <w:p w14:paraId="38E2A5C5" w14:textId="7F833885" w:rsidR="00851C49" w:rsidRPr="008E63C1" w:rsidRDefault="004B4564">
      <w:pPr>
        <w:pStyle w:val="Naslov2"/>
      </w:pPr>
      <w:bookmarkStart w:id="34" w:name="_Toc227744115"/>
      <w:bookmarkStart w:id="35" w:name="_Toc263770899"/>
      <w:bookmarkStart w:id="36" w:name="_Toc113535452"/>
      <w:r w:rsidRPr="008E63C1">
        <w:t>PRENOSI GOTOVINE V VREDNOSTI</w:t>
      </w:r>
      <w:r w:rsidR="00851C49" w:rsidRPr="008E63C1">
        <w:t xml:space="preserve"> 10.000 EUR</w:t>
      </w:r>
      <w:r w:rsidRPr="008E63C1">
        <w:t xml:space="preserve"> ALI VEČ</w:t>
      </w:r>
      <w:r w:rsidR="00851C49" w:rsidRPr="008E63C1">
        <w:t xml:space="preserve"> ČEZ MEJO EVROPSKE </w:t>
      </w:r>
      <w:bookmarkEnd w:id="34"/>
      <w:bookmarkEnd w:id="35"/>
      <w:r w:rsidR="004E7BD2" w:rsidRPr="00EE5E7B">
        <w:t>UNIJE</w:t>
      </w:r>
      <w:bookmarkEnd w:id="36"/>
    </w:p>
    <w:p w14:paraId="69FE4923" w14:textId="77777777" w:rsidR="00F87817" w:rsidRPr="00424274" w:rsidRDefault="00F87817" w:rsidP="00D21F86">
      <w:pPr>
        <w:pStyle w:val="Telobesedila"/>
        <w:spacing w:line="276" w:lineRule="auto"/>
        <w:ind w:right="0"/>
        <w:rPr>
          <w:rFonts w:ascii="Arial" w:hAnsi="Arial"/>
          <w:sz w:val="20"/>
        </w:rPr>
      </w:pPr>
    </w:p>
    <w:p w14:paraId="3E32FDFD" w14:textId="758B5D63" w:rsidR="00E70569" w:rsidRPr="00424274" w:rsidRDefault="00E70569" w:rsidP="00E70569">
      <w:pPr>
        <w:spacing w:line="276" w:lineRule="auto"/>
        <w:rPr>
          <w:rFonts w:ascii="Arial" w:hAnsi="Arial"/>
          <w:sz w:val="20"/>
        </w:rPr>
      </w:pPr>
      <w:r w:rsidRPr="00424274">
        <w:rPr>
          <w:rFonts w:ascii="Arial" w:hAnsi="Arial"/>
          <w:sz w:val="20"/>
        </w:rPr>
        <w:t xml:space="preserve">V skladu s 120. členom ZPPDFT-1 morajo carinski organi najpozneje v treh dneh </w:t>
      </w:r>
      <w:r w:rsidR="003474B3">
        <w:rPr>
          <w:rFonts w:ascii="Arial" w:hAnsi="Arial"/>
          <w:sz w:val="20"/>
        </w:rPr>
        <w:t>u</w:t>
      </w:r>
      <w:r w:rsidRPr="00424274">
        <w:rPr>
          <w:rFonts w:ascii="Arial" w:hAnsi="Arial"/>
          <w:sz w:val="20"/>
        </w:rPr>
        <w:t xml:space="preserve">radu sporočiti podatke o prijavi vnosa ali iznosa gotovine v vrednosti 10.000 EUR ali več pri vstopu v </w:t>
      </w:r>
      <w:r w:rsidR="004E7BD2" w:rsidRPr="00F81A62">
        <w:rPr>
          <w:rFonts w:ascii="Arial" w:hAnsi="Arial"/>
          <w:sz w:val="20"/>
        </w:rPr>
        <w:t>Evropsko u</w:t>
      </w:r>
      <w:r w:rsidR="003474B3" w:rsidRPr="00F81A62">
        <w:rPr>
          <w:rFonts w:ascii="Arial" w:hAnsi="Arial"/>
          <w:sz w:val="20"/>
        </w:rPr>
        <w:t>nijo</w:t>
      </w:r>
      <w:r w:rsidRPr="00424274">
        <w:rPr>
          <w:rFonts w:ascii="Arial" w:hAnsi="Arial"/>
          <w:sz w:val="20"/>
        </w:rPr>
        <w:t xml:space="preserve"> ali izstopu iz nje. </w:t>
      </w:r>
      <w:r w:rsidRPr="00424274">
        <w:rPr>
          <w:rFonts w:ascii="Arial" w:hAnsi="Arial"/>
          <w:b/>
          <w:bCs/>
          <w:sz w:val="20"/>
        </w:rPr>
        <w:t xml:space="preserve">V letu 2020 je bilo na slovenskem delu meje </w:t>
      </w:r>
      <w:r w:rsidR="004E7BD2">
        <w:rPr>
          <w:rFonts w:ascii="Arial" w:hAnsi="Arial"/>
          <w:b/>
          <w:bCs/>
          <w:sz w:val="20"/>
        </w:rPr>
        <w:t xml:space="preserve">Evropske </w:t>
      </w:r>
      <w:r w:rsidR="004E7BD2" w:rsidRPr="00F81A62">
        <w:rPr>
          <w:rFonts w:ascii="Arial" w:hAnsi="Arial"/>
          <w:b/>
          <w:bCs/>
          <w:sz w:val="20"/>
        </w:rPr>
        <w:t>u</w:t>
      </w:r>
      <w:r w:rsidR="003474B3" w:rsidRPr="00F81A62">
        <w:rPr>
          <w:rFonts w:ascii="Arial" w:hAnsi="Arial"/>
          <w:b/>
          <w:bCs/>
          <w:sz w:val="20"/>
        </w:rPr>
        <w:t>nije</w:t>
      </w:r>
      <w:r w:rsidR="003474B3" w:rsidRPr="00424274">
        <w:rPr>
          <w:rFonts w:ascii="Arial" w:hAnsi="Arial"/>
          <w:b/>
          <w:bCs/>
          <w:sz w:val="20"/>
        </w:rPr>
        <w:t xml:space="preserve"> </w:t>
      </w:r>
      <w:r w:rsidRPr="00424274">
        <w:rPr>
          <w:rFonts w:ascii="Arial" w:hAnsi="Arial"/>
          <w:b/>
          <w:bCs/>
          <w:sz w:val="20"/>
        </w:rPr>
        <w:t>skupno prijavljenih 51 prenosov gotovine čez mejo</w:t>
      </w:r>
      <w:r w:rsidRPr="00424274">
        <w:rPr>
          <w:rFonts w:ascii="Arial" w:hAnsi="Arial"/>
          <w:sz w:val="20"/>
        </w:rPr>
        <w:t>, kar je 55 % manj prenosov kot prejšnje leto, ko je carina beležil</w:t>
      </w:r>
      <w:r w:rsidR="003474B3">
        <w:rPr>
          <w:rFonts w:ascii="Arial" w:hAnsi="Arial"/>
          <w:sz w:val="20"/>
        </w:rPr>
        <w:t>a</w:t>
      </w:r>
      <w:r w:rsidRPr="00424274">
        <w:rPr>
          <w:rFonts w:ascii="Arial" w:hAnsi="Arial"/>
          <w:sz w:val="20"/>
        </w:rPr>
        <w:t xml:space="preserve"> 113 prenosov. V letu 2020 ni bilo ugotovljenih neprijavljenih prenosov gotovine prek meja </w:t>
      </w:r>
      <w:r w:rsidR="004E7BD2" w:rsidRPr="00F81A62">
        <w:rPr>
          <w:rFonts w:ascii="Arial" w:hAnsi="Arial"/>
          <w:sz w:val="20"/>
        </w:rPr>
        <w:t>Evropske u</w:t>
      </w:r>
      <w:r w:rsidR="003474B3" w:rsidRPr="00F81A62">
        <w:rPr>
          <w:rFonts w:ascii="Arial" w:hAnsi="Arial"/>
          <w:sz w:val="20"/>
        </w:rPr>
        <w:t>nije</w:t>
      </w:r>
      <w:r w:rsidRPr="00F81A62">
        <w:rPr>
          <w:rFonts w:ascii="Arial" w:hAnsi="Arial"/>
          <w:sz w:val="20"/>
        </w:rPr>
        <w:t>.</w:t>
      </w:r>
    </w:p>
    <w:p w14:paraId="4546985E" w14:textId="77777777" w:rsidR="00E70569" w:rsidRPr="00424274" w:rsidRDefault="00E70569" w:rsidP="00E70569">
      <w:pPr>
        <w:spacing w:line="276" w:lineRule="auto"/>
        <w:rPr>
          <w:rFonts w:ascii="Arial" w:hAnsi="Arial"/>
          <w:sz w:val="20"/>
        </w:rPr>
      </w:pPr>
    </w:p>
    <w:p w14:paraId="40503699" w14:textId="6ACB9A12" w:rsidR="00E70569" w:rsidRPr="00424274" w:rsidRDefault="00E70569" w:rsidP="00E70569">
      <w:pPr>
        <w:spacing w:line="276" w:lineRule="auto"/>
        <w:rPr>
          <w:rFonts w:ascii="Arial" w:hAnsi="Arial"/>
          <w:sz w:val="20"/>
        </w:rPr>
      </w:pPr>
      <w:r w:rsidRPr="00424274">
        <w:rPr>
          <w:rFonts w:ascii="Arial" w:hAnsi="Arial"/>
          <w:sz w:val="20"/>
        </w:rPr>
        <w:t xml:space="preserve">Med </w:t>
      </w:r>
      <w:r w:rsidRPr="00424274">
        <w:rPr>
          <w:rFonts w:ascii="Arial" w:hAnsi="Arial"/>
          <w:b/>
          <w:sz w:val="20"/>
        </w:rPr>
        <w:t>5</w:t>
      </w:r>
      <w:r w:rsidRPr="00424274">
        <w:rPr>
          <w:rFonts w:ascii="Arial" w:hAnsi="Arial"/>
          <w:b/>
          <w:bCs/>
          <w:sz w:val="20"/>
        </w:rPr>
        <w:t>1 prijavljenimi prenosi</w:t>
      </w:r>
      <w:r w:rsidRPr="00424274">
        <w:rPr>
          <w:rFonts w:ascii="Arial" w:hAnsi="Arial"/>
          <w:sz w:val="20"/>
        </w:rPr>
        <w:t xml:space="preserve"> je bilo 17 vnosov gotovine v skupni vrednosti 1.036.580 EUR in 500 USD ter 34 iznosov gotovine v skupnem znesku 191.812 EUR, 552.300 USD in 26.400 CHF. Večji del vnosov gotovine ali 55 % se nanaša na vnos gotovine z</w:t>
      </w:r>
      <w:r w:rsidR="003474B3">
        <w:rPr>
          <w:rFonts w:ascii="Arial" w:hAnsi="Arial"/>
          <w:sz w:val="20"/>
        </w:rPr>
        <w:t>a</w:t>
      </w:r>
      <w:r w:rsidRPr="00424274">
        <w:rPr>
          <w:rFonts w:ascii="Arial" w:hAnsi="Arial"/>
          <w:sz w:val="20"/>
        </w:rPr>
        <w:t xml:space="preserve"> osebn</w:t>
      </w:r>
      <w:r w:rsidR="003474B3">
        <w:rPr>
          <w:rFonts w:ascii="Arial" w:hAnsi="Arial"/>
          <w:sz w:val="20"/>
        </w:rPr>
        <w:t>o</w:t>
      </w:r>
      <w:r w:rsidRPr="00424274">
        <w:rPr>
          <w:rFonts w:ascii="Arial" w:hAnsi="Arial"/>
          <w:sz w:val="20"/>
        </w:rPr>
        <w:t xml:space="preserve"> porab</w:t>
      </w:r>
      <w:r w:rsidR="003474B3">
        <w:rPr>
          <w:rFonts w:ascii="Arial" w:hAnsi="Arial"/>
          <w:sz w:val="20"/>
        </w:rPr>
        <w:t>o</w:t>
      </w:r>
      <w:r w:rsidRPr="00424274">
        <w:rPr>
          <w:rFonts w:ascii="Arial" w:hAnsi="Arial"/>
          <w:sz w:val="20"/>
        </w:rPr>
        <w:t>, medtem ko se 82 % vseh iznosov nanaša na gotovino za potrebe ladij.</w:t>
      </w:r>
    </w:p>
    <w:p w14:paraId="604B6D5D" w14:textId="77777777" w:rsidR="00E70569" w:rsidRPr="00424274" w:rsidRDefault="00E70569" w:rsidP="00E70569">
      <w:pPr>
        <w:spacing w:line="276" w:lineRule="auto"/>
        <w:rPr>
          <w:rFonts w:ascii="Arial" w:hAnsi="Arial"/>
          <w:sz w:val="20"/>
        </w:rPr>
      </w:pPr>
    </w:p>
    <w:p w14:paraId="60C96B82" w14:textId="77777777" w:rsidR="00CC2CB9" w:rsidRPr="00424274" w:rsidRDefault="00CC2CB9" w:rsidP="00D21F86">
      <w:pPr>
        <w:spacing w:line="276" w:lineRule="auto"/>
        <w:rPr>
          <w:rFonts w:ascii="Arial" w:hAnsi="Arial"/>
          <w:sz w:val="20"/>
        </w:rPr>
      </w:pPr>
    </w:p>
    <w:p w14:paraId="77097A3F" w14:textId="77777777" w:rsidR="00CC2CB9" w:rsidRPr="00424274" w:rsidRDefault="00CC2CB9" w:rsidP="00D21F86">
      <w:pPr>
        <w:spacing w:line="276" w:lineRule="auto"/>
        <w:rPr>
          <w:rFonts w:ascii="Arial" w:hAnsi="Arial"/>
          <w:sz w:val="20"/>
        </w:rPr>
      </w:pPr>
    </w:p>
    <w:p w14:paraId="41A3AF9C" w14:textId="77777777" w:rsidR="00851C49" w:rsidRPr="00424274" w:rsidRDefault="00851C49" w:rsidP="00D21F86">
      <w:pPr>
        <w:pStyle w:val="Naslov1"/>
        <w:numPr>
          <w:ilvl w:val="0"/>
          <w:numId w:val="6"/>
        </w:numPr>
        <w:spacing w:line="276" w:lineRule="auto"/>
        <w:rPr>
          <w:rFonts w:ascii="Arial" w:hAnsi="Arial"/>
          <w:sz w:val="20"/>
        </w:rPr>
      </w:pPr>
      <w:bookmarkStart w:id="37" w:name="_Toc113535453"/>
      <w:bookmarkEnd w:id="25"/>
      <w:r w:rsidRPr="00424274">
        <w:rPr>
          <w:rFonts w:ascii="Arial" w:hAnsi="Arial"/>
          <w:sz w:val="20"/>
        </w:rPr>
        <w:lastRenderedPageBreak/>
        <w:t>DELO URADA NA PODROČJU SUMLJIVIH TRANSAKCIJ</w:t>
      </w:r>
      <w:bookmarkEnd w:id="37"/>
    </w:p>
    <w:p w14:paraId="3F94BCBA" w14:textId="77777777" w:rsidR="00851C49" w:rsidRPr="00424274" w:rsidRDefault="00851C49">
      <w:pPr>
        <w:pStyle w:val="Oznaenseznam2"/>
      </w:pPr>
      <w:bookmarkStart w:id="38" w:name="_Toc107306486"/>
      <w:bookmarkStart w:id="39" w:name="_Toc200524138"/>
    </w:p>
    <w:p w14:paraId="4153F364" w14:textId="2E0924F3" w:rsidR="00FB6BB5" w:rsidRPr="00424274" w:rsidRDefault="00FB6BB5" w:rsidP="00FB6BB5">
      <w:pPr>
        <w:spacing w:line="276" w:lineRule="auto"/>
        <w:rPr>
          <w:rFonts w:ascii="Arial" w:hAnsi="Arial"/>
          <w:sz w:val="20"/>
        </w:rPr>
      </w:pPr>
      <w:r w:rsidRPr="00424274">
        <w:rPr>
          <w:rFonts w:ascii="Arial" w:hAnsi="Arial"/>
          <w:sz w:val="20"/>
        </w:rPr>
        <w:t xml:space="preserve">Urad je v letu 2020 od zavezancev, navedenih v 4. členu ZPPDFT-1, prejemal podatke o sumljivih transakcijah ne glede na znesek in podatke o osebah, sredstvih ter premoženju, v zvezi s katerimi so podani razlogi za sum pranja denarja ali financiranja terorizma. V skladu z Uredbo o omejevalnih ukrepih proti Demokratični ljudski republiki Koreji (Uradni list RS, št. 18/2017) je </w:t>
      </w:r>
      <w:r w:rsidR="0034534B">
        <w:rPr>
          <w:rFonts w:ascii="Arial" w:hAnsi="Arial"/>
          <w:sz w:val="20"/>
        </w:rPr>
        <w:t>u</w:t>
      </w:r>
      <w:r w:rsidRPr="00424274">
        <w:rPr>
          <w:rFonts w:ascii="Arial" w:hAnsi="Arial"/>
          <w:sz w:val="20"/>
        </w:rPr>
        <w:t>rad pristojen tudi za sprejemanje sumljivih transakcij</w:t>
      </w:r>
      <w:r w:rsidR="003474B3">
        <w:rPr>
          <w:rFonts w:ascii="Arial" w:hAnsi="Arial"/>
          <w:sz w:val="20"/>
        </w:rPr>
        <w:t>,</w:t>
      </w:r>
      <w:r w:rsidRPr="00424274">
        <w:rPr>
          <w:rFonts w:ascii="Arial" w:hAnsi="Arial"/>
          <w:sz w:val="20"/>
        </w:rPr>
        <w:t xml:space="preserve"> povezanih s prepovedanim razvojem in širjenjem jedrskega orožja (</w:t>
      </w:r>
      <w:proofErr w:type="spellStart"/>
      <w:r w:rsidRPr="00424274">
        <w:rPr>
          <w:rFonts w:ascii="Arial" w:hAnsi="Arial"/>
          <w:sz w:val="20"/>
        </w:rPr>
        <w:t>proliferacija</w:t>
      </w:r>
      <w:proofErr w:type="spellEnd"/>
      <w:r w:rsidRPr="00424274">
        <w:rPr>
          <w:rFonts w:ascii="Arial" w:hAnsi="Arial"/>
          <w:sz w:val="20"/>
        </w:rPr>
        <w:t>), vendar v letu 2020 ni prejel nobene take prijave.</w:t>
      </w:r>
    </w:p>
    <w:p w14:paraId="4CAD2ACE" w14:textId="77777777" w:rsidR="00FB6BB5" w:rsidRPr="00424274" w:rsidRDefault="00FB6BB5" w:rsidP="00FB6BB5">
      <w:pPr>
        <w:spacing w:line="276" w:lineRule="auto"/>
        <w:rPr>
          <w:rFonts w:ascii="Arial" w:hAnsi="Arial"/>
          <w:sz w:val="20"/>
          <w:highlight w:val="yellow"/>
        </w:rPr>
      </w:pPr>
    </w:p>
    <w:p w14:paraId="2A4FF4C2" w14:textId="364D6596" w:rsidR="00FB6BB5" w:rsidRPr="00424274" w:rsidRDefault="00FB6BB5" w:rsidP="00FB6BB5">
      <w:pPr>
        <w:spacing w:line="276" w:lineRule="auto"/>
        <w:rPr>
          <w:rFonts w:ascii="Arial" w:hAnsi="Arial"/>
          <w:sz w:val="20"/>
        </w:rPr>
      </w:pPr>
      <w:r w:rsidRPr="00424274">
        <w:rPr>
          <w:rFonts w:ascii="Arial" w:hAnsi="Arial"/>
          <w:sz w:val="20"/>
        </w:rPr>
        <w:t>Urad je lahko začel nekatere zadeve obravnavati tudi na podlagi pobud določenih državnih in inšpekcijskih organov</w:t>
      </w:r>
      <w:r w:rsidR="003474B3">
        <w:rPr>
          <w:rFonts w:ascii="Arial" w:hAnsi="Arial"/>
          <w:sz w:val="20"/>
        </w:rPr>
        <w:t>,</w:t>
      </w:r>
      <w:r w:rsidRPr="00424274">
        <w:rPr>
          <w:rFonts w:ascii="Arial" w:hAnsi="Arial"/>
          <w:sz w:val="20"/>
        </w:rPr>
        <w:t xml:space="preserve"> navedenih v 99. členu ZPPDFT-1</w:t>
      </w:r>
      <w:r w:rsidR="003474B3">
        <w:rPr>
          <w:rFonts w:ascii="Arial" w:hAnsi="Arial"/>
          <w:sz w:val="20"/>
        </w:rPr>
        <w:t>,</w:t>
      </w:r>
      <w:r w:rsidRPr="00424274">
        <w:rPr>
          <w:rFonts w:ascii="Arial" w:hAnsi="Arial"/>
          <w:sz w:val="20"/>
        </w:rPr>
        <w:t xml:space="preserve"> ter na podlagi sporočenih dejstev nadzornih organov, navedenih v 139. členu ZPPDFT-1. Poleg tega </w:t>
      </w:r>
      <w:r w:rsidR="003474B3">
        <w:rPr>
          <w:rFonts w:ascii="Arial" w:hAnsi="Arial"/>
          <w:sz w:val="20"/>
        </w:rPr>
        <w:t>u</w:t>
      </w:r>
      <w:r w:rsidRPr="00424274">
        <w:rPr>
          <w:rFonts w:ascii="Arial" w:hAnsi="Arial"/>
          <w:sz w:val="20"/>
        </w:rPr>
        <w:t xml:space="preserve">rad na podlagi 105. člena ZPPDFT-1 prejema določene podatke od sorodnih organov iz tujine </w:t>
      </w:r>
      <w:r w:rsidR="003474B3">
        <w:rPr>
          <w:rFonts w:ascii="Arial" w:hAnsi="Arial"/>
          <w:sz w:val="20"/>
        </w:rPr>
        <w:t>in</w:t>
      </w:r>
      <w:r w:rsidR="003474B3" w:rsidRPr="00424274">
        <w:rPr>
          <w:rFonts w:ascii="Arial" w:hAnsi="Arial"/>
          <w:sz w:val="20"/>
        </w:rPr>
        <w:t xml:space="preserve"> </w:t>
      </w:r>
      <w:r w:rsidRPr="00424274">
        <w:rPr>
          <w:rFonts w:ascii="Arial" w:hAnsi="Arial"/>
          <w:sz w:val="20"/>
        </w:rPr>
        <w:t xml:space="preserve">preverja evidenco gotovinskih transakcij, evidenco prenosov gotovine prek meja </w:t>
      </w:r>
      <w:r w:rsidR="001A2959">
        <w:rPr>
          <w:rFonts w:ascii="Arial" w:hAnsi="Arial"/>
          <w:sz w:val="20"/>
        </w:rPr>
        <w:t xml:space="preserve">Evropske </w:t>
      </w:r>
      <w:r w:rsidR="001A2959" w:rsidRPr="001A2959">
        <w:rPr>
          <w:rFonts w:ascii="Arial" w:hAnsi="Arial"/>
          <w:sz w:val="20"/>
        </w:rPr>
        <w:t>u</w:t>
      </w:r>
      <w:r w:rsidR="003474B3" w:rsidRPr="001A2959">
        <w:rPr>
          <w:rFonts w:ascii="Arial" w:hAnsi="Arial"/>
          <w:sz w:val="20"/>
        </w:rPr>
        <w:t>nije</w:t>
      </w:r>
      <w:r w:rsidR="003474B3" w:rsidRPr="00424274">
        <w:rPr>
          <w:rFonts w:ascii="Arial" w:hAnsi="Arial"/>
          <w:sz w:val="20"/>
        </w:rPr>
        <w:t xml:space="preserve"> </w:t>
      </w:r>
      <w:r w:rsidRPr="00424274">
        <w:rPr>
          <w:rFonts w:ascii="Arial" w:hAnsi="Arial"/>
          <w:sz w:val="20"/>
        </w:rPr>
        <w:t>ter evidenco nakazil</w:t>
      </w:r>
      <w:r w:rsidR="003474B3">
        <w:rPr>
          <w:rFonts w:ascii="Arial" w:hAnsi="Arial"/>
          <w:sz w:val="20"/>
        </w:rPr>
        <w:t>,</w:t>
      </w:r>
      <w:r w:rsidRPr="00424274">
        <w:rPr>
          <w:rFonts w:ascii="Arial" w:hAnsi="Arial"/>
          <w:sz w:val="20"/>
        </w:rPr>
        <w:t xml:space="preserve"> povezanih z državami s povečanim ali visokim tveganjem za pranje denarja </w:t>
      </w:r>
      <w:r w:rsidR="00537BB1">
        <w:rPr>
          <w:rFonts w:ascii="Arial" w:hAnsi="Arial"/>
          <w:sz w:val="20"/>
        </w:rPr>
        <w:t>in</w:t>
      </w:r>
      <w:r w:rsidRPr="00424274">
        <w:rPr>
          <w:rFonts w:ascii="Arial" w:hAnsi="Arial"/>
          <w:sz w:val="20"/>
        </w:rPr>
        <w:t xml:space="preserve"> financiranje terorizma, ki prav tako lahko služijo kot osnova za </w:t>
      </w:r>
      <w:r w:rsidR="00537BB1">
        <w:rPr>
          <w:rFonts w:ascii="Arial" w:hAnsi="Arial"/>
          <w:sz w:val="20"/>
        </w:rPr>
        <w:t>za</w:t>
      </w:r>
      <w:r w:rsidRPr="00424274">
        <w:rPr>
          <w:rFonts w:ascii="Arial" w:hAnsi="Arial"/>
          <w:sz w:val="20"/>
        </w:rPr>
        <w:t>četek zbiranja podatkov o sumljivih transakcijah, premoženju ali osebah.</w:t>
      </w:r>
    </w:p>
    <w:p w14:paraId="586D7ABC" w14:textId="77777777" w:rsidR="00FB6BB5" w:rsidRPr="00424274" w:rsidRDefault="00FB6BB5" w:rsidP="00FB6BB5">
      <w:pPr>
        <w:spacing w:line="276" w:lineRule="auto"/>
        <w:rPr>
          <w:rFonts w:ascii="Arial" w:hAnsi="Arial"/>
          <w:sz w:val="20"/>
        </w:rPr>
      </w:pPr>
    </w:p>
    <w:p w14:paraId="7B0A6A57" w14:textId="586BB7C5" w:rsidR="00FB6BB5" w:rsidRPr="00424274" w:rsidRDefault="00FB6BB5" w:rsidP="00FB6BB5">
      <w:pPr>
        <w:spacing w:line="276" w:lineRule="auto"/>
        <w:rPr>
          <w:rFonts w:ascii="Arial" w:hAnsi="Arial"/>
          <w:sz w:val="20"/>
        </w:rPr>
      </w:pPr>
      <w:r w:rsidRPr="00424274">
        <w:rPr>
          <w:rFonts w:ascii="Arial" w:hAnsi="Arial"/>
          <w:sz w:val="20"/>
        </w:rPr>
        <w:t xml:space="preserve">ZPPDFT-1 v drugem odstavku 87. člena določa, da </w:t>
      </w:r>
      <w:r w:rsidR="003474B3">
        <w:rPr>
          <w:rFonts w:ascii="Arial" w:hAnsi="Arial"/>
          <w:sz w:val="20"/>
        </w:rPr>
        <w:t>u</w:t>
      </w:r>
      <w:r w:rsidRPr="00424274">
        <w:rPr>
          <w:rFonts w:ascii="Arial" w:hAnsi="Arial"/>
          <w:sz w:val="20"/>
        </w:rPr>
        <w:t xml:space="preserve">rad sprejema, zbira, </w:t>
      </w:r>
      <w:r w:rsidR="00361F5F">
        <w:rPr>
          <w:rFonts w:ascii="Arial" w:hAnsi="Arial"/>
          <w:sz w:val="20"/>
        </w:rPr>
        <w:t>sporoča</w:t>
      </w:r>
      <w:r w:rsidR="00361F5F" w:rsidRPr="00424274">
        <w:rPr>
          <w:rFonts w:ascii="Arial" w:hAnsi="Arial"/>
          <w:sz w:val="20"/>
        </w:rPr>
        <w:t xml:space="preserve"> </w:t>
      </w:r>
      <w:r w:rsidRPr="00424274">
        <w:rPr>
          <w:rFonts w:ascii="Arial" w:hAnsi="Arial"/>
          <w:sz w:val="20"/>
        </w:rPr>
        <w:t xml:space="preserve">in analizira podatke in informacije na podlagi ZPPDFT-1, v 101. in 102. členu pa pooblašča </w:t>
      </w:r>
      <w:r w:rsidR="003474B3">
        <w:rPr>
          <w:rFonts w:ascii="Arial" w:hAnsi="Arial"/>
          <w:sz w:val="20"/>
        </w:rPr>
        <w:t>u</w:t>
      </w:r>
      <w:r w:rsidRPr="00424274">
        <w:rPr>
          <w:rFonts w:ascii="Arial" w:hAnsi="Arial"/>
          <w:sz w:val="20"/>
        </w:rPr>
        <w:t>rad, da v primerih, ko presodi, da so pri transakcijah podani razlogi za sum pranja denarja ali financiranja terorizma ali drugih uradno pregonljivih kaznivih dejanj, za katera je predpisana zaporna kazen, o tem obvesti pristojne organe.</w:t>
      </w:r>
    </w:p>
    <w:p w14:paraId="799F9144" w14:textId="77777777" w:rsidR="00851C49" w:rsidRPr="00424274" w:rsidRDefault="00851C49" w:rsidP="003D5A19">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spacing w:line="276" w:lineRule="auto"/>
        <w:rPr>
          <w:rFonts w:ascii="Arial" w:hAnsi="Arial"/>
          <w:sz w:val="20"/>
        </w:rPr>
      </w:pPr>
      <w:bookmarkStart w:id="40" w:name="_Toc200524142"/>
      <w:bookmarkEnd w:id="38"/>
      <w:bookmarkEnd w:id="39"/>
    </w:p>
    <w:p w14:paraId="7994C94C" w14:textId="77777777" w:rsidR="00851C49" w:rsidRPr="00424274" w:rsidRDefault="00851C49">
      <w:pPr>
        <w:pStyle w:val="Naslov2"/>
      </w:pPr>
      <w:bookmarkStart w:id="41" w:name="_Toc113535454"/>
      <w:r w:rsidRPr="00424274">
        <w:t>ZADEVE, PRI KATERIH SO PODANI RAZLOGI ZA SUM PRANJA DENARJA ALI FINANCIRANJA TERORIZMA</w:t>
      </w:r>
      <w:bookmarkEnd w:id="41"/>
    </w:p>
    <w:p w14:paraId="55FF502C" w14:textId="77777777" w:rsidR="00851C49" w:rsidRPr="00424274" w:rsidRDefault="00851C49" w:rsidP="00D21F86">
      <w:pPr>
        <w:pStyle w:val="Telobesedila"/>
        <w:spacing w:line="276" w:lineRule="auto"/>
        <w:ind w:right="-22"/>
        <w:rPr>
          <w:rFonts w:ascii="Arial" w:hAnsi="Arial"/>
          <w:sz w:val="20"/>
        </w:rPr>
      </w:pPr>
    </w:p>
    <w:p w14:paraId="66E776AE" w14:textId="7257D646" w:rsidR="006F13C0" w:rsidRPr="00424274" w:rsidRDefault="006F13C0" w:rsidP="006F13C0">
      <w:pPr>
        <w:widowControl/>
        <w:spacing w:line="276" w:lineRule="auto"/>
        <w:ind w:right="-22"/>
        <w:rPr>
          <w:rFonts w:ascii="Arial" w:hAnsi="Arial"/>
          <w:sz w:val="20"/>
        </w:rPr>
      </w:pPr>
      <w:r w:rsidRPr="00424274">
        <w:rPr>
          <w:rFonts w:ascii="Arial" w:hAnsi="Arial"/>
          <w:sz w:val="20"/>
        </w:rPr>
        <w:t xml:space="preserve">V </w:t>
      </w:r>
      <w:r w:rsidR="003474B3">
        <w:rPr>
          <w:rFonts w:ascii="Arial" w:hAnsi="Arial"/>
          <w:sz w:val="20"/>
        </w:rPr>
        <w:t>u</w:t>
      </w:r>
      <w:r w:rsidRPr="00424274">
        <w:rPr>
          <w:rFonts w:ascii="Arial" w:hAnsi="Arial"/>
          <w:sz w:val="20"/>
        </w:rPr>
        <w:t xml:space="preserve">radu smo leta 2020 v skladu z določili ZPPDFT-1 prejeli 1.078 prijav sumljivih transakcij ali sumljivih aktivnosti, ki so se nanašale na razloge za sum pranja denarja, 53 prijav, ki so se nanašale na razloge za sum financiranja terorizma, medtem ko smo </w:t>
      </w:r>
      <w:r w:rsidR="003474B3">
        <w:rPr>
          <w:rFonts w:ascii="Arial" w:hAnsi="Arial"/>
          <w:sz w:val="20"/>
        </w:rPr>
        <w:t>šest</w:t>
      </w:r>
      <w:r w:rsidRPr="00424274">
        <w:rPr>
          <w:rFonts w:ascii="Arial" w:hAnsi="Arial"/>
          <w:sz w:val="20"/>
        </w:rPr>
        <w:t xml:space="preserve"> prijav prejeli od tožilstva, ki je po predhodnem strinjanju </w:t>
      </w:r>
      <w:r w:rsidR="003474B3">
        <w:rPr>
          <w:rFonts w:ascii="Arial" w:hAnsi="Arial"/>
          <w:sz w:val="20"/>
        </w:rPr>
        <w:t>u</w:t>
      </w:r>
      <w:r w:rsidRPr="00424274">
        <w:rPr>
          <w:rFonts w:ascii="Arial" w:hAnsi="Arial"/>
          <w:sz w:val="20"/>
        </w:rPr>
        <w:t>rada odredilo finančno preiskavo v skladu z Zakonom o odvzemu premoženja nezakonitega izvora.</w:t>
      </w:r>
    </w:p>
    <w:p w14:paraId="58C0D790" w14:textId="77777777" w:rsidR="006F13C0" w:rsidRPr="00424274" w:rsidRDefault="006F13C0" w:rsidP="006F13C0">
      <w:pPr>
        <w:widowControl/>
        <w:spacing w:line="276" w:lineRule="auto"/>
        <w:ind w:right="-22"/>
        <w:rPr>
          <w:rFonts w:ascii="Arial" w:hAnsi="Arial"/>
          <w:sz w:val="20"/>
        </w:rPr>
      </w:pPr>
    </w:p>
    <w:p w14:paraId="791A8DCB" w14:textId="36C3A389" w:rsidR="006F13C0" w:rsidRPr="00424274" w:rsidRDefault="006F13C0" w:rsidP="006F13C0">
      <w:pPr>
        <w:widowControl/>
        <w:spacing w:line="276" w:lineRule="auto"/>
        <w:ind w:right="-22"/>
        <w:rPr>
          <w:rFonts w:ascii="Arial" w:hAnsi="Arial"/>
          <w:sz w:val="20"/>
        </w:rPr>
      </w:pPr>
      <w:r w:rsidRPr="00424274">
        <w:rPr>
          <w:rFonts w:ascii="Arial" w:hAnsi="Arial"/>
          <w:sz w:val="20"/>
        </w:rPr>
        <w:t xml:space="preserve">Na podlagi vseh teh prijav je </w:t>
      </w:r>
      <w:r w:rsidR="003474B3">
        <w:rPr>
          <w:rFonts w:ascii="Arial" w:hAnsi="Arial"/>
          <w:sz w:val="20"/>
        </w:rPr>
        <w:t>u</w:t>
      </w:r>
      <w:r w:rsidRPr="00424274">
        <w:rPr>
          <w:rFonts w:ascii="Arial" w:hAnsi="Arial"/>
          <w:sz w:val="20"/>
        </w:rPr>
        <w:t>rad odprl 1.137 zadev in jih obravnaval v skladu z ZPPDFT-1. Obravnavane prijave smo skupaj s primerjalnimi podatki za obdobje 2016</w:t>
      </w:r>
      <w:r w:rsidR="003474B3">
        <w:rPr>
          <w:rFonts w:ascii="Arial" w:hAnsi="Arial"/>
          <w:sz w:val="20"/>
        </w:rPr>
        <w:t>–</w:t>
      </w:r>
      <w:r w:rsidRPr="00424274">
        <w:rPr>
          <w:rFonts w:ascii="Arial" w:hAnsi="Arial"/>
          <w:sz w:val="20"/>
        </w:rPr>
        <w:t>2020 v poročilu razvrstili glede na:</w:t>
      </w:r>
    </w:p>
    <w:p w14:paraId="0ABEA6D3" w14:textId="77777777" w:rsidR="006F13C0" w:rsidRPr="00424274" w:rsidRDefault="006F13C0" w:rsidP="006F13C0">
      <w:pPr>
        <w:numPr>
          <w:ilvl w:val="1"/>
          <w:numId w:val="5"/>
        </w:numPr>
        <w:spacing w:line="276" w:lineRule="auto"/>
        <w:ind w:right="-22"/>
        <w:rPr>
          <w:rFonts w:ascii="Arial" w:hAnsi="Arial"/>
          <w:bCs/>
          <w:i/>
          <w:sz w:val="20"/>
        </w:rPr>
      </w:pPr>
      <w:r w:rsidRPr="00424274">
        <w:rPr>
          <w:rFonts w:ascii="Arial" w:hAnsi="Arial"/>
          <w:bCs/>
          <w:i/>
          <w:sz w:val="20"/>
        </w:rPr>
        <w:t>prijavitelje,</w:t>
      </w:r>
    </w:p>
    <w:p w14:paraId="4F12ACB7" w14:textId="77777777" w:rsidR="006F13C0" w:rsidRPr="00424274" w:rsidRDefault="006F13C0" w:rsidP="006F13C0">
      <w:pPr>
        <w:numPr>
          <w:ilvl w:val="1"/>
          <w:numId w:val="5"/>
        </w:numPr>
        <w:spacing w:line="276" w:lineRule="auto"/>
        <w:ind w:right="-22"/>
        <w:rPr>
          <w:rFonts w:ascii="Arial" w:hAnsi="Arial"/>
          <w:bCs/>
          <w:i/>
          <w:sz w:val="20"/>
        </w:rPr>
      </w:pPr>
      <w:r w:rsidRPr="00424274">
        <w:rPr>
          <w:rFonts w:ascii="Arial" w:hAnsi="Arial"/>
          <w:bCs/>
          <w:i/>
          <w:sz w:val="20"/>
        </w:rPr>
        <w:t>število in dinamiko odprtih in zaključenih zadev,</w:t>
      </w:r>
    </w:p>
    <w:p w14:paraId="1A78CDF0" w14:textId="7301B3DB" w:rsidR="006F13C0" w:rsidRPr="00424274" w:rsidRDefault="006F13C0" w:rsidP="006F13C0">
      <w:pPr>
        <w:numPr>
          <w:ilvl w:val="1"/>
          <w:numId w:val="5"/>
        </w:numPr>
        <w:spacing w:line="276" w:lineRule="auto"/>
        <w:ind w:right="-22"/>
        <w:rPr>
          <w:rFonts w:ascii="Arial" w:hAnsi="Arial"/>
          <w:bCs/>
          <w:i/>
          <w:sz w:val="20"/>
        </w:rPr>
      </w:pPr>
      <w:r w:rsidRPr="00424274">
        <w:rPr>
          <w:rFonts w:ascii="Arial" w:hAnsi="Arial"/>
          <w:bCs/>
          <w:i/>
          <w:sz w:val="20"/>
        </w:rPr>
        <w:t xml:space="preserve">zadeve, </w:t>
      </w:r>
      <w:r w:rsidR="00361F5F">
        <w:rPr>
          <w:rFonts w:ascii="Arial" w:hAnsi="Arial"/>
          <w:bCs/>
          <w:i/>
          <w:sz w:val="20"/>
        </w:rPr>
        <w:t>poslane</w:t>
      </w:r>
      <w:r w:rsidRPr="00424274">
        <w:rPr>
          <w:rFonts w:ascii="Arial" w:hAnsi="Arial"/>
          <w:bCs/>
          <w:i/>
          <w:sz w:val="20"/>
        </w:rPr>
        <w:t xml:space="preserve"> Upravi kriminalistične policije </w:t>
      </w:r>
      <w:r w:rsidR="003474B3">
        <w:rPr>
          <w:rFonts w:ascii="Arial" w:hAnsi="Arial"/>
          <w:bCs/>
          <w:i/>
          <w:sz w:val="20"/>
        </w:rPr>
        <w:t>na</w:t>
      </w:r>
      <w:r w:rsidRPr="00424274">
        <w:rPr>
          <w:rFonts w:ascii="Arial" w:hAnsi="Arial"/>
          <w:bCs/>
          <w:i/>
          <w:sz w:val="20"/>
        </w:rPr>
        <w:t xml:space="preserve"> Ministrstvu za notranje zadeve (v nadaljevanju: UKP MNZ) zaradi razlogov za sum pranja denarja,</w:t>
      </w:r>
    </w:p>
    <w:p w14:paraId="2781216B" w14:textId="5F46858F" w:rsidR="006F13C0" w:rsidRPr="00424274" w:rsidRDefault="006F13C0" w:rsidP="006F13C0">
      <w:pPr>
        <w:numPr>
          <w:ilvl w:val="1"/>
          <w:numId w:val="5"/>
        </w:numPr>
        <w:spacing w:line="276" w:lineRule="auto"/>
        <w:ind w:right="-22"/>
        <w:rPr>
          <w:rFonts w:ascii="Arial" w:hAnsi="Arial"/>
          <w:bCs/>
          <w:i/>
          <w:sz w:val="20"/>
        </w:rPr>
      </w:pPr>
      <w:r w:rsidRPr="00424274">
        <w:rPr>
          <w:rFonts w:ascii="Arial" w:hAnsi="Arial"/>
          <w:bCs/>
          <w:i/>
          <w:sz w:val="20"/>
        </w:rPr>
        <w:t xml:space="preserve">zadeve, </w:t>
      </w:r>
      <w:r w:rsidR="00361F5F">
        <w:rPr>
          <w:rFonts w:ascii="Arial" w:hAnsi="Arial"/>
          <w:bCs/>
          <w:i/>
          <w:sz w:val="20"/>
        </w:rPr>
        <w:t>poslane</w:t>
      </w:r>
      <w:r w:rsidRPr="00424274">
        <w:rPr>
          <w:rFonts w:ascii="Arial" w:hAnsi="Arial"/>
          <w:bCs/>
          <w:i/>
          <w:sz w:val="20"/>
        </w:rPr>
        <w:t xml:space="preserve"> UKP MNZ zaradi razlogov za sum financiranja terorizma,</w:t>
      </w:r>
    </w:p>
    <w:p w14:paraId="1FEBC650" w14:textId="274AE876" w:rsidR="006F13C0" w:rsidRPr="00424274" w:rsidRDefault="006F13C0" w:rsidP="006F13C0">
      <w:pPr>
        <w:numPr>
          <w:ilvl w:val="1"/>
          <w:numId w:val="5"/>
        </w:numPr>
        <w:spacing w:line="276" w:lineRule="auto"/>
        <w:ind w:right="-22"/>
        <w:rPr>
          <w:rFonts w:ascii="Arial" w:hAnsi="Arial"/>
          <w:bCs/>
          <w:i/>
          <w:sz w:val="20"/>
        </w:rPr>
      </w:pPr>
      <w:r w:rsidRPr="00424274">
        <w:rPr>
          <w:rFonts w:ascii="Arial" w:hAnsi="Arial"/>
          <w:bCs/>
          <w:i/>
          <w:sz w:val="20"/>
        </w:rPr>
        <w:t xml:space="preserve">zadeve, </w:t>
      </w:r>
      <w:r w:rsidR="00361F5F">
        <w:rPr>
          <w:rFonts w:ascii="Arial" w:hAnsi="Arial"/>
          <w:bCs/>
          <w:i/>
          <w:sz w:val="20"/>
        </w:rPr>
        <w:t>poslane</w:t>
      </w:r>
      <w:r w:rsidRPr="00424274">
        <w:rPr>
          <w:rFonts w:ascii="Arial" w:hAnsi="Arial"/>
          <w:bCs/>
          <w:i/>
          <w:sz w:val="20"/>
        </w:rPr>
        <w:t xml:space="preserve"> UKP MNZ in drugim pristojnim državnim organom zaradi suma storitve določenih drugih kaznivih dejanj,</w:t>
      </w:r>
    </w:p>
    <w:p w14:paraId="3323A6A2" w14:textId="77777777" w:rsidR="006F13C0" w:rsidRPr="00424274" w:rsidRDefault="006F13C0" w:rsidP="006F13C0">
      <w:pPr>
        <w:numPr>
          <w:ilvl w:val="1"/>
          <w:numId w:val="5"/>
        </w:numPr>
        <w:spacing w:line="276" w:lineRule="auto"/>
        <w:ind w:right="-22"/>
        <w:rPr>
          <w:rFonts w:ascii="Arial" w:hAnsi="Arial"/>
          <w:bCs/>
          <w:i/>
          <w:sz w:val="20"/>
        </w:rPr>
      </w:pPr>
      <w:r w:rsidRPr="00424274">
        <w:rPr>
          <w:rFonts w:ascii="Arial" w:hAnsi="Arial"/>
          <w:bCs/>
          <w:i/>
          <w:sz w:val="20"/>
        </w:rPr>
        <w:t>izvajanje pooblastila za začasno ustavitev izvršitve transakcije,</w:t>
      </w:r>
    </w:p>
    <w:p w14:paraId="79BC57D6" w14:textId="77777777" w:rsidR="006F13C0" w:rsidRPr="00424274" w:rsidRDefault="006F13C0" w:rsidP="006F13C0">
      <w:pPr>
        <w:numPr>
          <w:ilvl w:val="1"/>
          <w:numId w:val="5"/>
        </w:numPr>
        <w:spacing w:line="276" w:lineRule="auto"/>
        <w:ind w:right="-22"/>
        <w:rPr>
          <w:rFonts w:ascii="Arial" w:hAnsi="Arial"/>
          <w:bCs/>
          <w:i/>
          <w:sz w:val="20"/>
        </w:rPr>
      </w:pPr>
      <w:r w:rsidRPr="00424274">
        <w:rPr>
          <w:rFonts w:ascii="Arial" w:hAnsi="Arial"/>
          <w:bCs/>
          <w:i/>
          <w:sz w:val="20"/>
        </w:rPr>
        <w:t>vrednost začasno zaseženega umazanega denarja in premoženja,</w:t>
      </w:r>
    </w:p>
    <w:p w14:paraId="4982956B" w14:textId="77777777" w:rsidR="006F13C0" w:rsidRPr="00424274" w:rsidRDefault="006F13C0" w:rsidP="006F13C0">
      <w:pPr>
        <w:numPr>
          <w:ilvl w:val="1"/>
          <w:numId w:val="5"/>
        </w:numPr>
        <w:spacing w:line="276" w:lineRule="auto"/>
        <w:ind w:right="-22"/>
        <w:rPr>
          <w:rFonts w:ascii="Arial" w:hAnsi="Arial"/>
          <w:bCs/>
          <w:i/>
          <w:sz w:val="20"/>
        </w:rPr>
      </w:pPr>
      <w:r w:rsidRPr="00424274">
        <w:rPr>
          <w:rFonts w:ascii="Arial" w:hAnsi="Arial"/>
          <w:bCs/>
          <w:i/>
          <w:sz w:val="20"/>
        </w:rPr>
        <w:t>tipologijo sumljivih transakcij.</w:t>
      </w:r>
    </w:p>
    <w:p w14:paraId="6083A26F" w14:textId="77777777" w:rsidR="00362873" w:rsidRPr="00424274" w:rsidRDefault="00362873" w:rsidP="00D21F86">
      <w:pPr>
        <w:pStyle w:val="Seznam2"/>
        <w:spacing w:line="276" w:lineRule="auto"/>
        <w:ind w:left="0" w:right="-22" w:firstLine="0"/>
        <w:rPr>
          <w:rFonts w:ascii="Arial" w:hAnsi="Arial"/>
          <w:b/>
          <w:i/>
          <w:sz w:val="20"/>
        </w:rPr>
      </w:pPr>
    </w:p>
    <w:p w14:paraId="34FB6D18" w14:textId="5C7268D5" w:rsidR="00851C49" w:rsidRPr="00424274" w:rsidRDefault="00292A8B" w:rsidP="006D5A5A">
      <w:pPr>
        <w:pStyle w:val="Naslov3"/>
      </w:pPr>
      <w:bookmarkStart w:id="42" w:name="_Toc107306487"/>
      <w:bookmarkStart w:id="43" w:name="_Toc200524139"/>
      <w:bookmarkStart w:id="44" w:name="_Toc262605335"/>
      <w:bookmarkStart w:id="45" w:name="_Toc113535455"/>
      <w:r w:rsidRPr="00424274">
        <w:t xml:space="preserve">3.1.1 </w:t>
      </w:r>
      <w:r w:rsidR="00851C49" w:rsidRPr="00424274">
        <w:t>Prijavitelj</w:t>
      </w:r>
      <w:bookmarkEnd w:id="42"/>
      <w:bookmarkEnd w:id="43"/>
      <w:r w:rsidR="00851C49" w:rsidRPr="00424274">
        <w:t>i</w:t>
      </w:r>
      <w:bookmarkEnd w:id="44"/>
      <w:bookmarkEnd w:id="45"/>
    </w:p>
    <w:p w14:paraId="2C94F35C" w14:textId="77777777" w:rsidR="00851C49" w:rsidRPr="00424274" w:rsidRDefault="00851C49" w:rsidP="00D21F86">
      <w:pPr>
        <w:spacing w:line="276" w:lineRule="auto"/>
        <w:ind w:right="-22"/>
        <w:rPr>
          <w:rFonts w:ascii="Arial" w:hAnsi="Arial"/>
          <w:sz w:val="20"/>
        </w:rPr>
      </w:pPr>
    </w:p>
    <w:p w14:paraId="5F53C155" w14:textId="0C83B11A" w:rsidR="009F2494" w:rsidRPr="00424274" w:rsidRDefault="009F2494" w:rsidP="009F2494">
      <w:pPr>
        <w:widowControl/>
        <w:spacing w:line="276" w:lineRule="auto"/>
        <w:ind w:right="-22"/>
        <w:rPr>
          <w:rFonts w:ascii="Arial" w:hAnsi="Arial"/>
          <w:sz w:val="20"/>
        </w:rPr>
      </w:pPr>
      <w:r w:rsidRPr="00424274">
        <w:rPr>
          <w:rFonts w:ascii="Arial" w:hAnsi="Arial"/>
          <w:sz w:val="20"/>
        </w:rPr>
        <w:t xml:space="preserve">Podrobnejše podatke o prijaviteljih sumljivih transakcij in osebah, na podlagi katerih smo v </w:t>
      </w:r>
      <w:r w:rsidR="003474B3">
        <w:rPr>
          <w:rFonts w:ascii="Arial" w:hAnsi="Arial"/>
          <w:sz w:val="20"/>
        </w:rPr>
        <w:t>u</w:t>
      </w:r>
      <w:r w:rsidRPr="00424274">
        <w:rPr>
          <w:rFonts w:ascii="Arial" w:hAnsi="Arial"/>
          <w:sz w:val="20"/>
        </w:rPr>
        <w:t xml:space="preserve">radu leta 2020 odprli in obravnavali posamezne prijave, prikazujemo v nadaljevanju, kjer smo zaradi medletne primerjave navedli tudi podatke o prijavah od leta 2016 </w:t>
      </w:r>
      <w:r w:rsidR="003474B3">
        <w:rPr>
          <w:rFonts w:ascii="Arial" w:hAnsi="Arial"/>
          <w:sz w:val="20"/>
        </w:rPr>
        <w:t>naprej</w:t>
      </w:r>
      <w:r w:rsidRPr="00424274">
        <w:rPr>
          <w:rFonts w:ascii="Arial" w:hAnsi="Arial"/>
          <w:sz w:val="20"/>
        </w:rPr>
        <w:t xml:space="preserve">, pri čemer od leta 2018 </w:t>
      </w:r>
      <w:r w:rsidR="00210B00">
        <w:rPr>
          <w:rFonts w:ascii="Arial" w:hAnsi="Arial"/>
          <w:sz w:val="20"/>
        </w:rPr>
        <w:t>naprej</w:t>
      </w:r>
      <w:r w:rsidR="00210B00" w:rsidRPr="00424274">
        <w:rPr>
          <w:rFonts w:ascii="Arial" w:hAnsi="Arial"/>
          <w:sz w:val="20"/>
        </w:rPr>
        <w:t xml:space="preserve"> </w:t>
      </w:r>
      <w:r w:rsidRPr="00424274">
        <w:rPr>
          <w:rFonts w:ascii="Arial" w:hAnsi="Arial"/>
          <w:sz w:val="20"/>
        </w:rPr>
        <w:t xml:space="preserve">ločeno prikazujemo podatke o prijavah, ki so se nanašale na pranje denarja in financiranje terorizma. V spodnji </w:t>
      </w:r>
      <w:r w:rsidR="00814A21">
        <w:rPr>
          <w:rFonts w:ascii="Arial" w:hAnsi="Arial"/>
          <w:sz w:val="20"/>
        </w:rPr>
        <w:t>preglednici</w:t>
      </w:r>
      <w:r w:rsidRPr="00424274">
        <w:rPr>
          <w:rFonts w:ascii="Arial" w:hAnsi="Arial"/>
          <w:sz w:val="20"/>
        </w:rPr>
        <w:t xml:space="preserve"> so zajeti tisti prijavitelji, ki so izrecno določeni v ZPPDFT-1, saj lahko </w:t>
      </w:r>
      <w:r w:rsidR="00210B00">
        <w:rPr>
          <w:rFonts w:ascii="Arial" w:hAnsi="Arial"/>
          <w:sz w:val="20"/>
        </w:rPr>
        <w:t>u</w:t>
      </w:r>
      <w:r w:rsidRPr="00424274">
        <w:rPr>
          <w:rFonts w:ascii="Arial" w:hAnsi="Arial"/>
          <w:sz w:val="20"/>
        </w:rPr>
        <w:t>rad samo na podlagi takih zaznav začne obravnavati določeno zadevo in izvajati svoja pooblastila.</w:t>
      </w:r>
    </w:p>
    <w:p w14:paraId="098B3138" w14:textId="3BEBEA37" w:rsidR="00FF42EF" w:rsidRPr="00424274" w:rsidRDefault="00FF42EF" w:rsidP="009F2494">
      <w:pPr>
        <w:widowControl/>
        <w:spacing w:line="276" w:lineRule="auto"/>
        <w:ind w:right="-22"/>
        <w:rPr>
          <w:rFonts w:ascii="Arial" w:hAnsi="Arial"/>
          <w:sz w:val="20"/>
        </w:rPr>
      </w:pPr>
    </w:p>
    <w:p w14:paraId="648514A6" w14:textId="77777777" w:rsidR="00FF42EF" w:rsidRPr="00424274" w:rsidRDefault="00FF42EF" w:rsidP="009F2494">
      <w:pPr>
        <w:widowControl/>
        <w:spacing w:line="276" w:lineRule="auto"/>
        <w:ind w:right="-22"/>
        <w:rPr>
          <w:rFonts w:ascii="Arial" w:hAnsi="Arial"/>
          <w:sz w:val="20"/>
        </w:rPr>
      </w:pPr>
    </w:p>
    <w:p w14:paraId="28072CDF" w14:textId="77777777" w:rsidR="0074487C" w:rsidRPr="00424274" w:rsidRDefault="0074487C" w:rsidP="009F2494">
      <w:pPr>
        <w:widowControl/>
        <w:spacing w:line="276" w:lineRule="auto"/>
        <w:ind w:right="-22"/>
        <w:rPr>
          <w:rFonts w:ascii="Arial" w:hAnsi="Arial"/>
          <w:sz w:val="20"/>
        </w:rPr>
      </w:pPr>
    </w:p>
    <w:p w14:paraId="06583105" w14:textId="7EBFF585" w:rsidR="002E3CDC" w:rsidRPr="00424274" w:rsidRDefault="00814A21" w:rsidP="002E3CDC">
      <w:pPr>
        <w:pStyle w:val="Telobesedila"/>
        <w:spacing w:line="276" w:lineRule="auto"/>
        <w:ind w:right="-22"/>
        <w:rPr>
          <w:rFonts w:ascii="Arial" w:hAnsi="Arial"/>
          <w:b/>
          <w:i/>
          <w:sz w:val="20"/>
        </w:rPr>
      </w:pPr>
      <w:r>
        <w:rPr>
          <w:rFonts w:ascii="Arial" w:hAnsi="Arial"/>
          <w:b/>
          <w:i/>
          <w:sz w:val="20"/>
        </w:rPr>
        <w:t>Preglednica</w:t>
      </w:r>
      <w:r w:rsidR="00851C49" w:rsidRPr="00424274">
        <w:rPr>
          <w:rFonts w:ascii="Arial" w:hAnsi="Arial"/>
          <w:b/>
          <w:i/>
          <w:sz w:val="20"/>
        </w:rPr>
        <w:t xml:space="preserve"> </w:t>
      </w:r>
      <w:r w:rsidR="00045D57" w:rsidRPr="00424274">
        <w:rPr>
          <w:rFonts w:ascii="Arial" w:hAnsi="Arial"/>
          <w:b/>
          <w:i/>
          <w:sz w:val="20"/>
        </w:rPr>
        <w:t>4</w:t>
      </w:r>
      <w:r w:rsidR="00851C49" w:rsidRPr="00424274">
        <w:rPr>
          <w:rFonts w:ascii="Arial" w:hAnsi="Arial"/>
          <w:b/>
          <w:i/>
          <w:sz w:val="20"/>
        </w:rPr>
        <w:t xml:space="preserve">: </w:t>
      </w:r>
      <w:r w:rsidR="002E3CDC" w:rsidRPr="00424274">
        <w:rPr>
          <w:rFonts w:ascii="Arial" w:hAnsi="Arial"/>
          <w:b/>
          <w:i/>
          <w:sz w:val="20"/>
        </w:rPr>
        <w:t>Število in delež zadev po prijaviteljih v obdobju 2016–2020</w:t>
      </w:r>
    </w:p>
    <w:p w14:paraId="6E3EC8C3" w14:textId="79A8E3E3" w:rsidR="00EE1AC4" w:rsidRPr="00424274" w:rsidRDefault="00EE1AC4" w:rsidP="002E3CDC">
      <w:pPr>
        <w:pStyle w:val="Telobesedila"/>
        <w:spacing w:line="276" w:lineRule="auto"/>
        <w:ind w:right="-22"/>
        <w:rPr>
          <w:rFonts w:ascii="Arial" w:hAnsi="Arial"/>
          <w:b/>
          <w:i/>
          <w:sz w:val="20"/>
        </w:rPr>
      </w:pPr>
    </w:p>
    <w:tbl>
      <w:tblPr>
        <w:tblpPr w:leftFromText="141" w:rightFromText="141" w:vertAnchor="text" w:horzAnchor="margin" w:tblpXSpec="center" w:tblpY="57"/>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7"/>
        <w:gridCol w:w="782"/>
        <w:gridCol w:w="728"/>
        <w:gridCol w:w="728"/>
        <w:gridCol w:w="728"/>
        <w:gridCol w:w="882"/>
        <w:gridCol w:w="882"/>
        <w:gridCol w:w="870"/>
        <w:gridCol w:w="728"/>
      </w:tblGrid>
      <w:tr w:rsidR="00EE1AC4" w:rsidRPr="00424274" w14:paraId="50945589" w14:textId="77777777" w:rsidTr="00C67A40">
        <w:trPr>
          <w:trHeight w:val="559"/>
        </w:trPr>
        <w:tc>
          <w:tcPr>
            <w:tcW w:w="3756" w:type="dxa"/>
            <w:shd w:val="clear" w:color="auto" w:fill="99FF33"/>
            <w:noWrap/>
            <w:vAlign w:val="bottom"/>
            <w:hideMark/>
          </w:tcPr>
          <w:p w14:paraId="021227CC" w14:textId="77777777" w:rsidR="00EE1AC4" w:rsidRPr="00424274" w:rsidRDefault="00EE1AC4" w:rsidP="00EE1AC4">
            <w:pPr>
              <w:widowControl/>
              <w:jc w:val="left"/>
              <w:rPr>
                <w:rFonts w:ascii="Arial" w:hAnsi="Arial"/>
                <w:b/>
                <w:bCs/>
                <w:sz w:val="18"/>
                <w:szCs w:val="18"/>
                <w:lang w:eastAsia="sl-SI"/>
              </w:rPr>
            </w:pPr>
            <w:r w:rsidRPr="00424274">
              <w:rPr>
                <w:rFonts w:ascii="Arial" w:hAnsi="Arial"/>
                <w:b/>
                <w:bCs/>
                <w:sz w:val="18"/>
                <w:szCs w:val="18"/>
                <w:lang w:eastAsia="sl-SI"/>
              </w:rPr>
              <w:t xml:space="preserve">PRIJAVITELJI  </w:t>
            </w:r>
          </w:p>
        </w:tc>
        <w:tc>
          <w:tcPr>
            <w:tcW w:w="782" w:type="dxa"/>
            <w:shd w:val="clear" w:color="auto" w:fill="99FF33"/>
            <w:vAlign w:val="center"/>
          </w:tcPr>
          <w:p w14:paraId="0D8D7635" w14:textId="77777777" w:rsidR="00EE1AC4" w:rsidRPr="00424274" w:rsidRDefault="00EE1AC4" w:rsidP="00EE1AC4">
            <w:pPr>
              <w:jc w:val="center"/>
              <w:rPr>
                <w:rFonts w:ascii="Arial" w:hAnsi="Arial"/>
                <w:b/>
                <w:bCs/>
                <w:sz w:val="18"/>
                <w:szCs w:val="18"/>
              </w:rPr>
            </w:pPr>
            <w:r w:rsidRPr="00424274">
              <w:rPr>
                <w:rFonts w:ascii="Arial" w:hAnsi="Arial"/>
                <w:b/>
                <w:bCs/>
                <w:sz w:val="18"/>
                <w:szCs w:val="18"/>
              </w:rPr>
              <w:t>2016</w:t>
            </w:r>
          </w:p>
        </w:tc>
        <w:tc>
          <w:tcPr>
            <w:tcW w:w="683" w:type="dxa"/>
            <w:shd w:val="clear" w:color="auto" w:fill="99FF33"/>
            <w:vAlign w:val="center"/>
          </w:tcPr>
          <w:p w14:paraId="06FC9279" w14:textId="77777777" w:rsidR="00EE1AC4" w:rsidRPr="00424274" w:rsidRDefault="00EE1AC4" w:rsidP="00EE1AC4">
            <w:pPr>
              <w:jc w:val="center"/>
              <w:rPr>
                <w:rFonts w:ascii="Arial" w:hAnsi="Arial"/>
                <w:b/>
                <w:bCs/>
                <w:sz w:val="18"/>
                <w:szCs w:val="18"/>
              </w:rPr>
            </w:pPr>
            <w:r w:rsidRPr="00424274">
              <w:rPr>
                <w:rFonts w:ascii="Arial" w:hAnsi="Arial"/>
                <w:b/>
                <w:bCs/>
                <w:sz w:val="18"/>
                <w:szCs w:val="18"/>
              </w:rPr>
              <w:t>2017</w:t>
            </w:r>
          </w:p>
        </w:tc>
        <w:tc>
          <w:tcPr>
            <w:tcW w:w="1452" w:type="dxa"/>
            <w:gridSpan w:val="2"/>
            <w:shd w:val="clear" w:color="auto" w:fill="99FF33"/>
            <w:vAlign w:val="bottom"/>
          </w:tcPr>
          <w:p w14:paraId="228BCD74" w14:textId="77777777" w:rsidR="00EE1AC4" w:rsidRPr="00424274" w:rsidRDefault="00EE1AC4" w:rsidP="00EE1AC4">
            <w:pPr>
              <w:jc w:val="center"/>
              <w:rPr>
                <w:rFonts w:ascii="Arial" w:hAnsi="Arial"/>
                <w:b/>
                <w:bCs/>
                <w:sz w:val="18"/>
                <w:szCs w:val="18"/>
              </w:rPr>
            </w:pPr>
            <w:r w:rsidRPr="00424274">
              <w:rPr>
                <w:rFonts w:ascii="Arial" w:hAnsi="Arial"/>
                <w:b/>
                <w:bCs/>
                <w:sz w:val="18"/>
                <w:szCs w:val="18"/>
              </w:rPr>
              <w:t>2018</w:t>
            </w:r>
          </w:p>
          <w:p w14:paraId="68559608" w14:textId="77777777" w:rsidR="00EE1AC4" w:rsidRPr="00424274" w:rsidRDefault="00EE1AC4" w:rsidP="00EE1AC4">
            <w:pPr>
              <w:jc w:val="center"/>
              <w:rPr>
                <w:rFonts w:ascii="Arial" w:hAnsi="Arial"/>
                <w:b/>
                <w:bCs/>
                <w:sz w:val="18"/>
                <w:szCs w:val="18"/>
              </w:rPr>
            </w:pPr>
            <w:r w:rsidRPr="00424274">
              <w:rPr>
                <w:rFonts w:ascii="Arial" w:hAnsi="Arial"/>
                <w:b/>
                <w:bCs/>
                <w:sz w:val="18"/>
                <w:szCs w:val="18"/>
              </w:rPr>
              <w:t>PD      FT</w:t>
            </w:r>
          </w:p>
        </w:tc>
        <w:tc>
          <w:tcPr>
            <w:tcW w:w="1834" w:type="dxa"/>
            <w:gridSpan w:val="2"/>
            <w:shd w:val="clear" w:color="auto" w:fill="99FF33"/>
          </w:tcPr>
          <w:p w14:paraId="3669A845" w14:textId="77777777" w:rsidR="00EE1AC4" w:rsidRPr="00424274" w:rsidRDefault="00EE1AC4" w:rsidP="00EE1AC4">
            <w:pPr>
              <w:jc w:val="center"/>
              <w:rPr>
                <w:rFonts w:ascii="Arial" w:hAnsi="Arial"/>
                <w:b/>
                <w:bCs/>
                <w:sz w:val="18"/>
                <w:szCs w:val="18"/>
              </w:rPr>
            </w:pPr>
          </w:p>
          <w:p w14:paraId="0E69201C" w14:textId="77777777" w:rsidR="00EE1AC4" w:rsidRPr="00424274" w:rsidRDefault="00EE1AC4" w:rsidP="00EE1AC4">
            <w:pPr>
              <w:jc w:val="center"/>
              <w:rPr>
                <w:rFonts w:ascii="Arial" w:hAnsi="Arial"/>
                <w:b/>
                <w:bCs/>
                <w:sz w:val="18"/>
                <w:szCs w:val="18"/>
              </w:rPr>
            </w:pPr>
            <w:r w:rsidRPr="00424274">
              <w:rPr>
                <w:rFonts w:ascii="Arial" w:hAnsi="Arial"/>
                <w:b/>
                <w:bCs/>
                <w:sz w:val="18"/>
                <w:szCs w:val="18"/>
              </w:rPr>
              <w:t>2019</w:t>
            </w:r>
          </w:p>
          <w:p w14:paraId="720178C2" w14:textId="77777777" w:rsidR="00EE1AC4" w:rsidRPr="00424274" w:rsidRDefault="00EE1AC4" w:rsidP="00EE1AC4">
            <w:pPr>
              <w:jc w:val="center"/>
              <w:rPr>
                <w:rFonts w:ascii="Arial" w:hAnsi="Arial"/>
                <w:b/>
                <w:bCs/>
                <w:sz w:val="18"/>
                <w:szCs w:val="18"/>
              </w:rPr>
            </w:pPr>
            <w:r w:rsidRPr="00424274">
              <w:rPr>
                <w:rFonts w:ascii="Arial" w:hAnsi="Arial"/>
                <w:b/>
                <w:bCs/>
                <w:sz w:val="18"/>
                <w:szCs w:val="18"/>
              </w:rPr>
              <w:t>PD        FT</w:t>
            </w:r>
          </w:p>
        </w:tc>
        <w:tc>
          <w:tcPr>
            <w:tcW w:w="1578" w:type="dxa"/>
            <w:gridSpan w:val="2"/>
            <w:shd w:val="clear" w:color="auto" w:fill="99FF33"/>
          </w:tcPr>
          <w:p w14:paraId="3D829939" w14:textId="77777777" w:rsidR="00EE1AC4" w:rsidRPr="00424274" w:rsidRDefault="00EE1AC4" w:rsidP="00EE1AC4">
            <w:pPr>
              <w:jc w:val="center"/>
              <w:rPr>
                <w:rFonts w:ascii="Arial" w:hAnsi="Arial"/>
                <w:b/>
                <w:bCs/>
                <w:sz w:val="18"/>
                <w:szCs w:val="18"/>
              </w:rPr>
            </w:pPr>
          </w:p>
          <w:p w14:paraId="563CE52A" w14:textId="77777777" w:rsidR="00EE1AC4" w:rsidRPr="00424274" w:rsidRDefault="00EE1AC4" w:rsidP="00EE1AC4">
            <w:pPr>
              <w:jc w:val="center"/>
              <w:rPr>
                <w:rFonts w:ascii="Arial" w:hAnsi="Arial"/>
                <w:b/>
                <w:bCs/>
                <w:sz w:val="18"/>
                <w:szCs w:val="18"/>
              </w:rPr>
            </w:pPr>
            <w:r w:rsidRPr="00424274">
              <w:rPr>
                <w:rFonts w:ascii="Arial" w:hAnsi="Arial"/>
                <w:b/>
                <w:bCs/>
                <w:sz w:val="18"/>
                <w:szCs w:val="18"/>
              </w:rPr>
              <w:t>2020</w:t>
            </w:r>
          </w:p>
          <w:p w14:paraId="793064B4" w14:textId="77777777" w:rsidR="00EE1AC4" w:rsidRPr="00424274" w:rsidRDefault="00EE1AC4" w:rsidP="00EE1AC4">
            <w:pPr>
              <w:jc w:val="center"/>
              <w:rPr>
                <w:rFonts w:ascii="Arial" w:hAnsi="Arial"/>
                <w:b/>
                <w:bCs/>
                <w:sz w:val="18"/>
                <w:szCs w:val="18"/>
              </w:rPr>
            </w:pPr>
            <w:r w:rsidRPr="00424274">
              <w:rPr>
                <w:rFonts w:ascii="Arial" w:hAnsi="Arial"/>
                <w:b/>
                <w:bCs/>
                <w:sz w:val="18"/>
                <w:szCs w:val="18"/>
              </w:rPr>
              <w:t>PD         FT</w:t>
            </w:r>
          </w:p>
        </w:tc>
      </w:tr>
      <w:tr w:rsidR="00EE1AC4" w:rsidRPr="00424274" w14:paraId="4882CD0D" w14:textId="77777777" w:rsidTr="00C67A40">
        <w:trPr>
          <w:trHeight w:val="255"/>
        </w:trPr>
        <w:tc>
          <w:tcPr>
            <w:tcW w:w="3756" w:type="dxa"/>
            <w:shd w:val="clear" w:color="auto" w:fill="00CCFF"/>
            <w:noWrap/>
            <w:vAlign w:val="center"/>
            <w:hideMark/>
          </w:tcPr>
          <w:p w14:paraId="65A24441" w14:textId="77777777" w:rsidR="00EE1AC4" w:rsidRPr="00424274" w:rsidRDefault="00EE1AC4" w:rsidP="00EE1AC4">
            <w:pPr>
              <w:widowControl/>
              <w:jc w:val="left"/>
              <w:rPr>
                <w:rFonts w:ascii="Arial" w:hAnsi="Arial"/>
                <w:b/>
                <w:bCs/>
                <w:sz w:val="16"/>
                <w:szCs w:val="16"/>
                <w:lang w:eastAsia="sl-SI"/>
              </w:rPr>
            </w:pPr>
            <w:r w:rsidRPr="00424274">
              <w:rPr>
                <w:rFonts w:ascii="Arial" w:hAnsi="Arial"/>
                <w:b/>
                <w:bCs/>
                <w:sz w:val="16"/>
                <w:szCs w:val="16"/>
                <w:lang w:eastAsia="sl-SI"/>
              </w:rPr>
              <w:t>1. PRIJAVE ZAVEZANCEV</w:t>
            </w:r>
          </w:p>
        </w:tc>
        <w:tc>
          <w:tcPr>
            <w:tcW w:w="782" w:type="dxa"/>
            <w:shd w:val="clear" w:color="auto" w:fill="00CCFF"/>
            <w:vAlign w:val="center"/>
          </w:tcPr>
          <w:p w14:paraId="1D216980"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392</w:t>
            </w:r>
          </w:p>
        </w:tc>
        <w:tc>
          <w:tcPr>
            <w:tcW w:w="683" w:type="dxa"/>
            <w:shd w:val="clear" w:color="auto" w:fill="00CCFF"/>
            <w:vAlign w:val="center"/>
          </w:tcPr>
          <w:p w14:paraId="25D91EF4"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484</w:t>
            </w:r>
          </w:p>
        </w:tc>
        <w:tc>
          <w:tcPr>
            <w:tcW w:w="726" w:type="dxa"/>
            <w:shd w:val="clear" w:color="auto" w:fill="00CCFF"/>
            <w:vAlign w:val="center"/>
          </w:tcPr>
          <w:p w14:paraId="15854D1C"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660</w:t>
            </w:r>
          </w:p>
        </w:tc>
        <w:tc>
          <w:tcPr>
            <w:tcW w:w="0" w:type="auto"/>
            <w:shd w:val="clear" w:color="auto" w:fill="00CCFF"/>
            <w:vAlign w:val="center"/>
          </w:tcPr>
          <w:p w14:paraId="35EBF62D"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25</w:t>
            </w:r>
          </w:p>
        </w:tc>
        <w:tc>
          <w:tcPr>
            <w:tcW w:w="0" w:type="auto"/>
            <w:shd w:val="clear" w:color="auto" w:fill="00CCFF"/>
            <w:vAlign w:val="center"/>
          </w:tcPr>
          <w:p w14:paraId="384FEF5E"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889</w:t>
            </w:r>
          </w:p>
        </w:tc>
        <w:tc>
          <w:tcPr>
            <w:tcW w:w="0" w:type="auto"/>
            <w:shd w:val="clear" w:color="auto" w:fill="00CCFF"/>
            <w:vAlign w:val="center"/>
          </w:tcPr>
          <w:p w14:paraId="6D9ECCE0"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24</w:t>
            </w:r>
          </w:p>
        </w:tc>
        <w:tc>
          <w:tcPr>
            <w:tcW w:w="870" w:type="dxa"/>
            <w:tcBorders>
              <w:top w:val="nil"/>
              <w:left w:val="nil"/>
              <w:bottom w:val="single" w:sz="8" w:space="0" w:color="000000"/>
              <w:right w:val="single" w:sz="8" w:space="0" w:color="000000"/>
            </w:tcBorders>
            <w:shd w:val="clear" w:color="auto" w:fill="33CCFF"/>
            <w:vAlign w:val="center"/>
          </w:tcPr>
          <w:p w14:paraId="0026A484"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893</w:t>
            </w:r>
          </w:p>
        </w:tc>
        <w:tc>
          <w:tcPr>
            <w:tcW w:w="708" w:type="dxa"/>
            <w:tcBorders>
              <w:top w:val="nil"/>
              <w:left w:val="nil"/>
              <w:bottom w:val="single" w:sz="8" w:space="0" w:color="000000"/>
              <w:right w:val="single" w:sz="8" w:space="0" w:color="000000"/>
            </w:tcBorders>
            <w:shd w:val="clear" w:color="auto" w:fill="33CCFF"/>
            <w:vAlign w:val="center"/>
          </w:tcPr>
          <w:p w14:paraId="6582083C"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51</w:t>
            </w:r>
          </w:p>
        </w:tc>
      </w:tr>
      <w:tr w:rsidR="00EE1AC4" w:rsidRPr="00424274" w14:paraId="097F301D" w14:textId="77777777" w:rsidTr="00C67A40">
        <w:trPr>
          <w:trHeight w:val="255"/>
        </w:trPr>
        <w:tc>
          <w:tcPr>
            <w:tcW w:w="3756" w:type="dxa"/>
            <w:shd w:val="clear" w:color="auto" w:fill="00CCFF"/>
            <w:noWrap/>
            <w:vAlign w:val="center"/>
            <w:hideMark/>
          </w:tcPr>
          <w:p w14:paraId="5D01391F" w14:textId="77777777" w:rsidR="00EE1AC4" w:rsidRPr="00424274" w:rsidRDefault="00EE1AC4" w:rsidP="00EE1AC4">
            <w:pPr>
              <w:widowControl/>
              <w:jc w:val="left"/>
              <w:rPr>
                <w:rFonts w:ascii="Arial" w:hAnsi="Arial"/>
                <w:b/>
                <w:bCs/>
                <w:sz w:val="16"/>
                <w:szCs w:val="16"/>
                <w:lang w:eastAsia="sl-SI"/>
              </w:rPr>
            </w:pPr>
            <w:r w:rsidRPr="00424274">
              <w:rPr>
                <w:rFonts w:ascii="Arial" w:hAnsi="Arial"/>
                <w:b/>
                <w:bCs/>
                <w:sz w:val="16"/>
                <w:szCs w:val="16"/>
                <w:lang w:eastAsia="sl-SI"/>
              </w:rPr>
              <w:t> </w:t>
            </w:r>
          </w:p>
        </w:tc>
        <w:tc>
          <w:tcPr>
            <w:tcW w:w="782" w:type="dxa"/>
            <w:shd w:val="clear" w:color="auto" w:fill="00CCFF"/>
            <w:vAlign w:val="center"/>
          </w:tcPr>
          <w:p w14:paraId="12F94C75" w14:textId="22D1C49E" w:rsidR="00EE1AC4" w:rsidRPr="00424274" w:rsidRDefault="00EE1AC4" w:rsidP="00EE1AC4">
            <w:pPr>
              <w:jc w:val="center"/>
              <w:rPr>
                <w:rFonts w:ascii="Arial" w:hAnsi="Arial"/>
                <w:b/>
                <w:bCs/>
                <w:sz w:val="16"/>
                <w:szCs w:val="16"/>
              </w:rPr>
            </w:pPr>
            <w:r w:rsidRPr="00424274">
              <w:rPr>
                <w:rFonts w:ascii="Arial" w:hAnsi="Arial"/>
                <w:b/>
                <w:bCs/>
                <w:sz w:val="16"/>
                <w:szCs w:val="16"/>
              </w:rPr>
              <w:t>87,30</w:t>
            </w:r>
            <w:r w:rsidR="000B21A4">
              <w:rPr>
                <w:rFonts w:ascii="Arial" w:hAnsi="Arial"/>
                <w:b/>
                <w:bCs/>
                <w:sz w:val="16"/>
                <w:szCs w:val="16"/>
              </w:rPr>
              <w:t> </w:t>
            </w:r>
            <w:r w:rsidRPr="00424274">
              <w:rPr>
                <w:rFonts w:ascii="Arial" w:hAnsi="Arial"/>
                <w:b/>
                <w:bCs/>
                <w:sz w:val="16"/>
                <w:szCs w:val="16"/>
              </w:rPr>
              <w:t>%</w:t>
            </w:r>
          </w:p>
        </w:tc>
        <w:tc>
          <w:tcPr>
            <w:tcW w:w="683" w:type="dxa"/>
            <w:shd w:val="clear" w:color="auto" w:fill="00CCFF"/>
            <w:vAlign w:val="center"/>
          </w:tcPr>
          <w:p w14:paraId="00F6D117" w14:textId="635A6D23" w:rsidR="00EE1AC4" w:rsidRPr="00424274" w:rsidRDefault="00EE1AC4" w:rsidP="00EE1AC4">
            <w:pPr>
              <w:jc w:val="center"/>
              <w:rPr>
                <w:rFonts w:ascii="Arial" w:hAnsi="Arial"/>
                <w:b/>
                <w:bCs/>
                <w:sz w:val="16"/>
                <w:szCs w:val="16"/>
              </w:rPr>
            </w:pPr>
            <w:r w:rsidRPr="00424274">
              <w:rPr>
                <w:rFonts w:ascii="Arial" w:hAnsi="Arial"/>
                <w:b/>
                <w:bCs/>
                <w:sz w:val="16"/>
                <w:szCs w:val="16"/>
              </w:rPr>
              <w:t>86,74</w:t>
            </w:r>
            <w:r w:rsidR="000B21A4">
              <w:rPr>
                <w:rFonts w:ascii="Arial" w:hAnsi="Arial"/>
                <w:b/>
                <w:bCs/>
                <w:sz w:val="16"/>
                <w:szCs w:val="16"/>
              </w:rPr>
              <w:t> </w:t>
            </w:r>
            <w:r w:rsidRPr="00424274">
              <w:rPr>
                <w:rFonts w:ascii="Arial" w:hAnsi="Arial"/>
                <w:b/>
                <w:bCs/>
                <w:sz w:val="16"/>
                <w:szCs w:val="16"/>
              </w:rPr>
              <w:t>%</w:t>
            </w:r>
          </w:p>
        </w:tc>
        <w:tc>
          <w:tcPr>
            <w:tcW w:w="726" w:type="dxa"/>
            <w:shd w:val="clear" w:color="auto" w:fill="00CCFF"/>
            <w:vAlign w:val="center"/>
          </w:tcPr>
          <w:p w14:paraId="17C015C2" w14:textId="727B5091" w:rsidR="00EE1AC4" w:rsidRPr="00424274" w:rsidRDefault="00EE1AC4" w:rsidP="00EE1AC4">
            <w:pPr>
              <w:jc w:val="center"/>
              <w:rPr>
                <w:rFonts w:ascii="Arial" w:hAnsi="Arial"/>
                <w:b/>
                <w:bCs/>
                <w:sz w:val="16"/>
                <w:szCs w:val="16"/>
              </w:rPr>
            </w:pPr>
            <w:r w:rsidRPr="00424274">
              <w:rPr>
                <w:rFonts w:ascii="Arial" w:hAnsi="Arial"/>
                <w:b/>
                <w:bCs/>
                <w:sz w:val="16"/>
                <w:szCs w:val="16"/>
              </w:rPr>
              <w:t>87,07</w:t>
            </w:r>
            <w:r w:rsidR="000B21A4">
              <w:rPr>
                <w:rFonts w:ascii="Arial" w:hAnsi="Arial"/>
                <w:b/>
                <w:bCs/>
                <w:sz w:val="16"/>
                <w:szCs w:val="16"/>
              </w:rPr>
              <w:t> </w:t>
            </w:r>
            <w:r w:rsidRPr="00424274">
              <w:rPr>
                <w:rFonts w:ascii="Arial" w:hAnsi="Arial"/>
                <w:b/>
                <w:bCs/>
                <w:sz w:val="16"/>
                <w:szCs w:val="16"/>
              </w:rPr>
              <w:t>%</w:t>
            </w:r>
          </w:p>
        </w:tc>
        <w:tc>
          <w:tcPr>
            <w:tcW w:w="0" w:type="auto"/>
            <w:shd w:val="clear" w:color="auto" w:fill="00CCFF"/>
            <w:vAlign w:val="center"/>
          </w:tcPr>
          <w:p w14:paraId="3F0F6202" w14:textId="4C68BA2C" w:rsidR="00EE1AC4" w:rsidRPr="00424274" w:rsidRDefault="00EE1AC4" w:rsidP="00EE1AC4">
            <w:pPr>
              <w:jc w:val="center"/>
              <w:rPr>
                <w:rFonts w:ascii="Arial" w:hAnsi="Arial"/>
                <w:b/>
                <w:bCs/>
                <w:sz w:val="16"/>
                <w:szCs w:val="16"/>
              </w:rPr>
            </w:pPr>
            <w:r w:rsidRPr="00424274">
              <w:rPr>
                <w:rFonts w:ascii="Arial" w:hAnsi="Arial"/>
                <w:b/>
                <w:bCs/>
                <w:sz w:val="16"/>
                <w:szCs w:val="16"/>
              </w:rPr>
              <w:t>86,21</w:t>
            </w:r>
            <w:r w:rsidR="000B21A4">
              <w:rPr>
                <w:rFonts w:ascii="Arial" w:hAnsi="Arial"/>
                <w:b/>
                <w:bCs/>
                <w:sz w:val="16"/>
                <w:szCs w:val="16"/>
              </w:rPr>
              <w:t> </w:t>
            </w:r>
            <w:r w:rsidRPr="00424274">
              <w:rPr>
                <w:rFonts w:ascii="Arial" w:hAnsi="Arial"/>
                <w:b/>
                <w:bCs/>
                <w:sz w:val="16"/>
                <w:szCs w:val="16"/>
              </w:rPr>
              <w:t>%</w:t>
            </w:r>
          </w:p>
        </w:tc>
        <w:tc>
          <w:tcPr>
            <w:tcW w:w="0" w:type="auto"/>
            <w:shd w:val="clear" w:color="auto" w:fill="00CCFF"/>
            <w:vAlign w:val="center"/>
          </w:tcPr>
          <w:p w14:paraId="4C2FC459" w14:textId="40FB295A" w:rsidR="00EE1AC4" w:rsidRPr="00424274" w:rsidRDefault="00EE1AC4" w:rsidP="00EE1AC4">
            <w:pPr>
              <w:jc w:val="center"/>
              <w:rPr>
                <w:rFonts w:ascii="Arial" w:hAnsi="Arial"/>
                <w:b/>
                <w:bCs/>
                <w:sz w:val="16"/>
                <w:szCs w:val="16"/>
              </w:rPr>
            </w:pPr>
            <w:r w:rsidRPr="00424274">
              <w:rPr>
                <w:rFonts w:ascii="Arial" w:hAnsi="Arial"/>
                <w:b/>
                <w:bCs/>
                <w:sz w:val="16"/>
                <w:szCs w:val="16"/>
              </w:rPr>
              <w:t>85,65</w:t>
            </w:r>
            <w:r w:rsidR="000B21A4">
              <w:rPr>
                <w:rFonts w:ascii="Arial" w:hAnsi="Arial"/>
                <w:b/>
                <w:bCs/>
                <w:sz w:val="16"/>
                <w:szCs w:val="16"/>
              </w:rPr>
              <w:t> </w:t>
            </w:r>
            <w:r w:rsidRPr="00424274">
              <w:rPr>
                <w:rFonts w:ascii="Arial" w:hAnsi="Arial"/>
                <w:b/>
                <w:bCs/>
                <w:sz w:val="16"/>
                <w:szCs w:val="16"/>
              </w:rPr>
              <w:t>%</w:t>
            </w:r>
          </w:p>
        </w:tc>
        <w:tc>
          <w:tcPr>
            <w:tcW w:w="0" w:type="auto"/>
            <w:shd w:val="clear" w:color="auto" w:fill="00CCFF"/>
            <w:vAlign w:val="center"/>
          </w:tcPr>
          <w:p w14:paraId="5F8C75C7" w14:textId="5775E23C" w:rsidR="00EE1AC4" w:rsidRPr="00424274" w:rsidRDefault="00EE1AC4" w:rsidP="00EE1AC4">
            <w:pPr>
              <w:jc w:val="center"/>
              <w:rPr>
                <w:rFonts w:ascii="Arial" w:hAnsi="Arial"/>
                <w:b/>
                <w:bCs/>
                <w:sz w:val="16"/>
                <w:szCs w:val="16"/>
              </w:rPr>
            </w:pPr>
            <w:r w:rsidRPr="00424274">
              <w:rPr>
                <w:rFonts w:ascii="Arial" w:hAnsi="Arial"/>
                <w:b/>
                <w:bCs/>
                <w:sz w:val="16"/>
                <w:szCs w:val="16"/>
              </w:rPr>
              <w:t>77,42</w:t>
            </w:r>
            <w:r w:rsidR="000B21A4">
              <w:rPr>
                <w:rFonts w:ascii="Arial" w:hAnsi="Arial"/>
                <w:b/>
                <w:bCs/>
                <w:sz w:val="16"/>
                <w:szCs w:val="16"/>
              </w:rPr>
              <w:t> </w:t>
            </w:r>
            <w:r w:rsidRPr="00424274">
              <w:rPr>
                <w:rFonts w:ascii="Arial" w:hAnsi="Arial"/>
                <w:b/>
                <w:bCs/>
                <w:sz w:val="16"/>
                <w:szCs w:val="16"/>
              </w:rPr>
              <w:t>%</w:t>
            </w:r>
          </w:p>
        </w:tc>
        <w:tc>
          <w:tcPr>
            <w:tcW w:w="870" w:type="dxa"/>
            <w:tcBorders>
              <w:top w:val="nil"/>
              <w:left w:val="single" w:sz="8" w:space="0" w:color="auto"/>
              <w:bottom w:val="single" w:sz="8" w:space="0" w:color="000000"/>
              <w:right w:val="single" w:sz="8" w:space="0" w:color="auto"/>
            </w:tcBorders>
            <w:shd w:val="clear" w:color="auto" w:fill="33CCFF"/>
            <w:vAlign w:val="center"/>
          </w:tcPr>
          <w:p w14:paraId="2A8F3F44" w14:textId="6E1742BF" w:rsidR="00EE1AC4" w:rsidRPr="00424274" w:rsidRDefault="00EE1AC4" w:rsidP="00EE1AC4">
            <w:pPr>
              <w:jc w:val="center"/>
              <w:rPr>
                <w:rFonts w:ascii="Arial" w:hAnsi="Arial"/>
                <w:b/>
                <w:bCs/>
                <w:sz w:val="16"/>
                <w:szCs w:val="16"/>
              </w:rPr>
            </w:pPr>
            <w:r w:rsidRPr="00424274">
              <w:rPr>
                <w:rFonts w:ascii="Arial" w:hAnsi="Arial"/>
                <w:b/>
                <w:bCs/>
                <w:sz w:val="16"/>
                <w:szCs w:val="16"/>
              </w:rPr>
              <w:t>82,38</w:t>
            </w:r>
            <w:r w:rsidR="000B21A4">
              <w:rPr>
                <w:rFonts w:ascii="Arial" w:hAnsi="Arial"/>
                <w:b/>
                <w:bCs/>
                <w:sz w:val="16"/>
                <w:szCs w:val="16"/>
              </w:rPr>
              <w:t> </w:t>
            </w:r>
            <w:r w:rsidRPr="00424274">
              <w:rPr>
                <w:rFonts w:ascii="Arial" w:hAnsi="Arial"/>
                <w:b/>
                <w:bCs/>
                <w:sz w:val="16"/>
                <w:szCs w:val="16"/>
              </w:rPr>
              <w:t>%</w:t>
            </w:r>
          </w:p>
        </w:tc>
        <w:tc>
          <w:tcPr>
            <w:tcW w:w="708" w:type="dxa"/>
            <w:tcBorders>
              <w:top w:val="nil"/>
              <w:left w:val="nil"/>
              <w:bottom w:val="single" w:sz="8" w:space="0" w:color="000000"/>
              <w:right w:val="single" w:sz="8" w:space="0" w:color="auto"/>
            </w:tcBorders>
            <w:shd w:val="clear" w:color="auto" w:fill="33CCFF"/>
            <w:vAlign w:val="center"/>
          </w:tcPr>
          <w:p w14:paraId="547AE3BA" w14:textId="4EA5E7DA" w:rsidR="00EE1AC4" w:rsidRPr="00424274" w:rsidRDefault="00EE1AC4" w:rsidP="00EE1AC4">
            <w:pPr>
              <w:jc w:val="center"/>
              <w:rPr>
                <w:rFonts w:ascii="Arial" w:hAnsi="Arial"/>
                <w:b/>
                <w:bCs/>
                <w:sz w:val="16"/>
                <w:szCs w:val="16"/>
              </w:rPr>
            </w:pPr>
            <w:r w:rsidRPr="00424274">
              <w:rPr>
                <w:rFonts w:ascii="Arial" w:hAnsi="Arial"/>
                <w:b/>
                <w:bCs/>
                <w:sz w:val="16"/>
                <w:szCs w:val="16"/>
              </w:rPr>
              <w:t>96,23</w:t>
            </w:r>
            <w:r w:rsidR="000B21A4">
              <w:rPr>
                <w:rFonts w:ascii="Arial" w:hAnsi="Arial"/>
                <w:b/>
                <w:bCs/>
                <w:sz w:val="16"/>
                <w:szCs w:val="16"/>
              </w:rPr>
              <w:t> </w:t>
            </w:r>
            <w:r w:rsidRPr="00424274">
              <w:rPr>
                <w:rFonts w:ascii="Arial" w:hAnsi="Arial"/>
                <w:b/>
                <w:bCs/>
                <w:sz w:val="16"/>
                <w:szCs w:val="16"/>
              </w:rPr>
              <w:t>%</w:t>
            </w:r>
          </w:p>
        </w:tc>
      </w:tr>
      <w:tr w:rsidR="00EE1AC4" w:rsidRPr="00424274" w14:paraId="7EF4BA34" w14:textId="77777777" w:rsidTr="00C67A40">
        <w:trPr>
          <w:trHeight w:val="255"/>
        </w:trPr>
        <w:tc>
          <w:tcPr>
            <w:tcW w:w="3756" w:type="dxa"/>
            <w:shd w:val="clear" w:color="auto" w:fill="99FF33"/>
            <w:noWrap/>
            <w:vAlign w:val="center"/>
            <w:hideMark/>
          </w:tcPr>
          <w:p w14:paraId="6F657E55" w14:textId="77777777" w:rsidR="00EE1AC4" w:rsidRPr="00424274" w:rsidRDefault="00EE1AC4" w:rsidP="00EE1AC4">
            <w:pPr>
              <w:widowControl/>
              <w:jc w:val="left"/>
              <w:rPr>
                <w:rFonts w:ascii="Arial" w:hAnsi="Arial"/>
                <w:b/>
                <w:bCs/>
                <w:sz w:val="16"/>
                <w:szCs w:val="16"/>
                <w:lang w:eastAsia="sl-SI"/>
              </w:rPr>
            </w:pPr>
            <w:r w:rsidRPr="00424274">
              <w:rPr>
                <w:rFonts w:ascii="Arial" w:hAnsi="Arial"/>
                <w:b/>
                <w:bCs/>
                <w:sz w:val="16"/>
                <w:szCs w:val="16"/>
                <w:lang w:eastAsia="sl-SI"/>
              </w:rPr>
              <w:t>Banke</w:t>
            </w:r>
          </w:p>
        </w:tc>
        <w:tc>
          <w:tcPr>
            <w:tcW w:w="782" w:type="dxa"/>
            <w:vAlign w:val="center"/>
          </w:tcPr>
          <w:p w14:paraId="23AC6CC1"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361</w:t>
            </w:r>
          </w:p>
        </w:tc>
        <w:tc>
          <w:tcPr>
            <w:tcW w:w="683" w:type="dxa"/>
            <w:vAlign w:val="center"/>
          </w:tcPr>
          <w:p w14:paraId="28D4F4EB"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426</w:t>
            </w:r>
          </w:p>
        </w:tc>
        <w:tc>
          <w:tcPr>
            <w:tcW w:w="726" w:type="dxa"/>
            <w:shd w:val="clear" w:color="auto" w:fill="auto"/>
            <w:vAlign w:val="center"/>
          </w:tcPr>
          <w:p w14:paraId="0CC495D2"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548</w:t>
            </w:r>
          </w:p>
        </w:tc>
        <w:tc>
          <w:tcPr>
            <w:tcW w:w="0" w:type="auto"/>
            <w:vAlign w:val="center"/>
          </w:tcPr>
          <w:p w14:paraId="6CB44079"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18</w:t>
            </w:r>
          </w:p>
        </w:tc>
        <w:tc>
          <w:tcPr>
            <w:tcW w:w="0" w:type="auto"/>
            <w:vAlign w:val="center"/>
          </w:tcPr>
          <w:p w14:paraId="5A1A6215"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755</w:t>
            </w:r>
          </w:p>
        </w:tc>
        <w:tc>
          <w:tcPr>
            <w:tcW w:w="0" w:type="auto"/>
            <w:vAlign w:val="center"/>
          </w:tcPr>
          <w:p w14:paraId="4131B0D9"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8</w:t>
            </w:r>
          </w:p>
        </w:tc>
        <w:tc>
          <w:tcPr>
            <w:tcW w:w="870" w:type="dxa"/>
            <w:tcBorders>
              <w:top w:val="nil"/>
              <w:left w:val="single" w:sz="8" w:space="0" w:color="auto"/>
              <w:bottom w:val="single" w:sz="8" w:space="0" w:color="000000"/>
              <w:right w:val="single" w:sz="8" w:space="0" w:color="auto"/>
            </w:tcBorders>
            <w:shd w:val="clear" w:color="auto" w:fill="auto"/>
            <w:vAlign w:val="center"/>
          </w:tcPr>
          <w:p w14:paraId="2A5A39EB"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737</w:t>
            </w:r>
          </w:p>
        </w:tc>
        <w:tc>
          <w:tcPr>
            <w:tcW w:w="708" w:type="dxa"/>
            <w:tcBorders>
              <w:top w:val="nil"/>
              <w:left w:val="nil"/>
              <w:bottom w:val="single" w:sz="8" w:space="0" w:color="000000"/>
              <w:right w:val="single" w:sz="8" w:space="0" w:color="auto"/>
            </w:tcBorders>
            <w:shd w:val="clear" w:color="auto" w:fill="auto"/>
            <w:vAlign w:val="center"/>
          </w:tcPr>
          <w:p w14:paraId="626CB1FA"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5</w:t>
            </w:r>
          </w:p>
        </w:tc>
      </w:tr>
      <w:tr w:rsidR="00EE1AC4" w:rsidRPr="00424274" w14:paraId="7BBFBD4A" w14:textId="77777777" w:rsidTr="00C67A40">
        <w:trPr>
          <w:trHeight w:val="255"/>
        </w:trPr>
        <w:tc>
          <w:tcPr>
            <w:tcW w:w="3756" w:type="dxa"/>
            <w:shd w:val="clear" w:color="auto" w:fill="99FF33"/>
            <w:noWrap/>
            <w:vAlign w:val="center"/>
            <w:hideMark/>
          </w:tcPr>
          <w:p w14:paraId="0D985CCC" w14:textId="77777777" w:rsidR="00EE1AC4" w:rsidRPr="00424274" w:rsidRDefault="00EE1AC4" w:rsidP="00EE1AC4">
            <w:pPr>
              <w:widowControl/>
              <w:jc w:val="left"/>
              <w:rPr>
                <w:rFonts w:ascii="Arial" w:hAnsi="Arial"/>
                <w:b/>
                <w:bCs/>
                <w:sz w:val="16"/>
                <w:szCs w:val="16"/>
                <w:lang w:eastAsia="sl-SI"/>
              </w:rPr>
            </w:pPr>
            <w:r w:rsidRPr="00424274">
              <w:rPr>
                <w:rFonts w:ascii="Arial" w:hAnsi="Arial"/>
                <w:b/>
                <w:bCs/>
                <w:sz w:val="16"/>
                <w:szCs w:val="16"/>
                <w:lang w:eastAsia="sl-SI"/>
              </w:rPr>
              <w:t xml:space="preserve">Hranilnice </w:t>
            </w:r>
          </w:p>
        </w:tc>
        <w:tc>
          <w:tcPr>
            <w:tcW w:w="782" w:type="dxa"/>
            <w:vAlign w:val="center"/>
          </w:tcPr>
          <w:p w14:paraId="292CB3FC"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22</w:t>
            </w:r>
          </w:p>
        </w:tc>
        <w:tc>
          <w:tcPr>
            <w:tcW w:w="683" w:type="dxa"/>
            <w:vAlign w:val="center"/>
          </w:tcPr>
          <w:p w14:paraId="33019507"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28</w:t>
            </w:r>
          </w:p>
        </w:tc>
        <w:tc>
          <w:tcPr>
            <w:tcW w:w="726" w:type="dxa"/>
            <w:shd w:val="clear" w:color="auto" w:fill="auto"/>
            <w:vAlign w:val="center"/>
          </w:tcPr>
          <w:p w14:paraId="5EBEF626"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75</w:t>
            </w:r>
          </w:p>
        </w:tc>
        <w:tc>
          <w:tcPr>
            <w:tcW w:w="0" w:type="auto"/>
            <w:vAlign w:val="center"/>
          </w:tcPr>
          <w:p w14:paraId="5EF5EA04" w14:textId="77777777" w:rsidR="00EE1AC4" w:rsidRPr="00424274" w:rsidRDefault="00EE1AC4" w:rsidP="00EE1AC4">
            <w:pPr>
              <w:jc w:val="center"/>
              <w:rPr>
                <w:rFonts w:ascii="Arial" w:hAnsi="Arial"/>
                <w:b/>
                <w:bCs/>
                <w:sz w:val="16"/>
                <w:szCs w:val="16"/>
              </w:rPr>
            </w:pPr>
          </w:p>
        </w:tc>
        <w:tc>
          <w:tcPr>
            <w:tcW w:w="0" w:type="auto"/>
            <w:vAlign w:val="center"/>
          </w:tcPr>
          <w:p w14:paraId="1B1F8FF8"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84</w:t>
            </w:r>
          </w:p>
        </w:tc>
        <w:tc>
          <w:tcPr>
            <w:tcW w:w="0" w:type="auto"/>
            <w:vAlign w:val="center"/>
          </w:tcPr>
          <w:p w14:paraId="24E2E1E1"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c>
          <w:tcPr>
            <w:tcW w:w="870" w:type="dxa"/>
            <w:tcBorders>
              <w:top w:val="nil"/>
              <w:left w:val="single" w:sz="8" w:space="0" w:color="auto"/>
              <w:bottom w:val="single" w:sz="8" w:space="0" w:color="000000"/>
              <w:right w:val="single" w:sz="8" w:space="0" w:color="auto"/>
            </w:tcBorders>
            <w:shd w:val="clear" w:color="auto" w:fill="auto"/>
            <w:vAlign w:val="center"/>
          </w:tcPr>
          <w:p w14:paraId="2F0044D7"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87</w:t>
            </w:r>
          </w:p>
        </w:tc>
        <w:tc>
          <w:tcPr>
            <w:tcW w:w="708" w:type="dxa"/>
            <w:tcBorders>
              <w:top w:val="nil"/>
              <w:left w:val="nil"/>
              <w:bottom w:val="single" w:sz="8" w:space="0" w:color="000000"/>
              <w:right w:val="single" w:sz="8" w:space="0" w:color="auto"/>
            </w:tcBorders>
            <w:shd w:val="clear" w:color="auto" w:fill="auto"/>
            <w:vAlign w:val="center"/>
          </w:tcPr>
          <w:p w14:paraId="385DA640"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1</w:t>
            </w:r>
          </w:p>
        </w:tc>
      </w:tr>
      <w:tr w:rsidR="00EE1AC4" w:rsidRPr="00424274" w14:paraId="0B3FD3AB" w14:textId="77777777" w:rsidTr="00C67A40">
        <w:trPr>
          <w:trHeight w:val="255"/>
        </w:trPr>
        <w:tc>
          <w:tcPr>
            <w:tcW w:w="3756" w:type="dxa"/>
            <w:shd w:val="clear" w:color="auto" w:fill="99FF33"/>
            <w:noWrap/>
            <w:vAlign w:val="center"/>
            <w:hideMark/>
          </w:tcPr>
          <w:p w14:paraId="05CDAA23" w14:textId="77777777" w:rsidR="00EE1AC4" w:rsidRPr="00424274" w:rsidRDefault="00EE1AC4" w:rsidP="00EE1AC4">
            <w:pPr>
              <w:widowControl/>
              <w:jc w:val="left"/>
              <w:rPr>
                <w:rFonts w:ascii="Arial" w:hAnsi="Arial"/>
                <w:b/>
                <w:bCs/>
                <w:sz w:val="16"/>
                <w:szCs w:val="16"/>
                <w:lang w:eastAsia="sl-SI"/>
              </w:rPr>
            </w:pPr>
            <w:r w:rsidRPr="00424274">
              <w:rPr>
                <w:rFonts w:ascii="Arial" w:hAnsi="Arial"/>
                <w:b/>
                <w:bCs/>
                <w:sz w:val="16"/>
                <w:szCs w:val="16"/>
                <w:lang w:eastAsia="sl-SI"/>
              </w:rPr>
              <w:t>Pošta</w:t>
            </w:r>
          </w:p>
        </w:tc>
        <w:tc>
          <w:tcPr>
            <w:tcW w:w="782" w:type="dxa"/>
            <w:vAlign w:val="center"/>
          </w:tcPr>
          <w:p w14:paraId="3E04A3B5"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2</w:t>
            </w:r>
          </w:p>
        </w:tc>
        <w:tc>
          <w:tcPr>
            <w:tcW w:w="683" w:type="dxa"/>
            <w:vAlign w:val="center"/>
          </w:tcPr>
          <w:p w14:paraId="530929EC"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10</w:t>
            </w:r>
          </w:p>
        </w:tc>
        <w:tc>
          <w:tcPr>
            <w:tcW w:w="726" w:type="dxa"/>
            <w:shd w:val="clear" w:color="auto" w:fill="auto"/>
            <w:vAlign w:val="center"/>
          </w:tcPr>
          <w:p w14:paraId="219A3467"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15</w:t>
            </w:r>
          </w:p>
        </w:tc>
        <w:tc>
          <w:tcPr>
            <w:tcW w:w="0" w:type="auto"/>
            <w:vAlign w:val="center"/>
          </w:tcPr>
          <w:p w14:paraId="33D91BF3" w14:textId="77777777" w:rsidR="00EE1AC4" w:rsidRPr="00424274" w:rsidRDefault="00EE1AC4" w:rsidP="00EE1AC4">
            <w:pPr>
              <w:jc w:val="center"/>
              <w:rPr>
                <w:rFonts w:ascii="Arial" w:hAnsi="Arial"/>
                <w:b/>
                <w:bCs/>
                <w:sz w:val="16"/>
                <w:szCs w:val="16"/>
              </w:rPr>
            </w:pPr>
          </w:p>
        </w:tc>
        <w:tc>
          <w:tcPr>
            <w:tcW w:w="0" w:type="auto"/>
            <w:vAlign w:val="center"/>
          </w:tcPr>
          <w:p w14:paraId="2B120C86"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7</w:t>
            </w:r>
          </w:p>
        </w:tc>
        <w:tc>
          <w:tcPr>
            <w:tcW w:w="0" w:type="auto"/>
            <w:vAlign w:val="center"/>
          </w:tcPr>
          <w:p w14:paraId="6E7742F3"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c>
          <w:tcPr>
            <w:tcW w:w="870" w:type="dxa"/>
            <w:tcBorders>
              <w:top w:val="nil"/>
              <w:left w:val="single" w:sz="8" w:space="0" w:color="auto"/>
              <w:bottom w:val="single" w:sz="8" w:space="0" w:color="000000"/>
              <w:right w:val="single" w:sz="8" w:space="0" w:color="auto"/>
            </w:tcBorders>
            <w:shd w:val="clear" w:color="auto" w:fill="auto"/>
            <w:vAlign w:val="center"/>
          </w:tcPr>
          <w:p w14:paraId="70504F0C"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17</w:t>
            </w:r>
          </w:p>
        </w:tc>
        <w:tc>
          <w:tcPr>
            <w:tcW w:w="708" w:type="dxa"/>
            <w:tcBorders>
              <w:top w:val="nil"/>
              <w:left w:val="nil"/>
              <w:bottom w:val="single" w:sz="8" w:space="0" w:color="000000"/>
              <w:right w:val="single" w:sz="8" w:space="0" w:color="auto"/>
            </w:tcBorders>
            <w:shd w:val="clear" w:color="auto" w:fill="auto"/>
            <w:vAlign w:val="center"/>
          </w:tcPr>
          <w:p w14:paraId="53F5796B"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r>
      <w:tr w:rsidR="00EE1AC4" w:rsidRPr="00424274" w14:paraId="7CCFC026" w14:textId="77777777" w:rsidTr="00C67A40">
        <w:trPr>
          <w:trHeight w:val="255"/>
        </w:trPr>
        <w:tc>
          <w:tcPr>
            <w:tcW w:w="3756" w:type="dxa"/>
            <w:shd w:val="clear" w:color="auto" w:fill="99FF33"/>
            <w:noWrap/>
            <w:vAlign w:val="center"/>
            <w:hideMark/>
          </w:tcPr>
          <w:p w14:paraId="2AA7F9C6" w14:textId="77777777" w:rsidR="00EE1AC4" w:rsidRPr="00424274" w:rsidRDefault="00EE1AC4" w:rsidP="00EE1AC4">
            <w:pPr>
              <w:widowControl/>
              <w:jc w:val="left"/>
              <w:rPr>
                <w:rFonts w:ascii="Arial" w:hAnsi="Arial"/>
                <w:b/>
                <w:bCs/>
                <w:sz w:val="16"/>
                <w:szCs w:val="16"/>
                <w:lang w:eastAsia="sl-SI"/>
              </w:rPr>
            </w:pPr>
            <w:r w:rsidRPr="00424274">
              <w:rPr>
                <w:rFonts w:ascii="Arial" w:hAnsi="Arial"/>
                <w:b/>
                <w:bCs/>
                <w:sz w:val="16"/>
                <w:szCs w:val="16"/>
                <w:lang w:eastAsia="sl-SI"/>
              </w:rPr>
              <w:t>BPH in DZU</w:t>
            </w:r>
          </w:p>
        </w:tc>
        <w:tc>
          <w:tcPr>
            <w:tcW w:w="782" w:type="dxa"/>
            <w:vAlign w:val="center"/>
          </w:tcPr>
          <w:p w14:paraId="0925F2AE"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1</w:t>
            </w:r>
          </w:p>
        </w:tc>
        <w:tc>
          <w:tcPr>
            <w:tcW w:w="683" w:type="dxa"/>
            <w:vAlign w:val="center"/>
          </w:tcPr>
          <w:p w14:paraId="0FDBB735"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3</w:t>
            </w:r>
          </w:p>
        </w:tc>
        <w:tc>
          <w:tcPr>
            <w:tcW w:w="726" w:type="dxa"/>
            <w:shd w:val="clear" w:color="auto" w:fill="auto"/>
            <w:vAlign w:val="center"/>
          </w:tcPr>
          <w:p w14:paraId="7B10365B"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2</w:t>
            </w:r>
          </w:p>
        </w:tc>
        <w:tc>
          <w:tcPr>
            <w:tcW w:w="0" w:type="auto"/>
            <w:vAlign w:val="center"/>
          </w:tcPr>
          <w:p w14:paraId="3802338D" w14:textId="77777777" w:rsidR="00EE1AC4" w:rsidRPr="00424274" w:rsidRDefault="00EE1AC4" w:rsidP="00EE1AC4">
            <w:pPr>
              <w:jc w:val="center"/>
              <w:rPr>
                <w:rFonts w:ascii="Arial" w:hAnsi="Arial"/>
                <w:b/>
                <w:bCs/>
                <w:sz w:val="16"/>
                <w:szCs w:val="16"/>
              </w:rPr>
            </w:pPr>
          </w:p>
        </w:tc>
        <w:tc>
          <w:tcPr>
            <w:tcW w:w="0" w:type="auto"/>
            <w:vAlign w:val="center"/>
          </w:tcPr>
          <w:p w14:paraId="478070AE"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10</w:t>
            </w:r>
          </w:p>
        </w:tc>
        <w:tc>
          <w:tcPr>
            <w:tcW w:w="0" w:type="auto"/>
            <w:vAlign w:val="center"/>
          </w:tcPr>
          <w:p w14:paraId="256F8F7D"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c>
          <w:tcPr>
            <w:tcW w:w="870" w:type="dxa"/>
            <w:tcBorders>
              <w:top w:val="nil"/>
              <w:left w:val="single" w:sz="8" w:space="0" w:color="auto"/>
              <w:bottom w:val="single" w:sz="8" w:space="0" w:color="000000"/>
              <w:right w:val="single" w:sz="8" w:space="0" w:color="auto"/>
            </w:tcBorders>
            <w:shd w:val="clear" w:color="auto" w:fill="auto"/>
            <w:vAlign w:val="center"/>
          </w:tcPr>
          <w:p w14:paraId="43E084CD"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4</w:t>
            </w:r>
          </w:p>
        </w:tc>
        <w:tc>
          <w:tcPr>
            <w:tcW w:w="708" w:type="dxa"/>
            <w:tcBorders>
              <w:top w:val="nil"/>
              <w:left w:val="nil"/>
              <w:bottom w:val="single" w:sz="8" w:space="0" w:color="000000"/>
              <w:right w:val="single" w:sz="8" w:space="0" w:color="auto"/>
            </w:tcBorders>
            <w:shd w:val="clear" w:color="auto" w:fill="auto"/>
            <w:vAlign w:val="center"/>
          </w:tcPr>
          <w:p w14:paraId="175396E0"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r>
      <w:tr w:rsidR="00EE1AC4" w:rsidRPr="00424274" w14:paraId="412C6E46" w14:textId="77777777" w:rsidTr="00C67A40">
        <w:trPr>
          <w:trHeight w:val="255"/>
        </w:trPr>
        <w:tc>
          <w:tcPr>
            <w:tcW w:w="3756" w:type="dxa"/>
            <w:shd w:val="clear" w:color="auto" w:fill="99FF33"/>
            <w:noWrap/>
            <w:vAlign w:val="center"/>
            <w:hideMark/>
          </w:tcPr>
          <w:p w14:paraId="490B7B86" w14:textId="253AF2E4" w:rsidR="00EE1AC4" w:rsidRPr="00424274" w:rsidRDefault="00EE1AC4" w:rsidP="00475AFD">
            <w:pPr>
              <w:widowControl/>
              <w:jc w:val="left"/>
              <w:rPr>
                <w:rFonts w:ascii="Arial" w:hAnsi="Arial"/>
                <w:b/>
                <w:bCs/>
                <w:sz w:val="16"/>
                <w:szCs w:val="16"/>
                <w:lang w:eastAsia="sl-SI"/>
              </w:rPr>
            </w:pPr>
            <w:proofErr w:type="spellStart"/>
            <w:r w:rsidRPr="00424274">
              <w:rPr>
                <w:rFonts w:ascii="Arial" w:hAnsi="Arial"/>
                <w:b/>
                <w:bCs/>
                <w:sz w:val="16"/>
                <w:szCs w:val="16"/>
                <w:lang w:eastAsia="sl-SI"/>
              </w:rPr>
              <w:t>L</w:t>
            </w:r>
            <w:r w:rsidR="00475AFD">
              <w:rPr>
                <w:rFonts w:ascii="Arial" w:hAnsi="Arial"/>
                <w:b/>
                <w:bCs/>
                <w:sz w:val="16"/>
                <w:szCs w:val="16"/>
                <w:lang w:eastAsia="sl-SI"/>
              </w:rPr>
              <w:t>izing</w:t>
            </w:r>
            <w:proofErr w:type="spellEnd"/>
          </w:p>
        </w:tc>
        <w:tc>
          <w:tcPr>
            <w:tcW w:w="782" w:type="dxa"/>
            <w:vAlign w:val="center"/>
          </w:tcPr>
          <w:p w14:paraId="588E981F" w14:textId="77777777" w:rsidR="00EE1AC4" w:rsidRPr="00424274" w:rsidRDefault="00EE1AC4" w:rsidP="00EE1AC4">
            <w:pPr>
              <w:jc w:val="center"/>
              <w:rPr>
                <w:rFonts w:ascii="Arial" w:hAnsi="Arial"/>
                <w:b/>
                <w:bCs/>
                <w:sz w:val="16"/>
                <w:szCs w:val="16"/>
              </w:rPr>
            </w:pPr>
          </w:p>
        </w:tc>
        <w:tc>
          <w:tcPr>
            <w:tcW w:w="683" w:type="dxa"/>
            <w:vAlign w:val="center"/>
          </w:tcPr>
          <w:p w14:paraId="716ED24C"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2</w:t>
            </w:r>
          </w:p>
        </w:tc>
        <w:tc>
          <w:tcPr>
            <w:tcW w:w="726" w:type="dxa"/>
            <w:shd w:val="clear" w:color="auto" w:fill="auto"/>
            <w:vAlign w:val="center"/>
          </w:tcPr>
          <w:p w14:paraId="4386A32C"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2</w:t>
            </w:r>
          </w:p>
        </w:tc>
        <w:tc>
          <w:tcPr>
            <w:tcW w:w="0" w:type="auto"/>
            <w:vAlign w:val="center"/>
          </w:tcPr>
          <w:p w14:paraId="1F2EA8AD" w14:textId="77777777" w:rsidR="00EE1AC4" w:rsidRPr="00424274" w:rsidRDefault="00EE1AC4" w:rsidP="00EE1AC4">
            <w:pPr>
              <w:jc w:val="center"/>
              <w:rPr>
                <w:rFonts w:ascii="Arial" w:hAnsi="Arial"/>
                <w:b/>
                <w:bCs/>
                <w:sz w:val="16"/>
                <w:szCs w:val="16"/>
              </w:rPr>
            </w:pPr>
          </w:p>
        </w:tc>
        <w:tc>
          <w:tcPr>
            <w:tcW w:w="0" w:type="auto"/>
            <w:vAlign w:val="center"/>
          </w:tcPr>
          <w:p w14:paraId="5C09B895"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2</w:t>
            </w:r>
          </w:p>
        </w:tc>
        <w:tc>
          <w:tcPr>
            <w:tcW w:w="0" w:type="auto"/>
            <w:vAlign w:val="center"/>
          </w:tcPr>
          <w:p w14:paraId="7BFB0DC2"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c>
          <w:tcPr>
            <w:tcW w:w="870" w:type="dxa"/>
            <w:tcBorders>
              <w:top w:val="nil"/>
              <w:left w:val="single" w:sz="8" w:space="0" w:color="auto"/>
              <w:bottom w:val="single" w:sz="8" w:space="0" w:color="000000"/>
              <w:right w:val="single" w:sz="8" w:space="0" w:color="auto"/>
            </w:tcBorders>
            <w:shd w:val="clear" w:color="auto" w:fill="auto"/>
            <w:vAlign w:val="center"/>
          </w:tcPr>
          <w:p w14:paraId="694BBF50"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1</w:t>
            </w:r>
          </w:p>
        </w:tc>
        <w:tc>
          <w:tcPr>
            <w:tcW w:w="708" w:type="dxa"/>
            <w:tcBorders>
              <w:top w:val="nil"/>
              <w:left w:val="nil"/>
              <w:bottom w:val="single" w:sz="8" w:space="0" w:color="000000"/>
              <w:right w:val="single" w:sz="8" w:space="0" w:color="auto"/>
            </w:tcBorders>
            <w:shd w:val="clear" w:color="auto" w:fill="auto"/>
            <w:vAlign w:val="center"/>
          </w:tcPr>
          <w:p w14:paraId="19F75960"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r>
      <w:tr w:rsidR="00EE1AC4" w:rsidRPr="00424274" w14:paraId="491BF004" w14:textId="77777777" w:rsidTr="00C67A40">
        <w:trPr>
          <w:trHeight w:val="255"/>
        </w:trPr>
        <w:tc>
          <w:tcPr>
            <w:tcW w:w="3756" w:type="dxa"/>
            <w:shd w:val="clear" w:color="auto" w:fill="99FF33"/>
            <w:noWrap/>
            <w:vAlign w:val="center"/>
            <w:hideMark/>
          </w:tcPr>
          <w:p w14:paraId="608F4852" w14:textId="77777777" w:rsidR="00EE1AC4" w:rsidRPr="00424274" w:rsidRDefault="00EE1AC4" w:rsidP="00EE1AC4">
            <w:pPr>
              <w:widowControl/>
              <w:jc w:val="left"/>
              <w:rPr>
                <w:rFonts w:ascii="Arial" w:hAnsi="Arial"/>
                <w:b/>
                <w:bCs/>
                <w:sz w:val="16"/>
                <w:szCs w:val="16"/>
                <w:lang w:eastAsia="sl-SI"/>
              </w:rPr>
            </w:pPr>
            <w:r w:rsidRPr="00424274">
              <w:rPr>
                <w:rFonts w:ascii="Arial" w:hAnsi="Arial"/>
                <w:b/>
                <w:bCs/>
                <w:sz w:val="16"/>
                <w:szCs w:val="16"/>
                <w:lang w:eastAsia="sl-SI"/>
              </w:rPr>
              <w:t>Revizorji in računovodje</w:t>
            </w:r>
          </w:p>
        </w:tc>
        <w:tc>
          <w:tcPr>
            <w:tcW w:w="782" w:type="dxa"/>
            <w:vAlign w:val="center"/>
          </w:tcPr>
          <w:p w14:paraId="73D66A45" w14:textId="77777777" w:rsidR="00EE1AC4" w:rsidRPr="00424274" w:rsidRDefault="00EE1AC4" w:rsidP="00EE1AC4">
            <w:pPr>
              <w:jc w:val="center"/>
              <w:rPr>
                <w:rFonts w:ascii="Arial" w:hAnsi="Arial"/>
                <w:b/>
                <w:bCs/>
                <w:sz w:val="16"/>
                <w:szCs w:val="16"/>
              </w:rPr>
            </w:pPr>
          </w:p>
        </w:tc>
        <w:tc>
          <w:tcPr>
            <w:tcW w:w="683" w:type="dxa"/>
            <w:vAlign w:val="center"/>
          </w:tcPr>
          <w:p w14:paraId="03B7DC45"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2</w:t>
            </w:r>
          </w:p>
        </w:tc>
        <w:tc>
          <w:tcPr>
            <w:tcW w:w="726" w:type="dxa"/>
            <w:shd w:val="clear" w:color="auto" w:fill="auto"/>
            <w:vAlign w:val="center"/>
          </w:tcPr>
          <w:p w14:paraId="3F89F8A4" w14:textId="77777777" w:rsidR="00EE1AC4" w:rsidRPr="00424274" w:rsidRDefault="00EE1AC4" w:rsidP="00EE1AC4">
            <w:pPr>
              <w:jc w:val="center"/>
              <w:rPr>
                <w:rFonts w:ascii="Arial" w:hAnsi="Arial"/>
                <w:b/>
                <w:bCs/>
                <w:sz w:val="16"/>
                <w:szCs w:val="16"/>
              </w:rPr>
            </w:pPr>
          </w:p>
        </w:tc>
        <w:tc>
          <w:tcPr>
            <w:tcW w:w="0" w:type="auto"/>
            <w:vAlign w:val="center"/>
          </w:tcPr>
          <w:p w14:paraId="2B14808C"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1</w:t>
            </w:r>
          </w:p>
        </w:tc>
        <w:tc>
          <w:tcPr>
            <w:tcW w:w="0" w:type="auto"/>
            <w:vAlign w:val="center"/>
          </w:tcPr>
          <w:p w14:paraId="4C9453F3"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5</w:t>
            </w:r>
          </w:p>
        </w:tc>
        <w:tc>
          <w:tcPr>
            <w:tcW w:w="0" w:type="auto"/>
            <w:vAlign w:val="center"/>
          </w:tcPr>
          <w:p w14:paraId="716569FD"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c>
          <w:tcPr>
            <w:tcW w:w="870" w:type="dxa"/>
            <w:tcBorders>
              <w:top w:val="nil"/>
              <w:left w:val="single" w:sz="8" w:space="0" w:color="auto"/>
              <w:bottom w:val="single" w:sz="8" w:space="0" w:color="000000"/>
              <w:right w:val="single" w:sz="8" w:space="0" w:color="auto"/>
            </w:tcBorders>
            <w:shd w:val="clear" w:color="auto" w:fill="auto"/>
            <w:vAlign w:val="center"/>
          </w:tcPr>
          <w:p w14:paraId="5AA01182"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c>
          <w:tcPr>
            <w:tcW w:w="708" w:type="dxa"/>
            <w:tcBorders>
              <w:top w:val="nil"/>
              <w:left w:val="nil"/>
              <w:bottom w:val="single" w:sz="8" w:space="0" w:color="000000"/>
              <w:right w:val="single" w:sz="8" w:space="0" w:color="auto"/>
            </w:tcBorders>
            <w:shd w:val="clear" w:color="auto" w:fill="auto"/>
            <w:vAlign w:val="center"/>
          </w:tcPr>
          <w:p w14:paraId="49CC9925"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r>
      <w:tr w:rsidR="00EE1AC4" w:rsidRPr="00424274" w14:paraId="7FFA6844" w14:textId="77777777" w:rsidTr="00C67A40">
        <w:trPr>
          <w:trHeight w:val="255"/>
        </w:trPr>
        <w:tc>
          <w:tcPr>
            <w:tcW w:w="3756" w:type="dxa"/>
            <w:shd w:val="clear" w:color="auto" w:fill="99FF33"/>
            <w:noWrap/>
            <w:vAlign w:val="center"/>
            <w:hideMark/>
          </w:tcPr>
          <w:p w14:paraId="4FD39F8C" w14:textId="77777777" w:rsidR="00EE1AC4" w:rsidRPr="00424274" w:rsidRDefault="00EE1AC4" w:rsidP="00EE1AC4">
            <w:pPr>
              <w:widowControl/>
              <w:jc w:val="left"/>
              <w:rPr>
                <w:rFonts w:ascii="Arial" w:hAnsi="Arial"/>
                <w:b/>
                <w:bCs/>
                <w:sz w:val="16"/>
                <w:szCs w:val="16"/>
                <w:lang w:eastAsia="sl-SI"/>
              </w:rPr>
            </w:pPr>
            <w:r w:rsidRPr="00424274">
              <w:rPr>
                <w:rFonts w:ascii="Arial" w:hAnsi="Arial"/>
                <w:b/>
                <w:bCs/>
                <w:sz w:val="16"/>
                <w:szCs w:val="16"/>
                <w:lang w:eastAsia="sl-SI"/>
              </w:rPr>
              <w:t>Igralnice</w:t>
            </w:r>
          </w:p>
        </w:tc>
        <w:tc>
          <w:tcPr>
            <w:tcW w:w="782" w:type="dxa"/>
            <w:vAlign w:val="center"/>
          </w:tcPr>
          <w:p w14:paraId="049C8C63"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2</w:t>
            </w:r>
          </w:p>
        </w:tc>
        <w:tc>
          <w:tcPr>
            <w:tcW w:w="683" w:type="dxa"/>
            <w:vAlign w:val="center"/>
          </w:tcPr>
          <w:p w14:paraId="04C2733B"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10</w:t>
            </w:r>
          </w:p>
        </w:tc>
        <w:tc>
          <w:tcPr>
            <w:tcW w:w="726" w:type="dxa"/>
            <w:shd w:val="clear" w:color="auto" w:fill="auto"/>
            <w:vAlign w:val="center"/>
          </w:tcPr>
          <w:p w14:paraId="32CB59EE"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5</w:t>
            </w:r>
          </w:p>
        </w:tc>
        <w:tc>
          <w:tcPr>
            <w:tcW w:w="0" w:type="auto"/>
            <w:vAlign w:val="center"/>
          </w:tcPr>
          <w:p w14:paraId="3E45BB7B" w14:textId="77777777" w:rsidR="00EE1AC4" w:rsidRPr="00424274" w:rsidRDefault="00EE1AC4" w:rsidP="00EE1AC4">
            <w:pPr>
              <w:jc w:val="center"/>
              <w:rPr>
                <w:rFonts w:ascii="Arial" w:hAnsi="Arial"/>
                <w:b/>
                <w:bCs/>
                <w:sz w:val="16"/>
                <w:szCs w:val="16"/>
              </w:rPr>
            </w:pPr>
          </w:p>
        </w:tc>
        <w:tc>
          <w:tcPr>
            <w:tcW w:w="0" w:type="auto"/>
            <w:vAlign w:val="center"/>
          </w:tcPr>
          <w:p w14:paraId="1436241F"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9</w:t>
            </w:r>
          </w:p>
        </w:tc>
        <w:tc>
          <w:tcPr>
            <w:tcW w:w="0" w:type="auto"/>
            <w:vAlign w:val="center"/>
          </w:tcPr>
          <w:p w14:paraId="7C1462D8"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c>
          <w:tcPr>
            <w:tcW w:w="870" w:type="dxa"/>
            <w:tcBorders>
              <w:top w:val="nil"/>
              <w:left w:val="single" w:sz="8" w:space="0" w:color="auto"/>
              <w:bottom w:val="single" w:sz="8" w:space="0" w:color="000000"/>
              <w:right w:val="single" w:sz="8" w:space="0" w:color="auto"/>
            </w:tcBorders>
            <w:shd w:val="clear" w:color="auto" w:fill="auto"/>
            <w:vAlign w:val="center"/>
          </w:tcPr>
          <w:p w14:paraId="3520F167"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1</w:t>
            </w:r>
          </w:p>
        </w:tc>
        <w:tc>
          <w:tcPr>
            <w:tcW w:w="708" w:type="dxa"/>
            <w:tcBorders>
              <w:top w:val="nil"/>
              <w:left w:val="nil"/>
              <w:bottom w:val="single" w:sz="8" w:space="0" w:color="000000"/>
              <w:right w:val="single" w:sz="8" w:space="0" w:color="auto"/>
            </w:tcBorders>
            <w:shd w:val="clear" w:color="auto" w:fill="auto"/>
            <w:vAlign w:val="center"/>
          </w:tcPr>
          <w:p w14:paraId="4BD9DCDA"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r>
      <w:tr w:rsidR="00EE1AC4" w:rsidRPr="00424274" w14:paraId="4DE46AC2" w14:textId="77777777" w:rsidTr="00C67A40">
        <w:trPr>
          <w:trHeight w:val="255"/>
        </w:trPr>
        <w:tc>
          <w:tcPr>
            <w:tcW w:w="3756" w:type="dxa"/>
            <w:shd w:val="clear" w:color="auto" w:fill="99FF33"/>
            <w:noWrap/>
            <w:vAlign w:val="center"/>
            <w:hideMark/>
          </w:tcPr>
          <w:p w14:paraId="447EE713" w14:textId="77777777" w:rsidR="00EE1AC4" w:rsidRPr="00424274" w:rsidRDefault="00EE1AC4" w:rsidP="00EE1AC4">
            <w:pPr>
              <w:widowControl/>
              <w:jc w:val="left"/>
              <w:rPr>
                <w:rFonts w:ascii="Arial" w:hAnsi="Arial"/>
                <w:b/>
                <w:bCs/>
                <w:sz w:val="16"/>
                <w:szCs w:val="16"/>
                <w:lang w:eastAsia="sl-SI"/>
              </w:rPr>
            </w:pPr>
            <w:r w:rsidRPr="00424274">
              <w:rPr>
                <w:rFonts w:ascii="Arial" w:hAnsi="Arial"/>
                <w:b/>
                <w:bCs/>
                <w:sz w:val="16"/>
                <w:szCs w:val="16"/>
                <w:lang w:eastAsia="sl-SI"/>
              </w:rPr>
              <w:t>Ostali prireditelji iger na srečo</w:t>
            </w:r>
          </w:p>
        </w:tc>
        <w:tc>
          <w:tcPr>
            <w:tcW w:w="782" w:type="dxa"/>
            <w:vAlign w:val="center"/>
          </w:tcPr>
          <w:p w14:paraId="53738CCF" w14:textId="77777777" w:rsidR="00EE1AC4" w:rsidRPr="00424274" w:rsidRDefault="00EE1AC4" w:rsidP="00EE1AC4">
            <w:pPr>
              <w:jc w:val="center"/>
              <w:rPr>
                <w:rFonts w:ascii="Arial" w:hAnsi="Arial"/>
                <w:b/>
                <w:bCs/>
                <w:sz w:val="16"/>
                <w:szCs w:val="16"/>
              </w:rPr>
            </w:pPr>
          </w:p>
        </w:tc>
        <w:tc>
          <w:tcPr>
            <w:tcW w:w="683" w:type="dxa"/>
            <w:vAlign w:val="center"/>
          </w:tcPr>
          <w:p w14:paraId="12EDB0ED"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1</w:t>
            </w:r>
          </w:p>
        </w:tc>
        <w:tc>
          <w:tcPr>
            <w:tcW w:w="726" w:type="dxa"/>
            <w:shd w:val="clear" w:color="auto" w:fill="auto"/>
            <w:vAlign w:val="center"/>
          </w:tcPr>
          <w:p w14:paraId="43A931C4" w14:textId="77777777" w:rsidR="00EE1AC4" w:rsidRPr="00424274" w:rsidRDefault="00EE1AC4" w:rsidP="00EE1AC4">
            <w:pPr>
              <w:jc w:val="center"/>
              <w:rPr>
                <w:rFonts w:ascii="Arial" w:hAnsi="Arial"/>
                <w:b/>
                <w:bCs/>
                <w:sz w:val="16"/>
                <w:szCs w:val="16"/>
              </w:rPr>
            </w:pPr>
          </w:p>
        </w:tc>
        <w:tc>
          <w:tcPr>
            <w:tcW w:w="0" w:type="auto"/>
            <w:vAlign w:val="center"/>
          </w:tcPr>
          <w:p w14:paraId="4CE6F27C" w14:textId="77777777" w:rsidR="00EE1AC4" w:rsidRPr="00424274" w:rsidRDefault="00EE1AC4" w:rsidP="00EE1AC4">
            <w:pPr>
              <w:jc w:val="center"/>
              <w:rPr>
                <w:rFonts w:ascii="Arial" w:hAnsi="Arial"/>
                <w:b/>
                <w:bCs/>
                <w:sz w:val="16"/>
                <w:szCs w:val="16"/>
              </w:rPr>
            </w:pPr>
          </w:p>
        </w:tc>
        <w:tc>
          <w:tcPr>
            <w:tcW w:w="0" w:type="auto"/>
            <w:vAlign w:val="center"/>
          </w:tcPr>
          <w:p w14:paraId="52F1676C"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1</w:t>
            </w:r>
          </w:p>
        </w:tc>
        <w:tc>
          <w:tcPr>
            <w:tcW w:w="0" w:type="auto"/>
            <w:vAlign w:val="center"/>
          </w:tcPr>
          <w:p w14:paraId="1219750D"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c>
          <w:tcPr>
            <w:tcW w:w="870" w:type="dxa"/>
            <w:tcBorders>
              <w:top w:val="nil"/>
              <w:left w:val="single" w:sz="8" w:space="0" w:color="auto"/>
              <w:bottom w:val="single" w:sz="8" w:space="0" w:color="000000"/>
              <w:right w:val="single" w:sz="8" w:space="0" w:color="auto"/>
            </w:tcBorders>
            <w:shd w:val="clear" w:color="auto" w:fill="auto"/>
            <w:vAlign w:val="center"/>
          </w:tcPr>
          <w:p w14:paraId="75AC2CE4"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1</w:t>
            </w:r>
          </w:p>
        </w:tc>
        <w:tc>
          <w:tcPr>
            <w:tcW w:w="708" w:type="dxa"/>
            <w:tcBorders>
              <w:top w:val="nil"/>
              <w:left w:val="nil"/>
              <w:bottom w:val="single" w:sz="8" w:space="0" w:color="000000"/>
              <w:right w:val="single" w:sz="8" w:space="0" w:color="auto"/>
            </w:tcBorders>
            <w:shd w:val="clear" w:color="auto" w:fill="auto"/>
            <w:vAlign w:val="center"/>
          </w:tcPr>
          <w:p w14:paraId="6943175E"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r>
      <w:tr w:rsidR="00EE1AC4" w:rsidRPr="00424274" w14:paraId="50B79E36" w14:textId="77777777" w:rsidTr="00C67A40">
        <w:trPr>
          <w:trHeight w:val="255"/>
        </w:trPr>
        <w:tc>
          <w:tcPr>
            <w:tcW w:w="3756" w:type="dxa"/>
            <w:shd w:val="clear" w:color="auto" w:fill="99FF33"/>
            <w:noWrap/>
            <w:vAlign w:val="center"/>
            <w:hideMark/>
          </w:tcPr>
          <w:p w14:paraId="4EE066BF" w14:textId="77777777" w:rsidR="00EE1AC4" w:rsidRPr="00424274" w:rsidRDefault="00EE1AC4" w:rsidP="00EE1AC4">
            <w:pPr>
              <w:widowControl/>
              <w:jc w:val="left"/>
              <w:rPr>
                <w:rFonts w:ascii="Arial" w:hAnsi="Arial"/>
                <w:b/>
                <w:bCs/>
                <w:sz w:val="16"/>
                <w:szCs w:val="16"/>
                <w:lang w:eastAsia="sl-SI"/>
              </w:rPr>
            </w:pPr>
            <w:r w:rsidRPr="00424274">
              <w:rPr>
                <w:rFonts w:ascii="Arial" w:hAnsi="Arial"/>
                <w:b/>
                <w:bCs/>
                <w:sz w:val="16"/>
                <w:szCs w:val="16"/>
                <w:lang w:eastAsia="sl-SI"/>
              </w:rPr>
              <w:t>Zlatarji</w:t>
            </w:r>
          </w:p>
        </w:tc>
        <w:tc>
          <w:tcPr>
            <w:tcW w:w="782" w:type="dxa"/>
            <w:vAlign w:val="center"/>
          </w:tcPr>
          <w:p w14:paraId="11D2982A"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2</w:t>
            </w:r>
          </w:p>
        </w:tc>
        <w:tc>
          <w:tcPr>
            <w:tcW w:w="683" w:type="dxa"/>
            <w:vAlign w:val="center"/>
          </w:tcPr>
          <w:p w14:paraId="57243083" w14:textId="77777777" w:rsidR="00EE1AC4" w:rsidRPr="00424274" w:rsidRDefault="00EE1AC4" w:rsidP="00EE1AC4">
            <w:pPr>
              <w:jc w:val="center"/>
              <w:rPr>
                <w:rFonts w:ascii="Arial" w:hAnsi="Arial"/>
                <w:b/>
                <w:bCs/>
                <w:sz w:val="16"/>
                <w:szCs w:val="16"/>
              </w:rPr>
            </w:pPr>
          </w:p>
        </w:tc>
        <w:tc>
          <w:tcPr>
            <w:tcW w:w="726" w:type="dxa"/>
            <w:shd w:val="clear" w:color="auto" w:fill="auto"/>
            <w:vAlign w:val="center"/>
          </w:tcPr>
          <w:p w14:paraId="226606B4"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3</w:t>
            </w:r>
          </w:p>
        </w:tc>
        <w:tc>
          <w:tcPr>
            <w:tcW w:w="0" w:type="auto"/>
            <w:vAlign w:val="center"/>
          </w:tcPr>
          <w:p w14:paraId="3F1BFD8F" w14:textId="77777777" w:rsidR="00EE1AC4" w:rsidRPr="00424274" w:rsidRDefault="00EE1AC4" w:rsidP="00EE1AC4">
            <w:pPr>
              <w:jc w:val="center"/>
              <w:rPr>
                <w:rFonts w:ascii="Arial" w:hAnsi="Arial"/>
                <w:b/>
                <w:bCs/>
                <w:sz w:val="16"/>
                <w:szCs w:val="16"/>
              </w:rPr>
            </w:pPr>
          </w:p>
        </w:tc>
        <w:tc>
          <w:tcPr>
            <w:tcW w:w="0" w:type="auto"/>
            <w:vAlign w:val="center"/>
          </w:tcPr>
          <w:p w14:paraId="2FDB2C72"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1</w:t>
            </w:r>
          </w:p>
        </w:tc>
        <w:tc>
          <w:tcPr>
            <w:tcW w:w="0" w:type="auto"/>
            <w:vAlign w:val="center"/>
          </w:tcPr>
          <w:p w14:paraId="0644CE8F"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c>
          <w:tcPr>
            <w:tcW w:w="870" w:type="dxa"/>
            <w:tcBorders>
              <w:top w:val="nil"/>
              <w:left w:val="single" w:sz="8" w:space="0" w:color="auto"/>
              <w:bottom w:val="single" w:sz="8" w:space="0" w:color="000000"/>
              <w:right w:val="single" w:sz="8" w:space="0" w:color="auto"/>
            </w:tcBorders>
            <w:shd w:val="clear" w:color="auto" w:fill="auto"/>
            <w:vAlign w:val="center"/>
          </w:tcPr>
          <w:p w14:paraId="18B4FFD2"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c>
          <w:tcPr>
            <w:tcW w:w="708" w:type="dxa"/>
            <w:tcBorders>
              <w:top w:val="nil"/>
              <w:left w:val="nil"/>
              <w:bottom w:val="single" w:sz="8" w:space="0" w:color="000000"/>
              <w:right w:val="single" w:sz="8" w:space="0" w:color="auto"/>
            </w:tcBorders>
            <w:shd w:val="clear" w:color="auto" w:fill="auto"/>
            <w:vAlign w:val="center"/>
          </w:tcPr>
          <w:p w14:paraId="72C6D3C8"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r>
      <w:tr w:rsidR="00EE1AC4" w:rsidRPr="00424274" w14:paraId="38C3D669" w14:textId="77777777" w:rsidTr="00C67A40">
        <w:trPr>
          <w:trHeight w:val="255"/>
        </w:trPr>
        <w:tc>
          <w:tcPr>
            <w:tcW w:w="3756" w:type="dxa"/>
            <w:shd w:val="clear" w:color="auto" w:fill="99FF33"/>
            <w:noWrap/>
            <w:vAlign w:val="center"/>
            <w:hideMark/>
          </w:tcPr>
          <w:p w14:paraId="2F3D4F84" w14:textId="77777777" w:rsidR="00EE1AC4" w:rsidRPr="00424274" w:rsidRDefault="00EE1AC4" w:rsidP="00EE1AC4">
            <w:pPr>
              <w:widowControl/>
              <w:jc w:val="left"/>
              <w:rPr>
                <w:rFonts w:ascii="Arial" w:hAnsi="Arial"/>
                <w:b/>
                <w:bCs/>
                <w:sz w:val="16"/>
                <w:szCs w:val="16"/>
                <w:lang w:eastAsia="sl-SI"/>
              </w:rPr>
            </w:pPr>
            <w:r w:rsidRPr="00424274">
              <w:rPr>
                <w:rFonts w:ascii="Arial" w:hAnsi="Arial"/>
                <w:b/>
                <w:bCs/>
                <w:sz w:val="16"/>
                <w:szCs w:val="16"/>
                <w:lang w:eastAsia="sl-SI"/>
              </w:rPr>
              <w:t>Nepremičninske agencije</w:t>
            </w:r>
          </w:p>
        </w:tc>
        <w:tc>
          <w:tcPr>
            <w:tcW w:w="782" w:type="dxa"/>
            <w:vAlign w:val="center"/>
          </w:tcPr>
          <w:p w14:paraId="5E2042E2"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1</w:t>
            </w:r>
          </w:p>
        </w:tc>
        <w:tc>
          <w:tcPr>
            <w:tcW w:w="683" w:type="dxa"/>
            <w:vAlign w:val="center"/>
          </w:tcPr>
          <w:p w14:paraId="16B2C054"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1</w:t>
            </w:r>
          </w:p>
        </w:tc>
        <w:tc>
          <w:tcPr>
            <w:tcW w:w="726" w:type="dxa"/>
            <w:shd w:val="clear" w:color="auto" w:fill="auto"/>
            <w:vAlign w:val="center"/>
          </w:tcPr>
          <w:p w14:paraId="62892364" w14:textId="77777777" w:rsidR="00EE1AC4" w:rsidRPr="00424274" w:rsidRDefault="00EE1AC4" w:rsidP="00EE1AC4">
            <w:pPr>
              <w:jc w:val="center"/>
              <w:rPr>
                <w:rFonts w:ascii="Arial" w:hAnsi="Arial"/>
                <w:b/>
                <w:bCs/>
                <w:sz w:val="16"/>
                <w:szCs w:val="16"/>
              </w:rPr>
            </w:pPr>
          </w:p>
        </w:tc>
        <w:tc>
          <w:tcPr>
            <w:tcW w:w="0" w:type="auto"/>
            <w:vAlign w:val="center"/>
          </w:tcPr>
          <w:p w14:paraId="421F9B1B" w14:textId="77777777" w:rsidR="00EE1AC4" w:rsidRPr="00424274" w:rsidRDefault="00EE1AC4" w:rsidP="00EE1AC4">
            <w:pPr>
              <w:jc w:val="center"/>
              <w:rPr>
                <w:rFonts w:ascii="Arial" w:hAnsi="Arial"/>
                <w:b/>
                <w:bCs/>
                <w:sz w:val="16"/>
                <w:szCs w:val="16"/>
              </w:rPr>
            </w:pPr>
          </w:p>
        </w:tc>
        <w:tc>
          <w:tcPr>
            <w:tcW w:w="0" w:type="auto"/>
            <w:vAlign w:val="center"/>
          </w:tcPr>
          <w:p w14:paraId="518E243D"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c>
          <w:tcPr>
            <w:tcW w:w="0" w:type="auto"/>
            <w:vAlign w:val="center"/>
          </w:tcPr>
          <w:p w14:paraId="5511124C"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c>
          <w:tcPr>
            <w:tcW w:w="870" w:type="dxa"/>
            <w:tcBorders>
              <w:top w:val="nil"/>
              <w:left w:val="single" w:sz="8" w:space="0" w:color="auto"/>
              <w:bottom w:val="single" w:sz="8" w:space="0" w:color="000000"/>
              <w:right w:val="single" w:sz="8" w:space="0" w:color="auto"/>
            </w:tcBorders>
            <w:shd w:val="clear" w:color="auto" w:fill="auto"/>
            <w:vAlign w:val="center"/>
          </w:tcPr>
          <w:p w14:paraId="0AF7DB28"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c>
          <w:tcPr>
            <w:tcW w:w="708" w:type="dxa"/>
            <w:tcBorders>
              <w:top w:val="nil"/>
              <w:left w:val="nil"/>
              <w:bottom w:val="single" w:sz="8" w:space="0" w:color="000000"/>
              <w:right w:val="single" w:sz="8" w:space="0" w:color="auto"/>
            </w:tcBorders>
            <w:shd w:val="clear" w:color="auto" w:fill="auto"/>
            <w:vAlign w:val="center"/>
          </w:tcPr>
          <w:p w14:paraId="619F566F"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r>
      <w:tr w:rsidR="00EE1AC4" w:rsidRPr="00424274" w14:paraId="3EC737DC" w14:textId="77777777" w:rsidTr="00C67A40">
        <w:trPr>
          <w:trHeight w:val="255"/>
        </w:trPr>
        <w:tc>
          <w:tcPr>
            <w:tcW w:w="3756" w:type="dxa"/>
            <w:shd w:val="clear" w:color="auto" w:fill="99FF33"/>
            <w:noWrap/>
            <w:vAlign w:val="center"/>
            <w:hideMark/>
          </w:tcPr>
          <w:p w14:paraId="4C055E2C" w14:textId="77777777" w:rsidR="00EE1AC4" w:rsidRPr="00424274" w:rsidRDefault="00EE1AC4" w:rsidP="00EE1AC4">
            <w:pPr>
              <w:widowControl/>
              <w:jc w:val="left"/>
              <w:rPr>
                <w:rFonts w:ascii="Arial" w:hAnsi="Arial"/>
                <w:b/>
                <w:bCs/>
                <w:sz w:val="16"/>
                <w:szCs w:val="16"/>
                <w:lang w:eastAsia="sl-SI"/>
              </w:rPr>
            </w:pPr>
            <w:r w:rsidRPr="00424274">
              <w:rPr>
                <w:rFonts w:ascii="Arial" w:hAnsi="Arial"/>
                <w:b/>
                <w:bCs/>
                <w:sz w:val="16"/>
                <w:szCs w:val="16"/>
                <w:lang w:eastAsia="sl-SI"/>
              </w:rPr>
              <w:t>Zavarovalnice</w:t>
            </w:r>
          </w:p>
        </w:tc>
        <w:tc>
          <w:tcPr>
            <w:tcW w:w="782" w:type="dxa"/>
            <w:vAlign w:val="center"/>
          </w:tcPr>
          <w:p w14:paraId="04FAAAA2" w14:textId="77777777" w:rsidR="00EE1AC4" w:rsidRPr="00424274" w:rsidRDefault="00EE1AC4" w:rsidP="00EE1AC4">
            <w:pPr>
              <w:jc w:val="center"/>
              <w:rPr>
                <w:rFonts w:ascii="Arial" w:hAnsi="Arial"/>
                <w:b/>
                <w:bCs/>
                <w:sz w:val="16"/>
                <w:szCs w:val="16"/>
              </w:rPr>
            </w:pPr>
          </w:p>
        </w:tc>
        <w:tc>
          <w:tcPr>
            <w:tcW w:w="683" w:type="dxa"/>
            <w:vAlign w:val="center"/>
          </w:tcPr>
          <w:p w14:paraId="1F70CADE"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1</w:t>
            </w:r>
          </w:p>
        </w:tc>
        <w:tc>
          <w:tcPr>
            <w:tcW w:w="726" w:type="dxa"/>
            <w:shd w:val="clear" w:color="auto" w:fill="auto"/>
            <w:vAlign w:val="center"/>
          </w:tcPr>
          <w:p w14:paraId="45235B19" w14:textId="77777777" w:rsidR="00EE1AC4" w:rsidRPr="00424274" w:rsidRDefault="00EE1AC4" w:rsidP="00EE1AC4">
            <w:pPr>
              <w:jc w:val="center"/>
              <w:rPr>
                <w:rFonts w:ascii="Arial" w:hAnsi="Arial"/>
                <w:b/>
                <w:bCs/>
                <w:sz w:val="16"/>
                <w:szCs w:val="16"/>
              </w:rPr>
            </w:pPr>
          </w:p>
        </w:tc>
        <w:tc>
          <w:tcPr>
            <w:tcW w:w="0" w:type="auto"/>
            <w:vAlign w:val="center"/>
          </w:tcPr>
          <w:p w14:paraId="786AAD9D" w14:textId="77777777" w:rsidR="00EE1AC4" w:rsidRPr="00424274" w:rsidRDefault="00EE1AC4" w:rsidP="00EE1AC4">
            <w:pPr>
              <w:jc w:val="center"/>
              <w:rPr>
                <w:rFonts w:ascii="Arial" w:hAnsi="Arial"/>
                <w:b/>
                <w:bCs/>
                <w:sz w:val="16"/>
                <w:szCs w:val="16"/>
              </w:rPr>
            </w:pPr>
          </w:p>
        </w:tc>
        <w:tc>
          <w:tcPr>
            <w:tcW w:w="0" w:type="auto"/>
            <w:vAlign w:val="center"/>
          </w:tcPr>
          <w:p w14:paraId="2F935094"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c>
          <w:tcPr>
            <w:tcW w:w="0" w:type="auto"/>
            <w:vAlign w:val="center"/>
          </w:tcPr>
          <w:p w14:paraId="41871103"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c>
          <w:tcPr>
            <w:tcW w:w="870" w:type="dxa"/>
            <w:tcBorders>
              <w:top w:val="nil"/>
              <w:left w:val="single" w:sz="8" w:space="0" w:color="auto"/>
              <w:bottom w:val="single" w:sz="8" w:space="0" w:color="000000"/>
              <w:right w:val="single" w:sz="8" w:space="0" w:color="auto"/>
            </w:tcBorders>
            <w:shd w:val="clear" w:color="auto" w:fill="auto"/>
            <w:vAlign w:val="center"/>
          </w:tcPr>
          <w:p w14:paraId="75A4725C"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1</w:t>
            </w:r>
          </w:p>
        </w:tc>
        <w:tc>
          <w:tcPr>
            <w:tcW w:w="708" w:type="dxa"/>
            <w:tcBorders>
              <w:top w:val="nil"/>
              <w:left w:val="nil"/>
              <w:bottom w:val="single" w:sz="8" w:space="0" w:color="000000"/>
              <w:right w:val="single" w:sz="8" w:space="0" w:color="auto"/>
            </w:tcBorders>
            <w:shd w:val="clear" w:color="auto" w:fill="auto"/>
            <w:vAlign w:val="center"/>
          </w:tcPr>
          <w:p w14:paraId="40C41E32"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r>
      <w:tr w:rsidR="00EE1AC4" w:rsidRPr="00424274" w14:paraId="006BD6AC" w14:textId="77777777" w:rsidTr="00C67A40">
        <w:trPr>
          <w:trHeight w:val="255"/>
        </w:trPr>
        <w:tc>
          <w:tcPr>
            <w:tcW w:w="3756" w:type="dxa"/>
            <w:shd w:val="clear" w:color="auto" w:fill="99FF33"/>
            <w:noWrap/>
            <w:vAlign w:val="center"/>
          </w:tcPr>
          <w:p w14:paraId="7BB6C8A3" w14:textId="77777777" w:rsidR="00EE1AC4" w:rsidRPr="00424274" w:rsidRDefault="00EE1AC4" w:rsidP="00EE1AC4">
            <w:pPr>
              <w:widowControl/>
              <w:jc w:val="left"/>
              <w:rPr>
                <w:rFonts w:ascii="Arial" w:hAnsi="Arial"/>
                <w:b/>
                <w:bCs/>
                <w:sz w:val="16"/>
                <w:szCs w:val="16"/>
                <w:lang w:eastAsia="sl-SI"/>
              </w:rPr>
            </w:pPr>
            <w:r w:rsidRPr="00424274">
              <w:rPr>
                <w:rFonts w:ascii="Arial" w:hAnsi="Arial"/>
                <w:b/>
                <w:bCs/>
                <w:sz w:val="16"/>
                <w:szCs w:val="16"/>
                <w:lang w:eastAsia="sl-SI"/>
              </w:rPr>
              <w:t>Virtualne valute</w:t>
            </w:r>
          </w:p>
        </w:tc>
        <w:tc>
          <w:tcPr>
            <w:tcW w:w="782" w:type="dxa"/>
            <w:vAlign w:val="center"/>
          </w:tcPr>
          <w:p w14:paraId="2E3C0DA0" w14:textId="77777777" w:rsidR="00EE1AC4" w:rsidRPr="00424274" w:rsidRDefault="00EE1AC4" w:rsidP="00EE1AC4">
            <w:pPr>
              <w:jc w:val="center"/>
              <w:rPr>
                <w:rFonts w:ascii="Arial" w:hAnsi="Arial"/>
                <w:b/>
                <w:bCs/>
                <w:sz w:val="16"/>
                <w:szCs w:val="16"/>
              </w:rPr>
            </w:pPr>
          </w:p>
        </w:tc>
        <w:tc>
          <w:tcPr>
            <w:tcW w:w="683" w:type="dxa"/>
            <w:vAlign w:val="center"/>
          </w:tcPr>
          <w:p w14:paraId="50E38911" w14:textId="77777777" w:rsidR="00EE1AC4" w:rsidRPr="00424274" w:rsidRDefault="00EE1AC4" w:rsidP="00EE1AC4">
            <w:pPr>
              <w:jc w:val="center"/>
              <w:rPr>
                <w:rFonts w:ascii="Arial" w:hAnsi="Arial"/>
                <w:b/>
                <w:bCs/>
                <w:sz w:val="16"/>
                <w:szCs w:val="16"/>
              </w:rPr>
            </w:pPr>
          </w:p>
        </w:tc>
        <w:tc>
          <w:tcPr>
            <w:tcW w:w="726" w:type="dxa"/>
            <w:shd w:val="clear" w:color="auto" w:fill="auto"/>
            <w:vAlign w:val="center"/>
          </w:tcPr>
          <w:p w14:paraId="440E3821"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1</w:t>
            </w:r>
          </w:p>
        </w:tc>
        <w:tc>
          <w:tcPr>
            <w:tcW w:w="0" w:type="auto"/>
            <w:vAlign w:val="center"/>
          </w:tcPr>
          <w:p w14:paraId="708C137E" w14:textId="77777777" w:rsidR="00EE1AC4" w:rsidRPr="00424274" w:rsidRDefault="00EE1AC4" w:rsidP="00EE1AC4">
            <w:pPr>
              <w:jc w:val="center"/>
              <w:rPr>
                <w:rFonts w:ascii="Arial" w:hAnsi="Arial"/>
                <w:b/>
                <w:bCs/>
                <w:sz w:val="16"/>
                <w:szCs w:val="16"/>
              </w:rPr>
            </w:pPr>
          </w:p>
        </w:tc>
        <w:tc>
          <w:tcPr>
            <w:tcW w:w="0" w:type="auto"/>
            <w:vAlign w:val="center"/>
          </w:tcPr>
          <w:p w14:paraId="48D4A9E1"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c>
          <w:tcPr>
            <w:tcW w:w="0" w:type="auto"/>
            <w:vAlign w:val="center"/>
          </w:tcPr>
          <w:p w14:paraId="2186062A"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c>
          <w:tcPr>
            <w:tcW w:w="870" w:type="dxa"/>
            <w:tcBorders>
              <w:top w:val="nil"/>
              <w:left w:val="single" w:sz="8" w:space="0" w:color="auto"/>
              <w:bottom w:val="single" w:sz="8" w:space="0" w:color="000000"/>
              <w:right w:val="single" w:sz="8" w:space="0" w:color="auto"/>
            </w:tcBorders>
            <w:shd w:val="clear" w:color="auto" w:fill="auto"/>
            <w:vAlign w:val="center"/>
          </w:tcPr>
          <w:p w14:paraId="2DA7428A" w14:textId="77777777" w:rsidR="00EE1AC4" w:rsidRPr="00424274" w:rsidRDefault="00EE1AC4" w:rsidP="00EE1AC4">
            <w:pPr>
              <w:jc w:val="center"/>
              <w:rPr>
                <w:rFonts w:ascii="Arial" w:hAnsi="Arial"/>
                <w:b/>
                <w:bCs/>
                <w:sz w:val="16"/>
                <w:szCs w:val="16"/>
              </w:rPr>
            </w:pPr>
          </w:p>
        </w:tc>
        <w:tc>
          <w:tcPr>
            <w:tcW w:w="708" w:type="dxa"/>
            <w:tcBorders>
              <w:top w:val="nil"/>
              <w:left w:val="nil"/>
              <w:bottom w:val="single" w:sz="8" w:space="0" w:color="000000"/>
              <w:right w:val="single" w:sz="8" w:space="0" w:color="auto"/>
            </w:tcBorders>
            <w:shd w:val="clear" w:color="auto" w:fill="auto"/>
            <w:vAlign w:val="center"/>
          </w:tcPr>
          <w:p w14:paraId="04B07457"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r>
      <w:tr w:rsidR="00EE1AC4" w:rsidRPr="00424274" w14:paraId="2A7E90D5" w14:textId="77777777" w:rsidTr="00C67A40">
        <w:trPr>
          <w:trHeight w:val="255"/>
        </w:trPr>
        <w:tc>
          <w:tcPr>
            <w:tcW w:w="3756" w:type="dxa"/>
            <w:shd w:val="clear" w:color="auto" w:fill="99FF33"/>
            <w:noWrap/>
            <w:vAlign w:val="center"/>
          </w:tcPr>
          <w:p w14:paraId="44172647" w14:textId="77777777" w:rsidR="00EE1AC4" w:rsidRPr="00424274" w:rsidRDefault="00EE1AC4" w:rsidP="00EE1AC4">
            <w:pPr>
              <w:widowControl/>
              <w:jc w:val="left"/>
              <w:rPr>
                <w:rFonts w:ascii="Arial" w:hAnsi="Arial"/>
                <w:b/>
                <w:bCs/>
                <w:sz w:val="16"/>
                <w:szCs w:val="16"/>
                <w:lang w:eastAsia="sl-SI"/>
              </w:rPr>
            </w:pPr>
            <w:r w:rsidRPr="00424274">
              <w:rPr>
                <w:rFonts w:ascii="Arial" w:hAnsi="Arial"/>
                <w:b/>
                <w:bCs/>
                <w:sz w:val="16"/>
                <w:szCs w:val="16"/>
                <w:lang w:eastAsia="sl-SI"/>
              </w:rPr>
              <w:t>Izvajalci plačilnega prometa</w:t>
            </w:r>
          </w:p>
        </w:tc>
        <w:tc>
          <w:tcPr>
            <w:tcW w:w="782" w:type="dxa"/>
            <w:vAlign w:val="center"/>
          </w:tcPr>
          <w:p w14:paraId="47244890" w14:textId="77777777" w:rsidR="00EE1AC4" w:rsidRPr="00424274" w:rsidRDefault="00EE1AC4" w:rsidP="00EE1AC4">
            <w:pPr>
              <w:jc w:val="center"/>
              <w:rPr>
                <w:rFonts w:ascii="Arial" w:hAnsi="Arial"/>
                <w:b/>
                <w:bCs/>
                <w:sz w:val="16"/>
                <w:szCs w:val="16"/>
              </w:rPr>
            </w:pPr>
          </w:p>
        </w:tc>
        <w:tc>
          <w:tcPr>
            <w:tcW w:w="683" w:type="dxa"/>
            <w:vAlign w:val="center"/>
          </w:tcPr>
          <w:p w14:paraId="5600884A" w14:textId="77777777" w:rsidR="00EE1AC4" w:rsidRPr="00424274" w:rsidRDefault="00EE1AC4" w:rsidP="00EE1AC4">
            <w:pPr>
              <w:jc w:val="center"/>
              <w:rPr>
                <w:rFonts w:ascii="Arial" w:hAnsi="Arial"/>
                <w:b/>
                <w:bCs/>
                <w:sz w:val="16"/>
                <w:szCs w:val="16"/>
              </w:rPr>
            </w:pPr>
          </w:p>
        </w:tc>
        <w:tc>
          <w:tcPr>
            <w:tcW w:w="726" w:type="dxa"/>
            <w:shd w:val="clear" w:color="auto" w:fill="auto"/>
            <w:vAlign w:val="center"/>
          </w:tcPr>
          <w:p w14:paraId="6D795FC3"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4</w:t>
            </w:r>
          </w:p>
        </w:tc>
        <w:tc>
          <w:tcPr>
            <w:tcW w:w="0" w:type="auto"/>
            <w:vAlign w:val="center"/>
          </w:tcPr>
          <w:p w14:paraId="645BB6B8"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6</w:t>
            </w:r>
          </w:p>
        </w:tc>
        <w:tc>
          <w:tcPr>
            <w:tcW w:w="0" w:type="auto"/>
            <w:vAlign w:val="center"/>
          </w:tcPr>
          <w:p w14:paraId="2D7DACDA"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5</w:t>
            </w:r>
          </w:p>
        </w:tc>
        <w:tc>
          <w:tcPr>
            <w:tcW w:w="0" w:type="auto"/>
            <w:vAlign w:val="center"/>
          </w:tcPr>
          <w:p w14:paraId="495CF246"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16</w:t>
            </w:r>
          </w:p>
        </w:tc>
        <w:tc>
          <w:tcPr>
            <w:tcW w:w="870" w:type="dxa"/>
            <w:tcBorders>
              <w:top w:val="nil"/>
              <w:left w:val="single" w:sz="8" w:space="0" w:color="auto"/>
              <w:bottom w:val="single" w:sz="8" w:space="0" w:color="000000"/>
              <w:right w:val="single" w:sz="8" w:space="0" w:color="auto"/>
            </w:tcBorders>
            <w:shd w:val="clear" w:color="auto" w:fill="auto"/>
            <w:vAlign w:val="center"/>
          </w:tcPr>
          <w:p w14:paraId="0DC7416C"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38</w:t>
            </w:r>
          </w:p>
        </w:tc>
        <w:tc>
          <w:tcPr>
            <w:tcW w:w="708" w:type="dxa"/>
            <w:tcBorders>
              <w:top w:val="nil"/>
              <w:left w:val="nil"/>
              <w:bottom w:val="single" w:sz="8" w:space="0" w:color="000000"/>
              <w:right w:val="single" w:sz="8" w:space="0" w:color="auto"/>
            </w:tcBorders>
            <w:shd w:val="clear" w:color="auto" w:fill="auto"/>
            <w:vAlign w:val="center"/>
          </w:tcPr>
          <w:p w14:paraId="3025857B"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45</w:t>
            </w:r>
          </w:p>
        </w:tc>
      </w:tr>
      <w:tr w:rsidR="00EE1AC4" w:rsidRPr="00424274" w14:paraId="24962016" w14:textId="77777777" w:rsidTr="00C67A40">
        <w:trPr>
          <w:trHeight w:val="255"/>
        </w:trPr>
        <w:tc>
          <w:tcPr>
            <w:tcW w:w="3756" w:type="dxa"/>
            <w:shd w:val="clear" w:color="auto" w:fill="99FF33"/>
            <w:noWrap/>
            <w:vAlign w:val="center"/>
            <w:hideMark/>
          </w:tcPr>
          <w:p w14:paraId="54870A5A" w14:textId="77777777" w:rsidR="00EE1AC4" w:rsidRPr="00424274" w:rsidRDefault="00EE1AC4" w:rsidP="00EE1AC4">
            <w:pPr>
              <w:widowControl/>
              <w:jc w:val="left"/>
              <w:rPr>
                <w:rFonts w:ascii="Arial" w:hAnsi="Arial"/>
                <w:b/>
                <w:bCs/>
                <w:sz w:val="16"/>
                <w:szCs w:val="16"/>
                <w:lang w:eastAsia="sl-SI"/>
              </w:rPr>
            </w:pPr>
            <w:r w:rsidRPr="00424274">
              <w:rPr>
                <w:rFonts w:ascii="Arial" w:hAnsi="Arial"/>
                <w:b/>
                <w:bCs/>
                <w:sz w:val="16"/>
                <w:szCs w:val="16"/>
                <w:lang w:eastAsia="sl-SI"/>
              </w:rPr>
              <w:t>Drugi zavezanci</w:t>
            </w:r>
          </w:p>
        </w:tc>
        <w:tc>
          <w:tcPr>
            <w:tcW w:w="782" w:type="dxa"/>
            <w:vAlign w:val="center"/>
          </w:tcPr>
          <w:p w14:paraId="5BA509C4" w14:textId="77777777" w:rsidR="00EE1AC4" w:rsidRPr="00424274" w:rsidRDefault="00EE1AC4" w:rsidP="00EE1AC4">
            <w:pPr>
              <w:jc w:val="center"/>
              <w:rPr>
                <w:rFonts w:ascii="Arial" w:hAnsi="Arial"/>
                <w:b/>
                <w:bCs/>
                <w:sz w:val="16"/>
                <w:szCs w:val="16"/>
              </w:rPr>
            </w:pPr>
          </w:p>
        </w:tc>
        <w:tc>
          <w:tcPr>
            <w:tcW w:w="683" w:type="dxa"/>
            <w:vAlign w:val="center"/>
          </w:tcPr>
          <w:p w14:paraId="657493B2" w14:textId="77777777" w:rsidR="00EE1AC4" w:rsidRPr="00424274" w:rsidRDefault="00EE1AC4" w:rsidP="00EE1AC4">
            <w:pPr>
              <w:jc w:val="center"/>
              <w:rPr>
                <w:rFonts w:ascii="Arial" w:hAnsi="Arial"/>
                <w:b/>
                <w:bCs/>
                <w:sz w:val="16"/>
                <w:szCs w:val="16"/>
              </w:rPr>
            </w:pPr>
          </w:p>
        </w:tc>
        <w:tc>
          <w:tcPr>
            <w:tcW w:w="726" w:type="dxa"/>
            <w:shd w:val="clear" w:color="auto" w:fill="auto"/>
            <w:vAlign w:val="center"/>
          </w:tcPr>
          <w:p w14:paraId="4452F84B"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3</w:t>
            </w:r>
          </w:p>
        </w:tc>
        <w:tc>
          <w:tcPr>
            <w:tcW w:w="0" w:type="auto"/>
            <w:vAlign w:val="center"/>
          </w:tcPr>
          <w:p w14:paraId="3E0C2CEA" w14:textId="77777777" w:rsidR="00EE1AC4" w:rsidRPr="00424274" w:rsidRDefault="00EE1AC4" w:rsidP="00EE1AC4">
            <w:pPr>
              <w:jc w:val="center"/>
              <w:rPr>
                <w:rFonts w:ascii="Arial" w:hAnsi="Arial"/>
                <w:b/>
                <w:bCs/>
                <w:sz w:val="16"/>
                <w:szCs w:val="16"/>
              </w:rPr>
            </w:pPr>
          </w:p>
        </w:tc>
        <w:tc>
          <w:tcPr>
            <w:tcW w:w="0" w:type="auto"/>
            <w:vAlign w:val="center"/>
          </w:tcPr>
          <w:p w14:paraId="7423D469"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3</w:t>
            </w:r>
          </w:p>
        </w:tc>
        <w:tc>
          <w:tcPr>
            <w:tcW w:w="0" w:type="auto"/>
            <w:vAlign w:val="center"/>
          </w:tcPr>
          <w:p w14:paraId="1D98C452"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c>
          <w:tcPr>
            <w:tcW w:w="870" w:type="dxa"/>
            <w:tcBorders>
              <w:top w:val="nil"/>
              <w:left w:val="single" w:sz="8" w:space="0" w:color="auto"/>
              <w:bottom w:val="single" w:sz="8" w:space="0" w:color="000000"/>
              <w:right w:val="single" w:sz="8" w:space="0" w:color="auto"/>
            </w:tcBorders>
            <w:shd w:val="clear" w:color="auto" w:fill="auto"/>
            <w:vAlign w:val="center"/>
          </w:tcPr>
          <w:p w14:paraId="08B04127"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4</w:t>
            </w:r>
          </w:p>
        </w:tc>
        <w:tc>
          <w:tcPr>
            <w:tcW w:w="708" w:type="dxa"/>
            <w:tcBorders>
              <w:top w:val="nil"/>
              <w:left w:val="nil"/>
              <w:bottom w:val="single" w:sz="8" w:space="0" w:color="000000"/>
              <w:right w:val="single" w:sz="8" w:space="0" w:color="auto"/>
            </w:tcBorders>
            <w:shd w:val="clear" w:color="auto" w:fill="auto"/>
            <w:vAlign w:val="center"/>
          </w:tcPr>
          <w:p w14:paraId="6CC033F5"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r>
      <w:tr w:rsidR="00EE1AC4" w:rsidRPr="00424274" w14:paraId="73CDAB64" w14:textId="77777777" w:rsidTr="00C67A40">
        <w:trPr>
          <w:trHeight w:val="255"/>
        </w:trPr>
        <w:tc>
          <w:tcPr>
            <w:tcW w:w="3756" w:type="dxa"/>
            <w:shd w:val="clear" w:color="auto" w:fill="99FF33"/>
            <w:noWrap/>
            <w:vAlign w:val="center"/>
            <w:hideMark/>
          </w:tcPr>
          <w:p w14:paraId="2E59BCFE" w14:textId="77777777" w:rsidR="00EE1AC4" w:rsidRPr="00424274" w:rsidRDefault="00EE1AC4" w:rsidP="00EE1AC4">
            <w:pPr>
              <w:widowControl/>
              <w:jc w:val="left"/>
              <w:rPr>
                <w:rFonts w:ascii="Arial" w:hAnsi="Arial"/>
                <w:b/>
                <w:bCs/>
                <w:sz w:val="16"/>
                <w:szCs w:val="16"/>
                <w:lang w:eastAsia="sl-SI"/>
              </w:rPr>
            </w:pPr>
            <w:r w:rsidRPr="00424274">
              <w:rPr>
                <w:rFonts w:ascii="Arial" w:hAnsi="Arial"/>
                <w:b/>
                <w:bCs/>
                <w:sz w:val="16"/>
                <w:szCs w:val="16"/>
                <w:lang w:eastAsia="sl-SI"/>
              </w:rPr>
              <w:t>Notarji</w:t>
            </w:r>
          </w:p>
        </w:tc>
        <w:tc>
          <w:tcPr>
            <w:tcW w:w="782" w:type="dxa"/>
            <w:vAlign w:val="center"/>
          </w:tcPr>
          <w:p w14:paraId="43B41D50"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1</w:t>
            </w:r>
          </w:p>
        </w:tc>
        <w:tc>
          <w:tcPr>
            <w:tcW w:w="683" w:type="dxa"/>
            <w:vAlign w:val="center"/>
          </w:tcPr>
          <w:p w14:paraId="6FD55303"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2</w:t>
            </w:r>
          </w:p>
        </w:tc>
        <w:tc>
          <w:tcPr>
            <w:tcW w:w="726" w:type="dxa"/>
            <w:shd w:val="clear" w:color="auto" w:fill="auto"/>
            <w:vAlign w:val="center"/>
          </w:tcPr>
          <w:p w14:paraId="65DE88D5"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2</w:t>
            </w:r>
          </w:p>
        </w:tc>
        <w:tc>
          <w:tcPr>
            <w:tcW w:w="0" w:type="auto"/>
            <w:vAlign w:val="center"/>
          </w:tcPr>
          <w:p w14:paraId="25343F34" w14:textId="77777777" w:rsidR="00EE1AC4" w:rsidRPr="00424274" w:rsidRDefault="00EE1AC4" w:rsidP="00EE1AC4">
            <w:pPr>
              <w:jc w:val="center"/>
              <w:rPr>
                <w:rFonts w:ascii="Arial" w:hAnsi="Arial"/>
                <w:b/>
                <w:bCs/>
                <w:sz w:val="16"/>
                <w:szCs w:val="16"/>
              </w:rPr>
            </w:pPr>
          </w:p>
        </w:tc>
        <w:tc>
          <w:tcPr>
            <w:tcW w:w="0" w:type="auto"/>
            <w:vAlign w:val="center"/>
          </w:tcPr>
          <w:p w14:paraId="60696FFA"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2</w:t>
            </w:r>
          </w:p>
        </w:tc>
        <w:tc>
          <w:tcPr>
            <w:tcW w:w="0" w:type="auto"/>
            <w:vAlign w:val="center"/>
          </w:tcPr>
          <w:p w14:paraId="47F9AB9A"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c>
          <w:tcPr>
            <w:tcW w:w="870" w:type="dxa"/>
            <w:tcBorders>
              <w:top w:val="nil"/>
              <w:left w:val="single" w:sz="8" w:space="0" w:color="auto"/>
              <w:bottom w:val="single" w:sz="8" w:space="0" w:color="000000"/>
              <w:right w:val="single" w:sz="8" w:space="0" w:color="auto"/>
            </w:tcBorders>
            <w:shd w:val="clear" w:color="auto" w:fill="auto"/>
            <w:vAlign w:val="center"/>
          </w:tcPr>
          <w:p w14:paraId="50390E5B"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1</w:t>
            </w:r>
          </w:p>
        </w:tc>
        <w:tc>
          <w:tcPr>
            <w:tcW w:w="708" w:type="dxa"/>
            <w:tcBorders>
              <w:top w:val="nil"/>
              <w:left w:val="nil"/>
              <w:bottom w:val="single" w:sz="8" w:space="0" w:color="000000"/>
              <w:right w:val="single" w:sz="8" w:space="0" w:color="auto"/>
            </w:tcBorders>
            <w:shd w:val="clear" w:color="auto" w:fill="auto"/>
            <w:vAlign w:val="center"/>
          </w:tcPr>
          <w:p w14:paraId="37E8A9FA"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r>
      <w:tr w:rsidR="00EE1AC4" w:rsidRPr="00424274" w14:paraId="68AC7C1B" w14:textId="77777777" w:rsidTr="00C67A40">
        <w:trPr>
          <w:trHeight w:val="255"/>
        </w:trPr>
        <w:tc>
          <w:tcPr>
            <w:tcW w:w="3756" w:type="dxa"/>
            <w:shd w:val="clear" w:color="auto" w:fill="99FF33"/>
            <w:noWrap/>
            <w:vAlign w:val="center"/>
            <w:hideMark/>
          </w:tcPr>
          <w:p w14:paraId="343517C9" w14:textId="77777777" w:rsidR="00EE1AC4" w:rsidRPr="00424274" w:rsidRDefault="00EE1AC4" w:rsidP="00EE1AC4">
            <w:pPr>
              <w:widowControl/>
              <w:jc w:val="left"/>
              <w:rPr>
                <w:rFonts w:ascii="Arial" w:hAnsi="Arial"/>
                <w:b/>
                <w:bCs/>
                <w:sz w:val="16"/>
                <w:szCs w:val="16"/>
                <w:lang w:eastAsia="sl-SI"/>
              </w:rPr>
            </w:pPr>
            <w:r w:rsidRPr="00424274">
              <w:rPr>
                <w:rFonts w:ascii="Arial" w:hAnsi="Arial"/>
                <w:b/>
                <w:bCs/>
                <w:sz w:val="16"/>
                <w:szCs w:val="16"/>
                <w:lang w:eastAsia="sl-SI"/>
              </w:rPr>
              <w:t>Odvetniki</w:t>
            </w:r>
          </w:p>
        </w:tc>
        <w:tc>
          <w:tcPr>
            <w:tcW w:w="782" w:type="dxa"/>
            <w:vAlign w:val="center"/>
          </w:tcPr>
          <w:p w14:paraId="73DE489E" w14:textId="77777777" w:rsidR="00EE1AC4" w:rsidRPr="00424274" w:rsidRDefault="00EE1AC4" w:rsidP="00EE1AC4">
            <w:pPr>
              <w:jc w:val="center"/>
              <w:rPr>
                <w:rFonts w:ascii="Arial" w:hAnsi="Arial"/>
                <w:b/>
                <w:bCs/>
                <w:sz w:val="16"/>
                <w:szCs w:val="16"/>
              </w:rPr>
            </w:pPr>
          </w:p>
        </w:tc>
        <w:tc>
          <w:tcPr>
            <w:tcW w:w="683" w:type="dxa"/>
            <w:vAlign w:val="center"/>
          </w:tcPr>
          <w:p w14:paraId="3194C3FE" w14:textId="77777777" w:rsidR="00EE1AC4" w:rsidRPr="00424274" w:rsidRDefault="00EE1AC4" w:rsidP="00EE1AC4">
            <w:pPr>
              <w:jc w:val="center"/>
              <w:rPr>
                <w:rFonts w:ascii="Arial" w:hAnsi="Arial"/>
                <w:b/>
                <w:bCs/>
                <w:sz w:val="16"/>
                <w:szCs w:val="16"/>
              </w:rPr>
            </w:pPr>
          </w:p>
        </w:tc>
        <w:tc>
          <w:tcPr>
            <w:tcW w:w="726" w:type="dxa"/>
            <w:shd w:val="clear" w:color="auto" w:fill="auto"/>
            <w:vAlign w:val="center"/>
          </w:tcPr>
          <w:p w14:paraId="332FC503" w14:textId="77777777" w:rsidR="00EE1AC4" w:rsidRPr="00424274" w:rsidRDefault="00EE1AC4" w:rsidP="00EE1AC4">
            <w:pPr>
              <w:jc w:val="center"/>
              <w:rPr>
                <w:rFonts w:ascii="Arial" w:hAnsi="Arial"/>
                <w:b/>
                <w:bCs/>
                <w:sz w:val="16"/>
                <w:szCs w:val="16"/>
              </w:rPr>
            </w:pPr>
          </w:p>
        </w:tc>
        <w:tc>
          <w:tcPr>
            <w:tcW w:w="0" w:type="auto"/>
            <w:shd w:val="clear" w:color="auto" w:fill="auto"/>
            <w:vAlign w:val="center"/>
          </w:tcPr>
          <w:p w14:paraId="4AA5C07B" w14:textId="77777777" w:rsidR="00EE1AC4" w:rsidRPr="00424274" w:rsidRDefault="00EE1AC4" w:rsidP="00EE1AC4">
            <w:pPr>
              <w:jc w:val="center"/>
              <w:rPr>
                <w:rFonts w:ascii="Arial" w:hAnsi="Arial"/>
                <w:b/>
                <w:bCs/>
                <w:sz w:val="16"/>
                <w:szCs w:val="16"/>
              </w:rPr>
            </w:pPr>
          </w:p>
        </w:tc>
        <w:tc>
          <w:tcPr>
            <w:tcW w:w="0" w:type="auto"/>
            <w:vAlign w:val="center"/>
          </w:tcPr>
          <w:p w14:paraId="53D617F5"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5</w:t>
            </w:r>
          </w:p>
        </w:tc>
        <w:tc>
          <w:tcPr>
            <w:tcW w:w="0" w:type="auto"/>
            <w:vAlign w:val="center"/>
          </w:tcPr>
          <w:p w14:paraId="5761F3B6"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c>
          <w:tcPr>
            <w:tcW w:w="870" w:type="dxa"/>
            <w:tcBorders>
              <w:top w:val="nil"/>
              <w:left w:val="single" w:sz="8" w:space="0" w:color="auto"/>
              <w:bottom w:val="single" w:sz="8" w:space="0" w:color="000000"/>
              <w:right w:val="single" w:sz="8" w:space="0" w:color="auto"/>
            </w:tcBorders>
            <w:shd w:val="clear" w:color="auto" w:fill="auto"/>
            <w:vAlign w:val="center"/>
          </w:tcPr>
          <w:p w14:paraId="63CF618F"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1</w:t>
            </w:r>
          </w:p>
        </w:tc>
        <w:tc>
          <w:tcPr>
            <w:tcW w:w="708" w:type="dxa"/>
            <w:tcBorders>
              <w:top w:val="nil"/>
              <w:left w:val="nil"/>
              <w:bottom w:val="single" w:sz="8" w:space="0" w:color="000000"/>
              <w:right w:val="single" w:sz="8" w:space="0" w:color="auto"/>
            </w:tcBorders>
            <w:shd w:val="clear" w:color="auto" w:fill="auto"/>
            <w:vAlign w:val="center"/>
          </w:tcPr>
          <w:p w14:paraId="25DE9FFD"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r>
      <w:tr w:rsidR="00EE1AC4" w:rsidRPr="00424274" w14:paraId="6575ACFD" w14:textId="77777777" w:rsidTr="00C67A40">
        <w:trPr>
          <w:trHeight w:val="255"/>
        </w:trPr>
        <w:tc>
          <w:tcPr>
            <w:tcW w:w="3756" w:type="dxa"/>
            <w:shd w:val="clear" w:color="auto" w:fill="00CCFF"/>
            <w:noWrap/>
            <w:vAlign w:val="center"/>
            <w:hideMark/>
          </w:tcPr>
          <w:p w14:paraId="3C2217C9" w14:textId="77777777" w:rsidR="00EE1AC4" w:rsidRPr="00424274" w:rsidRDefault="00EE1AC4" w:rsidP="00EE1AC4">
            <w:pPr>
              <w:widowControl/>
              <w:jc w:val="left"/>
              <w:rPr>
                <w:rFonts w:ascii="Arial" w:hAnsi="Arial"/>
                <w:b/>
                <w:bCs/>
                <w:sz w:val="16"/>
                <w:szCs w:val="16"/>
                <w:lang w:eastAsia="sl-SI"/>
              </w:rPr>
            </w:pPr>
            <w:r w:rsidRPr="00424274">
              <w:rPr>
                <w:rFonts w:ascii="Arial" w:hAnsi="Arial"/>
                <w:b/>
                <w:bCs/>
                <w:sz w:val="16"/>
                <w:szCs w:val="16"/>
                <w:lang w:eastAsia="sl-SI"/>
              </w:rPr>
              <w:t>3. POBUDE DRŽAVNIH ORGANOV</w:t>
            </w:r>
          </w:p>
        </w:tc>
        <w:tc>
          <w:tcPr>
            <w:tcW w:w="782" w:type="dxa"/>
            <w:shd w:val="clear" w:color="auto" w:fill="00CCFF"/>
            <w:vAlign w:val="center"/>
          </w:tcPr>
          <w:p w14:paraId="02F75D27"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32</w:t>
            </w:r>
          </w:p>
        </w:tc>
        <w:tc>
          <w:tcPr>
            <w:tcW w:w="683" w:type="dxa"/>
            <w:shd w:val="clear" w:color="auto" w:fill="00CCFF"/>
            <w:vAlign w:val="center"/>
          </w:tcPr>
          <w:p w14:paraId="66BD608E"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38</w:t>
            </w:r>
          </w:p>
        </w:tc>
        <w:tc>
          <w:tcPr>
            <w:tcW w:w="726" w:type="dxa"/>
            <w:shd w:val="clear" w:color="auto" w:fill="00CCFF"/>
            <w:vAlign w:val="center"/>
          </w:tcPr>
          <w:p w14:paraId="0A2E1B0E"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49</w:t>
            </w:r>
          </w:p>
        </w:tc>
        <w:tc>
          <w:tcPr>
            <w:tcW w:w="0" w:type="auto"/>
            <w:shd w:val="clear" w:color="auto" w:fill="00CCFF"/>
            <w:vAlign w:val="center"/>
          </w:tcPr>
          <w:p w14:paraId="25D0AF0C"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2</w:t>
            </w:r>
          </w:p>
        </w:tc>
        <w:tc>
          <w:tcPr>
            <w:tcW w:w="0" w:type="auto"/>
            <w:shd w:val="clear" w:color="auto" w:fill="00CCFF"/>
            <w:vAlign w:val="center"/>
          </w:tcPr>
          <w:p w14:paraId="51D8135C"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81</w:t>
            </w:r>
          </w:p>
        </w:tc>
        <w:tc>
          <w:tcPr>
            <w:tcW w:w="0" w:type="auto"/>
            <w:shd w:val="clear" w:color="auto" w:fill="00CCFF"/>
            <w:vAlign w:val="center"/>
          </w:tcPr>
          <w:p w14:paraId="696B8C82"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5</w:t>
            </w:r>
          </w:p>
        </w:tc>
        <w:tc>
          <w:tcPr>
            <w:tcW w:w="870" w:type="dxa"/>
            <w:tcBorders>
              <w:top w:val="nil"/>
              <w:left w:val="single" w:sz="8" w:space="0" w:color="auto"/>
              <w:bottom w:val="single" w:sz="8" w:space="0" w:color="000000"/>
              <w:right w:val="single" w:sz="8" w:space="0" w:color="auto"/>
            </w:tcBorders>
            <w:shd w:val="clear" w:color="auto" w:fill="33CCFF"/>
            <w:vAlign w:val="center"/>
          </w:tcPr>
          <w:p w14:paraId="5DFA3A21"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115</w:t>
            </w:r>
          </w:p>
        </w:tc>
        <w:tc>
          <w:tcPr>
            <w:tcW w:w="708" w:type="dxa"/>
            <w:tcBorders>
              <w:top w:val="nil"/>
              <w:left w:val="nil"/>
              <w:bottom w:val="single" w:sz="8" w:space="0" w:color="000000"/>
              <w:right w:val="single" w:sz="8" w:space="0" w:color="auto"/>
            </w:tcBorders>
            <w:shd w:val="clear" w:color="auto" w:fill="33CCFF"/>
            <w:vAlign w:val="center"/>
          </w:tcPr>
          <w:p w14:paraId="6394FB33"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1</w:t>
            </w:r>
          </w:p>
        </w:tc>
      </w:tr>
      <w:tr w:rsidR="00EE1AC4" w:rsidRPr="00424274" w14:paraId="0428B273" w14:textId="77777777" w:rsidTr="00C67A40">
        <w:trPr>
          <w:trHeight w:val="255"/>
        </w:trPr>
        <w:tc>
          <w:tcPr>
            <w:tcW w:w="3756" w:type="dxa"/>
            <w:shd w:val="clear" w:color="auto" w:fill="00CCFF"/>
            <w:noWrap/>
            <w:vAlign w:val="center"/>
            <w:hideMark/>
          </w:tcPr>
          <w:p w14:paraId="6E7A6177" w14:textId="77777777" w:rsidR="00EE1AC4" w:rsidRPr="00424274" w:rsidRDefault="00EE1AC4" w:rsidP="00EE1AC4">
            <w:pPr>
              <w:widowControl/>
              <w:jc w:val="left"/>
              <w:rPr>
                <w:rFonts w:ascii="Arial" w:hAnsi="Arial"/>
                <w:b/>
                <w:bCs/>
                <w:sz w:val="16"/>
                <w:szCs w:val="16"/>
                <w:lang w:eastAsia="sl-SI"/>
              </w:rPr>
            </w:pPr>
            <w:r w:rsidRPr="00424274">
              <w:rPr>
                <w:rFonts w:ascii="Arial" w:hAnsi="Arial"/>
                <w:b/>
                <w:bCs/>
                <w:sz w:val="16"/>
                <w:szCs w:val="16"/>
                <w:lang w:eastAsia="sl-SI"/>
              </w:rPr>
              <w:t> </w:t>
            </w:r>
          </w:p>
        </w:tc>
        <w:tc>
          <w:tcPr>
            <w:tcW w:w="782" w:type="dxa"/>
            <w:shd w:val="clear" w:color="auto" w:fill="00CCFF"/>
            <w:vAlign w:val="center"/>
          </w:tcPr>
          <w:p w14:paraId="67FA0039" w14:textId="57D9DF98" w:rsidR="00EE1AC4" w:rsidRPr="00424274" w:rsidRDefault="00EE1AC4" w:rsidP="00EE1AC4">
            <w:pPr>
              <w:jc w:val="center"/>
              <w:rPr>
                <w:rFonts w:ascii="Arial" w:hAnsi="Arial"/>
                <w:b/>
                <w:bCs/>
                <w:sz w:val="16"/>
                <w:szCs w:val="16"/>
              </w:rPr>
            </w:pPr>
            <w:r w:rsidRPr="00424274">
              <w:rPr>
                <w:rFonts w:ascii="Arial" w:hAnsi="Arial"/>
                <w:b/>
                <w:bCs/>
                <w:sz w:val="16"/>
                <w:szCs w:val="16"/>
              </w:rPr>
              <w:t>7,12</w:t>
            </w:r>
            <w:r w:rsidR="00475AFD">
              <w:rPr>
                <w:rFonts w:ascii="Arial" w:hAnsi="Arial"/>
                <w:b/>
                <w:bCs/>
                <w:sz w:val="16"/>
                <w:szCs w:val="16"/>
              </w:rPr>
              <w:t> </w:t>
            </w:r>
            <w:r w:rsidRPr="00424274">
              <w:rPr>
                <w:rFonts w:ascii="Arial" w:hAnsi="Arial"/>
                <w:b/>
                <w:bCs/>
                <w:sz w:val="16"/>
                <w:szCs w:val="16"/>
              </w:rPr>
              <w:t>%</w:t>
            </w:r>
          </w:p>
        </w:tc>
        <w:tc>
          <w:tcPr>
            <w:tcW w:w="683" w:type="dxa"/>
            <w:shd w:val="clear" w:color="auto" w:fill="00CCFF"/>
            <w:vAlign w:val="center"/>
          </w:tcPr>
          <w:p w14:paraId="7CE77D6B" w14:textId="3C207A9B" w:rsidR="00EE1AC4" w:rsidRPr="00424274" w:rsidRDefault="00EE1AC4" w:rsidP="00EE1AC4">
            <w:pPr>
              <w:jc w:val="center"/>
              <w:rPr>
                <w:rFonts w:ascii="Arial" w:hAnsi="Arial"/>
                <w:b/>
                <w:bCs/>
                <w:sz w:val="16"/>
                <w:szCs w:val="16"/>
              </w:rPr>
            </w:pPr>
            <w:r w:rsidRPr="00424274">
              <w:rPr>
                <w:rFonts w:ascii="Arial" w:hAnsi="Arial"/>
                <w:b/>
                <w:bCs/>
                <w:sz w:val="16"/>
                <w:szCs w:val="16"/>
              </w:rPr>
              <w:t>6,81</w:t>
            </w:r>
            <w:r w:rsidR="00475AFD">
              <w:rPr>
                <w:rFonts w:ascii="Arial" w:hAnsi="Arial"/>
                <w:b/>
                <w:bCs/>
                <w:sz w:val="16"/>
                <w:szCs w:val="16"/>
              </w:rPr>
              <w:t> </w:t>
            </w:r>
            <w:r w:rsidRPr="00424274">
              <w:rPr>
                <w:rFonts w:ascii="Arial" w:hAnsi="Arial"/>
                <w:b/>
                <w:bCs/>
                <w:sz w:val="16"/>
                <w:szCs w:val="16"/>
              </w:rPr>
              <w:t>%</w:t>
            </w:r>
          </w:p>
        </w:tc>
        <w:tc>
          <w:tcPr>
            <w:tcW w:w="726" w:type="dxa"/>
            <w:shd w:val="clear" w:color="auto" w:fill="00CCFF"/>
            <w:vAlign w:val="center"/>
          </w:tcPr>
          <w:p w14:paraId="57C37598" w14:textId="2FEA5F04" w:rsidR="00EE1AC4" w:rsidRPr="00424274" w:rsidRDefault="00EE1AC4" w:rsidP="00EE1AC4">
            <w:pPr>
              <w:jc w:val="center"/>
              <w:rPr>
                <w:rFonts w:ascii="Arial" w:hAnsi="Arial"/>
                <w:b/>
                <w:bCs/>
                <w:sz w:val="16"/>
                <w:szCs w:val="16"/>
              </w:rPr>
            </w:pPr>
            <w:r w:rsidRPr="00424274">
              <w:rPr>
                <w:rFonts w:ascii="Arial" w:hAnsi="Arial"/>
                <w:b/>
                <w:bCs/>
                <w:sz w:val="16"/>
                <w:szCs w:val="16"/>
              </w:rPr>
              <w:t>6,46</w:t>
            </w:r>
            <w:r w:rsidR="00475AFD">
              <w:rPr>
                <w:rFonts w:ascii="Arial" w:hAnsi="Arial"/>
                <w:b/>
                <w:bCs/>
                <w:sz w:val="16"/>
                <w:szCs w:val="16"/>
              </w:rPr>
              <w:t> </w:t>
            </w:r>
            <w:r w:rsidRPr="00424274">
              <w:rPr>
                <w:rFonts w:ascii="Arial" w:hAnsi="Arial"/>
                <w:b/>
                <w:bCs/>
                <w:sz w:val="16"/>
                <w:szCs w:val="16"/>
              </w:rPr>
              <w:t>%</w:t>
            </w:r>
          </w:p>
        </w:tc>
        <w:tc>
          <w:tcPr>
            <w:tcW w:w="0" w:type="auto"/>
            <w:shd w:val="clear" w:color="auto" w:fill="00CCFF"/>
            <w:vAlign w:val="center"/>
          </w:tcPr>
          <w:p w14:paraId="00832EA6" w14:textId="774F038A" w:rsidR="00EE1AC4" w:rsidRPr="00424274" w:rsidRDefault="00EE1AC4" w:rsidP="00EE1AC4">
            <w:pPr>
              <w:jc w:val="center"/>
              <w:rPr>
                <w:rFonts w:ascii="Arial" w:hAnsi="Arial"/>
                <w:b/>
                <w:bCs/>
                <w:sz w:val="16"/>
                <w:szCs w:val="16"/>
              </w:rPr>
            </w:pPr>
            <w:r w:rsidRPr="00424274">
              <w:rPr>
                <w:rFonts w:ascii="Arial" w:hAnsi="Arial"/>
                <w:b/>
                <w:bCs/>
                <w:sz w:val="16"/>
                <w:szCs w:val="16"/>
              </w:rPr>
              <w:t>6,90</w:t>
            </w:r>
            <w:r w:rsidR="00475AFD">
              <w:rPr>
                <w:rFonts w:ascii="Arial" w:hAnsi="Arial"/>
                <w:b/>
                <w:bCs/>
                <w:sz w:val="16"/>
                <w:szCs w:val="16"/>
              </w:rPr>
              <w:t> </w:t>
            </w:r>
            <w:r w:rsidRPr="00424274">
              <w:rPr>
                <w:rFonts w:ascii="Arial" w:hAnsi="Arial"/>
                <w:b/>
                <w:bCs/>
                <w:sz w:val="16"/>
                <w:szCs w:val="16"/>
              </w:rPr>
              <w:t>%</w:t>
            </w:r>
          </w:p>
        </w:tc>
        <w:tc>
          <w:tcPr>
            <w:tcW w:w="0" w:type="auto"/>
            <w:shd w:val="clear" w:color="auto" w:fill="00CCFF"/>
            <w:vAlign w:val="center"/>
          </w:tcPr>
          <w:p w14:paraId="43A15565" w14:textId="0E876DF2" w:rsidR="00EE1AC4" w:rsidRPr="00424274" w:rsidRDefault="00EE1AC4" w:rsidP="00EE1AC4">
            <w:pPr>
              <w:jc w:val="center"/>
              <w:rPr>
                <w:rFonts w:ascii="Arial" w:hAnsi="Arial"/>
                <w:b/>
                <w:bCs/>
                <w:sz w:val="16"/>
                <w:szCs w:val="16"/>
              </w:rPr>
            </w:pPr>
            <w:r w:rsidRPr="00424274">
              <w:rPr>
                <w:rFonts w:ascii="Arial" w:hAnsi="Arial"/>
                <w:b/>
                <w:bCs/>
                <w:sz w:val="16"/>
                <w:szCs w:val="16"/>
              </w:rPr>
              <w:t>7,80</w:t>
            </w:r>
            <w:r w:rsidR="00475AFD">
              <w:rPr>
                <w:rFonts w:ascii="Arial" w:hAnsi="Arial"/>
                <w:b/>
                <w:bCs/>
                <w:sz w:val="16"/>
                <w:szCs w:val="16"/>
              </w:rPr>
              <w:t> </w:t>
            </w:r>
            <w:r w:rsidRPr="00424274">
              <w:rPr>
                <w:rFonts w:ascii="Arial" w:hAnsi="Arial"/>
                <w:b/>
                <w:bCs/>
                <w:sz w:val="16"/>
                <w:szCs w:val="16"/>
              </w:rPr>
              <w:t>%</w:t>
            </w:r>
          </w:p>
        </w:tc>
        <w:tc>
          <w:tcPr>
            <w:tcW w:w="0" w:type="auto"/>
            <w:shd w:val="clear" w:color="auto" w:fill="00CCFF"/>
            <w:vAlign w:val="center"/>
          </w:tcPr>
          <w:p w14:paraId="1F55DB49" w14:textId="7A8855E4" w:rsidR="00EE1AC4" w:rsidRPr="00424274" w:rsidRDefault="00EE1AC4" w:rsidP="00EE1AC4">
            <w:pPr>
              <w:jc w:val="center"/>
              <w:rPr>
                <w:rFonts w:ascii="Arial" w:hAnsi="Arial"/>
                <w:b/>
                <w:bCs/>
                <w:sz w:val="16"/>
                <w:szCs w:val="16"/>
              </w:rPr>
            </w:pPr>
            <w:r w:rsidRPr="00424274">
              <w:rPr>
                <w:rFonts w:ascii="Arial" w:hAnsi="Arial"/>
                <w:b/>
                <w:bCs/>
                <w:sz w:val="16"/>
                <w:szCs w:val="16"/>
              </w:rPr>
              <w:t>16,13</w:t>
            </w:r>
            <w:r w:rsidR="00475AFD">
              <w:rPr>
                <w:rFonts w:ascii="Arial" w:hAnsi="Arial"/>
                <w:b/>
                <w:bCs/>
                <w:sz w:val="16"/>
                <w:szCs w:val="16"/>
              </w:rPr>
              <w:t> </w:t>
            </w:r>
            <w:r w:rsidRPr="00424274">
              <w:rPr>
                <w:rFonts w:ascii="Arial" w:hAnsi="Arial"/>
                <w:b/>
                <w:bCs/>
                <w:sz w:val="16"/>
                <w:szCs w:val="16"/>
              </w:rPr>
              <w:t>%</w:t>
            </w:r>
          </w:p>
        </w:tc>
        <w:tc>
          <w:tcPr>
            <w:tcW w:w="870" w:type="dxa"/>
            <w:tcBorders>
              <w:top w:val="nil"/>
              <w:left w:val="single" w:sz="8" w:space="0" w:color="auto"/>
              <w:bottom w:val="single" w:sz="8" w:space="0" w:color="000000"/>
              <w:right w:val="single" w:sz="8" w:space="0" w:color="auto"/>
            </w:tcBorders>
            <w:shd w:val="clear" w:color="auto" w:fill="33CCFF"/>
            <w:vAlign w:val="center"/>
          </w:tcPr>
          <w:p w14:paraId="3BCA4B6C" w14:textId="763BA886" w:rsidR="00EE1AC4" w:rsidRPr="00424274" w:rsidRDefault="00EE1AC4" w:rsidP="00EE1AC4">
            <w:pPr>
              <w:jc w:val="center"/>
              <w:rPr>
                <w:rFonts w:ascii="Arial" w:hAnsi="Arial"/>
                <w:b/>
                <w:bCs/>
                <w:sz w:val="16"/>
                <w:szCs w:val="16"/>
              </w:rPr>
            </w:pPr>
            <w:r w:rsidRPr="00424274">
              <w:rPr>
                <w:rFonts w:ascii="Arial" w:hAnsi="Arial"/>
                <w:b/>
                <w:bCs/>
                <w:sz w:val="16"/>
                <w:szCs w:val="16"/>
              </w:rPr>
              <w:t>10,61</w:t>
            </w:r>
            <w:r w:rsidR="00475AFD">
              <w:rPr>
                <w:rFonts w:ascii="Arial" w:hAnsi="Arial"/>
                <w:b/>
                <w:bCs/>
                <w:sz w:val="16"/>
                <w:szCs w:val="16"/>
              </w:rPr>
              <w:t> </w:t>
            </w:r>
            <w:r w:rsidRPr="00424274">
              <w:rPr>
                <w:rFonts w:ascii="Arial" w:hAnsi="Arial"/>
                <w:b/>
                <w:bCs/>
                <w:sz w:val="16"/>
                <w:szCs w:val="16"/>
              </w:rPr>
              <w:t>%</w:t>
            </w:r>
          </w:p>
        </w:tc>
        <w:tc>
          <w:tcPr>
            <w:tcW w:w="708" w:type="dxa"/>
            <w:tcBorders>
              <w:top w:val="nil"/>
              <w:left w:val="nil"/>
              <w:bottom w:val="single" w:sz="8" w:space="0" w:color="000000"/>
              <w:right w:val="single" w:sz="8" w:space="0" w:color="auto"/>
            </w:tcBorders>
            <w:shd w:val="clear" w:color="auto" w:fill="33CCFF"/>
            <w:vAlign w:val="center"/>
          </w:tcPr>
          <w:p w14:paraId="5ABC4826" w14:textId="57F6CDE9" w:rsidR="00EE1AC4" w:rsidRPr="00424274" w:rsidRDefault="00EE1AC4" w:rsidP="00475AFD">
            <w:pPr>
              <w:jc w:val="center"/>
              <w:rPr>
                <w:rFonts w:ascii="Arial" w:hAnsi="Arial"/>
                <w:b/>
                <w:bCs/>
                <w:sz w:val="16"/>
                <w:szCs w:val="16"/>
              </w:rPr>
            </w:pPr>
            <w:r w:rsidRPr="00424274">
              <w:rPr>
                <w:rFonts w:ascii="Arial" w:hAnsi="Arial"/>
                <w:b/>
                <w:bCs/>
                <w:sz w:val="16"/>
                <w:szCs w:val="16"/>
              </w:rPr>
              <w:t>1,89</w:t>
            </w:r>
            <w:r w:rsidR="00475AFD">
              <w:rPr>
                <w:rFonts w:ascii="Arial" w:hAnsi="Arial"/>
                <w:b/>
                <w:bCs/>
                <w:sz w:val="16"/>
                <w:szCs w:val="16"/>
              </w:rPr>
              <w:t> </w:t>
            </w:r>
            <w:r w:rsidRPr="00424274">
              <w:rPr>
                <w:rFonts w:ascii="Arial" w:hAnsi="Arial"/>
                <w:b/>
                <w:bCs/>
                <w:sz w:val="16"/>
                <w:szCs w:val="16"/>
              </w:rPr>
              <w:t>%</w:t>
            </w:r>
          </w:p>
        </w:tc>
      </w:tr>
      <w:tr w:rsidR="00EE1AC4" w:rsidRPr="00424274" w14:paraId="303F44B1" w14:textId="77777777" w:rsidTr="00C67A40">
        <w:trPr>
          <w:trHeight w:val="255"/>
        </w:trPr>
        <w:tc>
          <w:tcPr>
            <w:tcW w:w="3756" w:type="dxa"/>
            <w:shd w:val="clear" w:color="auto" w:fill="99FF33"/>
            <w:noWrap/>
            <w:vAlign w:val="center"/>
            <w:hideMark/>
          </w:tcPr>
          <w:p w14:paraId="285294AF" w14:textId="77777777" w:rsidR="00EE1AC4" w:rsidRPr="00424274" w:rsidRDefault="00EE1AC4" w:rsidP="00EE1AC4">
            <w:pPr>
              <w:widowControl/>
              <w:jc w:val="left"/>
              <w:rPr>
                <w:rFonts w:ascii="Arial" w:hAnsi="Arial"/>
                <w:b/>
                <w:bCs/>
                <w:sz w:val="16"/>
                <w:szCs w:val="16"/>
                <w:lang w:eastAsia="sl-SI"/>
              </w:rPr>
            </w:pPr>
            <w:r w:rsidRPr="00424274">
              <w:rPr>
                <w:rFonts w:ascii="Arial" w:hAnsi="Arial"/>
                <w:b/>
                <w:bCs/>
                <w:sz w:val="16"/>
                <w:szCs w:val="16"/>
                <w:lang w:eastAsia="sl-SI"/>
              </w:rPr>
              <w:t>Ministrstvo za notranje zadeve, UKP</w:t>
            </w:r>
          </w:p>
        </w:tc>
        <w:tc>
          <w:tcPr>
            <w:tcW w:w="782" w:type="dxa"/>
            <w:vAlign w:val="center"/>
          </w:tcPr>
          <w:p w14:paraId="031ECC2E"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18</w:t>
            </w:r>
          </w:p>
        </w:tc>
        <w:tc>
          <w:tcPr>
            <w:tcW w:w="683" w:type="dxa"/>
            <w:vAlign w:val="center"/>
          </w:tcPr>
          <w:p w14:paraId="4F8BA294"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18</w:t>
            </w:r>
          </w:p>
        </w:tc>
        <w:tc>
          <w:tcPr>
            <w:tcW w:w="726" w:type="dxa"/>
            <w:shd w:val="clear" w:color="auto" w:fill="auto"/>
            <w:vAlign w:val="center"/>
          </w:tcPr>
          <w:p w14:paraId="3AE8E581"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30</w:t>
            </w:r>
          </w:p>
        </w:tc>
        <w:tc>
          <w:tcPr>
            <w:tcW w:w="0" w:type="auto"/>
            <w:vAlign w:val="center"/>
          </w:tcPr>
          <w:p w14:paraId="13B95943" w14:textId="77777777" w:rsidR="00EE1AC4" w:rsidRPr="00424274" w:rsidRDefault="00EE1AC4" w:rsidP="00EE1AC4">
            <w:pPr>
              <w:jc w:val="center"/>
              <w:rPr>
                <w:rFonts w:ascii="Arial" w:hAnsi="Arial"/>
                <w:b/>
                <w:bCs/>
                <w:sz w:val="16"/>
                <w:szCs w:val="16"/>
              </w:rPr>
            </w:pPr>
          </w:p>
        </w:tc>
        <w:tc>
          <w:tcPr>
            <w:tcW w:w="0" w:type="auto"/>
            <w:vAlign w:val="center"/>
          </w:tcPr>
          <w:p w14:paraId="48A2192F"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48</w:t>
            </w:r>
          </w:p>
        </w:tc>
        <w:tc>
          <w:tcPr>
            <w:tcW w:w="0" w:type="auto"/>
            <w:vAlign w:val="center"/>
          </w:tcPr>
          <w:p w14:paraId="0DAD029C"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c>
          <w:tcPr>
            <w:tcW w:w="870" w:type="dxa"/>
            <w:tcBorders>
              <w:top w:val="nil"/>
              <w:left w:val="single" w:sz="8" w:space="0" w:color="auto"/>
              <w:bottom w:val="single" w:sz="8" w:space="0" w:color="auto"/>
              <w:right w:val="single" w:sz="8" w:space="0" w:color="auto"/>
            </w:tcBorders>
            <w:shd w:val="clear" w:color="auto" w:fill="auto"/>
            <w:vAlign w:val="center"/>
          </w:tcPr>
          <w:p w14:paraId="4149C8AE"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70</w:t>
            </w:r>
          </w:p>
        </w:tc>
        <w:tc>
          <w:tcPr>
            <w:tcW w:w="708" w:type="dxa"/>
            <w:tcBorders>
              <w:top w:val="nil"/>
              <w:left w:val="nil"/>
              <w:bottom w:val="single" w:sz="8" w:space="0" w:color="auto"/>
              <w:right w:val="single" w:sz="8" w:space="0" w:color="auto"/>
            </w:tcBorders>
            <w:shd w:val="clear" w:color="auto" w:fill="auto"/>
            <w:vAlign w:val="center"/>
          </w:tcPr>
          <w:p w14:paraId="46A482EB"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r>
      <w:tr w:rsidR="00EE1AC4" w:rsidRPr="00424274" w14:paraId="2A9A2674" w14:textId="77777777" w:rsidTr="00C67A40">
        <w:trPr>
          <w:trHeight w:val="255"/>
        </w:trPr>
        <w:tc>
          <w:tcPr>
            <w:tcW w:w="3756" w:type="dxa"/>
            <w:shd w:val="clear" w:color="auto" w:fill="99FF33"/>
            <w:noWrap/>
            <w:vAlign w:val="center"/>
            <w:hideMark/>
          </w:tcPr>
          <w:p w14:paraId="063B138B" w14:textId="77777777" w:rsidR="00EE1AC4" w:rsidRPr="00424274" w:rsidRDefault="00EE1AC4" w:rsidP="00EE1AC4">
            <w:pPr>
              <w:widowControl/>
              <w:jc w:val="left"/>
              <w:rPr>
                <w:rFonts w:ascii="Arial" w:hAnsi="Arial"/>
                <w:b/>
                <w:bCs/>
                <w:sz w:val="16"/>
                <w:szCs w:val="16"/>
                <w:lang w:eastAsia="sl-SI"/>
              </w:rPr>
            </w:pPr>
            <w:r w:rsidRPr="00424274">
              <w:rPr>
                <w:rFonts w:ascii="Arial" w:hAnsi="Arial"/>
                <w:b/>
                <w:bCs/>
                <w:sz w:val="16"/>
                <w:szCs w:val="16"/>
                <w:lang w:eastAsia="sl-SI"/>
              </w:rPr>
              <w:t>Državno tožilstvo</w:t>
            </w:r>
          </w:p>
        </w:tc>
        <w:tc>
          <w:tcPr>
            <w:tcW w:w="782" w:type="dxa"/>
            <w:vAlign w:val="center"/>
          </w:tcPr>
          <w:p w14:paraId="23697BC9"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7</w:t>
            </w:r>
          </w:p>
        </w:tc>
        <w:tc>
          <w:tcPr>
            <w:tcW w:w="683" w:type="dxa"/>
            <w:vAlign w:val="center"/>
          </w:tcPr>
          <w:p w14:paraId="20BEA204"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13</w:t>
            </w:r>
          </w:p>
        </w:tc>
        <w:tc>
          <w:tcPr>
            <w:tcW w:w="726" w:type="dxa"/>
            <w:shd w:val="clear" w:color="auto" w:fill="auto"/>
            <w:vAlign w:val="center"/>
          </w:tcPr>
          <w:p w14:paraId="4C5A3EAE"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13</w:t>
            </w:r>
          </w:p>
        </w:tc>
        <w:tc>
          <w:tcPr>
            <w:tcW w:w="0" w:type="auto"/>
            <w:vAlign w:val="center"/>
          </w:tcPr>
          <w:p w14:paraId="3D238123" w14:textId="77777777" w:rsidR="00EE1AC4" w:rsidRPr="00424274" w:rsidRDefault="00EE1AC4" w:rsidP="00EE1AC4">
            <w:pPr>
              <w:jc w:val="center"/>
              <w:rPr>
                <w:rFonts w:ascii="Arial" w:hAnsi="Arial"/>
                <w:b/>
                <w:bCs/>
                <w:sz w:val="16"/>
                <w:szCs w:val="16"/>
              </w:rPr>
            </w:pPr>
          </w:p>
        </w:tc>
        <w:tc>
          <w:tcPr>
            <w:tcW w:w="0" w:type="auto"/>
            <w:vAlign w:val="center"/>
          </w:tcPr>
          <w:p w14:paraId="161DF316"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20</w:t>
            </w:r>
          </w:p>
        </w:tc>
        <w:tc>
          <w:tcPr>
            <w:tcW w:w="0" w:type="auto"/>
            <w:vAlign w:val="center"/>
          </w:tcPr>
          <w:p w14:paraId="16033E87"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c>
          <w:tcPr>
            <w:tcW w:w="870" w:type="dxa"/>
            <w:tcBorders>
              <w:top w:val="nil"/>
              <w:left w:val="single" w:sz="8" w:space="0" w:color="auto"/>
              <w:bottom w:val="single" w:sz="8" w:space="0" w:color="auto"/>
              <w:right w:val="single" w:sz="8" w:space="0" w:color="auto"/>
            </w:tcBorders>
            <w:shd w:val="clear" w:color="auto" w:fill="auto"/>
            <w:vAlign w:val="center"/>
          </w:tcPr>
          <w:p w14:paraId="158288FA"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17</w:t>
            </w:r>
          </w:p>
        </w:tc>
        <w:tc>
          <w:tcPr>
            <w:tcW w:w="708" w:type="dxa"/>
            <w:tcBorders>
              <w:top w:val="nil"/>
              <w:left w:val="nil"/>
              <w:bottom w:val="single" w:sz="8" w:space="0" w:color="auto"/>
              <w:right w:val="single" w:sz="8" w:space="0" w:color="auto"/>
            </w:tcBorders>
            <w:shd w:val="clear" w:color="auto" w:fill="auto"/>
            <w:vAlign w:val="center"/>
          </w:tcPr>
          <w:p w14:paraId="4BCDA0AF"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r>
      <w:tr w:rsidR="00EE1AC4" w:rsidRPr="00424274" w14:paraId="03ECD941" w14:textId="77777777" w:rsidTr="00C67A40">
        <w:trPr>
          <w:trHeight w:val="255"/>
        </w:trPr>
        <w:tc>
          <w:tcPr>
            <w:tcW w:w="3756" w:type="dxa"/>
            <w:shd w:val="clear" w:color="auto" w:fill="99FF33"/>
            <w:noWrap/>
            <w:vAlign w:val="center"/>
            <w:hideMark/>
          </w:tcPr>
          <w:p w14:paraId="76C1F18D" w14:textId="77777777" w:rsidR="00EE1AC4" w:rsidRPr="00424274" w:rsidRDefault="00EE1AC4" w:rsidP="00EE1AC4">
            <w:pPr>
              <w:widowControl/>
              <w:jc w:val="left"/>
              <w:rPr>
                <w:rFonts w:ascii="Arial" w:hAnsi="Arial"/>
                <w:b/>
                <w:bCs/>
                <w:sz w:val="16"/>
                <w:szCs w:val="16"/>
                <w:lang w:eastAsia="sl-SI"/>
              </w:rPr>
            </w:pPr>
            <w:r w:rsidRPr="00424274">
              <w:rPr>
                <w:rFonts w:ascii="Arial" w:hAnsi="Arial"/>
                <w:b/>
                <w:bCs/>
                <w:sz w:val="16"/>
                <w:szCs w:val="16"/>
                <w:lang w:eastAsia="sl-SI"/>
              </w:rPr>
              <w:t>Sodišče</w:t>
            </w:r>
          </w:p>
        </w:tc>
        <w:tc>
          <w:tcPr>
            <w:tcW w:w="782" w:type="dxa"/>
            <w:vAlign w:val="center"/>
          </w:tcPr>
          <w:p w14:paraId="095C9E05"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1</w:t>
            </w:r>
          </w:p>
        </w:tc>
        <w:tc>
          <w:tcPr>
            <w:tcW w:w="683" w:type="dxa"/>
            <w:vAlign w:val="center"/>
          </w:tcPr>
          <w:p w14:paraId="4126D998" w14:textId="77777777" w:rsidR="00EE1AC4" w:rsidRPr="00424274" w:rsidRDefault="00EE1AC4" w:rsidP="00EE1AC4">
            <w:pPr>
              <w:jc w:val="center"/>
              <w:rPr>
                <w:rFonts w:ascii="Arial" w:hAnsi="Arial"/>
                <w:b/>
                <w:bCs/>
                <w:sz w:val="16"/>
                <w:szCs w:val="16"/>
              </w:rPr>
            </w:pPr>
          </w:p>
        </w:tc>
        <w:tc>
          <w:tcPr>
            <w:tcW w:w="726" w:type="dxa"/>
            <w:shd w:val="clear" w:color="auto" w:fill="auto"/>
            <w:vAlign w:val="center"/>
          </w:tcPr>
          <w:p w14:paraId="0A766367" w14:textId="77777777" w:rsidR="00EE1AC4" w:rsidRPr="00424274" w:rsidRDefault="00EE1AC4" w:rsidP="00EE1AC4">
            <w:pPr>
              <w:jc w:val="center"/>
              <w:rPr>
                <w:rFonts w:ascii="Arial" w:hAnsi="Arial"/>
                <w:b/>
                <w:bCs/>
                <w:sz w:val="16"/>
                <w:szCs w:val="16"/>
              </w:rPr>
            </w:pPr>
          </w:p>
        </w:tc>
        <w:tc>
          <w:tcPr>
            <w:tcW w:w="0" w:type="auto"/>
            <w:vAlign w:val="center"/>
          </w:tcPr>
          <w:p w14:paraId="7AD02F52" w14:textId="77777777" w:rsidR="00EE1AC4" w:rsidRPr="00424274" w:rsidRDefault="00EE1AC4" w:rsidP="00EE1AC4">
            <w:pPr>
              <w:jc w:val="center"/>
              <w:rPr>
                <w:rFonts w:ascii="Arial" w:hAnsi="Arial"/>
                <w:b/>
                <w:bCs/>
                <w:sz w:val="16"/>
                <w:szCs w:val="16"/>
              </w:rPr>
            </w:pPr>
          </w:p>
        </w:tc>
        <w:tc>
          <w:tcPr>
            <w:tcW w:w="0" w:type="auto"/>
            <w:vAlign w:val="center"/>
          </w:tcPr>
          <w:p w14:paraId="1FB452E1"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4</w:t>
            </w:r>
          </w:p>
        </w:tc>
        <w:tc>
          <w:tcPr>
            <w:tcW w:w="0" w:type="auto"/>
            <w:vAlign w:val="center"/>
          </w:tcPr>
          <w:p w14:paraId="63DC3F67"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c>
          <w:tcPr>
            <w:tcW w:w="870" w:type="dxa"/>
            <w:tcBorders>
              <w:top w:val="nil"/>
              <w:left w:val="single" w:sz="8" w:space="0" w:color="auto"/>
              <w:bottom w:val="single" w:sz="8" w:space="0" w:color="auto"/>
              <w:right w:val="single" w:sz="8" w:space="0" w:color="auto"/>
            </w:tcBorders>
            <w:shd w:val="clear" w:color="auto" w:fill="auto"/>
            <w:vAlign w:val="center"/>
          </w:tcPr>
          <w:p w14:paraId="13793F11"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3</w:t>
            </w:r>
          </w:p>
        </w:tc>
        <w:tc>
          <w:tcPr>
            <w:tcW w:w="708" w:type="dxa"/>
            <w:tcBorders>
              <w:top w:val="nil"/>
              <w:left w:val="nil"/>
              <w:bottom w:val="single" w:sz="8" w:space="0" w:color="auto"/>
              <w:right w:val="single" w:sz="8" w:space="0" w:color="auto"/>
            </w:tcBorders>
            <w:shd w:val="clear" w:color="auto" w:fill="auto"/>
            <w:vAlign w:val="center"/>
          </w:tcPr>
          <w:p w14:paraId="2D753130"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r>
      <w:tr w:rsidR="00EE1AC4" w:rsidRPr="00424274" w14:paraId="72D6EA09" w14:textId="77777777" w:rsidTr="00C67A40">
        <w:trPr>
          <w:trHeight w:val="255"/>
        </w:trPr>
        <w:tc>
          <w:tcPr>
            <w:tcW w:w="3756" w:type="dxa"/>
            <w:shd w:val="clear" w:color="auto" w:fill="99FF33"/>
            <w:noWrap/>
            <w:vAlign w:val="center"/>
            <w:hideMark/>
          </w:tcPr>
          <w:p w14:paraId="30574BC9" w14:textId="77777777" w:rsidR="00EE1AC4" w:rsidRPr="00424274" w:rsidRDefault="00EE1AC4" w:rsidP="00EE1AC4">
            <w:pPr>
              <w:widowControl/>
              <w:jc w:val="left"/>
              <w:rPr>
                <w:rFonts w:ascii="Arial" w:hAnsi="Arial"/>
                <w:b/>
                <w:bCs/>
                <w:sz w:val="16"/>
                <w:szCs w:val="16"/>
                <w:lang w:eastAsia="sl-SI"/>
              </w:rPr>
            </w:pPr>
            <w:r w:rsidRPr="00424274">
              <w:rPr>
                <w:rFonts w:ascii="Arial" w:hAnsi="Arial"/>
                <w:b/>
                <w:bCs/>
                <w:sz w:val="16"/>
                <w:szCs w:val="16"/>
                <w:lang w:eastAsia="sl-SI"/>
              </w:rPr>
              <w:t>Komisija za preprečevanje korupcije</w:t>
            </w:r>
          </w:p>
        </w:tc>
        <w:tc>
          <w:tcPr>
            <w:tcW w:w="782" w:type="dxa"/>
            <w:vAlign w:val="center"/>
          </w:tcPr>
          <w:p w14:paraId="20032833" w14:textId="77777777" w:rsidR="00EE1AC4" w:rsidRPr="00424274" w:rsidRDefault="00EE1AC4" w:rsidP="00EE1AC4">
            <w:pPr>
              <w:jc w:val="center"/>
              <w:rPr>
                <w:rFonts w:ascii="Arial" w:hAnsi="Arial"/>
                <w:b/>
                <w:bCs/>
                <w:sz w:val="16"/>
                <w:szCs w:val="16"/>
              </w:rPr>
            </w:pPr>
          </w:p>
        </w:tc>
        <w:tc>
          <w:tcPr>
            <w:tcW w:w="683" w:type="dxa"/>
            <w:vAlign w:val="center"/>
          </w:tcPr>
          <w:p w14:paraId="3429FFA0" w14:textId="77777777" w:rsidR="00EE1AC4" w:rsidRPr="00424274" w:rsidRDefault="00EE1AC4" w:rsidP="00EE1AC4">
            <w:pPr>
              <w:jc w:val="center"/>
              <w:rPr>
                <w:rFonts w:ascii="Arial" w:hAnsi="Arial"/>
                <w:b/>
                <w:bCs/>
                <w:sz w:val="16"/>
                <w:szCs w:val="16"/>
              </w:rPr>
            </w:pPr>
          </w:p>
        </w:tc>
        <w:tc>
          <w:tcPr>
            <w:tcW w:w="726" w:type="dxa"/>
            <w:shd w:val="clear" w:color="auto" w:fill="auto"/>
            <w:vAlign w:val="center"/>
          </w:tcPr>
          <w:p w14:paraId="4A406176" w14:textId="77777777" w:rsidR="00EE1AC4" w:rsidRPr="00424274" w:rsidRDefault="00EE1AC4" w:rsidP="00EE1AC4">
            <w:pPr>
              <w:jc w:val="center"/>
              <w:rPr>
                <w:rFonts w:ascii="Arial" w:hAnsi="Arial"/>
                <w:b/>
                <w:bCs/>
                <w:color w:val="FF0000"/>
                <w:sz w:val="16"/>
                <w:szCs w:val="16"/>
              </w:rPr>
            </w:pPr>
          </w:p>
        </w:tc>
        <w:tc>
          <w:tcPr>
            <w:tcW w:w="0" w:type="auto"/>
            <w:vAlign w:val="center"/>
          </w:tcPr>
          <w:p w14:paraId="22E7B885" w14:textId="77777777" w:rsidR="00EE1AC4" w:rsidRPr="00424274" w:rsidRDefault="00EE1AC4" w:rsidP="00EE1AC4">
            <w:pPr>
              <w:jc w:val="center"/>
              <w:rPr>
                <w:rFonts w:ascii="Arial" w:hAnsi="Arial"/>
                <w:b/>
                <w:bCs/>
                <w:color w:val="FF0000"/>
                <w:sz w:val="16"/>
                <w:szCs w:val="16"/>
              </w:rPr>
            </w:pPr>
          </w:p>
        </w:tc>
        <w:tc>
          <w:tcPr>
            <w:tcW w:w="0" w:type="auto"/>
            <w:vAlign w:val="center"/>
          </w:tcPr>
          <w:p w14:paraId="2E9E9930"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c>
          <w:tcPr>
            <w:tcW w:w="0" w:type="auto"/>
            <w:vAlign w:val="center"/>
          </w:tcPr>
          <w:p w14:paraId="15679C3C"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c>
          <w:tcPr>
            <w:tcW w:w="870" w:type="dxa"/>
            <w:tcBorders>
              <w:top w:val="nil"/>
              <w:left w:val="single" w:sz="8" w:space="0" w:color="auto"/>
              <w:bottom w:val="single" w:sz="8" w:space="0" w:color="auto"/>
              <w:right w:val="single" w:sz="8" w:space="0" w:color="auto"/>
            </w:tcBorders>
            <w:shd w:val="clear" w:color="auto" w:fill="auto"/>
            <w:vAlign w:val="center"/>
          </w:tcPr>
          <w:p w14:paraId="42E15C73"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1</w:t>
            </w:r>
          </w:p>
        </w:tc>
        <w:tc>
          <w:tcPr>
            <w:tcW w:w="708" w:type="dxa"/>
            <w:tcBorders>
              <w:top w:val="nil"/>
              <w:left w:val="nil"/>
              <w:bottom w:val="single" w:sz="8" w:space="0" w:color="auto"/>
              <w:right w:val="single" w:sz="8" w:space="0" w:color="auto"/>
            </w:tcBorders>
            <w:shd w:val="clear" w:color="auto" w:fill="auto"/>
            <w:vAlign w:val="center"/>
          </w:tcPr>
          <w:p w14:paraId="5AA47986"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r>
      <w:tr w:rsidR="00EE1AC4" w:rsidRPr="00424274" w14:paraId="0588E0AB" w14:textId="77777777" w:rsidTr="00C67A40">
        <w:trPr>
          <w:trHeight w:val="255"/>
        </w:trPr>
        <w:tc>
          <w:tcPr>
            <w:tcW w:w="3756" w:type="dxa"/>
            <w:shd w:val="clear" w:color="auto" w:fill="99FF33"/>
            <w:noWrap/>
            <w:vAlign w:val="center"/>
            <w:hideMark/>
          </w:tcPr>
          <w:p w14:paraId="39DD4BBD" w14:textId="77777777" w:rsidR="00EE1AC4" w:rsidRPr="00424274" w:rsidRDefault="00EE1AC4" w:rsidP="00EE1AC4">
            <w:pPr>
              <w:widowControl/>
              <w:jc w:val="left"/>
              <w:rPr>
                <w:rFonts w:ascii="Arial" w:hAnsi="Arial"/>
                <w:b/>
                <w:bCs/>
                <w:sz w:val="16"/>
                <w:szCs w:val="16"/>
                <w:lang w:eastAsia="sl-SI"/>
              </w:rPr>
            </w:pPr>
            <w:r w:rsidRPr="00424274">
              <w:rPr>
                <w:rFonts w:ascii="Arial" w:hAnsi="Arial"/>
                <w:b/>
                <w:bCs/>
                <w:sz w:val="16"/>
                <w:szCs w:val="16"/>
                <w:lang w:eastAsia="sl-SI"/>
              </w:rPr>
              <w:t>SOVA</w:t>
            </w:r>
          </w:p>
        </w:tc>
        <w:tc>
          <w:tcPr>
            <w:tcW w:w="782" w:type="dxa"/>
            <w:vAlign w:val="center"/>
          </w:tcPr>
          <w:p w14:paraId="79AF5DDC"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6</w:t>
            </w:r>
          </w:p>
        </w:tc>
        <w:tc>
          <w:tcPr>
            <w:tcW w:w="683" w:type="dxa"/>
            <w:vAlign w:val="center"/>
          </w:tcPr>
          <w:p w14:paraId="57B0B6B5"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7</w:t>
            </w:r>
          </w:p>
        </w:tc>
        <w:tc>
          <w:tcPr>
            <w:tcW w:w="726" w:type="dxa"/>
            <w:shd w:val="clear" w:color="auto" w:fill="auto"/>
            <w:vAlign w:val="center"/>
          </w:tcPr>
          <w:p w14:paraId="315E2C46"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6</w:t>
            </w:r>
          </w:p>
        </w:tc>
        <w:tc>
          <w:tcPr>
            <w:tcW w:w="0" w:type="auto"/>
            <w:shd w:val="clear" w:color="auto" w:fill="auto"/>
            <w:vAlign w:val="center"/>
          </w:tcPr>
          <w:p w14:paraId="04D55033"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1</w:t>
            </w:r>
          </w:p>
        </w:tc>
        <w:tc>
          <w:tcPr>
            <w:tcW w:w="0" w:type="auto"/>
            <w:vAlign w:val="center"/>
          </w:tcPr>
          <w:p w14:paraId="0672750B"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9</w:t>
            </w:r>
          </w:p>
        </w:tc>
        <w:tc>
          <w:tcPr>
            <w:tcW w:w="0" w:type="auto"/>
            <w:vAlign w:val="center"/>
          </w:tcPr>
          <w:p w14:paraId="7000E988"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5</w:t>
            </w:r>
          </w:p>
        </w:tc>
        <w:tc>
          <w:tcPr>
            <w:tcW w:w="870" w:type="dxa"/>
            <w:tcBorders>
              <w:top w:val="nil"/>
              <w:left w:val="single" w:sz="8" w:space="0" w:color="auto"/>
              <w:bottom w:val="single" w:sz="8" w:space="0" w:color="auto"/>
              <w:right w:val="single" w:sz="8" w:space="0" w:color="auto"/>
            </w:tcBorders>
            <w:shd w:val="clear" w:color="auto" w:fill="auto"/>
            <w:vAlign w:val="center"/>
          </w:tcPr>
          <w:p w14:paraId="6E0BEBA2"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24</w:t>
            </w:r>
          </w:p>
        </w:tc>
        <w:tc>
          <w:tcPr>
            <w:tcW w:w="708" w:type="dxa"/>
            <w:tcBorders>
              <w:top w:val="nil"/>
              <w:left w:val="nil"/>
              <w:bottom w:val="single" w:sz="8" w:space="0" w:color="auto"/>
              <w:right w:val="single" w:sz="8" w:space="0" w:color="auto"/>
            </w:tcBorders>
            <w:shd w:val="clear" w:color="auto" w:fill="auto"/>
            <w:vAlign w:val="center"/>
          </w:tcPr>
          <w:p w14:paraId="5A5B8EFA"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1</w:t>
            </w:r>
          </w:p>
        </w:tc>
      </w:tr>
      <w:tr w:rsidR="00EE1AC4" w:rsidRPr="00424274" w14:paraId="653F8ACF" w14:textId="77777777" w:rsidTr="00C67A40">
        <w:trPr>
          <w:trHeight w:val="255"/>
        </w:trPr>
        <w:tc>
          <w:tcPr>
            <w:tcW w:w="3756" w:type="dxa"/>
            <w:shd w:val="clear" w:color="auto" w:fill="99FF33"/>
            <w:noWrap/>
            <w:vAlign w:val="center"/>
          </w:tcPr>
          <w:p w14:paraId="6F1FBD69" w14:textId="77777777" w:rsidR="00EE1AC4" w:rsidRPr="00424274" w:rsidRDefault="00EE1AC4" w:rsidP="00EE1AC4">
            <w:pPr>
              <w:widowControl/>
              <w:jc w:val="left"/>
              <w:rPr>
                <w:rFonts w:ascii="Arial" w:hAnsi="Arial"/>
                <w:b/>
                <w:bCs/>
                <w:sz w:val="16"/>
                <w:szCs w:val="16"/>
                <w:lang w:eastAsia="sl-SI"/>
              </w:rPr>
            </w:pPr>
            <w:r w:rsidRPr="00424274">
              <w:rPr>
                <w:rFonts w:ascii="Arial" w:hAnsi="Arial"/>
                <w:b/>
                <w:bCs/>
                <w:sz w:val="16"/>
                <w:szCs w:val="16"/>
                <w:lang w:eastAsia="sl-SI"/>
              </w:rPr>
              <w:t>MORS-OVS</w:t>
            </w:r>
          </w:p>
        </w:tc>
        <w:tc>
          <w:tcPr>
            <w:tcW w:w="782" w:type="dxa"/>
            <w:vAlign w:val="center"/>
          </w:tcPr>
          <w:p w14:paraId="2FB25550" w14:textId="77777777" w:rsidR="00EE1AC4" w:rsidRPr="00424274" w:rsidRDefault="00EE1AC4" w:rsidP="00EE1AC4">
            <w:pPr>
              <w:jc w:val="center"/>
              <w:rPr>
                <w:rFonts w:ascii="Arial" w:hAnsi="Arial"/>
                <w:b/>
                <w:bCs/>
                <w:sz w:val="16"/>
                <w:szCs w:val="16"/>
              </w:rPr>
            </w:pPr>
          </w:p>
        </w:tc>
        <w:tc>
          <w:tcPr>
            <w:tcW w:w="683" w:type="dxa"/>
            <w:vAlign w:val="center"/>
          </w:tcPr>
          <w:p w14:paraId="677FB4C1" w14:textId="77777777" w:rsidR="00EE1AC4" w:rsidRPr="00424274" w:rsidRDefault="00EE1AC4" w:rsidP="00EE1AC4">
            <w:pPr>
              <w:jc w:val="center"/>
              <w:rPr>
                <w:rFonts w:ascii="Arial" w:hAnsi="Arial"/>
                <w:b/>
                <w:bCs/>
                <w:sz w:val="16"/>
                <w:szCs w:val="16"/>
              </w:rPr>
            </w:pPr>
          </w:p>
        </w:tc>
        <w:tc>
          <w:tcPr>
            <w:tcW w:w="726" w:type="dxa"/>
            <w:shd w:val="clear" w:color="auto" w:fill="auto"/>
            <w:vAlign w:val="center"/>
          </w:tcPr>
          <w:p w14:paraId="29463006" w14:textId="77777777" w:rsidR="00EE1AC4" w:rsidRPr="00424274" w:rsidRDefault="00EE1AC4" w:rsidP="00EE1AC4">
            <w:pPr>
              <w:jc w:val="center"/>
              <w:rPr>
                <w:rFonts w:ascii="Arial" w:hAnsi="Arial"/>
                <w:b/>
                <w:bCs/>
                <w:sz w:val="16"/>
                <w:szCs w:val="16"/>
              </w:rPr>
            </w:pPr>
          </w:p>
        </w:tc>
        <w:tc>
          <w:tcPr>
            <w:tcW w:w="0" w:type="auto"/>
            <w:shd w:val="clear" w:color="auto" w:fill="auto"/>
            <w:vAlign w:val="center"/>
          </w:tcPr>
          <w:p w14:paraId="04AD1CD7"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1</w:t>
            </w:r>
          </w:p>
        </w:tc>
        <w:tc>
          <w:tcPr>
            <w:tcW w:w="0" w:type="auto"/>
            <w:vAlign w:val="center"/>
          </w:tcPr>
          <w:p w14:paraId="0038229A"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c>
          <w:tcPr>
            <w:tcW w:w="0" w:type="auto"/>
            <w:vAlign w:val="center"/>
          </w:tcPr>
          <w:p w14:paraId="04940DCB"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c>
          <w:tcPr>
            <w:tcW w:w="870" w:type="dxa"/>
            <w:tcBorders>
              <w:top w:val="nil"/>
              <w:left w:val="single" w:sz="8" w:space="0" w:color="auto"/>
              <w:bottom w:val="single" w:sz="8" w:space="0" w:color="auto"/>
              <w:right w:val="single" w:sz="8" w:space="0" w:color="auto"/>
            </w:tcBorders>
            <w:shd w:val="clear" w:color="auto" w:fill="auto"/>
            <w:vAlign w:val="center"/>
          </w:tcPr>
          <w:p w14:paraId="3EE1DFCB" w14:textId="77777777" w:rsidR="00EE1AC4" w:rsidRPr="00424274" w:rsidRDefault="00EE1AC4" w:rsidP="00EE1AC4">
            <w:pPr>
              <w:jc w:val="center"/>
              <w:rPr>
                <w:rFonts w:ascii="Arial" w:hAnsi="Arial"/>
                <w:b/>
                <w:bCs/>
                <w:sz w:val="20"/>
              </w:rPr>
            </w:pPr>
            <w:r w:rsidRPr="00424274">
              <w:rPr>
                <w:rFonts w:ascii="Arial" w:hAnsi="Arial"/>
                <w:b/>
                <w:bCs/>
                <w:sz w:val="20"/>
              </w:rPr>
              <w:t> </w:t>
            </w:r>
          </w:p>
        </w:tc>
        <w:tc>
          <w:tcPr>
            <w:tcW w:w="708" w:type="dxa"/>
            <w:tcBorders>
              <w:top w:val="nil"/>
              <w:left w:val="nil"/>
              <w:bottom w:val="single" w:sz="8" w:space="0" w:color="auto"/>
              <w:right w:val="single" w:sz="8" w:space="0" w:color="auto"/>
            </w:tcBorders>
            <w:shd w:val="clear" w:color="auto" w:fill="auto"/>
            <w:vAlign w:val="center"/>
          </w:tcPr>
          <w:p w14:paraId="7A5335B0" w14:textId="77777777" w:rsidR="00EE1AC4" w:rsidRPr="00424274" w:rsidRDefault="00EE1AC4" w:rsidP="00EE1AC4">
            <w:pPr>
              <w:jc w:val="center"/>
              <w:rPr>
                <w:rFonts w:ascii="Arial" w:hAnsi="Arial"/>
                <w:b/>
                <w:bCs/>
                <w:sz w:val="20"/>
              </w:rPr>
            </w:pPr>
            <w:r w:rsidRPr="00424274">
              <w:rPr>
                <w:rFonts w:ascii="Arial" w:hAnsi="Arial"/>
                <w:b/>
                <w:bCs/>
                <w:sz w:val="20"/>
              </w:rPr>
              <w:t> </w:t>
            </w:r>
          </w:p>
        </w:tc>
      </w:tr>
      <w:tr w:rsidR="00EE1AC4" w:rsidRPr="00424274" w14:paraId="3527BF40" w14:textId="77777777" w:rsidTr="00C67A40">
        <w:trPr>
          <w:trHeight w:val="255"/>
        </w:trPr>
        <w:tc>
          <w:tcPr>
            <w:tcW w:w="3756" w:type="dxa"/>
            <w:shd w:val="clear" w:color="auto" w:fill="00CCFF"/>
            <w:noWrap/>
            <w:vAlign w:val="center"/>
            <w:hideMark/>
          </w:tcPr>
          <w:p w14:paraId="51BD1A5D" w14:textId="77777777" w:rsidR="00EE1AC4" w:rsidRPr="00424274" w:rsidRDefault="00EE1AC4" w:rsidP="00EE1AC4">
            <w:pPr>
              <w:widowControl/>
              <w:jc w:val="left"/>
              <w:rPr>
                <w:rFonts w:ascii="Arial" w:hAnsi="Arial"/>
                <w:b/>
                <w:bCs/>
                <w:sz w:val="16"/>
                <w:szCs w:val="16"/>
                <w:lang w:eastAsia="sl-SI"/>
              </w:rPr>
            </w:pPr>
            <w:r w:rsidRPr="00424274">
              <w:rPr>
                <w:rFonts w:ascii="Arial" w:hAnsi="Arial"/>
                <w:b/>
                <w:bCs/>
                <w:sz w:val="16"/>
                <w:szCs w:val="16"/>
                <w:lang w:eastAsia="sl-SI"/>
              </w:rPr>
              <w:t>4. SPOROČILA DEJSTEV NADZORNIKOV</w:t>
            </w:r>
          </w:p>
        </w:tc>
        <w:tc>
          <w:tcPr>
            <w:tcW w:w="782" w:type="dxa"/>
            <w:shd w:val="clear" w:color="auto" w:fill="00CCFF"/>
            <w:vAlign w:val="center"/>
          </w:tcPr>
          <w:p w14:paraId="5EA94297"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3</w:t>
            </w:r>
          </w:p>
        </w:tc>
        <w:tc>
          <w:tcPr>
            <w:tcW w:w="683" w:type="dxa"/>
            <w:shd w:val="clear" w:color="auto" w:fill="00CCFF"/>
            <w:vAlign w:val="center"/>
          </w:tcPr>
          <w:p w14:paraId="1E6C8EC6"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3</w:t>
            </w:r>
          </w:p>
        </w:tc>
        <w:tc>
          <w:tcPr>
            <w:tcW w:w="726" w:type="dxa"/>
            <w:shd w:val="clear" w:color="auto" w:fill="00CCFF"/>
            <w:vAlign w:val="center"/>
          </w:tcPr>
          <w:p w14:paraId="45ADF555"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5</w:t>
            </w:r>
          </w:p>
        </w:tc>
        <w:tc>
          <w:tcPr>
            <w:tcW w:w="0" w:type="auto"/>
            <w:shd w:val="clear" w:color="auto" w:fill="00CCFF"/>
            <w:vAlign w:val="center"/>
          </w:tcPr>
          <w:p w14:paraId="3DA98895"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0</w:t>
            </w:r>
          </w:p>
        </w:tc>
        <w:tc>
          <w:tcPr>
            <w:tcW w:w="0" w:type="auto"/>
            <w:shd w:val="clear" w:color="auto" w:fill="00CCFF"/>
            <w:vAlign w:val="center"/>
          </w:tcPr>
          <w:p w14:paraId="2BE999A4"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14</w:t>
            </w:r>
          </w:p>
        </w:tc>
        <w:tc>
          <w:tcPr>
            <w:tcW w:w="0" w:type="auto"/>
            <w:shd w:val="clear" w:color="auto" w:fill="00CCFF"/>
            <w:vAlign w:val="center"/>
          </w:tcPr>
          <w:p w14:paraId="3BB7F66E"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0</w:t>
            </w:r>
          </w:p>
        </w:tc>
        <w:tc>
          <w:tcPr>
            <w:tcW w:w="870" w:type="dxa"/>
            <w:shd w:val="clear" w:color="auto" w:fill="00CCFF"/>
            <w:vAlign w:val="bottom"/>
          </w:tcPr>
          <w:p w14:paraId="1B75A93D"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16</w:t>
            </w:r>
          </w:p>
        </w:tc>
        <w:tc>
          <w:tcPr>
            <w:tcW w:w="708" w:type="dxa"/>
            <w:shd w:val="clear" w:color="auto" w:fill="00CCFF"/>
            <w:vAlign w:val="bottom"/>
          </w:tcPr>
          <w:p w14:paraId="0BEA4362"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0</w:t>
            </w:r>
          </w:p>
        </w:tc>
      </w:tr>
      <w:tr w:rsidR="00EE1AC4" w:rsidRPr="00424274" w14:paraId="1B772190" w14:textId="77777777" w:rsidTr="00C67A40">
        <w:trPr>
          <w:trHeight w:val="255"/>
        </w:trPr>
        <w:tc>
          <w:tcPr>
            <w:tcW w:w="3756" w:type="dxa"/>
            <w:shd w:val="clear" w:color="auto" w:fill="00CCFF"/>
            <w:noWrap/>
            <w:vAlign w:val="center"/>
            <w:hideMark/>
          </w:tcPr>
          <w:p w14:paraId="50E0BA03" w14:textId="77777777" w:rsidR="00EE1AC4" w:rsidRPr="00424274" w:rsidRDefault="00EE1AC4" w:rsidP="00EE1AC4">
            <w:pPr>
              <w:widowControl/>
              <w:jc w:val="left"/>
              <w:rPr>
                <w:rFonts w:ascii="Arial" w:hAnsi="Arial"/>
                <w:b/>
                <w:bCs/>
                <w:sz w:val="16"/>
                <w:szCs w:val="16"/>
                <w:lang w:eastAsia="sl-SI"/>
              </w:rPr>
            </w:pPr>
            <w:r w:rsidRPr="00424274">
              <w:rPr>
                <w:rFonts w:ascii="Arial" w:hAnsi="Arial"/>
                <w:b/>
                <w:bCs/>
                <w:sz w:val="16"/>
                <w:szCs w:val="16"/>
                <w:lang w:eastAsia="sl-SI"/>
              </w:rPr>
              <w:t> </w:t>
            </w:r>
          </w:p>
        </w:tc>
        <w:tc>
          <w:tcPr>
            <w:tcW w:w="782" w:type="dxa"/>
            <w:shd w:val="clear" w:color="auto" w:fill="00CCFF"/>
            <w:vAlign w:val="center"/>
          </w:tcPr>
          <w:p w14:paraId="584CF508" w14:textId="4AF51093" w:rsidR="00EE1AC4" w:rsidRPr="00424274" w:rsidRDefault="00EE1AC4" w:rsidP="00EE1AC4">
            <w:pPr>
              <w:jc w:val="center"/>
              <w:rPr>
                <w:rFonts w:ascii="Arial" w:hAnsi="Arial"/>
                <w:b/>
                <w:bCs/>
                <w:sz w:val="16"/>
                <w:szCs w:val="16"/>
              </w:rPr>
            </w:pPr>
            <w:r w:rsidRPr="00424274">
              <w:rPr>
                <w:rFonts w:ascii="Arial" w:hAnsi="Arial"/>
                <w:b/>
                <w:bCs/>
                <w:sz w:val="16"/>
                <w:szCs w:val="16"/>
              </w:rPr>
              <w:t>0,67</w:t>
            </w:r>
            <w:r w:rsidR="00475AFD">
              <w:rPr>
                <w:rFonts w:ascii="Arial" w:hAnsi="Arial"/>
                <w:b/>
                <w:bCs/>
                <w:sz w:val="16"/>
                <w:szCs w:val="16"/>
              </w:rPr>
              <w:t> </w:t>
            </w:r>
            <w:r w:rsidRPr="00424274">
              <w:rPr>
                <w:rFonts w:ascii="Arial" w:hAnsi="Arial"/>
                <w:b/>
                <w:bCs/>
                <w:sz w:val="16"/>
                <w:szCs w:val="16"/>
              </w:rPr>
              <w:t>%</w:t>
            </w:r>
          </w:p>
        </w:tc>
        <w:tc>
          <w:tcPr>
            <w:tcW w:w="683" w:type="dxa"/>
            <w:shd w:val="clear" w:color="auto" w:fill="00CCFF"/>
            <w:vAlign w:val="center"/>
          </w:tcPr>
          <w:p w14:paraId="1B611BFC" w14:textId="2C15B5E9" w:rsidR="00EE1AC4" w:rsidRPr="00424274" w:rsidRDefault="00EE1AC4" w:rsidP="00EE1AC4">
            <w:pPr>
              <w:jc w:val="center"/>
              <w:rPr>
                <w:rFonts w:ascii="Arial" w:hAnsi="Arial"/>
                <w:b/>
                <w:bCs/>
                <w:sz w:val="16"/>
                <w:szCs w:val="16"/>
              </w:rPr>
            </w:pPr>
            <w:r w:rsidRPr="00424274">
              <w:rPr>
                <w:rFonts w:ascii="Arial" w:hAnsi="Arial"/>
                <w:b/>
                <w:bCs/>
                <w:sz w:val="16"/>
                <w:szCs w:val="16"/>
              </w:rPr>
              <w:t>0,54</w:t>
            </w:r>
            <w:r w:rsidR="00475AFD">
              <w:rPr>
                <w:rFonts w:ascii="Arial" w:hAnsi="Arial"/>
                <w:b/>
                <w:bCs/>
                <w:sz w:val="16"/>
                <w:szCs w:val="16"/>
              </w:rPr>
              <w:t> </w:t>
            </w:r>
            <w:r w:rsidRPr="00424274">
              <w:rPr>
                <w:rFonts w:ascii="Arial" w:hAnsi="Arial"/>
                <w:b/>
                <w:bCs/>
                <w:sz w:val="16"/>
                <w:szCs w:val="16"/>
              </w:rPr>
              <w:t>%</w:t>
            </w:r>
          </w:p>
        </w:tc>
        <w:tc>
          <w:tcPr>
            <w:tcW w:w="726" w:type="dxa"/>
            <w:shd w:val="clear" w:color="auto" w:fill="00CCFF"/>
            <w:vAlign w:val="center"/>
          </w:tcPr>
          <w:p w14:paraId="777B517C" w14:textId="2EAA5A19" w:rsidR="00EE1AC4" w:rsidRPr="00424274" w:rsidRDefault="00EE1AC4" w:rsidP="00EE1AC4">
            <w:pPr>
              <w:jc w:val="center"/>
              <w:rPr>
                <w:rFonts w:ascii="Arial" w:hAnsi="Arial"/>
                <w:b/>
                <w:bCs/>
                <w:sz w:val="16"/>
                <w:szCs w:val="16"/>
              </w:rPr>
            </w:pPr>
            <w:r w:rsidRPr="00424274">
              <w:rPr>
                <w:rFonts w:ascii="Arial" w:hAnsi="Arial"/>
                <w:b/>
                <w:bCs/>
                <w:sz w:val="16"/>
                <w:szCs w:val="16"/>
              </w:rPr>
              <w:t>0,66</w:t>
            </w:r>
            <w:r w:rsidR="00475AFD">
              <w:rPr>
                <w:rFonts w:ascii="Arial" w:hAnsi="Arial"/>
                <w:b/>
                <w:bCs/>
                <w:sz w:val="16"/>
                <w:szCs w:val="16"/>
              </w:rPr>
              <w:t> </w:t>
            </w:r>
            <w:r w:rsidRPr="00424274">
              <w:rPr>
                <w:rFonts w:ascii="Arial" w:hAnsi="Arial"/>
                <w:b/>
                <w:bCs/>
                <w:sz w:val="16"/>
                <w:szCs w:val="16"/>
              </w:rPr>
              <w:t>%</w:t>
            </w:r>
          </w:p>
        </w:tc>
        <w:tc>
          <w:tcPr>
            <w:tcW w:w="0" w:type="auto"/>
            <w:shd w:val="clear" w:color="auto" w:fill="00CCFF"/>
            <w:vAlign w:val="center"/>
          </w:tcPr>
          <w:p w14:paraId="50F1F210" w14:textId="609C391F" w:rsidR="00EE1AC4" w:rsidRPr="00424274" w:rsidRDefault="00EE1AC4" w:rsidP="00EE1AC4">
            <w:pPr>
              <w:jc w:val="center"/>
              <w:rPr>
                <w:rFonts w:ascii="Arial" w:hAnsi="Arial"/>
                <w:b/>
                <w:bCs/>
                <w:sz w:val="16"/>
                <w:szCs w:val="16"/>
              </w:rPr>
            </w:pPr>
            <w:r w:rsidRPr="00424274">
              <w:rPr>
                <w:rFonts w:ascii="Arial" w:hAnsi="Arial"/>
                <w:b/>
                <w:bCs/>
                <w:sz w:val="16"/>
                <w:szCs w:val="16"/>
              </w:rPr>
              <w:t>0,00</w:t>
            </w:r>
            <w:r w:rsidR="00475AFD">
              <w:rPr>
                <w:rFonts w:ascii="Arial" w:hAnsi="Arial"/>
                <w:b/>
                <w:bCs/>
                <w:sz w:val="16"/>
                <w:szCs w:val="16"/>
              </w:rPr>
              <w:t> </w:t>
            </w:r>
            <w:r w:rsidRPr="00424274">
              <w:rPr>
                <w:rFonts w:ascii="Arial" w:hAnsi="Arial"/>
                <w:b/>
                <w:bCs/>
                <w:sz w:val="16"/>
                <w:szCs w:val="16"/>
              </w:rPr>
              <w:t>%</w:t>
            </w:r>
          </w:p>
        </w:tc>
        <w:tc>
          <w:tcPr>
            <w:tcW w:w="0" w:type="auto"/>
            <w:shd w:val="clear" w:color="auto" w:fill="00CCFF"/>
            <w:vAlign w:val="center"/>
          </w:tcPr>
          <w:p w14:paraId="6CE03EEE" w14:textId="453E9EA0" w:rsidR="00EE1AC4" w:rsidRPr="00424274" w:rsidRDefault="00EE1AC4" w:rsidP="00EE1AC4">
            <w:pPr>
              <w:jc w:val="center"/>
              <w:rPr>
                <w:rFonts w:ascii="Arial" w:hAnsi="Arial"/>
                <w:b/>
                <w:bCs/>
                <w:sz w:val="16"/>
                <w:szCs w:val="16"/>
              </w:rPr>
            </w:pPr>
            <w:r w:rsidRPr="00424274">
              <w:rPr>
                <w:rFonts w:ascii="Arial" w:hAnsi="Arial"/>
                <w:b/>
                <w:bCs/>
                <w:sz w:val="16"/>
                <w:szCs w:val="16"/>
              </w:rPr>
              <w:t>1,35</w:t>
            </w:r>
            <w:r w:rsidR="00475AFD">
              <w:rPr>
                <w:rFonts w:ascii="Arial" w:hAnsi="Arial"/>
                <w:b/>
                <w:bCs/>
                <w:sz w:val="16"/>
                <w:szCs w:val="16"/>
              </w:rPr>
              <w:t> </w:t>
            </w:r>
            <w:r w:rsidRPr="00424274">
              <w:rPr>
                <w:rFonts w:ascii="Arial" w:hAnsi="Arial"/>
                <w:b/>
                <w:bCs/>
                <w:sz w:val="16"/>
                <w:szCs w:val="16"/>
              </w:rPr>
              <w:t>%</w:t>
            </w:r>
          </w:p>
        </w:tc>
        <w:tc>
          <w:tcPr>
            <w:tcW w:w="0" w:type="auto"/>
            <w:shd w:val="clear" w:color="auto" w:fill="00CCFF"/>
            <w:vAlign w:val="center"/>
          </w:tcPr>
          <w:p w14:paraId="71DB189C" w14:textId="55D0AA7B" w:rsidR="00EE1AC4" w:rsidRPr="00424274" w:rsidRDefault="00EE1AC4" w:rsidP="00EE1AC4">
            <w:pPr>
              <w:jc w:val="center"/>
              <w:rPr>
                <w:rFonts w:ascii="Arial" w:hAnsi="Arial"/>
                <w:b/>
                <w:bCs/>
                <w:sz w:val="16"/>
                <w:szCs w:val="16"/>
              </w:rPr>
            </w:pPr>
            <w:r w:rsidRPr="00424274">
              <w:rPr>
                <w:rFonts w:ascii="Arial" w:hAnsi="Arial"/>
                <w:b/>
                <w:bCs/>
                <w:sz w:val="16"/>
                <w:szCs w:val="16"/>
              </w:rPr>
              <w:t>0,00</w:t>
            </w:r>
            <w:r w:rsidR="00475AFD">
              <w:rPr>
                <w:rFonts w:ascii="Arial" w:hAnsi="Arial"/>
                <w:b/>
                <w:bCs/>
                <w:sz w:val="16"/>
                <w:szCs w:val="16"/>
              </w:rPr>
              <w:t> </w:t>
            </w:r>
            <w:r w:rsidRPr="00424274">
              <w:rPr>
                <w:rFonts w:ascii="Arial" w:hAnsi="Arial"/>
                <w:b/>
                <w:bCs/>
                <w:sz w:val="16"/>
                <w:szCs w:val="16"/>
              </w:rPr>
              <w:t>%</w:t>
            </w:r>
          </w:p>
        </w:tc>
        <w:tc>
          <w:tcPr>
            <w:tcW w:w="870" w:type="dxa"/>
            <w:shd w:val="clear" w:color="auto" w:fill="00CCFF"/>
            <w:vAlign w:val="bottom"/>
          </w:tcPr>
          <w:p w14:paraId="7D4C0517" w14:textId="0A3767B5" w:rsidR="00EE1AC4" w:rsidRPr="00424274" w:rsidRDefault="00EE1AC4" w:rsidP="00EE1AC4">
            <w:pPr>
              <w:jc w:val="center"/>
              <w:rPr>
                <w:rFonts w:ascii="Arial" w:hAnsi="Arial"/>
                <w:b/>
                <w:bCs/>
                <w:sz w:val="16"/>
                <w:szCs w:val="16"/>
              </w:rPr>
            </w:pPr>
            <w:r w:rsidRPr="00424274">
              <w:rPr>
                <w:rFonts w:ascii="Arial" w:hAnsi="Arial"/>
                <w:b/>
                <w:bCs/>
                <w:sz w:val="16"/>
                <w:szCs w:val="16"/>
              </w:rPr>
              <w:t>1,48</w:t>
            </w:r>
            <w:r w:rsidR="00475AFD">
              <w:rPr>
                <w:rFonts w:ascii="Arial" w:hAnsi="Arial"/>
                <w:b/>
                <w:bCs/>
                <w:sz w:val="16"/>
                <w:szCs w:val="16"/>
              </w:rPr>
              <w:t> </w:t>
            </w:r>
            <w:r w:rsidRPr="00424274">
              <w:rPr>
                <w:rFonts w:ascii="Arial" w:hAnsi="Arial"/>
                <w:b/>
                <w:bCs/>
                <w:sz w:val="16"/>
                <w:szCs w:val="16"/>
              </w:rPr>
              <w:t>%</w:t>
            </w:r>
          </w:p>
        </w:tc>
        <w:tc>
          <w:tcPr>
            <w:tcW w:w="708" w:type="dxa"/>
            <w:shd w:val="clear" w:color="auto" w:fill="00CCFF"/>
            <w:vAlign w:val="bottom"/>
          </w:tcPr>
          <w:p w14:paraId="686C3D43" w14:textId="43157840" w:rsidR="00EE1AC4" w:rsidRPr="00424274" w:rsidRDefault="00EE1AC4" w:rsidP="00EE1AC4">
            <w:pPr>
              <w:jc w:val="center"/>
              <w:rPr>
                <w:rFonts w:ascii="Arial" w:hAnsi="Arial"/>
                <w:b/>
                <w:bCs/>
                <w:sz w:val="16"/>
                <w:szCs w:val="16"/>
              </w:rPr>
            </w:pPr>
            <w:r w:rsidRPr="00424274">
              <w:rPr>
                <w:rFonts w:ascii="Arial" w:hAnsi="Arial"/>
                <w:b/>
                <w:bCs/>
                <w:sz w:val="16"/>
                <w:szCs w:val="16"/>
              </w:rPr>
              <w:t>0,00</w:t>
            </w:r>
            <w:r w:rsidR="00475AFD">
              <w:rPr>
                <w:rFonts w:ascii="Arial" w:hAnsi="Arial"/>
                <w:b/>
                <w:bCs/>
                <w:sz w:val="16"/>
                <w:szCs w:val="16"/>
              </w:rPr>
              <w:t> </w:t>
            </w:r>
            <w:r w:rsidRPr="00424274">
              <w:rPr>
                <w:rFonts w:ascii="Arial" w:hAnsi="Arial"/>
                <w:b/>
                <w:bCs/>
                <w:sz w:val="16"/>
                <w:szCs w:val="16"/>
              </w:rPr>
              <w:t>%</w:t>
            </w:r>
          </w:p>
        </w:tc>
      </w:tr>
      <w:tr w:rsidR="00EE1AC4" w:rsidRPr="00424274" w14:paraId="7DD8EE5F" w14:textId="77777777" w:rsidTr="00C67A40">
        <w:trPr>
          <w:trHeight w:val="255"/>
        </w:trPr>
        <w:tc>
          <w:tcPr>
            <w:tcW w:w="3756" w:type="dxa"/>
            <w:shd w:val="clear" w:color="auto" w:fill="99FF33"/>
            <w:noWrap/>
            <w:vAlign w:val="center"/>
            <w:hideMark/>
          </w:tcPr>
          <w:p w14:paraId="444F4C35" w14:textId="77777777" w:rsidR="00EE1AC4" w:rsidRPr="00424274" w:rsidRDefault="00EE1AC4" w:rsidP="00EE1AC4">
            <w:pPr>
              <w:widowControl/>
              <w:jc w:val="left"/>
              <w:rPr>
                <w:rFonts w:ascii="Arial" w:hAnsi="Arial"/>
                <w:b/>
                <w:bCs/>
                <w:sz w:val="16"/>
                <w:szCs w:val="16"/>
                <w:lang w:eastAsia="sl-SI"/>
              </w:rPr>
            </w:pPr>
            <w:r w:rsidRPr="00424274">
              <w:rPr>
                <w:rFonts w:ascii="Arial" w:hAnsi="Arial"/>
                <w:b/>
                <w:bCs/>
                <w:sz w:val="16"/>
                <w:szCs w:val="16"/>
                <w:lang w:eastAsia="sl-SI"/>
              </w:rPr>
              <w:t>Ministrstvo za finance, FURS</w:t>
            </w:r>
          </w:p>
        </w:tc>
        <w:tc>
          <w:tcPr>
            <w:tcW w:w="782" w:type="dxa"/>
            <w:vAlign w:val="center"/>
          </w:tcPr>
          <w:p w14:paraId="312B5E41"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2</w:t>
            </w:r>
          </w:p>
        </w:tc>
        <w:tc>
          <w:tcPr>
            <w:tcW w:w="683" w:type="dxa"/>
            <w:vAlign w:val="center"/>
          </w:tcPr>
          <w:p w14:paraId="67CBA4A6" w14:textId="77777777" w:rsidR="00EE1AC4" w:rsidRPr="00424274" w:rsidRDefault="00EE1AC4" w:rsidP="00EE1AC4">
            <w:pPr>
              <w:jc w:val="center"/>
              <w:rPr>
                <w:rFonts w:ascii="Arial" w:hAnsi="Arial"/>
                <w:b/>
                <w:bCs/>
                <w:sz w:val="16"/>
                <w:szCs w:val="16"/>
              </w:rPr>
            </w:pPr>
          </w:p>
        </w:tc>
        <w:tc>
          <w:tcPr>
            <w:tcW w:w="726" w:type="dxa"/>
            <w:shd w:val="clear" w:color="auto" w:fill="auto"/>
            <w:vAlign w:val="center"/>
          </w:tcPr>
          <w:p w14:paraId="0A78679F" w14:textId="77777777" w:rsidR="00EE1AC4" w:rsidRPr="00424274" w:rsidRDefault="00EE1AC4" w:rsidP="00EE1AC4"/>
        </w:tc>
        <w:tc>
          <w:tcPr>
            <w:tcW w:w="0" w:type="auto"/>
            <w:vAlign w:val="center"/>
          </w:tcPr>
          <w:p w14:paraId="482C0724" w14:textId="77777777" w:rsidR="00EE1AC4" w:rsidRPr="00424274" w:rsidRDefault="00EE1AC4" w:rsidP="00EE1AC4"/>
        </w:tc>
        <w:tc>
          <w:tcPr>
            <w:tcW w:w="0" w:type="auto"/>
            <w:vAlign w:val="center"/>
          </w:tcPr>
          <w:p w14:paraId="5C1ADBC0"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1</w:t>
            </w:r>
          </w:p>
        </w:tc>
        <w:tc>
          <w:tcPr>
            <w:tcW w:w="0" w:type="auto"/>
            <w:vAlign w:val="center"/>
          </w:tcPr>
          <w:p w14:paraId="0D6D2F44"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c>
          <w:tcPr>
            <w:tcW w:w="870" w:type="dxa"/>
            <w:tcBorders>
              <w:top w:val="nil"/>
              <w:left w:val="single" w:sz="8" w:space="0" w:color="auto"/>
              <w:bottom w:val="single" w:sz="8" w:space="0" w:color="auto"/>
              <w:right w:val="single" w:sz="8" w:space="0" w:color="auto"/>
            </w:tcBorders>
            <w:shd w:val="clear" w:color="auto" w:fill="auto"/>
            <w:vAlign w:val="center"/>
          </w:tcPr>
          <w:p w14:paraId="30BB075D"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1</w:t>
            </w:r>
          </w:p>
        </w:tc>
        <w:tc>
          <w:tcPr>
            <w:tcW w:w="708" w:type="dxa"/>
            <w:vAlign w:val="center"/>
          </w:tcPr>
          <w:p w14:paraId="12165574" w14:textId="77777777" w:rsidR="00EE1AC4" w:rsidRPr="00424274" w:rsidRDefault="00EE1AC4" w:rsidP="00EE1AC4">
            <w:pPr>
              <w:jc w:val="center"/>
              <w:rPr>
                <w:rFonts w:ascii="Arial" w:hAnsi="Arial"/>
                <w:b/>
                <w:bCs/>
                <w:sz w:val="16"/>
                <w:szCs w:val="16"/>
              </w:rPr>
            </w:pPr>
          </w:p>
        </w:tc>
      </w:tr>
      <w:tr w:rsidR="00EE1AC4" w:rsidRPr="00424274" w14:paraId="747B0CD5" w14:textId="77777777" w:rsidTr="00C67A40">
        <w:trPr>
          <w:trHeight w:val="255"/>
        </w:trPr>
        <w:tc>
          <w:tcPr>
            <w:tcW w:w="3756" w:type="dxa"/>
            <w:shd w:val="clear" w:color="auto" w:fill="99FF33"/>
            <w:noWrap/>
            <w:vAlign w:val="center"/>
          </w:tcPr>
          <w:p w14:paraId="063DAB4D" w14:textId="77777777" w:rsidR="00EE1AC4" w:rsidRPr="00424274" w:rsidRDefault="00EE1AC4" w:rsidP="00EE1AC4">
            <w:pPr>
              <w:widowControl/>
              <w:jc w:val="left"/>
              <w:rPr>
                <w:rFonts w:ascii="Arial" w:hAnsi="Arial"/>
                <w:b/>
                <w:bCs/>
                <w:sz w:val="16"/>
                <w:szCs w:val="16"/>
                <w:lang w:eastAsia="sl-SI"/>
              </w:rPr>
            </w:pPr>
            <w:r w:rsidRPr="00424274">
              <w:rPr>
                <w:rFonts w:ascii="Arial" w:hAnsi="Arial"/>
                <w:b/>
                <w:bCs/>
                <w:sz w:val="16"/>
                <w:szCs w:val="16"/>
                <w:lang w:eastAsia="sl-SI"/>
              </w:rPr>
              <w:t>ATVP</w:t>
            </w:r>
          </w:p>
        </w:tc>
        <w:tc>
          <w:tcPr>
            <w:tcW w:w="782" w:type="dxa"/>
            <w:vAlign w:val="center"/>
          </w:tcPr>
          <w:p w14:paraId="06E154F6"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1</w:t>
            </w:r>
          </w:p>
        </w:tc>
        <w:tc>
          <w:tcPr>
            <w:tcW w:w="683" w:type="dxa"/>
            <w:vAlign w:val="center"/>
          </w:tcPr>
          <w:p w14:paraId="0D850663" w14:textId="77777777" w:rsidR="00EE1AC4" w:rsidRPr="00424274" w:rsidRDefault="00EE1AC4" w:rsidP="00EE1AC4">
            <w:pPr>
              <w:jc w:val="center"/>
              <w:rPr>
                <w:rFonts w:ascii="Arial" w:hAnsi="Arial"/>
                <w:b/>
                <w:bCs/>
                <w:sz w:val="16"/>
                <w:szCs w:val="16"/>
              </w:rPr>
            </w:pPr>
          </w:p>
        </w:tc>
        <w:tc>
          <w:tcPr>
            <w:tcW w:w="726" w:type="dxa"/>
            <w:shd w:val="clear" w:color="auto" w:fill="auto"/>
            <w:vAlign w:val="center"/>
          </w:tcPr>
          <w:p w14:paraId="4352AD1A"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1</w:t>
            </w:r>
          </w:p>
        </w:tc>
        <w:tc>
          <w:tcPr>
            <w:tcW w:w="0" w:type="auto"/>
            <w:vAlign w:val="center"/>
          </w:tcPr>
          <w:p w14:paraId="55C78D92" w14:textId="77777777" w:rsidR="00EE1AC4" w:rsidRPr="00424274" w:rsidRDefault="00EE1AC4" w:rsidP="00EE1AC4"/>
        </w:tc>
        <w:tc>
          <w:tcPr>
            <w:tcW w:w="0" w:type="auto"/>
            <w:vAlign w:val="center"/>
          </w:tcPr>
          <w:p w14:paraId="638EECAF"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2</w:t>
            </w:r>
          </w:p>
        </w:tc>
        <w:tc>
          <w:tcPr>
            <w:tcW w:w="0" w:type="auto"/>
            <w:vAlign w:val="center"/>
          </w:tcPr>
          <w:p w14:paraId="7D1ADCD2"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c>
          <w:tcPr>
            <w:tcW w:w="870" w:type="dxa"/>
            <w:tcBorders>
              <w:top w:val="nil"/>
              <w:left w:val="single" w:sz="8" w:space="0" w:color="auto"/>
              <w:bottom w:val="single" w:sz="8" w:space="0" w:color="auto"/>
              <w:right w:val="single" w:sz="8" w:space="0" w:color="auto"/>
            </w:tcBorders>
            <w:shd w:val="clear" w:color="auto" w:fill="auto"/>
            <w:vAlign w:val="center"/>
          </w:tcPr>
          <w:p w14:paraId="0A967009"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1</w:t>
            </w:r>
          </w:p>
        </w:tc>
        <w:tc>
          <w:tcPr>
            <w:tcW w:w="708" w:type="dxa"/>
            <w:vAlign w:val="center"/>
          </w:tcPr>
          <w:p w14:paraId="4854B39B" w14:textId="77777777" w:rsidR="00EE1AC4" w:rsidRPr="00424274" w:rsidRDefault="00EE1AC4" w:rsidP="00EE1AC4">
            <w:pPr>
              <w:jc w:val="center"/>
              <w:rPr>
                <w:rFonts w:ascii="Arial" w:hAnsi="Arial"/>
                <w:b/>
                <w:bCs/>
                <w:sz w:val="16"/>
                <w:szCs w:val="16"/>
              </w:rPr>
            </w:pPr>
          </w:p>
        </w:tc>
      </w:tr>
      <w:tr w:rsidR="00EE1AC4" w:rsidRPr="00424274" w14:paraId="67EA3FF4" w14:textId="77777777" w:rsidTr="00C67A40">
        <w:trPr>
          <w:trHeight w:val="255"/>
        </w:trPr>
        <w:tc>
          <w:tcPr>
            <w:tcW w:w="3756" w:type="dxa"/>
            <w:shd w:val="clear" w:color="auto" w:fill="99FF33"/>
            <w:noWrap/>
            <w:vAlign w:val="center"/>
            <w:hideMark/>
          </w:tcPr>
          <w:p w14:paraId="2FA84B2E" w14:textId="77777777" w:rsidR="00EE1AC4" w:rsidRPr="00424274" w:rsidRDefault="00EE1AC4" w:rsidP="00EE1AC4">
            <w:pPr>
              <w:widowControl/>
              <w:jc w:val="left"/>
              <w:rPr>
                <w:rFonts w:ascii="Arial" w:hAnsi="Arial"/>
                <w:b/>
                <w:bCs/>
                <w:sz w:val="16"/>
                <w:szCs w:val="16"/>
                <w:lang w:eastAsia="sl-SI"/>
              </w:rPr>
            </w:pPr>
            <w:r w:rsidRPr="00424274">
              <w:rPr>
                <w:rFonts w:ascii="Arial" w:hAnsi="Arial"/>
                <w:b/>
                <w:bCs/>
                <w:sz w:val="16"/>
                <w:szCs w:val="16"/>
                <w:lang w:eastAsia="sl-SI"/>
              </w:rPr>
              <w:t>Tržni inšpektorat</w:t>
            </w:r>
          </w:p>
        </w:tc>
        <w:tc>
          <w:tcPr>
            <w:tcW w:w="782" w:type="dxa"/>
            <w:vAlign w:val="center"/>
          </w:tcPr>
          <w:p w14:paraId="6658EAAB" w14:textId="77777777" w:rsidR="00EE1AC4" w:rsidRPr="00424274" w:rsidRDefault="00EE1AC4" w:rsidP="00EE1AC4">
            <w:pPr>
              <w:jc w:val="center"/>
              <w:rPr>
                <w:rFonts w:ascii="Arial" w:hAnsi="Arial"/>
                <w:b/>
                <w:bCs/>
                <w:sz w:val="16"/>
                <w:szCs w:val="16"/>
              </w:rPr>
            </w:pPr>
          </w:p>
        </w:tc>
        <w:tc>
          <w:tcPr>
            <w:tcW w:w="683" w:type="dxa"/>
            <w:vAlign w:val="center"/>
          </w:tcPr>
          <w:p w14:paraId="7C2F7C7B" w14:textId="77777777" w:rsidR="00EE1AC4" w:rsidRPr="00424274" w:rsidRDefault="00EE1AC4" w:rsidP="00EE1AC4">
            <w:pPr>
              <w:jc w:val="center"/>
              <w:rPr>
                <w:rFonts w:ascii="Arial" w:hAnsi="Arial"/>
                <w:b/>
                <w:bCs/>
                <w:sz w:val="16"/>
                <w:szCs w:val="16"/>
              </w:rPr>
            </w:pPr>
          </w:p>
        </w:tc>
        <w:tc>
          <w:tcPr>
            <w:tcW w:w="726" w:type="dxa"/>
            <w:shd w:val="clear" w:color="auto" w:fill="auto"/>
            <w:vAlign w:val="center"/>
          </w:tcPr>
          <w:p w14:paraId="44C77D22"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1</w:t>
            </w:r>
          </w:p>
        </w:tc>
        <w:tc>
          <w:tcPr>
            <w:tcW w:w="0" w:type="auto"/>
            <w:vAlign w:val="center"/>
          </w:tcPr>
          <w:p w14:paraId="34186455" w14:textId="77777777" w:rsidR="00EE1AC4" w:rsidRPr="00424274" w:rsidRDefault="00EE1AC4" w:rsidP="00EE1AC4"/>
        </w:tc>
        <w:tc>
          <w:tcPr>
            <w:tcW w:w="0" w:type="auto"/>
            <w:vAlign w:val="center"/>
          </w:tcPr>
          <w:p w14:paraId="26CDE8B2"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c>
          <w:tcPr>
            <w:tcW w:w="0" w:type="auto"/>
            <w:vAlign w:val="center"/>
          </w:tcPr>
          <w:p w14:paraId="4464CA02"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c>
          <w:tcPr>
            <w:tcW w:w="870" w:type="dxa"/>
            <w:tcBorders>
              <w:top w:val="nil"/>
              <w:left w:val="single" w:sz="8" w:space="0" w:color="auto"/>
              <w:bottom w:val="single" w:sz="8" w:space="0" w:color="auto"/>
              <w:right w:val="single" w:sz="8" w:space="0" w:color="auto"/>
            </w:tcBorders>
            <w:shd w:val="clear" w:color="auto" w:fill="auto"/>
            <w:vAlign w:val="center"/>
          </w:tcPr>
          <w:p w14:paraId="69A6844B" w14:textId="77777777" w:rsidR="00EE1AC4" w:rsidRPr="00424274" w:rsidRDefault="00EE1AC4" w:rsidP="00EE1AC4">
            <w:pPr>
              <w:jc w:val="center"/>
              <w:rPr>
                <w:rFonts w:ascii="Arial" w:hAnsi="Arial"/>
                <w:b/>
                <w:bCs/>
                <w:sz w:val="16"/>
                <w:szCs w:val="16"/>
              </w:rPr>
            </w:pPr>
          </w:p>
        </w:tc>
        <w:tc>
          <w:tcPr>
            <w:tcW w:w="708" w:type="dxa"/>
            <w:vAlign w:val="center"/>
          </w:tcPr>
          <w:p w14:paraId="342E1BB8" w14:textId="77777777" w:rsidR="00EE1AC4" w:rsidRPr="00424274" w:rsidRDefault="00EE1AC4" w:rsidP="00EE1AC4">
            <w:pPr>
              <w:jc w:val="center"/>
              <w:rPr>
                <w:rFonts w:ascii="Arial" w:hAnsi="Arial"/>
                <w:b/>
                <w:bCs/>
                <w:sz w:val="16"/>
                <w:szCs w:val="16"/>
              </w:rPr>
            </w:pPr>
          </w:p>
        </w:tc>
      </w:tr>
      <w:tr w:rsidR="00EE1AC4" w:rsidRPr="00424274" w14:paraId="03FA1DDC" w14:textId="77777777" w:rsidTr="00C67A40">
        <w:trPr>
          <w:trHeight w:val="255"/>
        </w:trPr>
        <w:tc>
          <w:tcPr>
            <w:tcW w:w="3756" w:type="dxa"/>
            <w:shd w:val="clear" w:color="auto" w:fill="99FF33"/>
            <w:noWrap/>
            <w:vAlign w:val="center"/>
            <w:hideMark/>
          </w:tcPr>
          <w:p w14:paraId="20A452E0" w14:textId="77777777" w:rsidR="00EE1AC4" w:rsidRPr="00424274" w:rsidRDefault="00EE1AC4" w:rsidP="00EE1AC4">
            <w:pPr>
              <w:widowControl/>
              <w:jc w:val="left"/>
              <w:rPr>
                <w:rFonts w:ascii="Arial" w:hAnsi="Arial"/>
                <w:b/>
                <w:bCs/>
                <w:sz w:val="16"/>
                <w:szCs w:val="16"/>
                <w:lang w:eastAsia="sl-SI"/>
              </w:rPr>
            </w:pPr>
            <w:r w:rsidRPr="00424274">
              <w:rPr>
                <w:rFonts w:ascii="Arial" w:hAnsi="Arial"/>
                <w:b/>
                <w:bCs/>
                <w:sz w:val="16"/>
                <w:szCs w:val="16"/>
                <w:lang w:eastAsia="sl-SI"/>
              </w:rPr>
              <w:t>Banka Slovenije</w:t>
            </w:r>
          </w:p>
        </w:tc>
        <w:tc>
          <w:tcPr>
            <w:tcW w:w="782" w:type="dxa"/>
            <w:vAlign w:val="center"/>
          </w:tcPr>
          <w:p w14:paraId="5B0C300B" w14:textId="77777777" w:rsidR="00EE1AC4" w:rsidRPr="00424274" w:rsidRDefault="00EE1AC4" w:rsidP="00EE1AC4">
            <w:pPr>
              <w:jc w:val="center"/>
              <w:rPr>
                <w:rFonts w:ascii="Arial" w:hAnsi="Arial"/>
                <w:b/>
                <w:bCs/>
                <w:sz w:val="16"/>
                <w:szCs w:val="16"/>
              </w:rPr>
            </w:pPr>
          </w:p>
        </w:tc>
        <w:tc>
          <w:tcPr>
            <w:tcW w:w="683" w:type="dxa"/>
            <w:vAlign w:val="center"/>
          </w:tcPr>
          <w:p w14:paraId="7D9BF993"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3</w:t>
            </w:r>
          </w:p>
        </w:tc>
        <w:tc>
          <w:tcPr>
            <w:tcW w:w="726" w:type="dxa"/>
            <w:shd w:val="clear" w:color="auto" w:fill="auto"/>
            <w:vAlign w:val="center"/>
          </w:tcPr>
          <w:p w14:paraId="63C2659A"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3</w:t>
            </w:r>
          </w:p>
        </w:tc>
        <w:tc>
          <w:tcPr>
            <w:tcW w:w="0" w:type="auto"/>
            <w:vAlign w:val="center"/>
          </w:tcPr>
          <w:p w14:paraId="33C09FAF" w14:textId="77777777" w:rsidR="00EE1AC4" w:rsidRPr="00424274" w:rsidRDefault="00EE1AC4" w:rsidP="00EE1AC4"/>
        </w:tc>
        <w:tc>
          <w:tcPr>
            <w:tcW w:w="0" w:type="auto"/>
            <w:vAlign w:val="center"/>
          </w:tcPr>
          <w:p w14:paraId="7FBAD523"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11</w:t>
            </w:r>
          </w:p>
        </w:tc>
        <w:tc>
          <w:tcPr>
            <w:tcW w:w="0" w:type="auto"/>
            <w:vAlign w:val="center"/>
          </w:tcPr>
          <w:p w14:paraId="3D8F9461"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c>
          <w:tcPr>
            <w:tcW w:w="870" w:type="dxa"/>
            <w:tcBorders>
              <w:top w:val="nil"/>
              <w:left w:val="single" w:sz="8" w:space="0" w:color="auto"/>
              <w:bottom w:val="single" w:sz="8" w:space="0" w:color="auto"/>
              <w:right w:val="single" w:sz="8" w:space="0" w:color="auto"/>
            </w:tcBorders>
            <w:shd w:val="clear" w:color="auto" w:fill="auto"/>
            <w:vAlign w:val="center"/>
          </w:tcPr>
          <w:p w14:paraId="483C2009"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13</w:t>
            </w:r>
          </w:p>
        </w:tc>
        <w:tc>
          <w:tcPr>
            <w:tcW w:w="708" w:type="dxa"/>
            <w:vAlign w:val="center"/>
          </w:tcPr>
          <w:p w14:paraId="45A5C818" w14:textId="77777777" w:rsidR="00EE1AC4" w:rsidRPr="00424274" w:rsidRDefault="00EE1AC4" w:rsidP="00EE1AC4">
            <w:pPr>
              <w:jc w:val="center"/>
              <w:rPr>
                <w:rFonts w:ascii="Arial" w:hAnsi="Arial"/>
                <w:b/>
                <w:bCs/>
                <w:sz w:val="16"/>
                <w:szCs w:val="16"/>
              </w:rPr>
            </w:pPr>
          </w:p>
        </w:tc>
      </w:tr>
      <w:tr w:rsidR="00EE1AC4" w:rsidRPr="00424274" w14:paraId="688F7BAA" w14:textId="77777777" w:rsidTr="00C67A40">
        <w:trPr>
          <w:trHeight w:val="255"/>
        </w:trPr>
        <w:tc>
          <w:tcPr>
            <w:tcW w:w="3756" w:type="dxa"/>
            <w:shd w:val="clear" w:color="auto" w:fill="99FF33"/>
            <w:noWrap/>
            <w:vAlign w:val="center"/>
            <w:hideMark/>
          </w:tcPr>
          <w:p w14:paraId="2D582BEF" w14:textId="77777777" w:rsidR="00EE1AC4" w:rsidRPr="00424274" w:rsidRDefault="00EE1AC4" w:rsidP="00EE1AC4">
            <w:pPr>
              <w:widowControl/>
              <w:jc w:val="left"/>
              <w:rPr>
                <w:rFonts w:ascii="Arial" w:hAnsi="Arial"/>
                <w:b/>
                <w:bCs/>
                <w:sz w:val="16"/>
                <w:szCs w:val="16"/>
                <w:lang w:eastAsia="sl-SI"/>
              </w:rPr>
            </w:pPr>
            <w:r w:rsidRPr="00424274">
              <w:rPr>
                <w:rFonts w:ascii="Arial" w:hAnsi="Arial"/>
                <w:b/>
                <w:bCs/>
                <w:sz w:val="16"/>
                <w:szCs w:val="16"/>
                <w:lang w:eastAsia="sl-SI"/>
              </w:rPr>
              <w:t>Agencija za zavarovalni nadzor</w:t>
            </w:r>
          </w:p>
        </w:tc>
        <w:tc>
          <w:tcPr>
            <w:tcW w:w="782" w:type="dxa"/>
            <w:vAlign w:val="center"/>
          </w:tcPr>
          <w:p w14:paraId="2A9A2D58" w14:textId="77777777" w:rsidR="00EE1AC4" w:rsidRPr="00424274" w:rsidRDefault="00EE1AC4" w:rsidP="00EE1AC4">
            <w:pPr>
              <w:jc w:val="center"/>
              <w:rPr>
                <w:rFonts w:ascii="Arial" w:hAnsi="Arial"/>
                <w:b/>
                <w:bCs/>
                <w:sz w:val="16"/>
                <w:szCs w:val="16"/>
              </w:rPr>
            </w:pPr>
          </w:p>
        </w:tc>
        <w:tc>
          <w:tcPr>
            <w:tcW w:w="683" w:type="dxa"/>
            <w:vAlign w:val="center"/>
          </w:tcPr>
          <w:p w14:paraId="77CA4150" w14:textId="77777777" w:rsidR="00EE1AC4" w:rsidRPr="00424274" w:rsidRDefault="00EE1AC4" w:rsidP="00EE1AC4">
            <w:pPr>
              <w:jc w:val="center"/>
              <w:rPr>
                <w:rFonts w:ascii="Arial" w:hAnsi="Arial"/>
                <w:b/>
                <w:bCs/>
                <w:sz w:val="16"/>
                <w:szCs w:val="16"/>
              </w:rPr>
            </w:pPr>
          </w:p>
        </w:tc>
        <w:tc>
          <w:tcPr>
            <w:tcW w:w="726" w:type="dxa"/>
            <w:shd w:val="clear" w:color="auto" w:fill="auto"/>
            <w:vAlign w:val="center"/>
          </w:tcPr>
          <w:p w14:paraId="25388AAF" w14:textId="77777777" w:rsidR="00EE1AC4" w:rsidRPr="00424274" w:rsidRDefault="00EE1AC4" w:rsidP="00EE1AC4"/>
        </w:tc>
        <w:tc>
          <w:tcPr>
            <w:tcW w:w="0" w:type="auto"/>
            <w:shd w:val="clear" w:color="auto" w:fill="auto"/>
            <w:vAlign w:val="center"/>
          </w:tcPr>
          <w:p w14:paraId="052D0F5B" w14:textId="77777777" w:rsidR="00EE1AC4" w:rsidRPr="00424274" w:rsidRDefault="00EE1AC4" w:rsidP="00EE1AC4"/>
        </w:tc>
        <w:tc>
          <w:tcPr>
            <w:tcW w:w="0" w:type="auto"/>
            <w:vAlign w:val="center"/>
          </w:tcPr>
          <w:p w14:paraId="2CB2B6E1"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c>
          <w:tcPr>
            <w:tcW w:w="0" w:type="auto"/>
            <w:vAlign w:val="center"/>
          </w:tcPr>
          <w:p w14:paraId="5F1E9EA4"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c>
          <w:tcPr>
            <w:tcW w:w="870" w:type="dxa"/>
            <w:tcBorders>
              <w:top w:val="nil"/>
              <w:left w:val="single" w:sz="8" w:space="0" w:color="auto"/>
              <w:bottom w:val="single" w:sz="8" w:space="0" w:color="auto"/>
              <w:right w:val="single" w:sz="8" w:space="0" w:color="auto"/>
            </w:tcBorders>
            <w:shd w:val="clear" w:color="auto" w:fill="auto"/>
            <w:vAlign w:val="center"/>
          </w:tcPr>
          <w:p w14:paraId="34B8EFAB"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1</w:t>
            </w:r>
          </w:p>
        </w:tc>
        <w:tc>
          <w:tcPr>
            <w:tcW w:w="708" w:type="dxa"/>
            <w:vAlign w:val="center"/>
          </w:tcPr>
          <w:p w14:paraId="35CF30CA" w14:textId="77777777" w:rsidR="00EE1AC4" w:rsidRPr="00424274" w:rsidRDefault="00EE1AC4" w:rsidP="00EE1AC4">
            <w:pPr>
              <w:jc w:val="center"/>
              <w:rPr>
                <w:rFonts w:ascii="Arial" w:hAnsi="Arial"/>
                <w:b/>
                <w:bCs/>
                <w:sz w:val="16"/>
                <w:szCs w:val="16"/>
              </w:rPr>
            </w:pPr>
          </w:p>
        </w:tc>
      </w:tr>
      <w:tr w:rsidR="00EE1AC4" w:rsidRPr="00424274" w14:paraId="510E05A3" w14:textId="77777777" w:rsidTr="00C67A40">
        <w:trPr>
          <w:trHeight w:val="255"/>
        </w:trPr>
        <w:tc>
          <w:tcPr>
            <w:tcW w:w="3756" w:type="dxa"/>
            <w:shd w:val="clear" w:color="auto" w:fill="00CCFF"/>
            <w:noWrap/>
            <w:vAlign w:val="center"/>
            <w:hideMark/>
          </w:tcPr>
          <w:p w14:paraId="63881122" w14:textId="77777777" w:rsidR="00EE1AC4" w:rsidRPr="00424274" w:rsidRDefault="00EE1AC4" w:rsidP="00EE1AC4">
            <w:pPr>
              <w:widowControl/>
              <w:jc w:val="left"/>
              <w:rPr>
                <w:rFonts w:ascii="Arial" w:hAnsi="Arial"/>
                <w:b/>
                <w:bCs/>
                <w:sz w:val="16"/>
                <w:szCs w:val="16"/>
                <w:lang w:eastAsia="sl-SI"/>
              </w:rPr>
            </w:pPr>
            <w:r w:rsidRPr="00424274">
              <w:rPr>
                <w:rFonts w:ascii="Arial" w:hAnsi="Arial"/>
                <w:b/>
                <w:bCs/>
                <w:sz w:val="16"/>
                <w:szCs w:val="16"/>
                <w:lang w:eastAsia="sl-SI"/>
              </w:rPr>
              <w:t>5. URAD NA LASTNO POBUDO</w:t>
            </w:r>
          </w:p>
        </w:tc>
        <w:tc>
          <w:tcPr>
            <w:tcW w:w="782" w:type="dxa"/>
            <w:shd w:val="clear" w:color="auto" w:fill="00CCFF"/>
            <w:vAlign w:val="center"/>
          </w:tcPr>
          <w:p w14:paraId="76062029"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2</w:t>
            </w:r>
          </w:p>
        </w:tc>
        <w:tc>
          <w:tcPr>
            <w:tcW w:w="683" w:type="dxa"/>
            <w:shd w:val="clear" w:color="auto" w:fill="00CCFF"/>
            <w:vAlign w:val="center"/>
          </w:tcPr>
          <w:p w14:paraId="640CCACA"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3</w:t>
            </w:r>
          </w:p>
        </w:tc>
        <w:tc>
          <w:tcPr>
            <w:tcW w:w="726" w:type="dxa"/>
            <w:shd w:val="clear" w:color="auto" w:fill="00CCFF"/>
            <w:vAlign w:val="center"/>
          </w:tcPr>
          <w:p w14:paraId="59CC9800"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4</w:t>
            </w:r>
          </w:p>
        </w:tc>
        <w:tc>
          <w:tcPr>
            <w:tcW w:w="0" w:type="auto"/>
            <w:shd w:val="clear" w:color="auto" w:fill="00CCFF"/>
            <w:vAlign w:val="center"/>
          </w:tcPr>
          <w:p w14:paraId="18F01211" w14:textId="77777777" w:rsidR="00EE1AC4" w:rsidRPr="00424274" w:rsidRDefault="00EE1AC4" w:rsidP="00EE1AC4"/>
        </w:tc>
        <w:tc>
          <w:tcPr>
            <w:tcW w:w="0" w:type="auto"/>
            <w:shd w:val="clear" w:color="auto" w:fill="00CCFF"/>
            <w:vAlign w:val="center"/>
          </w:tcPr>
          <w:p w14:paraId="4CF1D664"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1</w:t>
            </w:r>
          </w:p>
        </w:tc>
        <w:tc>
          <w:tcPr>
            <w:tcW w:w="0" w:type="auto"/>
            <w:shd w:val="clear" w:color="auto" w:fill="00CCFF"/>
            <w:vAlign w:val="center"/>
          </w:tcPr>
          <w:p w14:paraId="74BA875A"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c>
          <w:tcPr>
            <w:tcW w:w="870" w:type="dxa"/>
            <w:tcBorders>
              <w:top w:val="nil"/>
              <w:left w:val="single" w:sz="8" w:space="0" w:color="auto"/>
              <w:bottom w:val="single" w:sz="8" w:space="0" w:color="000000"/>
              <w:right w:val="single" w:sz="8" w:space="0" w:color="auto"/>
            </w:tcBorders>
            <w:shd w:val="clear" w:color="auto" w:fill="33CCFF"/>
            <w:vAlign w:val="center"/>
          </w:tcPr>
          <w:p w14:paraId="32E77D69"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2</w:t>
            </w:r>
          </w:p>
        </w:tc>
        <w:tc>
          <w:tcPr>
            <w:tcW w:w="708" w:type="dxa"/>
            <w:tcBorders>
              <w:top w:val="nil"/>
              <w:left w:val="nil"/>
              <w:bottom w:val="single" w:sz="8" w:space="0" w:color="000000"/>
              <w:right w:val="single" w:sz="8" w:space="0" w:color="auto"/>
            </w:tcBorders>
            <w:shd w:val="clear" w:color="auto" w:fill="33CCFF"/>
            <w:vAlign w:val="center"/>
          </w:tcPr>
          <w:p w14:paraId="75C2E667"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1</w:t>
            </w:r>
          </w:p>
        </w:tc>
      </w:tr>
      <w:tr w:rsidR="00EE1AC4" w:rsidRPr="00424274" w14:paraId="3AFD546C" w14:textId="77777777" w:rsidTr="00C67A40">
        <w:trPr>
          <w:trHeight w:val="255"/>
        </w:trPr>
        <w:tc>
          <w:tcPr>
            <w:tcW w:w="3756" w:type="dxa"/>
            <w:shd w:val="clear" w:color="auto" w:fill="00CCFF"/>
            <w:noWrap/>
            <w:vAlign w:val="center"/>
            <w:hideMark/>
          </w:tcPr>
          <w:p w14:paraId="21FB20BF" w14:textId="77777777" w:rsidR="00EE1AC4" w:rsidRPr="00424274" w:rsidRDefault="00EE1AC4" w:rsidP="00EE1AC4">
            <w:pPr>
              <w:widowControl/>
              <w:jc w:val="left"/>
              <w:rPr>
                <w:rFonts w:ascii="Arial" w:hAnsi="Arial"/>
                <w:b/>
                <w:bCs/>
                <w:sz w:val="16"/>
                <w:szCs w:val="16"/>
                <w:lang w:eastAsia="sl-SI"/>
              </w:rPr>
            </w:pPr>
            <w:r w:rsidRPr="00424274">
              <w:rPr>
                <w:rFonts w:ascii="Arial" w:hAnsi="Arial"/>
                <w:b/>
                <w:bCs/>
                <w:sz w:val="16"/>
                <w:szCs w:val="16"/>
                <w:lang w:eastAsia="sl-SI"/>
              </w:rPr>
              <w:t> </w:t>
            </w:r>
          </w:p>
        </w:tc>
        <w:tc>
          <w:tcPr>
            <w:tcW w:w="782" w:type="dxa"/>
            <w:shd w:val="clear" w:color="auto" w:fill="00CCFF"/>
            <w:vAlign w:val="center"/>
          </w:tcPr>
          <w:p w14:paraId="3A2413C2" w14:textId="64083502" w:rsidR="00EE1AC4" w:rsidRPr="00424274" w:rsidRDefault="00EE1AC4" w:rsidP="00EE1AC4">
            <w:pPr>
              <w:jc w:val="center"/>
              <w:rPr>
                <w:rFonts w:ascii="Arial" w:hAnsi="Arial"/>
                <w:b/>
                <w:bCs/>
                <w:sz w:val="16"/>
                <w:szCs w:val="16"/>
              </w:rPr>
            </w:pPr>
            <w:r w:rsidRPr="00424274">
              <w:rPr>
                <w:rFonts w:ascii="Arial" w:hAnsi="Arial"/>
                <w:b/>
                <w:bCs/>
                <w:sz w:val="16"/>
                <w:szCs w:val="16"/>
              </w:rPr>
              <w:t>0,45</w:t>
            </w:r>
            <w:r w:rsidR="00475AFD">
              <w:rPr>
                <w:rFonts w:ascii="Arial" w:hAnsi="Arial"/>
                <w:b/>
                <w:bCs/>
                <w:sz w:val="16"/>
                <w:szCs w:val="16"/>
              </w:rPr>
              <w:t> </w:t>
            </w:r>
            <w:r w:rsidRPr="00424274">
              <w:rPr>
                <w:rFonts w:ascii="Arial" w:hAnsi="Arial"/>
                <w:b/>
                <w:bCs/>
                <w:sz w:val="16"/>
                <w:szCs w:val="16"/>
              </w:rPr>
              <w:t>%</w:t>
            </w:r>
          </w:p>
        </w:tc>
        <w:tc>
          <w:tcPr>
            <w:tcW w:w="683" w:type="dxa"/>
            <w:shd w:val="clear" w:color="auto" w:fill="00CCFF"/>
            <w:vAlign w:val="center"/>
          </w:tcPr>
          <w:p w14:paraId="1516C130" w14:textId="2D1FAA0D" w:rsidR="00EE1AC4" w:rsidRPr="00424274" w:rsidRDefault="00EE1AC4" w:rsidP="00EE1AC4">
            <w:pPr>
              <w:jc w:val="center"/>
              <w:rPr>
                <w:rFonts w:ascii="Arial" w:hAnsi="Arial"/>
                <w:b/>
                <w:bCs/>
                <w:sz w:val="16"/>
                <w:szCs w:val="16"/>
              </w:rPr>
            </w:pPr>
            <w:r w:rsidRPr="00424274">
              <w:rPr>
                <w:rFonts w:ascii="Arial" w:hAnsi="Arial"/>
                <w:b/>
                <w:bCs/>
                <w:sz w:val="16"/>
                <w:szCs w:val="16"/>
              </w:rPr>
              <w:t>0,54</w:t>
            </w:r>
            <w:r w:rsidR="00475AFD">
              <w:rPr>
                <w:rFonts w:ascii="Arial" w:hAnsi="Arial"/>
                <w:b/>
                <w:bCs/>
                <w:sz w:val="16"/>
                <w:szCs w:val="16"/>
              </w:rPr>
              <w:t> </w:t>
            </w:r>
            <w:r w:rsidRPr="00424274">
              <w:rPr>
                <w:rFonts w:ascii="Arial" w:hAnsi="Arial"/>
                <w:b/>
                <w:bCs/>
                <w:sz w:val="16"/>
                <w:szCs w:val="16"/>
              </w:rPr>
              <w:t>%</w:t>
            </w:r>
          </w:p>
        </w:tc>
        <w:tc>
          <w:tcPr>
            <w:tcW w:w="726" w:type="dxa"/>
            <w:shd w:val="clear" w:color="auto" w:fill="00CCFF"/>
            <w:vAlign w:val="center"/>
          </w:tcPr>
          <w:p w14:paraId="24FDFB65" w14:textId="6541B7AD" w:rsidR="00EE1AC4" w:rsidRPr="00424274" w:rsidRDefault="00EE1AC4" w:rsidP="00EE1AC4">
            <w:pPr>
              <w:jc w:val="center"/>
              <w:rPr>
                <w:rFonts w:ascii="Arial" w:hAnsi="Arial"/>
                <w:b/>
                <w:bCs/>
                <w:sz w:val="16"/>
                <w:szCs w:val="16"/>
              </w:rPr>
            </w:pPr>
            <w:r w:rsidRPr="00424274">
              <w:rPr>
                <w:rFonts w:ascii="Arial" w:hAnsi="Arial"/>
                <w:b/>
                <w:bCs/>
                <w:sz w:val="16"/>
                <w:szCs w:val="16"/>
              </w:rPr>
              <w:t>0,53</w:t>
            </w:r>
            <w:r w:rsidR="00475AFD">
              <w:rPr>
                <w:rFonts w:ascii="Arial" w:hAnsi="Arial"/>
                <w:b/>
                <w:bCs/>
                <w:sz w:val="16"/>
                <w:szCs w:val="16"/>
              </w:rPr>
              <w:t> </w:t>
            </w:r>
            <w:r w:rsidRPr="00424274">
              <w:rPr>
                <w:rFonts w:ascii="Arial" w:hAnsi="Arial"/>
                <w:b/>
                <w:bCs/>
                <w:sz w:val="16"/>
                <w:szCs w:val="16"/>
              </w:rPr>
              <w:t>%</w:t>
            </w:r>
          </w:p>
        </w:tc>
        <w:tc>
          <w:tcPr>
            <w:tcW w:w="0" w:type="auto"/>
            <w:shd w:val="clear" w:color="auto" w:fill="00CCFF"/>
            <w:vAlign w:val="center"/>
          </w:tcPr>
          <w:p w14:paraId="3EA22AEE" w14:textId="0F49B9EC" w:rsidR="00EE1AC4" w:rsidRPr="00424274" w:rsidRDefault="00EE1AC4" w:rsidP="00EE1AC4">
            <w:pPr>
              <w:jc w:val="center"/>
              <w:rPr>
                <w:rFonts w:ascii="Arial" w:hAnsi="Arial"/>
                <w:b/>
                <w:bCs/>
                <w:sz w:val="16"/>
                <w:szCs w:val="16"/>
              </w:rPr>
            </w:pPr>
            <w:r w:rsidRPr="00424274">
              <w:rPr>
                <w:rFonts w:ascii="Arial" w:hAnsi="Arial"/>
                <w:b/>
                <w:bCs/>
                <w:sz w:val="16"/>
                <w:szCs w:val="16"/>
              </w:rPr>
              <w:t>0,00</w:t>
            </w:r>
            <w:r w:rsidR="00475AFD">
              <w:rPr>
                <w:rFonts w:ascii="Arial" w:hAnsi="Arial"/>
                <w:b/>
                <w:bCs/>
                <w:sz w:val="16"/>
                <w:szCs w:val="16"/>
              </w:rPr>
              <w:t> </w:t>
            </w:r>
            <w:r w:rsidRPr="00424274">
              <w:rPr>
                <w:rFonts w:ascii="Arial" w:hAnsi="Arial"/>
                <w:b/>
                <w:bCs/>
                <w:sz w:val="16"/>
                <w:szCs w:val="16"/>
              </w:rPr>
              <w:t>%</w:t>
            </w:r>
          </w:p>
        </w:tc>
        <w:tc>
          <w:tcPr>
            <w:tcW w:w="0" w:type="auto"/>
            <w:shd w:val="clear" w:color="auto" w:fill="00CCFF"/>
            <w:vAlign w:val="center"/>
          </w:tcPr>
          <w:p w14:paraId="6E55D31C" w14:textId="5F54F113" w:rsidR="00EE1AC4" w:rsidRPr="00424274" w:rsidRDefault="00EE1AC4" w:rsidP="00EE1AC4">
            <w:pPr>
              <w:jc w:val="center"/>
              <w:rPr>
                <w:rFonts w:ascii="Arial" w:hAnsi="Arial"/>
                <w:b/>
                <w:bCs/>
                <w:sz w:val="16"/>
                <w:szCs w:val="16"/>
              </w:rPr>
            </w:pPr>
            <w:r w:rsidRPr="00424274">
              <w:rPr>
                <w:rFonts w:ascii="Arial" w:hAnsi="Arial"/>
                <w:b/>
                <w:bCs/>
                <w:sz w:val="16"/>
                <w:szCs w:val="16"/>
              </w:rPr>
              <w:t>0,10</w:t>
            </w:r>
            <w:r w:rsidR="00475AFD">
              <w:rPr>
                <w:rFonts w:ascii="Arial" w:hAnsi="Arial"/>
                <w:b/>
                <w:bCs/>
                <w:sz w:val="16"/>
                <w:szCs w:val="16"/>
              </w:rPr>
              <w:t> </w:t>
            </w:r>
            <w:r w:rsidRPr="00424274">
              <w:rPr>
                <w:rFonts w:ascii="Arial" w:hAnsi="Arial"/>
                <w:b/>
                <w:bCs/>
                <w:sz w:val="16"/>
                <w:szCs w:val="16"/>
              </w:rPr>
              <w:t>%</w:t>
            </w:r>
          </w:p>
        </w:tc>
        <w:tc>
          <w:tcPr>
            <w:tcW w:w="0" w:type="auto"/>
            <w:shd w:val="clear" w:color="auto" w:fill="00CCFF"/>
            <w:vAlign w:val="center"/>
          </w:tcPr>
          <w:p w14:paraId="6D90D387" w14:textId="33E2BE61" w:rsidR="00EE1AC4" w:rsidRPr="00424274" w:rsidRDefault="00EE1AC4" w:rsidP="00EE1AC4">
            <w:pPr>
              <w:jc w:val="center"/>
              <w:rPr>
                <w:rFonts w:ascii="Arial" w:hAnsi="Arial"/>
                <w:b/>
                <w:bCs/>
                <w:sz w:val="16"/>
                <w:szCs w:val="16"/>
              </w:rPr>
            </w:pPr>
            <w:r w:rsidRPr="00424274">
              <w:rPr>
                <w:rFonts w:ascii="Arial" w:hAnsi="Arial"/>
                <w:b/>
                <w:bCs/>
                <w:sz w:val="16"/>
                <w:szCs w:val="16"/>
              </w:rPr>
              <w:t>0,00</w:t>
            </w:r>
            <w:r w:rsidR="00475AFD">
              <w:rPr>
                <w:rFonts w:ascii="Arial" w:hAnsi="Arial"/>
                <w:b/>
                <w:bCs/>
                <w:sz w:val="16"/>
                <w:szCs w:val="16"/>
              </w:rPr>
              <w:t> </w:t>
            </w:r>
            <w:r w:rsidRPr="00424274">
              <w:rPr>
                <w:rFonts w:ascii="Arial" w:hAnsi="Arial"/>
                <w:b/>
                <w:bCs/>
                <w:sz w:val="16"/>
                <w:szCs w:val="16"/>
              </w:rPr>
              <w:t>%</w:t>
            </w:r>
          </w:p>
        </w:tc>
        <w:tc>
          <w:tcPr>
            <w:tcW w:w="870" w:type="dxa"/>
            <w:tcBorders>
              <w:top w:val="nil"/>
              <w:left w:val="single" w:sz="8" w:space="0" w:color="auto"/>
              <w:bottom w:val="single" w:sz="8" w:space="0" w:color="000000"/>
              <w:right w:val="single" w:sz="8" w:space="0" w:color="auto"/>
            </w:tcBorders>
            <w:shd w:val="clear" w:color="auto" w:fill="33CCFF"/>
            <w:vAlign w:val="center"/>
          </w:tcPr>
          <w:p w14:paraId="680FD3B5" w14:textId="13253913" w:rsidR="00EE1AC4" w:rsidRPr="00424274" w:rsidRDefault="00EE1AC4" w:rsidP="00EE1AC4">
            <w:pPr>
              <w:jc w:val="center"/>
              <w:rPr>
                <w:rFonts w:ascii="Arial" w:hAnsi="Arial"/>
                <w:b/>
                <w:bCs/>
                <w:sz w:val="16"/>
                <w:szCs w:val="16"/>
              </w:rPr>
            </w:pPr>
            <w:r w:rsidRPr="00424274">
              <w:rPr>
                <w:rFonts w:ascii="Arial" w:hAnsi="Arial"/>
                <w:b/>
                <w:bCs/>
                <w:sz w:val="16"/>
                <w:szCs w:val="16"/>
              </w:rPr>
              <w:t>0,18</w:t>
            </w:r>
            <w:r w:rsidR="00475AFD">
              <w:rPr>
                <w:rFonts w:ascii="Arial" w:hAnsi="Arial"/>
                <w:b/>
                <w:bCs/>
                <w:sz w:val="16"/>
                <w:szCs w:val="16"/>
              </w:rPr>
              <w:t> </w:t>
            </w:r>
            <w:r w:rsidRPr="00424274">
              <w:rPr>
                <w:rFonts w:ascii="Arial" w:hAnsi="Arial"/>
                <w:b/>
                <w:bCs/>
                <w:sz w:val="16"/>
                <w:szCs w:val="16"/>
              </w:rPr>
              <w:t>%</w:t>
            </w:r>
          </w:p>
        </w:tc>
        <w:tc>
          <w:tcPr>
            <w:tcW w:w="708" w:type="dxa"/>
            <w:tcBorders>
              <w:top w:val="nil"/>
              <w:left w:val="nil"/>
              <w:bottom w:val="single" w:sz="8" w:space="0" w:color="000000"/>
              <w:right w:val="single" w:sz="8" w:space="0" w:color="auto"/>
            </w:tcBorders>
            <w:shd w:val="clear" w:color="auto" w:fill="33CCFF"/>
            <w:vAlign w:val="center"/>
          </w:tcPr>
          <w:p w14:paraId="4239B5B9" w14:textId="7D532C0E" w:rsidR="00EE1AC4" w:rsidRPr="00424274" w:rsidRDefault="00EE1AC4" w:rsidP="00EE1AC4">
            <w:pPr>
              <w:jc w:val="center"/>
              <w:rPr>
                <w:rFonts w:ascii="Arial" w:hAnsi="Arial"/>
                <w:b/>
                <w:bCs/>
                <w:sz w:val="16"/>
                <w:szCs w:val="16"/>
              </w:rPr>
            </w:pPr>
            <w:r w:rsidRPr="00424274">
              <w:rPr>
                <w:rFonts w:ascii="Arial" w:hAnsi="Arial"/>
                <w:b/>
                <w:bCs/>
                <w:sz w:val="16"/>
                <w:szCs w:val="16"/>
              </w:rPr>
              <w:t>1,89</w:t>
            </w:r>
            <w:r w:rsidR="00475AFD">
              <w:rPr>
                <w:rFonts w:ascii="Arial" w:hAnsi="Arial"/>
                <w:b/>
                <w:bCs/>
                <w:sz w:val="16"/>
                <w:szCs w:val="16"/>
              </w:rPr>
              <w:t> </w:t>
            </w:r>
            <w:r w:rsidRPr="00424274">
              <w:rPr>
                <w:rFonts w:ascii="Arial" w:hAnsi="Arial"/>
                <w:b/>
                <w:bCs/>
                <w:sz w:val="16"/>
                <w:szCs w:val="16"/>
              </w:rPr>
              <w:t>%</w:t>
            </w:r>
          </w:p>
        </w:tc>
      </w:tr>
      <w:tr w:rsidR="00EE1AC4" w:rsidRPr="00424274" w14:paraId="4B13BC28" w14:textId="77777777" w:rsidTr="00C67A40">
        <w:trPr>
          <w:trHeight w:val="255"/>
        </w:trPr>
        <w:tc>
          <w:tcPr>
            <w:tcW w:w="3756" w:type="dxa"/>
            <w:shd w:val="clear" w:color="auto" w:fill="00CCFF"/>
            <w:noWrap/>
            <w:vAlign w:val="center"/>
            <w:hideMark/>
          </w:tcPr>
          <w:p w14:paraId="239C8163" w14:textId="77777777" w:rsidR="00EE1AC4" w:rsidRPr="00424274" w:rsidRDefault="00EE1AC4" w:rsidP="00EE1AC4">
            <w:pPr>
              <w:widowControl/>
              <w:jc w:val="left"/>
              <w:rPr>
                <w:rFonts w:ascii="Arial" w:hAnsi="Arial"/>
                <w:b/>
                <w:bCs/>
                <w:sz w:val="16"/>
                <w:szCs w:val="16"/>
                <w:lang w:eastAsia="sl-SI"/>
              </w:rPr>
            </w:pPr>
            <w:r w:rsidRPr="00424274">
              <w:rPr>
                <w:rFonts w:ascii="Arial" w:hAnsi="Arial"/>
                <w:b/>
                <w:bCs/>
                <w:sz w:val="16"/>
                <w:szCs w:val="16"/>
                <w:lang w:eastAsia="sl-SI"/>
              </w:rPr>
              <w:t>6. URADI DRUGIH DRŽAV</w:t>
            </w:r>
          </w:p>
        </w:tc>
        <w:tc>
          <w:tcPr>
            <w:tcW w:w="782" w:type="dxa"/>
            <w:shd w:val="clear" w:color="auto" w:fill="00CCFF"/>
            <w:vAlign w:val="center"/>
          </w:tcPr>
          <w:p w14:paraId="461C77C0"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20</w:t>
            </w:r>
          </w:p>
        </w:tc>
        <w:tc>
          <w:tcPr>
            <w:tcW w:w="683" w:type="dxa"/>
            <w:shd w:val="clear" w:color="auto" w:fill="00CCFF"/>
            <w:vAlign w:val="center"/>
          </w:tcPr>
          <w:p w14:paraId="4D2AD0D9"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28</w:t>
            </w:r>
          </w:p>
        </w:tc>
        <w:tc>
          <w:tcPr>
            <w:tcW w:w="726" w:type="dxa"/>
            <w:shd w:val="clear" w:color="auto" w:fill="00CCFF"/>
            <w:vAlign w:val="center"/>
          </w:tcPr>
          <w:p w14:paraId="7E9AF556"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40</w:t>
            </w:r>
          </w:p>
        </w:tc>
        <w:tc>
          <w:tcPr>
            <w:tcW w:w="0" w:type="auto"/>
            <w:shd w:val="clear" w:color="auto" w:fill="00CCFF"/>
            <w:vAlign w:val="center"/>
          </w:tcPr>
          <w:p w14:paraId="19C2E2A6"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2</w:t>
            </w:r>
          </w:p>
        </w:tc>
        <w:tc>
          <w:tcPr>
            <w:tcW w:w="0" w:type="auto"/>
            <w:shd w:val="clear" w:color="auto" w:fill="00CCFF"/>
            <w:vAlign w:val="center"/>
          </w:tcPr>
          <w:p w14:paraId="647DBE43"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53</w:t>
            </w:r>
          </w:p>
        </w:tc>
        <w:tc>
          <w:tcPr>
            <w:tcW w:w="0" w:type="auto"/>
            <w:shd w:val="clear" w:color="auto" w:fill="00CCFF"/>
            <w:vAlign w:val="center"/>
          </w:tcPr>
          <w:p w14:paraId="46F906E0"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2</w:t>
            </w:r>
          </w:p>
        </w:tc>
        <w:tc>
          <w:tcPr>
            <w:tcW w:w="870" w:type="dxa"/>
            <w:tcBorders>
              <w:top w:val="nil"/>
              <w:left w:val="single" w:sz="8" w:space="0" w:color="auto"/>
              <w:bottom w:val="single" w:sz="8" w:space="0" w:color="000000"/>
              <w:right w:val="single" w:sz="8" w:space="0" w:color="auto"/>
            </w:tcBorders>
            <w:shd w:val="clear" w:color="auto" w:fill="33CCFF"/>
            <w:vAlign w:val="center"/>
          </w:tcPr>
          <w:p w14:paraId="5A89A6DA"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58</w:t>
            </w:r>
          </w:p>
        </w:tc>
        <w:tc>
          <w:tcPr>
            <w:tcW w:w="708" w:type="dxa"/>
            <w:tcBorders>
              <w:top w:val="nil"/>
              <w:left w:val="nil"/>
              <w:bottom w:val="single" w:sz="8" w:space="0" w:color="000000"/>
              <w:right w:val="single" w:sz="8" w:space="0" w:color="auto"/>
            </w:tcBorders>
            <w:shd w:val="clear" w:color="auto" w:fill="33CCFF"/>
            <w:vAlign w:val="center"/>
          </w:tcPr>
          <w:p w14:paraId="6DD2CD1D" w14:textId="77777777" w:rsidR="00EE1AC4" w:rsidRPr="00424274" w:rsidRDefault="00EE1AC4" w:rsidP="00EE1AC4">
            <w:pPr>
              <w:jc w:val="center"/>
              <w:rPr>
                <w:rFonts w:ascii="Arial" w:hAnsi="Arial"/>
                <w:b/>
                <w:bCs/>
                <w:sz w:val="16"/>
                <w:szCs w:val="16"/>
              </w:rPr>
            </w:pPr>
            <w:r w:rsidRPr="00424274">
              <w:rPr>
                <w:rFonts w:ascii="Arial" w:hAnsi="Arial"/>
                <w:b/>
                <w:bCs/>
                <w:sz w:val="16"/>
                <w:szCs w:val="16"/>
              </w:rPr>
              <w:t> </w:t>
            </w:r>
          </w:p>
        </w:tc>
      </w:tr>
      <w:tr w:rsidR="00EE1AC4" w:rsidRPr="00424274" w14:paraId="1370CCF5" w14:textId="77777777" w:rsidTr="00C67A40">
        <w:trPr>
          <w:trHeight w:val="255"/>
        </w:trPr>
        <w:tc>
          <w:tcPr>
            <w:tcW w:w="3756" w:type="dxa"/>
            <w:shd w:val="clear" w:color="auto" w:fill="00CCFF"/>
            <w:noWrap/>
            <w:vAlign w:val="center"/>
            <w:hideMark/>
          </w:tcPr>
          <w:p w14:paraId="4F2636A7" w14:textId="77777777" w:rsidR="00EE1AC4" w:rsidRPr="00424274" w:rsidRDefault="00EE1AC4" w:rsidP="00EE1AC4">
            <w:pPr>
              <w:widowControl/>
              <w:jc w:val="left"/>
              <w:rPr>
                <w:rFonts w:ascii="Arial" w:hAnsi="Arial"/>
                <w:b/>
                <w:bCs/>
                <w:sz w:val="16"/>
                <w:szCs w:val="16"/>
                <w:lang w:eastAsia="sl-SI"/>
              </w:rPr>
            </w:pPr>
            <w:r w:rsidRPr="00424274">
              <w:rPr>
                <w:rFonts w:ascii="Arial" w:hAnsi="Arial"/>
                <w:b/>
                <w:bCs/>
                <w:sz w:val="16"/>
                <w:szCs w:val="16"/>
                <w:lang w:eastAsia="sl-SI"/>
              </w:rPr>
              <w:t> </w:t>
            </w:r>
          </w:p>
        </w:tc>
        <w:tc>
          <w:tcPr>
            <w:tcW w:w="782" w:type="dxa"/>
            <w:shd w:val="clear" w:color="auto" w:fill="00CCFF"/>
            <w:vAlign w:val="center"/>
          </w:tcPr>
          <w:p w14:paraId="080B82A2" w14:textId="72498E28" w:rsidR="00EE1AC4" w:rsidRPr="00424274" w:rsidRDefault="00EE1AC4" w:rsidP="00EE1AC4">
            <w:pPr>
              <w:jc w:val="center"/>
              <w:rPr>
                <w:rFonts w:ascii="Arial" w:hAnsi="Arial"/>
                <w:b/>
                <w:bCs/>
                <w:sz w:val="16"/>
                <w:szCs w:val="16"/>
              </w:rPr>
            </w:pPr>
            <w:r w:rsidRPr="00424274">
              <w:rPr>
                <w:rFonts w:ascii="Arial" w:hAnsi="Arial"/>
                <w:b/>
                <w:bCs/>
                <w:sz w:val="16"/>
                <w:szCs w:val="16"/>
              </w:rPr>
              <w:t>4,45</w:t>
            </w:r>
            <w:r w:rsidR="00475AFD">
              <w:rPr>
                <w:rFonts w:ascii="Arial" w:hAnsi="Arial"/>
                <w:b/>
                <w:bCs/>
                <w:sz w:val="16"/>
                <w:szCs w:val="16"/>
              </w:rPr>
              <w:t> </w:t>
            </w:r>
            <w:r w:rsidRPr="00424274">
              <w:rPr>
                <w:rFonts w:ascii="Arial" w:hAnsi="Arial"/>
                <w:b/>
                <w:bCs/>
                <w:sz w:val="16"/>
                <w:szCs w:val="16"/>
              </w:rPr>
              <w:t>%</w:t>
            </w:r>
          </w:p>
        </w:tc>
        <w:tc>
          <w:tcPr>
            <w:tcW w:w="683" w:type="dxa"/>
            <w:shd w:val="clear" w:color="auto" w:fill="00CCFF"/>
            <w:vAlign w:val="center"/>
          </w:tcPr>
          <w:p w14:paraId="3C9F2BC9" w14:textId="5B613649" w:rsidR="00EE1AC4" w:rsidRPr="00424274" w:rsidRDefault="00EE1AC4" w:rsidP="00EE1AC4">
            <w:pPr>
              <w:jc w:val="center"/>
              <w:rPr>
                <w:rFonts w:ascii="Arial" w:hAnsi="Arial"/>
                <w:b/>
                <w:bCs/>
                <w:sz w:val="16"/>
                <w:szCs w:val="16"/>
              </w:rPr>
            </w:pPr>
            <w:r w:rsidRPr="00424274">
              <w:rPr>
                <w:rFonts w:ascii="Arial" w:hAnsi="Arial"/>
                <w:b/>
                <w:bCs/>
                <w:sz w:val="16"/>
                <w:szCs w:val="16"/>
              </w:rPr>
              <w:t>5,02</w:t>
            </w:r>
            <w:r w:rsidR="00475AFD">
              <w:rPr>
                <w:rFonts w:ascii="Arial" w:hAnsi="Arial"/>
                <w:b/>
                <w:bCs/>
                <w:sz w:val="16"/>
                <w:szCs w:val="16"/>
              </w:rPr>
              <w:t xml:space="preserve"> </w:t>
            </w:r>
            <w:r w:rsidRPr="00424274">
              <w:rPr>
                <w:rFonts w:ascii="Arial" w:hAnsi="Arial"/>
                <w:b/>
                <w:bCs/>
                <w:sz w:val="16"/>
                <w:szCs w:val="16"/>
              </w:rPr>
              <w:t>%</w:t>
            </w:r>
          </w:p>
        </w:tc>
        <w:tc>
          <w:tcPr>
            <w:tcW w:w="726" w:type="dxa"/>
            <w:shd w:val="clear" w:color="auto" w:fill="00CCFF"/>
            <w:vAlign w:val="center"/>
          </w:tcPr>
          <w:p w14:paraId="415F9AEE" w14:textId="25E22A08" w:rsidR="00EE1AC4" w:rsidRPr="00424274" w:rsidRDefault="00EE1AC4" w:rsidP="00EE1AC4">
            <w:pPr>
              <w:jc w:val="center"/>
              <w:rPr>
                <w:rFonts w:ascii="Arial" w:hAnsi="Arial"/>
                <w:b/>
                <w:bCs/>
                <w:sz w:val="16"/>
                <w:szCs w:val="16"/>
              </w:rPr>
            </w:pPr>
            <w:r w:rsidRPr="00424274">
              <w:rPr>
                <w:rFonts w:ascii="Arial" w:hAnsi="Arial"/>
                <w:b/>
                <w:bCs/>
                <w:sz w:val="16"/>
                <w:szCs w:val="16"/>
              </w:rPr>
              <w:t>5,28</w:t>
            </w:r>
            <w:r w:rsidR="00475AFD">
              <w:rPr>
                <w:rFonts w:ascii="Arial" w:hAnsi="Arial"/>
                <w:b/>
                <w:bCs/>
                <w:sz w:val="16"/>
                <w:szCs w:val="16"/>
              </w:rPr>
              <w:t> </w:t>
            </w:r>
            <w:r w:rsidRPr="00424274">
              <w:rPr>
                <w:rFonts w:ascii="Arial" w:hAnsi="Arial"/>
                <w:b/>
                <w:bCs/>
                <w:sz w:val="16"/>
                <w:szCs w:val="16"/>
              </w:rPr>
              <w:t>%</w:t>
            </w:r>
          </w:p>
        </w:tc>
        <w:tc>
          <w:tcPr>
            <w:tcW w:w="0" w:type="auto"/>
            <w:shd w:val="clear" w:color="auto" w:fill="00CCFF"/>
            <w:vAlign w:val="center"/>
          </w:tcPr>
          <w:p w14:paraId="0BC77F4B" w14:textId="7FCBEF4C" w:rsidR="00EE1AC4" w:rsidRPr="00424274" w:rsidRDefault="00EE1AC4" w:rsidP="00EE1AC4">
            <w:pPr>
              <w:jc w:val="center"/>
              <w:rPr>
                <w:rFonts w:ascii="Arial" w:hAnsi="Arial"/>
                <w:b/>
                <w:bCs/>
                <w:sz w:val="16"/>
                <w:szCs w:val="16"/>
              </w:rPr>
            </w:pPr>
            <w:r w:rsidRPr="00424274">
              <w:rPr>
                <w:rFonts w:ascii="Arial" w:hAnsi="Arial"/>
                <w:b/>
                <w:bCs/>
                <w:sz w:val="16"/>
                <w:szCs w:val="16"/>
              </w:rPr>
              <w:t>6,90</w:t>
            </w:r>
            <w:r w:rsidR="00475AFD">
              <w:rPr>
                <w:rFonts w:ascii="Arial" w:hAnsi="Arial"/>
                <w:b/>
                <w:bCs/>
                <w:sz w:val="16"/>
                <w:szCs w:val="16"/>
              </w:rPr>
              <w:t> </w:t>
            </w:r>
            <w:r w:rsidRPr="00424274">
              <w:rPr>
                <w:rFonts w:ascii="Arial" w:hAnsi="Arial"/>
                <w:b/>
                <w:bCs/>
                <w:sz w:val="16"/>
                <w:szCs w:val="16"/>
              </w:rPr>
              <w:t>%</w:t>
            </w:r>
          </w:p>
        </w:tc>
        <w:tc>
          <w:tcPr>
            <w:tcW w:w="0" w:type="auto"/>
            <w:shd w:val="clear" w:color="auto" w:fill="00CCFF"/>
            <w:vAlign w:val="center"/>
          </w:tcPr>
          <w:p w14:paraId="7F6B2A1F" w14:textId="525D7182" w:rsidR="00EE1AC4" w:rsidRPr="00424274" w:rsidRDefault="00EE1AC4" w:rsidP="00EE1AC4">
            <w:pPr>
              <w:jc w:val="center"/>
              <w:rPr>
                <w:rFonts w:ascii="Arial" w:hAnsi="Arial"/>
                <w:b/>
                <w:bCs/>
                <w:sz w:val="16"/>
                <w:szCs w:val="16"/>
              </w:rPr>
            </w:pPr>
            <w:r w:rsidRPr="00424274">
              <w:rPr>
                <w:rFonts w:ascii="Arial" w:hAnsi="Arial"/>
                <w:b/>
                <w:bCs/>
                <w:sz w:val="16"/>
                <w:szCs w:val="16"/>
              </w:rPr>
              <w:t>5,11</w:t>
            </w:r>
            <w:r w:rsidR="00475AFD">
              <w:rPr>
                <w:rFonts w:ascii="Arial" w:hAnsi="Arial"/>
                <w:b/>
                <w:bCs/>
                <w:sz w:val="16"/>
                <w:szCs w:val="16"/>
              </w:rPr>
              <w:t> </w:t>
            </w:r>
            <w:r w:rsidRPr="00424274">
              <w:rPr>
                <w:rFonts w:ascii="Arial" w:hAnsi="Arial"/>
                <w:b/>
                <w:bCs/>
                <w:sz w:val="16"/>
                <w:szCs w:val="16"/>
              </w:rPr>
              <w:t>%</w:t>
            </w:r>
          </w:p>
        </w:tc>
        <w:tc>
          <w:tcPr>
            <w:tcW w:w="0" w:type="auto"/>
            <w:shd w:val="clear" w:color="auto" w:fill="00CCFF"/>
            <w:vAlign w:val="center"/>
          </w:tcPr>
          <w:p w14:paraId="4D3BEB36" w14:textId="1F93F88C" w:rsidR="00EE1AC4" w:rsidRPr="00424274" w:rsidRDefault="00EE1AC4" w:rsidP="00EE1AC4">
            <w:pPr>
              <w:jc w:val="center"/>
              <w:rPr>
                <w:rFonts w:ascii="Arial" w:hAnsi="Arial"/>
                <w:b/>
                <w:bCs/>
                <w:sz w:val="16"/>
                <w:szCs w:val="16"/>
              </w:rPr>
            </w:pPr>
            <w:r w:rsidRPr="00424274">
              <w:rPr>
                <w:rFonts w:ascii="Arial" w:hAnsi="Arial"/>
                <w:b/>
                <w:bCs/>
                <w:sz w:val="16"/>
                <w:szCs w:val="16"/>
              </w:rPr>
              <w:t>6,45</w:t>
            </w:r>
            <w:r w:rsidR="00475AFD">
              <w:rPr>
                <w:rFonts w:ascii="Arial" w:hAnsi="Arial"/>
                <w:b/>
                <w:bCs/>
                <w:sz w:val="16"/>
                <w:szCs w:val="16"/>
              </w:rPr>
              <w:t> </w:t>
            </w:r>
            <w:r w:rsidRPr="00424274">
              <w:rPr>
                <w:rFonts w:ascii="Arial" w:hAnsi="Arial"/>
                <w:b/>
                <w:bCs/>
                <w:sz w:val="16"/>
                <w:szCs w:val="16"/>
              </w:rPr>
              <w:t>%</w:t>
            </w:r>
          </w:p>
        </w:tc>
        <w:tc>
          <w:tcPr>
            <w:tcW w:w="870" w:type="dxa"/>
            <w:tcBorders>
              <w:top w:val="nil"/>
              <w:left w:val="single" w:sz="8" w:space="0" w:color="auto"/>
              <w:bottom w:val="single" w:sz="8" w:space="0" w:color="000000"/>
              <w:right w:val="single" w:sz="8" w:space="0" w:color="auto"/>
            </w:tcBorders>
            <w:shd w:val="clear" w:color="auto" w:fill="33CCFF"/>
            <w:vAlign w:val="center"/>
          </w:tcPr>
          <w:p w14:paraId="0EBB4B84" w14:textId="16941857" w:rsidR="00EE1AC4" w:rsidRPr="00424274" w:rsidRDefault="00EE1AC4" w:rsidP="00EE1AC4">
            <w:pPr>
              <w:jc w:val="center"/>
              <w:rPr>
                <w:rFonts w:ascii="Arial" w:hAnsi="Arial"/>
                <w:b/>
                <w:bCs/>
                <w:sz w:val="16"/>
                <w:szCs w:val="16"/>
              </w:rPr>
            </w:pPr>
            <w:r w:rsidRPr="00424274">
              <w:rPr>
                <w:rFonts w:ascii="Arial" w:hAnsi="Arial"/>
                <w:b/>
                <w:bCs/>
                <w:sz w:val="16"/>
                <w:szCs w:val="16"/>
              </w:rPr>
              <w:t>5,35</w:t>
            </w:r>
            <w:r w:rsidR="00475AFD">
              <w:rPr>
                <w:rFonts w:ascii="Arial" w:hAnsi="Arial"/>
                <w:b/>
                <w:bCs/>
                <w:sz w:val="16"/>
                <w:szCs w:val="16"/>
              </w:rPr>
              <w:t> </w:t>
            </w:r>
            <w:r w:rsidRPr="00424274">
              <w:rPr>
                <w:rFonts w:ascii="Arial" w:hAnsi="Arial"/>
                <w:b/>
                <w:bCs/>
                <w:sz w:val="16"/>
                <w:szCs w:val="16"/>
              </w:rPr>
              <w:t>%</w:t>
            </w:r>
          </w:p>
        </w:tc>
        <w:tc>
          <w:tcPr>
            <w:tcW w:w="708" w:type="dxa"/>
            <w:tcBorders>
              <w:top w:val="nil"/>
              <w:left w:val="nil"/>
              <w:bottom w:val="single" w:sz="8" w:space="0" w:color="000000"/>
              <w:right w:val="single" w:sz="8" w:space="0" w:color="auto"/>
            </w:tcBorders>
            <w:shd w:val="clear" w:color="auto" w:fill="33CCFF"/>
            <w:vAlign w:val="center"/>
          </w:tcPr>
          <w:p w14:paraId="424CB2B6" w14:textId="160B853F" w:rsidR="00EE1AC4" w:rsidRPr="00424274" w:rsidRDefault="00EE1AC4" w:rsidP="00EE1AC4">
            <w:pPr>
              <w:jc w:val="center"/>
              <w:rPr>
                <w:rFonts w:ascii="Arial" w:hAnsi="Arial"/>
                <w:b/>
                <w:bCs/>
                <w:sz w:val="16"/>
                <w:szCs w:val="16"/>
              </w:rPr>
            </w:pPr>
            <w:r w:rsidRPr="00424274">
              <w:rPr>
                <w:rFonts w:ascii="Arial" w:hAnsi="Arial"/>
                <w:b/>
                <w:bCs/>
                <w:sz w:val="16"/>
                <w:szCs w:val="16"/>
              </w:rPr>
              <w:t>0,00</w:t>
            </w:r>
            <w:r w:rsidR="00475AFD">
              <w:rPr>
                <w:rFonts w:ascii="Arial" w:hAnsi="Arial"/>
                <w:b/>
                <w:bCs/>
                <w:sz w:val="16"/>
                <w:szCs w:val="16"/>
              </w:rPr>
              <w:t> </w:t>
            </w:r>
            <w:r w:rsidRPr="00424274">
              <w:rPr>
                <w:rFonts w:ascii="Arial" w:hAnsi="Arial"/>
                <w:b/>
                <w:bCs/>
                <w:sz w:val="16"/>
                <w:szCs w:val="16"/>
              </w:rPr>
              <w:t>%</w:t>
            </w:r>
          </w:p>
        </w:tc>
      </w:tr>
      <w:tr w:rsidR="00EE1AC4" w:rsidRPr="00424274" w14:paraId="1563E7C7" w14:textId="77777777" w:rsidTr="00C67A40">
        <w:trPr>
          <w:trHeight w:val="255"/>
        </w:trPr>
        <w:tc>
          <w:tcPr>
            <w:tcW w:w="3756" w:type="dxa"/>
            <w:shd w:val="clear" w:color="auto" w:fill="0099FF"/>
            <w:noWrap/>
            <w:vAlign w:val="bottom"/>
            <w:hideMark/>
          </w:tcPr>
          <w:p w14:paraId="69738880" w14:textId="77777777" w:rsidR="00EE1AC4" w:rsidRPr="00424274" w:rsidRDefault="00EE1AC4" w:rsidP="00EE1AC4">
            <w:pPr>
              <w:widowControl/>
              <w:jc w:val="left"/>
              <w:rPr>
                <w:rFonts w:ascii="Arial" w:hAnsi="Arial"/>
                <w:b/>
                <w:bCs/>
                <w:sz w:val="16"/>
                <w:szCs w:val="16"/>
                <w:lang w:eastAsia="sl-SI"/>
              </w:rPr>
            </w:pPr>
            <w:r w:rsidRPr="00424274">
              <w:rPr>
                <w:rFonts w:ascii="Arial" w:hAnsi="Arial"/>
                <w:b/>
                <w:bCs/>
                <w:sz w:val="16"/>
                <w:szCs w:val="16"/>
                <w:lang w:eastAsia="sl-SI"/>
              </w:rPr>
              <w:t>SKUPAJ</w:t>
            </w:r>
          </w:p>
        </w:tc>
        <w:tc>
          <w:tcPr>
            <w:tcW w:w="782" w:type="dxa"/>
            <w:shd w:val="clear" w:color="auto" w:fill="0099FF"/>
            <w:vAlign w:val="center"/>
          </w:tcPr>
          <w:p w14:paraId="10488ADE" w14:textId="77777777" w:rsidR="00EE1AC4" w:rsidRPr="00424274" w:rsidRDefault="00EE1AC4" w:rsidP="00EE1AC4">
            <w:pPr>
              <w:jc w:val="center"/>
              <w:rPr>
                <w:rFonts w:ascii="Arial" w:hAnsi="Arial"/>
                <w:b/>
                <w:bCs/>
                <w:sz w:val="20"/>
              </w:rPr>
            </w:pPr>
            <w:r w:rsidRPr="00424274">
              <w:rPr>
                <w:rFonts w:ascii="Arial" w:hAnsi="Arial"/>
                <w:b/>
                <w:bCs/>
                <w:sz w:val="20"/>
              </w:rPr>
              <w:t>449</w:t>
            </w:r>
          </w:p>
        </w:tc>
        <w:tc>
          <w:tcPr>
            <w:tcW w:w="683" w:type="dxa"/>
            <w:shd w:val="clear" w:color="auto" w:fill="0099FF"/>
            <w:vAlign w:val="center"/>
          </w:tcPr>
          <w:p w14:paraId="4A041D7F" w14:textId="77777777" w:rsidR="00EE1AC4" w:rsidRPr="00424274" w:rsidRDefault="00EE1AC4" w:rsidP="00EE1AC4">
            <w:pPr>
              <w:jc w:val="center"/>
              <w:rPr>
                <w:rFonts w:ascii="Arial" w:hAnsi="Arial"/>
                <w:b/>
                <w:bCs/>
                <w:sz w:val="20"/>
              </w:rPr>
            </w:pPr>
            <w:r w:rsidRPr="00424274">
              <w:rPr>
                <w:rFonts w:ascii="Arial" w:hAnsi="Arial"/>
                <w:b/>
                <w:bCs/>
                <w:sz w:val="20"/>
              </w:rPr>
              <w:t>558</w:t>
            </w:r>
          </w:p>
        </w:tc>
        <w:tc>
          <w:tcPr>
            <w:tcW w:w="726" w:type="dxa"/>
            <w:shd w:val="clear" w:color="auto" w:fill="0099FF"/>
            <w:vAlign w:val="center"/>
          </w:tcPr>
          <w:p w14:paraId="1AEC697B" w14:textId="77777777" w:rsidR="00EE1AC4" w:rsidRPr="00424274" w:rsidRDefault="00EE1AC4" w:rsidP="00EE1AC4">
            <w:pPr>
              <w:jc w:val="center"/>
              <w:rPr>
                <w:rFonts w:ascii="Arial" w:hAnsi="Arial"/>
                <w:b/>
                <w:bCs/>
                <w:sz w:val="20"/>
              </w:rPr>
            </w:pPr>
            <w:r w:rsidRPr="00424274">
              <w:rPr>
                <w:rFonts w:ascii="Arial" w:hAnsi="Arial"/>
                <w:b/>
                <w:bCs/>
                <w:sz w:val="20"/>
              </w:rPr>
              <w:t>758</w:t>
            </w:r>
          </w:p>
        </w:tc>
        <w:tc>
          <w:tcPr>
            <w:tcW w:w="0" w:type="auto"/>
            <w:shd w:val="clear" w:color="auto" w:fill="0099FF"/>
            <w:vAlign w:val="center"/>
          </w:tcPr>
          <w:p w14:paraId="7A974D13" w14:textId="77777777" w:rsidR="00EE1AC4" w:rsidRPr="00424274" w:rsidRDefault="00EE1AC4" w:rsidP="00EE1AC4">
            <w:pPr>
              <w:jc w:val="center"/>
              <w:rPr>
                <w:rFonts w:ascii="Arial" w:hAnsi="Arial"/>
                <w:b/>
                <w:bCs/>
                <w:sz w:val="20"/>
              </w:rPr>
            </w:pPr>
            <w:r w:rsidRPr="00424274">
              <w:rPr>
                <w:rFonts w:ascii="Arial" w:hAnsi="Arial"/>
                <w:b/>
                <w:bCs/>
                <w:sz w:val="20"/>
              </w:rPr>
              <w:t>29</w:t>
            </w:r>
          </w:p>
        </w:tc>
        <w:tc>
          <w:tcPr>
            <w:tcW w:w="0" w:type="auto"/>
            <w:shd w:val="clear" w:color="auto" w:fill="0099FF"/>
            <w:vAlign w:val="center"/>
          </w:tcPr>
          <w:p w14:paraId="1974D75A" w14:textId="77777777" w:rsidR="00EE1AC4" w:rsidRPr="00424274" w:rsidRDefault="00EE1AC4" w:rsidP="00EE1AC4">
            <w:pPr>
              <w:jc w:val="center"/>
              <w:rPr>
                <w:rFonts w:ascii="Arial" w:hAnsi="Arial"/>
                <w:b/>
                <w:bCs/>
                <w:sz w:val="20"/>
              </w:rPr>
            </w:pPr>
            <w:r w:rsidRPr="00424274">
              <w:rPr>
                <w:rFonts w:ascii="Arial" w:hAnsi="Arial"/>
                <w:b/>
                <w:bCs/>
                <w:sz w:val="20"/>
              </w:rPr>
              <w:t>1038</w:t>
            </w:r>
          </w:p>
        </w:tc>
        <w:tc>
          <w:tcPr>
            <w:tcW w:w="0" w:type="auto"/>
            <w:shd w:val="clear" w:color="auto" w:fill="0099FF"/>
            <w:vAlign w:val="center"/>
          </w:tcPr>
          <w:p w14:paraId="32765E81" w14:textId="77777777" w:rsidR="00EE1AC4" w:rsidRPr="00424274" w:rsidRDefault="00EE1AC4" w:rsidP="00EE1AC4">
            <w:pPr>
              <w:jc w:val="center"/>
              <w:rPr>
                <w:rFonts w:ascii="Arial" w:hAnsi="Arial"/>
                <w:b/>
                <w:bCs/>
                <w:sz w:val="20"/>
              </w:rPr>
            </w:pPr>
            <w:r w:rsidRPr="00424274">
              <w:rPr>
                <w:rFonts w:ascii="Arial" w:hAnsi="Arial"/>
                <w:b/>
                <w:bCs/>
                <w:sz w:val="20"/>
              </w:rPr>
              <w:t>31</w:t>
            </w:r>
          </w:p>
        </w:tc>
        <w:tc>
          <w:tcPr>
            <w:tcW w:w="870" w:type="dxa"/>
            <w:shd w:val="clear" w:color="auto" w:fill="0099FF"/>
            <w:vAlign w:val="center"/>
          </w:tcPr>
          <w:p w14:paraId="0214474B" w14:textId="77777777" w:rsidR="00EE1AC4" w:rsidRPr="00424274" w:rsidRDefault="00EE1AC4" w:rsidP="00EE1AC4">
            <w:pPr>
              <w:jc w:val="center"/>
              <w:rPr>
                <w:rFonts w:ascii="Arial" w:hAnsi="Arial"/>
                <w:b/>
                <w:bCs/>
                <w:sz w:val="20"/>
              </w:rPr>
            </w:pPr>
            <w:r w:rsidRPr="00424274">
              <w:rPr>
                <w:rFonts w:ascii="Arial" w:hAnsi="Arial"/>
                <w:b/>
                <w:bCs/>
                <w:sz w:val="20"/>
              </w:rPr>
              <w:t>1084</w:t>
            </w:r>
          </w:p>
        </w:tc>
        <w:tc>
          <w:tcPr>
            <w:tcW w:w="708" w:type="dxa"/>
            <w:shd w:val="clear" w:color="auto" w:fill="0099FF"/>
            <w:vAlign w:val="center"/>
          </w:tcPr>
          <w:p w14:paraId="5EFFC636" w14:textId="77777777" w:rsidR="00EE1AC4" w:rsidRPr="00424274" w:rsidRDefault="00EE1AC4" w:rsidP="00EE1AC4">
            <w:pPr>
              <w:jc w:val="center"/>
              <w:rPr>
                <w:rFonts w:ascii="Arial" w:hAnsi="Arial"/>
                <w:b/>
                <w:bCs/>
                <w:sz w:val="20"/>
              </w:rPr>
            </w:pPr>
            <w:r w:rsidRPr="00424274">
              <w:rPr>
                <w:rFonts w:ascii="Arial" w:hAnsi="Arial"/>
                <w:b/>
                <w:bCs/>
                <w:sz w:val="20"/>
              </w:rPr>
              <w:t>53</w:t>
            </w:r>
          </w:p>
        </w:tc>
      </w:tr>
    </w:tbl>
    <w:p w14:paraId="425A9733" w14:textId="77777777" w:rsidR="0080329E" w:rsidRPr="00424274" w:rsidRDefault="0080329E" w:rsidP="00D21F86">
      <w:pPr>
        <w:pStyle w:val="Telobesedila"/>
        <w:spacing w:line="276" w:lineRule="auto"/>
        <w:ind w:right="-22"/>
        <w:rPr>
          <w:rFonts w:ascii="Arial" w:hAnsi="Arial"/>
          <w:sz w:val="20"/>
        </w:rPr>
      </w:pPr>
    </w:p>
    <w:p w14:paraId="4AFAD3F7" w14:textId="77777777" w:rsidR="003845DA" w:rsidRPr="00424274" w:rsidRDefault="003845DA" w:rsidP="003845DA">
      <w:pPr>
        <w:widowControl/>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right="-22"/>
        <w:rPr>
          <w:rFonts w:ascii="Arial" w:hAnsi="Arial"/>
          <w:sz w:val="20"/>
        </w:rPr>
      </w:pPr>
      <w:r w:rsidRPr="00424274">
        <w:rPr>
          <w:rFonts w:ascii="Arial" w:hAnsi="Arial"/>
          <w:sz w:val="20"/>
        </w:rPr>
        <w:t>Kot smo že navedli, smo v letu 2020 na podlagi sporočenih sumljivih transakcij prijaviteljev odprli 1.137 zadev, in sicer:</w:t>
      </w:r>
    </w:p>
    <w:p w14:paraId="13A2822D" w14:textId="438B6A61" w:rsidR="003845DA" w:rsidRPr="00424274" w:rsidRDefault="003845DA" w:rsidP="003845DA">
      <w:pPr>
        <w:widowControl/>
        <w:numPr>
          <w:ilvl w:val="0"/>
          <w:numId w:val="18"/>
        </w:num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right="-22"/>
        <w:rPr>
          <w:rFonts w:ascii="Arial" w:hAnsi="Arial"/>
          <w:sz w:val="20"/>
        </w:rPr>
      </w:pPr>
      <w:r w:rsidRPr="00424274">
        <w:rPr>
          <w:rFonts w:ascii="Arial" w:hAnsi="Arial"/>
          <w:sz w:val="20"/>
        </w:rPr>
        <w:t>944 zadev na podlagi sporočenih sumljivih transakcij zavezancev;</w:t>
      </w:r>
    </w:p>
    <w:p w14:paraId="5C68AAD9" w14:textId="113638E3" w:rsidR="003845DA" w:rsidRPr="00424274" w:rsidRDefault="003845DA" w:rsidP="003845DA">
      <w:pPr>
        <w:widowControl/>
        <w:numPr>
          <w:ilvl w:val="0"/>
          <w:numId w:val="18"/>
        </w:num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right="-22"/>
        <w:rPr>
          <w:rFonts w:ascii="Arial" w:hAnsi="Arial"/>
          <w:sz w:val="20"/>
        </w:rPr>
      </w:pPr>
      <w:r w:rsidRPr="00424274">
        <w:rPr>
          <w:rFonts w:ascii="Arial" w:hAnsi="Arial"/>
          <w:sz w:val="20"/>
        </w:rPr>
        <w:t xml:space="preserve">117 zadev na podlagi pobud državnih organov; </w:t>
      </w:r>
    </w:p>
    <w:p w14:paraId="366F3102" w14:textId="683121EC" w:rsidR="003845DA" w:rsidRPr="00424274" w:rsidRDefault="003845DA" w:rsidP="003845DA">
      <w:pPr>
        <w:widowControl/>
        <w:numPr>
          <w:ilvl w:val="0"/>
          <w:numId w:val="18"/>
        </w:num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right="-22"/>
        <w:rPr>
          <w:rFonts w:ascii="Arial" w:hAnsi="Arial"/>
          <w:sz w:val="20"/>
        </w:rPr>
      </w:pPr>
      <w:r w:rsidRPr="00424274">
        <w:rPr>
          <w:rFonts w:ascii="Arial" w:hAnsi="Arial"/>
          <w:sz w:val="20"/>
        </w:rPr>
        <w:t>21 zadev na podlagi dejstev</w:t>
      </w:r>
      <w:r w:rsidR="008A1626">
        <w:rPr>
          <w:rFonts w:ascii="Arial" w:hAnsi="Arial"/>
          <w:sz w:val="20"/>
        </w:rPr>
        <w:t>,</w:t>
      </w:r>
      <w:r w:rsidRPr="00424274">
        <w:rPr>
          <w:rFonts w:ascii="Arial" w:hAnsi="Arial"/>
          <w:sz w:val="20"/>
        </w:rPr>
        <w:t xml:space="preserve"> prejetih od nadzornih organov;</w:t>
      </w:r>
    </w:p>
    <w:p w14:paraId="62B7DBF6" w14:textId="58F143DB" w:rsidR="003845DA" w:rsidRPr="00424274" w:rsidRDefault="003845DA" w:rsidP="003845DA">
      <w:pPr>
        <w:widowControl/>
        <w:numPr>
          <w:ilvl w:val="0"/>
          <w:numId w:val="18"/>
        </w:num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right="-22"/>
        <w:rPr>
          <w:rFonts w:ascii="Arial" w:hAnsi="Arial"/>
          <w:sz w:val="20"/>
        </w:rPr>
      </w:pPr>
      <w:r w:rsidRPr="00424274">
        <w:rPr>
          <w:rFonts w:ascii="Arial" w:hAnsi="Arial"/>
          <w:sz w:val="20"/>
        </w:rPr>
        <w:t xml:space="preserve">3 zadeve na podlagi podatkov iz evidenc </w:t>
      </w:r>
      <w:r w:rsidR="008A1626">
        <w:rPr>
          <w:rFonts w:ascii="Arial" w:hAnsi="Arial"/>
          <w:sz w:val="20"/>
        </w:rPr>
        <w:t>u</w:t>
      </w:r>
      <w:r w:rsidRPr="00424274">
        <w:rPr>
          <w:rFonts w:ascii="Arial" w:hAnsi="Arial"/>
          <w:sz w:val="20"/>
        </w:rPr>
        <w:t xml:space="preserve">rada; </w:t>
      </w:r>
    </w:p>
    <w:p w14:paraId="427E5C16" w14:textId="3AC503F9" w:rsidR="003845DA" w:rsidRPr="00424274" w:rsidRDefault="003845DA" w:rsidP="003845DA">
      <w:pPr>
        <w:widowControl/>
        <w:numPr>
          <w:ilvl w:val="0"/>
          <w:numId w:val="18"/>
        </w:num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right="-22"/>
        <w:rPr>
          <w:rFonts w:ascii="Arial" w:hAnsi="Arial"/>
          <w:sz w:val="20"/>
        </w:rPr>
      </w:pPr>
      <w:r w:rsidRPr="00424274">
        <w:rPr>
          <w:rFonts w:ascii="Arial" w:hAnsi="Arial"/>
          <w:sz w:val="20"/>
        </w:rPr>
        <w:t>58 zadev na podlagi podatkov iz zaprosil tujih sorodnih uradov s področja preprečevanja pranja denarja in financiranja terorizma.</w:t>
      </w:r>
    </w:p>
    <w:p w14:paraId="049F8B2B" w14:textId="77777777" w:rsidR="003845DA" w:rsidRPr="00424274" w:rsidRDefault="003845DA" w:rsidP="003845DA">
      <w:pPr>
        <w:widowControl/>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right="-22"/>
        <w:rPr>
          <w:rFonts w:ascii="Arial" w:hAnsi="Arial"/>
          <w:sz w:val="20"/>
        </w:rPr>
      </w:pPr>
    </w:p>
    <w:p w14:paraId="77AA958F" w14:textId="33363203" w:rsidR="003845DA" w:rsidRPr="00424274" w:rsidRDefault="003845DA" w:rsidP="003845DA">
      <w:pPr>
        <w:widowControl/>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right="-22"/>
        <w:rPr>
          <w:rFonts w:ascii="Arial" w:hAnsi="Arial"/>
          <w:sz w:val="20"/>
        </w:rPr>
      </w:pPr>
      <w:r w:rsidRPr="00424274">
        <w:rPr>
          <w:rFonts w:ascii="Arial" w:hAnsi="Arial"/>
          <w:sz w:val="20"/>
        </w:rPr>
        <w:lastRenderedPageBreak/>
        <w:t>V nadaljevanju v grafu na podlagi zgoraj navedenih podatkov prikazujemo deleže prijav posameznih prijaviteljev v obdobju od 2010</w:t>
      </w:r>
      <w:r w:rsidR="008A1626">
        <w:rPr>
          <w:rFonts w:ascii="Arial" w:hAnsi="Arial"/>
          <w:sz w:val="20"/>
        </w:rPr>
        <w:t>–</w:t>
      </w:r>
      <w:r w:rsidRPr="00424274">
        <w:rPr>
          <w:rFonts w:ascii="Arial" w:hAnsi="Arial"/>
          <w:sz w:val="20"/>
        </w:rPr>
        <w:t>2020.</w:t>
      </w:r>
    </w:p>
    <w:p w14:paraId="2B6EBBEE" w14:textId="77777777" w:rsidR="00246B7A" w:rsidRPr="00424274" w:rsidRDefault="00246B7A" w:rsidP="00D21F86">
      <w:pPr>
        <w:pStyle w:val="Telobesedila2"/>
        <w:widowControl/>
        <w:spacing w:line="276" w:lineRule="auto"/>
        <w:ind w:right="-22"/>
        <w:rPr>
          <w:rFonts w:ascii="Arial" w:hAnsi="Arial"/>
          <w:sz w:val="20"/>
        </w:rPr>
      </w:pPr>
    </w:p>
    <w:p w14:paraId="00C7F7BA" w14:textId="7AD95DAC" w:rsidR="005437EA" w:rsidRPr="00424274" w:rsidRDefault="005437EA" w:rsidP="005437EA">
      <w:pPr>
        <w:widowControl/>
        <w:spacing w:line="276" w:lineRule="auto"/>
        <w:ind w:left="851" w:right="-22" w:hanging="851"/>
        <w:rPr>
          <w:rFonts w:ascii="Arial" w:hAnsi="Arial"/>
          <w:b/>
          <w:bCs/>
          <w:i/>
          <w:iCs/>
          <w:sz w:val="20"/>
        </w:rPr>
      </w:pPr>
      <w:r w:rsidRPr="00424274">
        <w:rPr>
          <w:rFonts w:ascii="Arial" w:hAnsi="Arial"/>
          <w:b/>
          <w:bCs/>
          <w:i/>
          <w:iCs/>
          <w:sz w:val="20"/>
        </w:rPr>
        <w:t>Graf 2: Delež posameznih prijaviteljev v skupnem številu prijav v obdobju 2010–2020</w:t>
      </w:r>
    </w:p>
    <w:p w14:paraId="09FA9491" w14:textId="6F1EE924" w:rsidR="00AA2094" w:rsidRPr="00424274" w:rsidRDefault="00AA2094" w:rsidP="00D21F86">
      <w:pPr>
        <w:pStyle w:val="Telobesedila"/>
        <w:spacing w:line="276" w:lineRule="auto"/>
        <w:ind w:left="851" w:right="-22" w:hanging="851"/>
        <w:rPr>
          <w:rFonts w:ascii="Arial" w:hAnsi="Arial"/>
          <w:b/>
          <w:bCs/>
          <w:i/>
          <w:iCs/>
          <w:sz w:val="20"/>
        </w:rPr>
      </w:pPr>
    </w:p>
    <w:p w14:paraId="61F24860" w14:textId="77777777" w:rsidR="004B46BF" w:rsidRPr="00424274" w:rsidRDefault="004B46BF" w:rsidP="004B46BF">
      <w:pPr>
        <w:spacing w:line="276" w:lineRule="auto"/>
        <w:ind w:right="-22"/>
        <w:rPr>
          <w:rFonts w:ascii="Arial" w:hAnsi="Arial"/>
          <w:iCs/>
          <w:sz w:val="20"/>
        </w:rPr>
      </w:pPr>
      <w:r w:rsidRPr="00424274">
        <w:rPr>
          <w:rFonts w:ascii="Arial" w:hAnsi="Arial"/>
          <w:iCs/>
          <w:noProof/>
          <w:sz w:val="20"/>
          <w:lang w:eastAsia="sl-SI"/>
        </w:rPr>
        <w:drawing>
          <wp:inline distT="0" distB="0" distL="0" distR="0" wp14:anchorId="26CF7B45" wp14:editId="00B8CB3B">
            <wp:extent cx="5746750" cy="2609850"/>
            <wp:effectExtent l="0" t="0" r="6350" b="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6D224388" w14:textId="26A86EA2" w:rsidR="00AA2094" w:rsidRPr="00424274" w:rsidRDefault="00AA2094">
      <w:pPr>
        <w:pStyle w:val="Oznaenseznam2"/>
      </w:pPr>
    </w:p>
    <w:p w14:paraId="5685B5D6" w14:textId="77777777" w:rsidR="003F4B31" w:rsidRPr="00424274" w:rsidRDefault="003F4B31">
      <w:pPr>
        <w:pStyle w:val="Oznaenseznam2"/>
      </w:pPr>
    </w:p>
    <w:p w14:paraId="5EE0DD03" w14:textId="3A62F9E5" w:rsidR="00D053FF" w:rsidRPr="00424274" w:rsidRDefault="00D053FF" w:rsidP="00D053FF">
      <w:pPr>
        <w:spacing w:line="276" w:lineRule="auto"/>
        <w:ind w:right="-22"/>
        <w:rPr>
          <w:rFonts w:ascii="Arial" w:hAnsi="Arial"/>
          <w:iCs/>
          <w:sz w:val="20"/>
        </w:rPr>
      </w:pPr>
      <w:r w:rsidRPr="00424274">
        <w:rPr>
          <w:rFonts w:ascii="Arial" w:hAnsi="Arial"/>
          <w:iCs/>
          <w:sz w:val="20"/>
        </w:rPr>
        <w:t xml:space="preserve">Iz </w:t>
      </w:r>
      <w:r w:rsidR="00814A21">
        <w:rPr>
          <w:rFonts w:ascii="Arial" w:hAnsi="Arial"/>
          <w:iCs/>
          <w:sz w:val="20"/>
        </w:rPr>
        <w:t>preglednice</w:t>
      </w:r>
      <w:r w:rsidR="00814A21" w:rsidRPr="00424274">
        <w:rPr>
          <w:rFonts w:ascii="Arial" w:hAnsi="Arial"/>
          <w:iCs/>
          <w:sz w:val="20"/>
        </w:rPr>
        <w:t xml:space="preserve"> </w:t>
      </w:r>
      <w:r w:rsidRPr="00424274">
        <w:rPr>
          <w:rFonts w:ascii="Arial" w:hAnsi="Arial"/>
          <w:iCs/>
          <w:sz w:val="20"/>
        </w:rPr>
        <w:t xml:space="preserve">4 in </w:t>
      </w:r>
      <w:r w:rsidR="00814A21">
        <w:rPr>
          <w:rFonts w:ascii="Arial" w:hAnsi="Arial"/>
          <w:iCs/>
          <w:sz w:val="20"/>
        </w:rPr>
        <w:t>g</w:t>
      </w:r>
      <w:r w:rsidRPr="00424274">
        <w:rPr>
          <w:rFonts w:ascii="Arial" w:hAnsi="Arial"/>
          <w:iCs/>
          <w:sz w:val="20"/>
        </w:rPr>
        <w:t xml:space="preserve">rafa 2 je razvidno, da so največ prijav sumljivih transakcij </w:t>
      </w:r>
      <w:r w:rsidR="00814A21">
        <w:rPr>
          <w:rFonts w:ascii="Arial" w:hAnsi="Arial"/>
          <w:iCs/>
          <w:sz w:val="20"/>
        </w:rPr>
        <w:t>u</w:t>
      </w:r>
      <w:r w:rsidRPr="00424274">
        <w:rPr>
          <w:rFonts w:ascii="Arial" w:hAnsi="Arial"/>
          <w:iCs/>
          <w:sz w:val="20"/>
        </w:rPr>
        <w:t xml:space="preserve">radu </w:t>
      </w:r>
      <w:r w:rsidR="00361F5F">
        <w:rPr>
          <w:rFonts w:ascii="Arial" w:hAnsi="Arial"/>
          <w:iCs/>
          <w:sz w:val="20"/>
        </w:rPr>
        <w:t>poslali</w:t>
      </w:r>
      <w:r w:rsidR="00361F5F" w:rsidRPr="00424274">
        <w:rPr>
          <w:rFonts w:ascii="Arial" w:hAnsi="Arial"/>
          <w:iCs/>
          <w:sz w:val="20"/>
        </w:rPr>
        <w:t xml:space="preserve"> </w:t>
      </w:r>
      <w:r w:rsidRPr="00424274">
        <w:rPr>
          <w:rFonts w:ascii="Arial" w:hAnsi="Arial"/>
          <w:iCs/>
          <w:sz w:val="20"/>
        </w:rPr>
        <w:t xml:space="preserve">zavezanci (finančne in nefinančne institucije), med katerimi po številu </w:t>
      </w:r>
      <w:r w:rsidR="00361F5F">
        <w:rPr>
          <w:rFonts w:ascii="Arial" w:hAnsi="Arial"/>
          <w:iCs/>
          <w:sz w:val="20"/>
        </w:rPr>
        <w:t>poslanih</w:t>
      </w:r>
      <w:r w:rsidR="00361F5F" w:rsidRPr="00424274">
        <w:rPr>
          <w:rFonts w:ascii="Arial" w:hAnsi="Arial"/>
          <w:iCs/>
          <w:sz w:val="20"/>
        </w:rPr>
        <w:t xml:space="preserve"> </w:t>
      </w:r>
      <w:r w:rsidRPr="00424274">
        <w:rPr>
          <w:rFonts w:ascii="Arial" w:hAnsi="Arial"/>
          <w:iCs/>
          <w:sz w:val="20"/>
        </w:rPr>
        <w:t xml:space="preserve">prijav izstopajo </w:t>
      </w:r>
      <w:r w:rsidRPr="00424274">
        <w:rPr>
          <w:rFonts w:ascii="Arial" w:hAnsi="Arial"/>
          <w:bCs/>
          <w:i/>
          <w:iCs/>
          <w:sz w:val="20"/>
        </w:rPr>
        <w:t>banke</w:t>
      </w:r>
      <w:r w:rsidRPr="00424274">
        <w:rPr>
          <w:rFonts w:ascii="Arial" w:hAnsi="Arial"/>
          <w:bCs/>
          <w:iCs/>
          <w:sz w:val="20"/>
        </w:rPr>
        <w:t>,</w:t>
      </w:r>
      <w:r w:rsidRPr="00424274">
        <w:rPr>
          <w:rFonts w:ascii="Arial" w:hAnsi="Arial"/>
          <w:iCs/>
          <w:sz w:val="20"/>
        </w:rPr>
        <w:t xml:space="preserve"> ki </w:t>
      </w:r>
      <w:r w:rsidR="00814A21">
        <w:rPr>
          <w:rFonts w:ascii="Arial" w:hAnsi="Arial"/>
          <w:iCs/>
          <w:sz w:val="20"/>
        </w:rPr>
        <w:t>u</w:t>
      </w:r>
      <w:r w:rsidRPr="00424274">
        <w:rPr>
          <w:rFonts w:ascii="Arial" w:hAnsi="Arial"/>
          <w:iCs/>
          <w:sz w:val="20"/>
        </w:rPr>
        <w:t xml:space="preserve">radu vsako leto </w:t>
      </w:r>
      <w:r w:rsidR="00361F5F">
        <w:rPr>
          <w:rFonts w:ascii="Arial" w:hAnsi="Arial"/>
          <w:iCs/>
          <w:sz w:val="20"/>
        </w:rPr>
        <w:t>pošljejo</w:t>
      </w:r>
      <w:r w:rsidR="00361F5F" w:rsidRPr="00424274">
        <w:rPr>
          <w:rFonts w:ascii="Arial" w:hAnsi="Arial"/>
          <w:iCs/>
          <w:sz w:val="20"/>
        </w:rPr>
        <w:t xml:space="preserve"> </w:t>
      </w:r>
      <w:r w:rsidRPr="00424274">
        <w:rPr>
          <w:rFonts w:ascii="Arial" w:hAnsi="Arial"/>
          <w:iCs/>
          <w:sz w:val="20"/>
        </w:rPr>
        <w:t xml:space="preserve">največje število prijav, v zvezi s katerimi naj bi po njihovi oceni obstajali razlogi za sum pranja denarja ali financiranja terorizma. Omenjeni trend je bil zaznan tudi v letu 2020, saj je bilo od </w:t>
      </w:r>
      <w:r w:rsidRPr="00424274">
        <w:rPr>
          <w:rFonts w:ascii="Arial" w:hAnsi="Arial"/>
          <w:bCs/>
          <w:iCs/>
          <w:sz w:val="20"/>
        </w:rPr>
        <w:t xml:space="preserve">vseh 1.137 zadev </w:t>
      </w:r>
      <w:r w:rsidRPr="00424274">
        <w:rPr>
          <w:rFonts w:ascii="Arial" w:hAnsi="Arial"/>
          <w:iCs/>
          <w:sz w:val="20"/>
        </w:rPr>
        <w:t>kar 742</w:t>
      </w:r>
      <w:r w:rsidRPr="00424274">
        <w:rPr>
          <w:rFonts w:ascii="Arial" w:hAnsi="Arial"/>
          <w:bCs/>
          <w:iCs/>
          <w:sz w:val="20"/>
        </w:rPr>
        <w:t xml:space="preserve"> odprtih na podlagi podatkov</w:t>
      </w:r>
      <w:r w:rsidRPr="00424274">
        <w:rPr>
          <w:rFonts w:ascii="Arial" w:hAnsi="Arial"/>
          <w:iCs/>
          <w:sz w:val="20"/>
        </w:rPr>
        <w:t xml:space="preserve"> iz prijav bank, kar znaša 65,26</w:t>
      </w:r>
      <w:r w:rsidR="00361F5F">
        <w:rPr>
          <w:rFonts w:ascii="Arial" w:hAnsi="Arial"/>
          <w:iCs/>
          <w:sz w:val="20"/>
        </w:rPr>
        <w:t>-</w:t>
      </w:r>
      <w:r w:rsidRPr="00424274">
        <w:rPr>
          <w:rFonts w:ascii="Arial" w:hAnsi="Arial"/>
          <w:iCs/>
          <w:sz w:val="20"/>
        </w:rPr>
        <w:t>% delež vseh odprtih zadev.</w:t>
      </w:r>
    </w:p>
    <w:p w14:paraId="738BA4D6" w14:textId="77777777" w:rsidR="00D053FF" w:rsidRPr="00424274" w:rsidRDefault="00D053FF" w:rsidP="00D053FF">
      <w:pPr>
        <w:spacing w:line="276" w:lineRule="auto"/>
        <w:ind w:right="-22"/>
        <w:rPr>
          <w:rFonts w:ascii="Arial" w:hAnsi="Arial"/>
          <w:iCs/>
          <w:sz w:val="20"/>
        </w:rPr>
      </w:pPr>
    </w:p>
    <w:p w14:paraId="4F3FA365" w14:textId="0892783A" w:rsidR="00D053FF" w:rsidRPr="00424274" w:rsidRDefault="00E55F9C" w:rsidP="00D053FF">
      <w:pPr>
        <w:spacing w:line="276" w:lineRule="auto"/>
        <w:ind w:right="-22"/>
        <w:rPr>
          <w:rFonts w:ascii="Arial" w:hAnsi="Arial"/>
          <w:iCs/>
          <w:sz w:val="20"/>
        </w:rPr>
      </w:pPr>
      <w:r>
        <w:rPr>
          <w:rFonts w:ascii="Arial" w:hAnsi="Arial"/>
          <w:iCs/>
          <w:sz w:val="20"/>
        </w:rPr>
        <w:t>Čeprav</w:t>
      </w:r>
      <w:r w:rsidR="00D053FF" w:rsidRPr="00424274">
        <w:rPr>
          <w:rFonts w:ascii="Arial" w:hAnsi="Arial"/>
          <w:iCs/>
          <w:sz w:val="20"/>
        </w:rPr>
        <w:t xml:space="preserve"> se je število odprtih zadev v zadnjih štirih letih več kot podvojilo, se struktura prijaviteljev ni znatno spremenila.</w:t>
      </w:r>
    </w:p>
    <w:p w14:paraId="5A1CF2ED" w14:textId="77777777" w:rsidR="007051A7" w:rsidRPr="00424274" w:rsidRDefault="007051A7">
      <w:pPr>
        <w:pStyle w:val="Oznaenseznam2"/>
      </w:pPr>
    </w:p>
    <w:p w14:paraId="23A049D0" w14:textId="0F0D214E" w:rsidR="00851C49" w:rsidRPr="00424274" w:rsidRDefault="00292A8B" w:rsidP="006D5A5A">
      <w:pPr>
        <w:pStyle w:val="Naslov3"/>
      </w:pPr>
      <w:bookmarkStart w:id="46" w:name="_Toc135206721"/>
      <w:bookmarkStart w:id="47" w:name="_Toc262605336"/>
      <w:bookmarkStart w:id="48" w:name="_Toc113535456"/>
      <w:r w:rsidRPr="00424274">
        <w:t xml:space="preserve">3.1.2 </w:t>
      </w:r>
      <w:r w:rsidR="00851C49" w:rsidRPr="00424274">
        <w:t xml:space="preserve">Število in dinamika odprtih in zaključenih </w:t>
      </w:r>
      <w:bookmarkEnd w:id="46"/>
      <w:bookmarkEnd w:id="47"/>
      <w:r w:rsidR="00851C49" w:rsidRPr="00424274">
        <w:t>zadev</w:t>
      </w:r>
      <w:bookmarkEnd w:id="48"/>
    </w:p>
    <w:p w14:paraId="573C70A0" w14:textId="77777777" w:rsidR="00851C49" w:rsidRPr="00424274" w:rsidRDefault="00851C49" w:rsidP="00D21F86">
      <w:pPr>
        <w:pStyle w:val="Telobesedila"/>
        <w:spacing w:line="276" w:lineRule="auto"/>
        <w:ind w:right="-22"/>
        <w:rPr>
          <w:rFonts w:ascii="Arial" w:hAnsi="Arial"/>
          <w:sz w:val="20"/>
        </w:rPr>
      </w:pPr>
    </w:p>
    <w:p w14:paraId="07F7AE6B" w14:textId="3F272677" w:rsidR="00B5565E" w:rsidRPr="00424274" w:rsidRDefault="00B5565E" w:rsidP="00B5565E">
      <w:pPr>
        <w:widowControl/>
        <w:spacing w:line="276" w:lineRule="auto"/>
        <w:ind w:right="-22"/>
        <w:rPr>
          <w:rFonts w:ascii="Arial" w:hAnsi="Arial"/>
          <w:sz w:val="20"/>
        </w:rPr>
      </w:pPr>
      <w:r w:rsidRPr="00424274">
        <w:rPr>
          <w:rFonts w:ascii="Arial" w:hAnsi="Arial"/>
          <w:sz w:val="20"/>
        </w:rPr>
        <w:t xml:space="preserve">V nadaljevanju v spodnji </w:t>
      </w:r>
      <w:r w:rsidR="00814A21">
        <w:rPr>
          <w:rFonts w:ascii="Arial" w:hAnsi="Arial"/>
          <w:sz w:val="20"/>
        </w:rPr>
        <w:t>preglednici</w:t>
      </w:r>
      <w:r w:rsidRPr="00424274">
        <w:rPr>
          <w:rFonts w:ascii="Arial" w:hAnsi="Arial"/>
          <w:sz w:val="20"/>
        </w:rPr>
        <w:t xml:space="preserve"> prikazujemo število odprtih in zaključenih zadev v obdobju 2010–2020, torej prirast in zaključevanje zadev, ki jih je </w:t>
      </w:r>
      <w:r w:rsidR="00814A21">
        <w:rPr>
          <w:rFonts w:ascii="Arial" w:hAnsi="Arial"/>
          <w:sz w:val="20"/>
        </w:rPr>
        <w:t>urad</w:t>
      </w:r>
      <w:r w:rsidRPr="00424274">
        <w:rPr>
          <w:rFonts w:ascii="Arial" w:hAnsi="Arial"/>
          <w:sz w:val="20"/>
        </w:rPr>
        <w:t xml:space="preserve"> obravnaval zaradi razlogov za sum storitve kaznivega dejanja pranja denarja ali financiranja terorizma.</w:t>
      </w:r>
    </w:p>
    <w:p w14:paraId="1DC5F85C" w14:textId="4816E089" w:rsidR="00851C49" w:rsidRPr="00424274" w:rsidRDefault="00851C49" w:rsidP="00D21F86">
      <w:pPr>
        <w:pStyle w:val="Telobesedila"/>
        <w:spacing w:line="276" w:lineRule="auto"/>
        <w:ind w:right="-22"/>
        <w:rPr>
          <w:rFonts w:ascii="Arial" w:hAnsi="Arial"/>
          <w:sz w:val="20"/>
        </w:rPr>
      </w:pPr>
    </w:p>
    <w:p w14:paraId="30B0B1F3" w14:textId="05A78A60" w:rsidR="00A21E6F" w:rsidRPr="00424274" w:rsidRDefault="00A21E6F" w:rsidP="00D21F86">
      <w:pPr>
        <w:pStyle w:val="Telobesedila"/>
        <w:spacing w:line="276" w:lineRule="auto"/>
        <w:ind w:right="-22"/>
        <w:rPr>
          <w:rFonts w:ascii="Arial" w:hAnsi="Arial"/>
          <w:sz w:val="20"/>
        </w:rPr>
      </w:pPr>
    </w:p>
    <w:p w14:paraId="07744937" w14:textId="13296946" w:rsidR="00A21E6F" w:rsidRPr="00424274" w:rsidRDefault="00A21E6F" w:rsidP="00D21F86">
      <w:pPr>
        <w:pStyle w:val="Telobesedila"/>
        <w:spacing w:line="276" w:lineRule="auto"/>
        <w:ind w:right="-22"/>
        <w:rPr>
          <w:rFonts w:ascii="Arial" w:hAnsi="Arial"/>
          <w:sz w:val="20"/>
        </w:rPr>
      </w:pPr>
    </w:p>
    <w:p w14:paraId="36B84EF0" w14:textId="57B922FB" w:rsidR="00A21E6F" w:rsidRPr="00424274" w:rsidRDefault="00A21E6F" w:rsidP="00D21F86">
      <w:pPr>
        <w:pStyle w:val="Telobesedila"/>
        <w:spacing w:line="276" w:lineRule="auto"/>
        <w:ind w:right="-22"/>
        <w:rPr>
          <w:rFonts w:ascii="Arial" w:hAnsi="Arial"/>
          <w:sz w:val="20"/>
        </w:rPr>
      </w:pPr>
    </w:p>
    <w:p w14:paraId="747FD032" w14:textId="66630646" w:rsidR="00A21E6F" w:rsidRPr="00424274" w:rsidRDefault="00A21E6F" w:rsidP="00D21F86">
      <w:pPr>
        <w:pStyle w:val="Telobesedila"/>
        <w:spacing w:line="276" w:lineRule="auto"/>
        <w:ind w:right="-22"/>
        <w:rPr>
          <w:rFonts w:ascii="Arial" w:hAnsi="Arial"/>
          <w:sz w:val="20"/>
        </w:rPr>
      </w:pPr>
    </w:p>
    <w:p w14:paraId="7FF48BDC" w14:textId="63A66E5B" w:rsidR="00A21E6F" w:rsidRPr="00424274" w:rsidRDefault="00A21E6F" w:rsidP="00D21F86">
      <w:pPr>
        <w:pStyle w:val="Telobesedila"/>
        <w:spacing w:line="276" w:lineRule="auto"/>
        <w:ind w:right="-22"/>
        <w:rPr>
          <w:rFonts w:ascii="Arial" w:hAnsi="Arial"/>
          <w:sz w:val="20"/>
        </w:rPr>
      </w:pPr>
    </w:p>
    <w:p w14:paraId="02E48795" w14:textId="14320F89" w:rsidR="00A21E6F" w:rsidRPr="00424274" w:rsidRDefault="00A21E6F" w:rsidP="00D21F86">
      <w:pPr>
        <w:pStyle w:val="Telobesedila"/>
        <w:spacing w:line="276" w:lineRule="auto"/>
        <w:ind w:right="-22"/>
        <w:rPr>
          <w:rFonts w:ascii="Arial" w:hAnsi="Arial"/>
          <w:sz w:val="20"/>
        </w:rPr>
      </w:pPr>
    </w:p>
    <w:p w14:paraId="5F8ABB49" w14:textId="683FB90F" w:rsidR="00A21E6F" w:rsidRPr="00424274" w:rsidRDefault="00A21E6F" w:rsidP="00D21F86">
      <w:pPr>
        <w:pStyle w:val="Telobesedila"/>
        <w:spacing w:line="276" w:lineRule="auto"/>
        <w:ind w:right="-22"/>
        <w:rPr>
          <w:rFonts w:ascii="Arial" w:hAnsi="Arial"/>
          <w:sz w:val="20"/>
        </w:rPr>
      </w:pPr>
    </w:p>
    <w:p w14:paraId="6FAB509C" w14:textId="1A405A8C" w:rsidR="00A21E6F" w:rsidRPr="00424274" w:rsidRDefault="00A21E6F" w:rsidP="00D21F86">
      <w:pPr>
        <w:pStyle w:val="Telobesedila"/>
        <w:spacing w:line="276" w:lineRule="auto"/>
        <w:ind w:right="-22"/>
        <w:rPr>
          <w:rFonts w:ascii="Arial" w:hAnsi="Arial"/>
          <w:sz w:val="20"/>
        </w:rPr>
      </w:pPr>
    </w:p>
    <w:p w14:paraId="31DE79A9" w14:textId="3EEE2934" w:rsidR="00A21E6F" w:rsidRPr="00424274" w:rsidRDefault="00A21E6F" w:rsidP="00D21F86">
      <w:pPr>
        <w:pStyle w:val="Telobesedila"/>
        <w:spacing w:line="276" w:lineRule="auto"/>
        <w:ind w:right="-22"/>
        <w:rPr>
          <w:rFonts w:ascii="Arial" w:hAnsi="Arial"/>
          <w:sz w:val="20"/>
        </w:rPr>
      </w:pPr>
    </w:p>
    <w:p w14:paraId="51AF7D71" w14:textId="546C31D0" w:rsidR="00A21E6F" w:rsidRPr="00424274" w:rsidRDefault="00A21E6F" w:rsidP="00D21F86">
      <w:pPr>
        <w:pStyle w:val="Telobesedila"/>
        <w:spacing w:line="276" w:lineRule="auto"/>
        <w:ind w:right="-22"/>
        <w:rPr>
          <w:rFonts w:ascii="Arial" w:hAnsi="Arial"/>
          <w:sz w:val="20"/>
        </w:rPr>
      </w:pPr>
    </w:p>
    <w:p w14:paraId="55BFE9A1" w14:textId="3E72A300" w:rsidR="00A21E6F" w:rsidRPr="00424274" w:rsidRDefault="00A21E6F" w:rsidP="00D21F86">
      <w:pPr>
        <w:pStyle w:val="Telobesedila"/>
        <w:spacing w:line="276" w:lineRule="auto"/>
        <w:ind w:right="-22"/>
        <w:rPr>
          <w:rFonts w:ascii="Arial" w:hAnsi="Arial"/>
          <w:sz w:val="20"/>
        </w:rPr>
      </w:pPr>
    </w:p>
    <w:p w14:paraId="4EE404DA" w14:textId="2C2B856E" w:rsidR="00A21E6F" w:rsidRPr="00424274" w:rsidRDefault="00A21E6F" w:rsidP="00D21F86">
      <w:pPr>
        <w:pStyle w:val="Telobesedila"/>
        <w:spacing w:line="276" w:lineRule="auto"/>
        <w:ind w:right="-22"/>
        <w:rPr>
          <w:rFonts w:ascii="Arial" w:hAnsi="Arial"/>
          <w:sz w:val="20"/>
        </w:rPr>
      </w:pPr>
    </w:p>
    <w:p w14:paraId="1CAAA797" w14:textId="59EC06C9" w:rsidR="00600B46" w:rsidRPr="00424274" w:rsidRDefault="00600B46" w:rsidP="00D21F86">
      <w:pPr>
        <w:pStyle w:val="Telobesedila"/>
        <w:spacing w:line="276" w:lineRule="auto"/>
        <w:ind w:right="-22"/>
        <w:rPr>
          <w:rFonts w:ascii="Arial" w:hAnsi="Arial"/>
          <w:sz w:val="20"/>
        </w:rPr>
      </w:pPr>
    </w:p>
    <w:p w14:paraId="4ECD34AF" w14:textId="316AEFB2" w:rsidR="00600B46" w:rsidRPr="00424274" w:rsidRDefault="00600B46" w:rsidP="00D21F86">
      <w:pPr>
        <w:pStyle w:val="Telobesedila"/>
        <w:spacing w:line="276" w:lineRule="auto"/>
        <w:ind w:right="-22"/>
        <w:rPr>
          <w:rFonts w:ascii="Arial" w:hAnsi="Arial"/>
          <w:sz w:val="20"/>
        </w:rPr>
      </w:pPr>
    </w:p>
    <w:p w14:paraId="6E7A5C7F" w14:textId="673B765C" w:rsidR="00600B46" w:rsidRPr="00424274" w:rsidRDefault="00600B46" w:rsidP="00D21F86">
      <w:pPr>
        <w:pStyle w:val="Telobesedila"/>
        <w:spacing w:line="276" w:lineRule="auto"/>
        <w:ind w:right="-22"/>
        <w:rPr>
          <w:rFonts w:ascii="Arial" w:hAnsi="Arial"/>
          <w:sz w:val="20"/>
        </w:rPr>
      </w:pPr>
    </w:p>
    <w:p w14:paraId="6F389BEF" w14:textId="69C30AF8" w:rsidR="00600B46" w:rsidRPr="00424274" w:rsidRDefault="00600B46" w:rsidP="00D21F86">
      <w:pPr>
        <w:pStyle w:val="Telobesedila"/>
        <w:spacing w:line="276" w:lineRule="auto"/>
        <w:ind w:right="-22"/>
        <w:rPr>
          <w:rFonts w:ascii="Arial" w:hAnsi="Arial"/>
          <w:sz w:val="20"/>
        </w:rPr>
      </w:pPr>
    </w:p>
    <w:p w14:paraId="7A88C2B4" w14:textId="6BA261D5" w:rsidR="00600B46" w:rsidRPr="00424274" w:rsidRDefault="00600B46" w:rsidP="00D21F86">
      <w:pPr>
        <w:pStyle w:val="Telobesedila"/>
        <w:spacing w:line="276" w:lineRule="auto"/>
        <w:ind w:right="-22"/>
        <w:rPr>
          <w:rFonts w:ascii="Arial" w:hAnsi="Arial"/>
          <w:sz w:val="20"/>
        </w:rPr>
      </w:pPr>
    </w:p>
    <w:p w14:paraId="4F901EB1" w14:textId="77777777" w:rsidR="00600B46" w:rsidRPr="00424274" w:rsidRDefault="00600B46" w:rsidP="00D21F86">
      <w:pPr>
        <w:pStyle w:val="Telobesedila"/>
        <w:spacing w:line="276" w:lineRule="auto"/>
        <w:ind w:right="-22"/>
        <w:rPr>
          <w:rFonts w:ascii="Arial" w:hAnsi="Arial"/>
          <w:sz w:val="20"/>
        </w:rPr>
      </w:pPr>
    </w:p>
    <w:p w14:paraId="7EBB522C" w14:textId="77777777" w:rsidR="00A21E6F" w:rsidRPr="00424274" w:rsidRDefault="00A21E6F" w:rsidP="00D21F86">
      <w:pPr>
        <w:pStyle w:val="Telobesedila"/>
        <w:spacing w:line="276" w:lineRule="auto"/>
        <w:ind w:right="-22"/>
        <w:rPr>
          <w:rFonts w:ascii="Arial" w:hAnsi="Arial"/>
          <w:sz w:val="20"/>
        </w:rPr>
      </w:pPr>
    </w:p>
    <w:p w14:paraId="4ED5A1DC" w14:textId="340DD058" w:rsidR="00851C49" w:rsidRPr="00424274" w:rsidRDefault="00814A21" w:rsidP="00D21F86">
      <w:pPr>
        <w:pStyle w:val="Napis"/>
        <w:spacing w:line="276" w:lineRule="auto"/>
        <w:ind w:right="-22"/>
        <w:rPr>
          <w:rFonts w:ascii="Arial" w:hAnsi="Arial"/>
          <w:sz w:val="20"/>
        </w:rPr>
      </w:pPr>
      <w:r>
        <w:rPr>
          <w:rFonts w:ascii="Arial" w:hAnsi="Arial"/>
          <w:sz w:val="20"/>
        </w:rPr>
        <w:t>Preglednica</w:t>
      </w:r>
      <w:r w:rsidR="00045D57" w:rsidRPr="00424274">
        <w:rPr>
          <w:rFonts w:ascii="Arial" w:hAnsi="Arial"/>
          <w:sz w:val="20"/>
        </w:rPr>
        <w:t xml:space="preserve"> 5</w:t>
      </w:r>
      <w:r w:rsidR="00851C49" w:rsidRPr="00424274">
        <w:rPr>
          <w:rFonts w:ascii="Arial" w:hAnsi="Arial"/>
          <w:sz w:val="20"/>
        </w:rPr>
        <w:t>:</w:t>
      </w:r>
      <w:r w:rsidR="00851C49" w:rsidRPr="00424274">
        <w:rPr>
          <w:rFonts w:ascii="Arial" w:hAnsi="Arial"/>
          <w:i w:val="0"/>
          <w:sz w:val="20"/>
        </w:rPr>
        <w:t xml:space="preserve"> </w:t>
      </w:r>
      <w:r w:rsidR="00851C49" w:rsidRPr="00424274">
        <w:rPr>
          <w:rFonts w:ascii="Arial" w:hAnsi="Arial"/>
          <w:sz w:val="20"/>
        </w:rPr>
        <w:t xml:space="preserve">Pregled odprtih in zaključenih zadev </w:t>
      </w:r>
      <w:r w:rsidR="00436A16" w:rsidRPr="00424274">
        <w:rPr>
          <w:rFonts w:ascii="Arial" w:hAnsi="Arial"/>
          <w:sz w:val="20"/>
        </w:rPr>
        <w:t xml:space="preserve">v </w:t>
      </w:r>
      <w:r>
        <w:rPr>
          <w:rFonts w:ascii="Arial" w:hAnsi="Arial"/>
          <w:sz w:val="20"/>
        </w:rPr>
        <w:t>urad</w:t>
      </w:r>
      <w:r w:rsidR="00851C49" w:rsidRPr="00424274">
        <w:rPr>
          <w:rFonts w:ascii="Arial" w:hAnsi="Arial"/>
          <w:sz w:val="20"/>
        </w:rPr>
        <w:t>u v obdobju 20</w:t>
      </w:r>
      <w:r w:rsidR="00D96206" w:rsidRPr="00424274">
        <w:rPr>
          <w:rFonts w:ascii="Arial" w:hAnsi="Arial"/>
          <w:sz w:val="20"/>
        </w:rPr>
        <w:t>1</w:t>
      </w:r>
      <w:r w:rsidR="00AA2094" w:rsidRPr="00424274">
        <w:rPr>
          <w:rFonts w:ascii="Arial" w:hAnsi="Arial"/>
          <w:sz w:val="20"/>
        </w:rPr>
        <w:t>0</w:t>
      </w:r>
      <w:r w:rsidR="00851C49" w:rsidRPr="00424274">
        <w:rPr>
          <w:rFonts w:ascii="Arial" w:hAnsi="Arial"/>
          <w:sz w:val="20"/>
        </w:rPr>
        <w:t>–20</w:t>
      </w:r>
      <w:r w:rsidR="00EB0245" w:rsidRPr="00424274">
        <w:rPr>
          <w:rFonts w:ascii="Arial" w:hAnsi="Arial"/>
          <w:sz w:val="20"/>
        </w:rPr>
        <w:t>20</w:t>
      </w:r>
    </w:p>
    <w:tbl>
      <w:tblPr>
        <w:tblW w:w="9215" w:type="dxa"/>
        <w:tblInd w:w="-21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
        <w:gridCol w:w="992"/>
        <w:gridCol w:w="1134"/>
        <w:gridCol w:w="1417"/>
        <w:gridCol w:w="1418"/>
        <w:gridCol w:w="1417"/>
        <w:gridCol w:w="2127"/>
      </w:tblGrid>
      <w:tr w:rsidR="008F6703" w:rsidRPr="00424274" w14:paraId="06EEF102" w14:textId="77777777" w:rsidTr="00C67A40">
        <w:trPr>
          <w:trHeight w:val="414"/>
        </w:trPr>
        <w:tc>
          <w:tcPr>
            <w:tcW w:w="710" w:type="dxa"/>
            <w:vMerge w:val="restart"/>
            <w:tcBorders>
              <w:top w:val="single" w:sz="8" w:space="0" w:color="auto"/>
            </w:tcBorders>
            <w:shd w:val="clear" w:color="auto" w:fill="00CCFF"/>
            <w:noWrap/>
            <w:vAlign w:val="bottom"/>
          </w:tcPr>
          <w:p w14:paraId="081DA643" w14:textId="77777777" w:rsidR="008F6703" w:rsidRPr="00424274" w:rsidRDefault="008F6703" w:rsidP="008F6703">
            <w:pPr>
              <w:widowControl/>
              <w:jc w:val="center"/>
              <w:rPr>
                <w:rFonts w:ascii="Arial" w:hAnsi="Arial"/>
                <w:b/>
                <w:bCs/>
                <w:sz w:val="17"/>
                <w:szCs w:val="17"/>
                <w:lang w:eastAsia="sl-SI"/>
              </w:rPr>
            </w:pPr>
            <w:r w:rsidRPr="00424274">
              <w:rPr>
                <w:rFonts w:ascii="Arial" w:hAnsi="Arial"/>
                <w:b/>
                <w:bCs/>
                <w:sz w:val="17"/>
                <w:szCs w:val="17"/>
                <w:lang w:eastAsia="sl-SI"/>
              </w:rPr>
              <w:t>LETO</w:t>
            </w:r>
          </w:p>
        </w:tc>
        <w:tc>
          <w:tcPr>
            <w:tcW w:w="992" w:type="dxa"/>
            <w:vMerge w:val="restart"/>
            <w:tcBorders>
              <w:top w:val="single" w:sz="8" w:space="0" w:color="auto"/>
            </w:tcBorders>
            <w:shd w:val="clear" w:color="auto" w:fill="00CCFF"/>
            <w:noWrap/>
            <w:vAlign w:val="bottom"/>
          </w:tcPr>
          <w:p w14:paraId="74800538" w14:textId="77777777" w:rsidR="008F6703" w:rsidRPr="00424274" w:rsidRDefault="008F6703" w:rsidP="008F6703">
            <w:pPr>
              <w:widowControl/>
              <w:jc w:val="center"/>
              <w:rPr>
                <w:rFonts w:ascii="Arial" w:hAnsi="Arial"/>
                <w:b/>
                <w:bCs/>
                <w:sz w:val="17"/>
                <w:szCs w:val="17"/>
                <w:lang w:eastAsia="sl-SI"/>
              </w:rPr>
            </w:pPr>
            <w:r w:rsidRPr="00424274">
              <w:rPr>
                <w:rFonts w:ascii="Arial" w:hAnsi="Arial"/>
                <w:b/>
                <w:bCs/>
                <w:sz w:val="17"/>
                <w:szCs w:val="17"/>
                <w:lang w:eastAsia="sl-SI"/>
              </w:rPr>
              <w:t>PREJETO</w:t>
            </w:r>
          </w:p>
        </w:tc>
        <w:tc>
          <w:tcPr>
            <w:tcW w:w="1134" w:type="dxa"/>
            <w:vMerge w:val="restart"/>
            <w:tcBorders>
              <w:top w:val="single" w:sz="8" w:space="0" w:color="auto"/>
            </w:tcBorders>
            <w:shd w:val="clear" w:color="auto" w:fill="00CCFF"/>
            <w:noWrap/>
            <w:vAlign w:val="bottom"/>
          </w:tcPr>
          <w:p w14:paraId="6E552DFA" w14:textId="77777777" w:rsidR="008F6703" w:rsidRPr="00424274" w:rsidRDefault="008F6703" w:rsidP="008F6703">
            <w:pPr>
              <w:widowControl/>
              <w:jc w:val="center"/>
              <w:rPr>
                <w:rFonts w:ascii="Arial" w:hAnsi="Arial"/>
                <w:b/>
                <w:bCs/>
                <w:sz w:val="17"/>
                <w:szCs w:val="17"/>
                <w:lang w:eastAsia="sl-SI"/>
              </w:rPr>
            </w:pPr>
            <w:r w:rsidRPr="00424274">
              <w:rPr>
                <w:rFonts w:ascii="Arial" w:hAnsi="Arial"/>
                <w:b/>
                <w:bCs/>
                <w:sz w:val="17"/>
                <w:szCs w:val="17"/>
                <w:lang w:eastAsia="sl-SI"/>
              </w:rPr>
              <w:t>OBVESTILA</w:t>
            </w:r>
          </w:p>
        </w:tc>
        <w:tc>
          <w:tcPr>
            <w:tcW w:w="1417" w:type="dxa"/>
            <w:vMerge w:val="restart"/>
            <w:tcBorders>
              <w:top w:val="single" w:sz="8" w:space="0" w:color="auto"/>
            </w:tcBorders>
            <w:shd w:val="clear" w:color="auto" w:fill="00CCFF"/>
            <w:noWrap/>
            <w:vAlign w:val="bottom"/>
          </w:tcPr>
          <w:p w14:paraId="54D1BABE" w14:textId="77777777" w:rsidR="008F6703" w:rsidRPr="00424274" w:rsidRDefault="008F6703" w:rsidP="008F6703">
            <w:pPr>
              <w:widowControl/>
              <w:jc w:val="center"/>
              <w:rPr>
                <w:rFonts w:ascii="Arial" w:hAnsi="Arial"/>
                <w:b/>
                <w:bCs/>
                <w:sz w:val="17"/>
                <w:szCs w:val="17"/>
                <w:lang w:eastAsia="sl-SI"/>
              </w:rPr>
            </w:pPr>
            <w:r w:rsidRPr="00424274">
              <w:rPr>
                <w:rFonts w:ascii="Arial" w:hAnsi="Arial"/>
                <w:b/>
                <w:bCs/>
                <w:sz w:val="17"/>
                <w:szCs w:val="17"/>
                <w:lang w:eastAsia="sl-SI"/>
              </w:rPr>
              <w:t>INFORMACIJE</w:t>
            </w:r>
          </w:p>
        </w:tc>
        <w:tc>
          <w:tcPr>
            <w:tcW w:w="1418" w:type="dxa"/>
            <w:vMerge w:val="restart"/>
            <w:tcBorders>
              <w:top w:val="single" w:sz="8" w:space="0" w:color="auto"/>
            </w:tcBorders>
            <w:shd w:val="clear" w:color="auto" w:fill="00CCFF"/>
            <w:vAlign w:val="bottom"/>
          </w:tcPr>
          <w:p w14:paraId="0CF5ECA9" w14:textId="77777777" w:rsidR="008F6703" w:rsidRPr="00424274" w:rsidRDefault="008F6703" w:rsidP="008F6703">
            <w:pPr>
              <w:widowControl/>
              <w:jc w:val="center"/>
              <w:rPr>
                <w:rFonts w:ascii="Arial" w:hAnsi="Arial"/>
                <w:b/>
                <w:bCs/>
                <w:sz w:val="17"/>
                <w:szCs w:val="17"/>
                <w:lang w:eastAsia="sl-SI"/>
              </w:rPr>
            </w:pPr>
            <w:r w:rsidRPr="00424274">
              <w:rPr>
                <w:rFonts w:ascii="Arial" w:hAnsi="Arial"/>
                <w:b/>
                <w:bCs/>
                <w:sz w:val="17"/>
                <w:szCs w:val="17"/>
                <w:lang w:eastAsia="sl-SI"/>
              </w:rPr>
              <w:t>ZAKLJUČENO V URADU</w:t>
            </w:r>
          </w:p>
        </w:tc>
        <w:tc>
          <w:tcPr>
            <w:tcW w:w="1417" w:type="dxa"/>
            <w:vMerge w:val="restart"/>
            <w:tcBorders>
              <w:top w:val="single" w:sz="8" w:space="0" w:color="auto"/>
            </w:tcBorders>
            <w:shd w:val="clear" w:color="auto" w:fill="00CCFF"/>
            <w:vAlign w:val="bottom"/>
          </w:tcPr>
          <w:p w14:paraId="5184B682" w14:textId="77777777" w:rsidR="008F6703" w:rsidRPr="00424274" w:rsidRDefault="008F6703" w:rsidP="008F6703">
            <w:pPr>
              <w:widowControl/>
              <w:jc w:val="center"/>
              <w:rPr>
                <w:rFonts w:ascii="Arial" w:hAnsi="Arial"/>
                <w:b/>
                <w:bCs/>
                <w:sz w:val="17"/>
                <w:szCs w:val="17"/>
                <w:lang w:eastAsia="sl-SI"/>
              </w:rPr>
            </w:pPr>
            <w:r w:rsidRPr="00424274">
              <w:rPr>
                <w:rFonts w:ascii="Arial" w:hAnsi="Arial"/>
                <w:b/>
                <w:bCs/>
                <w:sz w:val="17"/>
                <w:szCs w:val="17"/>
                <w:lang w:eastAsia="sl-SI"/>
              </w:rPr>
              <w:t>ZAKLJUČENO SKUPAJ</w:t>
            </w:r>
          </w:p>
        </w:tc>
        <w:tc>
          <w:tcPr>
            <w:tcW w:w="2127" w:type="dxa"/>
            <w:tcBorders>
              <w:top w:val="single" w:sz="8" w:space="0" w:color="auto"/>
            </w:tcBorders>
            <w:shd w:val="clear" w:color="auto" w:fill="00CCFF"/>
            <w:vAlign w:val="bottom"/>
          </w:tcPr>
          <w:p w14:paraId="6B5A6C05" w14:textId="10FE9338" w:rsidR="008F6703" w:rsidRPr="00424274" w:rsidRDefault="008F6703" w:rsidP="004E3462">
            <w:pPr>
              <w:widowControl/>
              <w:jc w:val="center"/>
              <w:rPr>
                <w:rFonts w:ascii="Arial" w:hAnsi="Arial"/>
                <w:b/>
                <w:bCs/>
                <w:sz w:val="17"/>
                <w:szCs w:val="17"/>
                <w:lang w:eastAsia="sl-SI"/>
              </w:rPr>
            </w:pPr>
            <w:r w:rsidRPr="00424274">
              <w:rPr>
                <w:rFonts w:ascii="Arial" w:hAnsi="Arial"/>
                <w:b/>
                <w:bCs/>
                <w:sz w:val="17"/>
                <w:szCs w:val="17"/>
                <w:lang w:eastAsia="sl-SI"/>
              </w:rPr>
              <w:t xml:space="preserve">ŠTEVILO </w:t>
            </w:r>
            <w:r w:rsidR="008A1626">
              <w:rPr>
                <w:rFonts w:ascii="Arial" w:hAnsi="Arial"/>
                <w:b/>
                <w:bCs/>
                <w:sz w:val="17"/>
                <w:szCs w:val="17"/>
                <w:lang w:eastAsia="sl-SI"/>
              </w:rPr>
              <w:t>POSLANIH</w:t>
            </w:r>
            <w:r w:rsidR="008A1626" w:rsidRPr="00424274">
              <w:rPr>
                <w:rFonts w:ascii="Arial" w:hAnsi="Arial"/>
                <w:b/>
                <w:bCs/>
                <w:sz w:val="17"/>
                <w:szCs w:val="17"/>
                <w:lang w:eastAsia="sl-SI"/>
              </w:rPr>
              <w:t xml:space="preserve"> </w:t>
            </w:r>
            <w:r w:rsidRPr="00424274">
              <w:rPr>
                <w:rFonts w:ascii="Arial" w:hAnsi="Arial"/>
                <w:b/>
                <w:bCs/>
                <w:sz w:val="17"/>
                <w:szCs w:val="17"/>
                <w:lang w:eastAsia="sl-SI"/>
              </w:rPr>
              <w:t>PISNIH IZDELKOV</w:t>
            </w:r>
            <w:r w:rsidRPr="00424274">
              <w:rPr>
                <w:rFonts w:ascii="Arial" w:hAnsi="Arial"/>
                <w:b/>
                <w:bCs/>
                <w:sz w:val="17"/>
                <w:szCs w:val="17"/>
                <w:vertAlign w:val="superscript"/>
                <w:lang w:eastAsia="sl-SI"/>
              </w:rPr>
              <w:footnoteReference w:id="5"/>
            </w:r>
          </w:p>
        </w:tc>
      </w:tr>
      <w:tr w:rsidR="008F6703" w:rsidRPr="00424274" w14:paraId="2A60874A" w14:textId="77777777" w:rsidTr="00C67A40">
        <w:trPr>
          <w:trHeight w:val="414"/>
        </w:trPr>
        <w:tc>
          <w:tcPr>
            <w:tcW w:w="710" w:type="dxa"/>
            <w:vMerge/>
            <w:shd w:val="clear" w:color="auto" w:fill="00CCFF"/>
            <w:noWrap/>
            <w:vAlign w:val="bottom"/>
          </w:tcPr>
          <w:p w14:paraId="17A09080" w14:textId="77777777" w:rsidR="008F6703" w:rsidRPr="00424274" w:rsidRDefault="008F6703" w:rsidP="008F6703">
            <w:pPr>
              <w:widowControl/>
              <w:jc w:val="center"/>
              <w:rPr>
                <w:rFonts w:ascii="Arial" w:hAnsi="Arial"/>
                <w:b/>
                <w:bCs/>
                <w:sz w:val="17"/>
                <w:szCs w:val="17"/>
                <w:lang w:eastAsia="sl-SI"/>
              </w:rPr>
            </w:pPr>
          </w:p>
        </w:tc>
        <w:tc>
          <w:tcPr>
            <w:tcW w:w="992" w:type="dxa"/>
            <w:vMerge/>
            <w:shd w:val="clear" w:color="auto" w:fill="00CCFF"/>
            <w:noWrap/>
            <w:vAlign w:val="bottom"/>
          </w:tcPr>
          <w:p w14:paraId="05D44FE0" w14:textId="77777777" w:rsidR="008F6703" w:rsidRPr="00424274" w:rsidRDefault="008F6703" w:rsidP="008F6703">
            <w:pPr>
              <w:widowControl/>
              <w:jc w:val="center"/>
              <w:rPr>
                <w:rFonts w:ascii="Arial" w:hAnsi="Arial"/>
                <w:b/>
                <w:bCs/>
                <w:sz w:val="17"/>
                <w:szCs w:val="17"/>
                <w:lang w:eastAsia="sl-SI"/>
              </w:rPr>
            </w:pPr>
          </w:p>
        </w:tc>
        <w:tc>
          <w:tcPr>
            <w:tcW w:w="1134" w:type="dxa"/>
            <w:vMerge/>
            <w:shd w:val="clear" w:color="auto" w:fill="00CCFF"/>
            <w:noWrap/>
            <w:vAlign w:val="bottom"/>
          </w:tcPr>
          <w:p w14:paraId="3D0901E4" w14:textId="77777777" w:rsidR="008F6703" w:rsidRPr="00424274" w:rsidRDefault="008F6703" w:rsidP="008F6703">
            <w:pPr>
              <w:widowControl/>
              <w:jc w:val="center"/>
              <w:rPr>
                <w:rFonts w:ascii="Arial" w:hAnsi="Arial"/>
                <w:b/>
                <w:bCs/>
                <w:sz w:val="17"/>
                <w:szCs w:val="17"/>
                <w:lang w:eastAsia="sl-SI"/>
              </w:rPr>
            </w:pPr>
          </w:p>
        </w:tc>
        <w:tc>
          <w:tcPr>
            <w:tcW w:w="1417" w:type="dxa"/>
            <w:vMerge/>
            <w:shd w:val="clear" w:color="auto" w:fill="00CCFF"/>
            <w:noWrap/>
            <w:vAlign w:val="bottom"/>
          </w:tcPr>
          <w:p w14:paraId="1D9A668A" w14:textId="77777777" w:rsidR="008F6703" w:rsidRPr="00424274" w:rsidRDefault="008F6703" w:rsidP="008F6703">
            <w:pPr>
              <w:widowControl/>
              <w:jc w:val="center"/>
              <w:rPr>
                <w:rFonts w:ascii="Arial" w:hAnsi="Arial"/>
                <w:b/>
                <w:bCs/>
                <w:sz w:val="17"/>
                <w:szCs w:val="17"/>
                <w:lang w:eastAsia="sl-SI"/>
              </w:rPr>
            </w:pPr>
          </w:p>
        </w:tc>
        <w:tc>
          <w:tcPr>
            <w:tcW w:w="1418" w:type="dxa"/>
            <w:vMerge/>
            <w:shd w:val="clear" w:color="auto" w:fill="00CCFF"/>
            <w:vAlign w:val="bottom"/>
          </w:tcPr>
          <w:p w14:paraId="475C8663" w14:textId="77777777" w:rsidR="008F6703" w:rsidRPr="00424274" w:rsidRDefault="008F6703" w:rsidP="008F6703">
            <w:pPr>
              <w:widowControl/>
              <w:jc w:val="center"/>
              <w:rPr>
                <w:rFonts w:ascii="Arial" w:hAnsi="Arial"/>
                <w:b/>
                <w:bCs/>
                <w:sz w:val="17"/>
                <w:szCs w:val="17"/>
                <w:lang w:eastAsia="sl-SI"/>
              </w:rPr>
            </w:pPr>
          </w:p>
        </w:tc>
        <w:tc>
          <w:tcPr>
            <w:tcW w:w="1417" w:type="dxa"/>
            <w:vMerge/>
            <w:shd w:val="clear" w:color="auto" w:fill="00CCFF"/>
            <w:vAlign w:val="bottom"/>
          </w:tcPr>
          <w:p w14:paraId="439C5E07" w14:textId="77777777" w:rsidR="008F6703" w:rsidRPr="00424274" w:rsidRDefault="008F6703" w:rsidP="008F6703">
            <w:pPr>
              <w:widowControl/>
              <w:jc w:val="center"/>
              <w:rPr>
                <w:rFonts w:ascii="Arial" w:hAnsi="Arial"/>
                <w:b/>
                <w:bCs/>
                <w:sz w:val="17"/>
                <w:szCs w:val="17"/>
                <w:lang w:eastAsia="sl-SI"/>
              </w:rPr>
            </w:pPr>
          </w:p>
        </w:tc>
        <w:tc>
          <w:tcPr>
            <w:tcW w:w="2127" w:type="dxa"/>
            <w:tcBorders>
              <w:top w:val="single" w:sz="8" w:space="0" w:color="auto"/>
            </w:tcBorders>
            <w:shd w:val="clear" w:color="auto" w:fill="00CCFF"/>
            <w:vAlign w:val="bottom"/>
          </w:tcPr>
          <w:p w14:paraId="60D0191E" w14:textId="77777777" w:rsidR="008F6703" w:rsidRPr="00424274" w:rsidRDefault="008F6703" w:rsidP="008F6703">
            <w:pPr>
              <w:widowControl/>
              <w:jc w:val="center"/>
              <w:rPr>
                <w:rFonts w:ascii="Arial" w:hAnsi="Arial"/>
                <w:b/>
                <w:bCs/>
                <w:sz w:val="17"/>
                <w:szCs w:val="17"/>
                <w:lang w:eastAsia="sl-SI"/>
              </w:rPr>
            </w:pPr>
            <w:r w:rsidRPr="00424274">
              <w:rPr>
                <w:rFonts w:ascii="Arial" w:hAnsi="Arial"/>
                <w:b/>
                <w:bCs/>
                <w:sz w:val="17"/>
                <w:szCs w:val="17"/>
                <w:lang w:eastAsia="sl-SI"/>
              </w:rPr>
              <w:t>OBVESTILA/ INFORMACIJE</w:t>
            </w:r>
          </w:p>
        </w:tc>
      </w:tr>
      <w:tr w:rsidR="008F6703" w:rsidRPr="00424274" w14:paraId="6EC01916" w14:textId="77777777" w:rsidTr="00C67A40">
        <w:trPr>
          <w:trHeight w:val="330"/>
        </w:trPr>
        <w:tc>
          <w:tcPr>
            <w:tcW w:w="710" w:type="dxa"/>
            <w:shd w:val="clear" w:color="auto" w:fill="99FF33"/>
            <w:noWrap/>
            <w:vAlign w:val="bottom"/>
          </w:tcPr>
          <w:p w14:paraId="5432F13B" w14:textId="77777777" w:rsidR="008F6703" w:rsidRPr="00424274" w:rsidRDefault="008F6703" w:rsidP="008F6703">
            <w:pPr>
              <w:widowControl/>
              <w:jc w:val="center"/>
              <w:rPr>
                <w:rFonts w:ascii="Arial" w:hAnsi="Arial"/>
                <w:b/>
                <w:bCs/>
                <w:sz w:val="17"/>
                <w:szCs w:val="17"/>
                <w:lang w:eastAsia="sl-SI"/>
              </w:rPr>
            </w:pPr>
            <w:r w:rsidRPr="00424274">
              <w:rPr>
                <w:rFonts w:ascii="Arial" w:hAnsi="Arial"/>
                <w:b/>
                <w:bCs/>
                <w:sz w:val="17"/>
                <w:szCs w:val="17"/>
                <w:lang w:eastAsia="sl-SI"/>
              </w:rPr>
              <w:t>2010</w:t>
            </w:r>
          </w:p>
        </w:tc>
        <w:tc>
          <w:tcPr>
            <w:tcW w:w="992" w:type="dxa"/>
            <w:vAlign w:val="bottom"/>
          </w:tcPr>
          <w:p w14:paraId="415D4BFC"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233</w:t>
            </w:r>
          </w:p>
        </w:tc>
        <w:tc>
          <w:tcPr>
            <w:tcW w:w="1134" w:type="dxa"/>
            <w:vAlign w:val="bottom"/>
          </w:tcPr>
          <w:p w14:paraId="3338DD70"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55</w:t>
            </w:r>
          </w:p>
        </w:tc>
        <w:tc>
          <w:tcPr>
            <w:tcW w:w="1417" w:type="dxa"/>
            <w:vAlign w:val="bottom"/>
          </w:tcPr>
          <w:p w14:paraId="2793D1D4"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43</w:t>
            </w:r>
          </w:p>
        </w:tc>
        <w:tc>
          <w:tcPr>
            <w:tcW w:w="1418" w:type="dxa"/>
            <w:vAlign w:val="bottom"/>
          </w:tcPr>
          <w:p w14:paraId="6CE57812"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109</w:t>
            </w:r>
          </w:p>
        </w:tc>
        <w:tc>
          <w:tcPr>
            <w:tcW w:w="1417" w:type="dxa"/>
            <w:vAlign w:val="bottom"/>
          </w:tcPr>
          <w:p w14:paraId="3A3C4460"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207</w:t>
            </w:r>
          </w:p>
        </w:tc>
        <w:tc>
          <w:tcPr>
            <w:tcW w:w="2127" w:type="dxa"/>
            <w:vAlign w:val="bottom"/>
          </w:tcPr>
          <w:p w14:paraId="3517D7D7" w14:textId="77777777" w:rsidR="008F6703" w:rsidRPr="00424274" w:rsidRDefault="008F6703" w:rsidP="008F6703">
            <w:pPr>
              <w:widowControl/>
              <w:jc w:val="center"/>
              <w:rPr>
                <w:rFonts w:ascii="Arial" w:hAnsi="Arial"/>
                <w:sz w:val="17"/>
                <w:szCs w:val="17"/>
                <w:lang w:eastAsia="sl-SI"/>
              </w:rPr>
            </w:pPr>
          </w:p>
        </w:tc>
      </w:tr>
      <w:tr w:rsidR="008F6703" w:rsidRPr="00424274" w14:paraId="6BE01859" w14:textId="77777777" w:rsidTr="00C67A40">
        <w:trPr>
          <w:trHeight w:val="330"/>
        </w:trPr>
        <w:tc>
          <w:tcPr>
            <w:tcW w:w="710" w:type="dxa"/>
            <w:shd w:val="clear" w:color="auto" w:fill="99FF33"/>
            <w:noWrap/>
            <w:vAlign w:val="bottom"/>
          </w:tcPr>
          <w:p w14:paraId="5A8F53DB" w14:textId="77777777" w:rsidR="008F6703" w:rsidRPr="00424274" w:rsidRDefault="008F6703" w:rsidP="008F6703">
            <w:pPr>
              <w:widowControl/>
              <w:jc w:val="center"/>
              <w:rPr>
                <w:rFonts w:ascii="Arial" w:hAnsi="Arial"/>
                <w:b/>
                <w:bCs/>
                <w:sz w:val="17"/>
                <w:szCs w:val="17"/>
                <w:lang w:eastAsia="sl-SI"/>
              </w:rPr>
            </w:pPr>
            <w:r w:rsidRPr="00424274">
              <w:rPr>
                <w:rFonts w:ascii="Arial" w:hAnsi="Arial"/>
                <w:b/>
                <w:bCs/>
                <w:sz w:val="17"/>
                <w:szCs w:val="17"/>
                <w:lang w:eastAsia="sl-SI"/>
              </w:rPr>
              <w:t>2011</w:t>
            </w:r>
          </w:p>
        </w:tc>
        <w:tc>
          <w:tcPr>
            <w:tcW w:w="992" w:type="dxa"/>
            <w:vAlign w:val="bottom"/>
          </w:tcPr>
          <w:p w14:paraId="4790E3EE"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327</w:t>
            </w:r>
          </w:p>
        </w:tc>
        <w:tc>
          <w:tcPr>
            <w:tcW w:w="1134" w:type="dxa"/>
            <w:vAlign w:val="bottom"/>
          </w:tcPr>
          <w:p w14:paraId="1C850677"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99</w:t>
            </w:r>
          </w:p>
        </w:tc>
        <w:tc>
          <w:tcPr>
            <w:tcW w:w="1417" w:type="dxa"/>
            <w:vAlign w:val="bottom"/>
          </w:tcPr>
          <w:p w14:paraId="3655D760"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58</w:t>
            </w:r>
          </w:p>
        </w:tc>
        <w:tc>
          <w:tcPr>
            <w:tcW w:w="1418" w:type="dxa"/>
            <w:vAlign w:val="bottom"/>
          </w:tcPr>
          <w:p w14:paraId="1634570B"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99</w:t>
            </w:r>
          </w:p>
        </w:tc>
        <w:tc>
          <w:tcPr>
            <w:tcW w:w="1417" w:type="dxa"/>
            <w:vAlign w:val="bottom"/>
          </w:tcPr>
          <w:p w14:paraId="70FBFA50"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256</w:t>
            </w:r>
          </w:p>
        </w:tc>
        <w:tc>
          <w:tcPr>
            <w:tcW w:w="2127" w:type="dxa"/>
            <w:vAlign w:val="bottom"/>
          </w:tcPr>
          <w:p w14:paraId="0DBECD8B"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84/48</w:t>
            </w:r>
          </w:p>
        </w:tc>
      </w:tr>
      <w:tr w:rsidR="008F6703" w:rsidRPr="00424274" w14:paraId="6EFC5A74" w14:textId="77777777" w:rsidTr="00C67A40">
        <w:trPr>
          <w:trHeight w:val="330"/>
        </w:trPr>
        <w:tc>
          <w:tcPr>
            <w:tcW w:w="710" w:type="dxa"/>
            <w:shd w:val="clear" w:color="auto" w:fill="99FF33"/>
            <w:noWrap/>
            <w:vAlign w:val="bottom"/>
          </w:tcPr>
          <w:p w14:paraId="0F12F9C8" w14:textId="77777777" w:rsidR="008F6703" w:rsidRPr="00424274" w:rsidRDefault="008F6703" w:rsidP="008F6703">
            <w:pPr>
              <w:widowControl/>
              <w:jc w:val="center"/>
              <w:rPr>
                <w:rFonts w:ascii="Arial" w:hAnsi="Arial"/>
                <w:b/>
                <w:bCs/>
                <w:sz w:val="17"/>
                <w:szCs w:val="17"/>
                <w:lang w:eastAsia="sl-SI"/>
              </w:rPr>
            </w:pPr>
            <w:r w:rsidRPr="00424274">
              <w:rPr>
                <w:rFonts w:ascii="Arial" w:hAnsi="Arial"/>
                <w:b/>
                <w:bCs/>
                <w:sz w:val="17"/>
                <w:szCs w:val="17"/>
                <w:lang w:eastAsia="sl-SI"/>
              </w:rPr>
              <w:t>2012</w:t>
            </w:r>
          </w:p>
        </w:tc>
        <w:tc>
          <w:tcPr>
            <w:tcW w:w="992" w:type="dxa"/>
            <w:vAlign w:val="bottom"/>
          </w:tcPr>
          <w:p w14:paraId="6605336A"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559</w:t>
            </w:r>
          </w:p>
        </w:tc>
        <w:tc>
          <w:tcPr>
            <w:tcW w:w="1134" w:type="dxa"/>
            <w:vAlign w:val="bottom"/>
          </w:tcPr>
          <w:p w14:paraId="70924777"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175</w:t>
            </w:r>
          </w:p>
        </w:tc>
        <w:tc>
          <w:tcPr>
            <w:tcW w:w="1417" w:type="dxa"/>
            <w:vAlign w:val="bottom"/>
          </w:tcPr>
          <w:p w14:paraId="36CC97E4"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73</w:t>
            </w:r>
          </w:p>
        </w:tc>
        <w:tc>
          <w:tcPr>
            <w:tcW w:w="1418" w:type="dxa"/>
            <w:vAlign w:val="bottom"/>
          </w:tcPr>
          <w:p w14:paraId="61EBE2D0"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130</w:t>
            </w:r>
          </w:p>
        </w:tc>
        <w:tc>
          <w:tcPr>
            <w:tcW w:w="1417" w:type="dxa"/>
            <w:vAlign w:val="bottom"/>
          </w:tcPr>
          <w:p w14:paraId="31692F5D"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378</w:t>
            </w:r>
          </w:p>
        </w:tc>
        <w:tc>
          <w:tcPr>
            <w:tcW w:w="2127" w:type="dxa"/>
            <w:vAlign w:val="bottom"/>
          </w:tcPr>
          <w:p w14:paraId="2B4AC88C"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132/64</w:t>
            </w:r>
          </w:p>
        </w:tc>
      </w:tr>
      <w:tr w:rsidR="008F6703" w:rsidRPr="00424274" w14:paraId="4885D68C" w14:textId="77777777" w:rsidTr="00C67A40">
        <w:trPr>
          <w:trHeight w:val="330"/>
        </w:trPr>
        <w:tc>
          <w:tcPr>
            <w:tcW w:w="710" w:type="dxa"/>
            <w:shd w:val="clear" w:color="auto" w:fill="99FF33"/>
            <w:noWrap/>
            <w:vAlign w:val="bottom"/>
          </w:tcPr>
          <w:p w14:paraId="62270BCD" w14:textId="77777777" w:rsidR="008F6703" w:rsidRPr="00424274" w:rsidRDefault="008F6703" w:rsidP="008F6703">
            <w:pPr>
              <w:widowControl/>
              <w:jc w:val="center"/>
              <w:rPr>
                <w:rFonts w:ascii="Arial" w:hAnsi="Arial"/>
                <w:b/>
                <w:bCs/>
                <w:sz w:val="17"/>
                <w:szCs w:val="17"/>
                <w:lang w:eastAsia="sl-SI"/>
              </w:rPr>
            </w:pPr>
            <w:r w:rsidRPr="00424274">
              <w:rPr>
                <w:rFonts w:ascii="Arial" w:hAnsi="Arial"/>
                <w:b/>
                <w:bCs/>
                <w:sz w:val="17"/>
                <w:szCs w:val="17"/>
                <w:lang w:eastAsia="sl-SI"/>
              </w:rPr>
              <w:t>2013</w:t>
            </w:r>
          </w:p>
        </w:tc>
        <w:tc>
          <w:tcPr>
            <w:tcW w:w="992" w:type="dxa"/>
            <w:vAlign w:val="bottom"/>
          </w:tcPr>
          <w:p w14:paraId="0EFC9476"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600</w:t>
            </w:r>
          </w:p>
        </w:tc>
        <w:tc>
          <w:tcPr>
            <w:tcW w:w="1134" w:type="dxa"/>
            <w:vAlign w:val="bottom"/>
          </w:tcPr>
          <w:p w14:paraId="0AD8364E"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170</w:t>
            </w:r>
          </w:p>
        </w:tc>
        <w:tc>
          <w:tcPr>
            <w:tcW w:w="1417" w:type="dxa"/>
            <w:vAlign w:val="bottom"/>
          </w:tcPr>
          <w:p w14:paraId="23A81419"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109</w:t>
            </w:r>
          </w:p>
        </w:tc>
        <w:tc>
          <w:tcPr>
            <w:tcW w:w="1418" w:type="dxa"/>
            <w:vAlign w:val="bottom"/>
          </w:tcPr>
          <w:p w14:paraId="0217BAAF"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156</w:t>
            </w:r>
          </w:p>
        </w:tc>
        <w:tc>
          <w:tcPr>
            <w:tcW w:w="1417" w:type="dxa"/>
            <w:vAlign w:val="bottom"/>
          </w:tcPr>
          <w:p w14:paraId="63617682"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435</w:t>
            </w:r>
          </w:p>
        </w:tc>
        <w:tc>
          <w:tcPr>
            <w:tcW w:w="2127" w:type="dxa"/>
            <w:vAlign w:val="bottom"/>
          </w:tcPr>
          <w:p w14:paraId="2D0C3624"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135/83</w:t>
            </w:r>
          </w:p>
        </w:tc>
      </w:tr>
      <w:tr w:rsidR="008F6703" w:rsidRPr="00424274" w14:paraId="287BAF67" w14:textId="77777777" w:rsidTr="00C67A40">
        <w:trPr>
          <w:trHeight w:val="330"/>
        </w:trPr>
        <w:tc>
          <w:tcPr>
            <w:tcW w:w="710" w:type="dxa"/>
            <w:shd w:val="clear" w:color="auto" w:fill="99FF33"/>
            <w:noWrap/>
            <w:vAlign w:val="bottom"/>
          </w:tcPr>
          <w:p w14:paraId="5184A009" w14:textId="77777777" w:rsidR="008F6703" w:rsidRPr="00424274" w:rsidRDefault="008F6703" w:rsidP="008F6703">
            <w:pPr>
              <w:widowControl/>
              <w:jc w:val="center"/>
              <w:rPr>
                <w:rFonts w:ascii="Arial" w:hAnsi="Arial"/>
                <w:b/>
                <w:bCs/>
                <w:sz w:val="17"/>
                <w:szCs w:val="17"/>
                <w:lang w:eastAsia="sl-SI"/>
              </w:rPr>
            </w:pPr>
            <w:r w:rsidRPr="00424274">
              <w:rPr>
                <w:rFonts w:ascii="Arial" w:hAnsi="Arial"/>
                <w:b/>
                <w:bCs/>
                <w:sz w:val="17"/>
                <w:szCs w:val="17"/>
                <w:lang w:eastAsia="sl-SI"/>
              </w:rPr>
              <w:t>2014</w:t>
            </w:r>
          </w:p>
        </w:tc>
        <w:tc>
          <w:tcPr>
            <w:tcW w:w="992" w:type="dxa"/>
            <w:vAlign w:val="bottom"/>
          </w:tcPr>
          <w:p w14:paraId="67FC57AD"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480</w:t>
            </w:r>
          </w:p>
        </w:tc>
        <w:tc>
          <w:tcPr>
            <w:tcW w:w="1134" w:type="dxa"/>
            <w:vAlign w:val="bottom"/>
          </w:tcPr>
          <w:p w14:paraId="56BC82F4"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190</w:t>
            </w:r>
          </w:p>
        </w:tc>
        <w:tc>
          <w:tcPr>
            <w:tcW w:w="1417" w:type="dxa"/>
            <w:vAlign w:val="bottom"/>
          </w:tcPr>
          <w:p w14:paraId="18F8B531"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124</w:t>
            </w:r>
          </w:p>
        </w:tc>
        <w:tc>
          <w:tcPr>
            <w:tcW w:w="1418" w:type="dxa"/>
            <w:vAlign w:val="bottom"/>
          </w:tcPr>
          <w:p w14:paraId="184BD785"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207</w:t>
            </w:r>
          </w:p>
        </w:tc>
        <w:tc>
          <w:tcPr>
            <w:tcW w:w="1417" w:type="dxa"/>
            <w:vAlign w:val="bottom"/>
          </w:tcPr>
          <w:p w14:paraId="3097BE11"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521</w:t>
            </w:r>
          </w:p>
        </w:tc>
        <w:tc>
          <w:tcPr>
            <w:tcW w:w="2127" w:type="dxa"/>
            <w:vAlign w:val="bottom"/>
          </w:tcPr>
          <w:p w14:paraId="48636738"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157/111</w:t>
            </w:r>
          </w:p>
        </w:tc>
      </w:tr>
      <w:tr w:rsidR="008F6703" w:rsidRPr="00424274" w14:paraId="299DF49C" w14:textId="77777777" w:rsidTr="00C67A40">
        <w:trPr>
          <w:trHeight w:val="330"/>
        </w:trPr>
        <w:tc>
          <w:tcPr>
            <w:tcW w:w="710" w:type="dxa"/>
            <w:shd w:val="clear" w:color="auto" w:fill="99FF33"/>
            <w:noWrap/>
            <w:vAlign w:val="bottom"/>
          </w:tcPr>
          <w:p w14:paraId="2C04D703" w14:textId="77777777" w:rsidR="008F6703" w:rsidRPr="00424274" w:rsidRDefault="008F6703" w:rsidP="008F6703">
            <w:pPr>
              <w:widowControl/>
              <w:jc w:val="center"/>
              <w:rPr>
                <w:rFonts w:ascii="Arial" w:hAnsi="Arial"/>
                <w:b/>
                <w:bCs/>
                <w:sz w:val="17"/>
                <w:szCs w:val="17"/>
                <w:lang w:eastAsia="sl-SI"/>
              </w:rPr>
            </w:pPr>
            <w:r w:rsidRPr="00424274">
              <w:rPr>
                <w:rFonts w:ascii="Arial" w:hAnsi="Arial"/>
                <w:b/>
                <w:bCs/>
                <w:sz w:val="17"/>
                <w:szCs w:val="17"/>
                <w:lang w:eastAsia="sl-SI"/>
              </w:rPr>
              <w:t>2015</w:t>
            </w:r>
          </w:p>
        </w:tc>
        <w:tc>
          <w:tcPr>
            <w:tcW w:w="992" w:type="dxa"/>
            <w:vAlign w:val="bottom"/>
          </w:tcPr>
          <w:p w14:paraId="50B96AB3"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521</w:t>
            </w:r>
          </w:p>
        </w:tc>
        <w:tc>
          <w:tcPr>
            <w:tcW w:w="1134" w:type="dxa"/>
            <w:vAlign w:val="bottom"/>
          </w:tcPr>
          <w:p w14:paraId="743F4258"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259</w:t>
            </w:r>
          </w:p>
        </w:tc>
        <w:tc>
          <w:tcPr>
            <w:tcW w:w="1417" w:type="dxa"/>
            <w:vAlign w:val="bottom"/>
          </w:tcPr>
          <w:p w14:paraId="39E12AB2"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107</w:t>
            </w:r>
          </w:p>
        </w:tc>
        <w:tc>
          <w:tcPr>
            <w:tcW w:w="1418" w:type="dxa"/>
            <w:vAlign w:val="bottom"/>
          </w:tcPr>
          <w:p w14:paraId="0E2FCAE7"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206</w:t>
            </w:r>
          </w:p>
        </w:tc>
        <w:tc>
          <w:tcPr>
            <w:tcW w:w="1417" w:type="dxa"/>
            <w:vAlign w:val="bottom"/>
          </w:tcPr>
          <w:p w14:paraId="5A87CA65"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572</w:t>
            </w:r>
          </w:p>
        </w:tc>
        <w:tc>
          <w:tcPr>
            <w:tcW w:w="2127" w:type="dxa"/>
            <w:vAlign w:val="bottom"/>
          </w:tcPr>
          <w:p w14:paraId="266C73A9"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190/95</w:t>
            </w:r>
          </w:p>
        </w:tc>
      </w:tr>
      <w:tr w:rsidR="008F6703" w:rsidRPr="00424274" w14:paraId="07207B27" w14:textId="77777777" w:rsidTr="00C67A40">
        <w:trPr>
          <w:trHeight w:val="330"/>
        </w:trPr>
        <w:tc>
          <w:tcPr>
            <w:tcW w:w="710" w:type="dxa"/>
            <w:shd w:val="clear" w:color="auto" w:fill="99FF33"/>
            <w:noWrap/>
            <w:vAlign w:val="bottom"/>
          </w:tcPr>
          <w:p w14:paraId="2BBDD2D3" w14:textId="77777777" w:rsidR="008F6703" w:rsidRPr="00424274" w:rsidRDefault="008F6703" w:rsidP="008F6703">
            <w:pPr>
              <w:widowControl/>
              <w:jc w:val="center"/>
              <w:rPr>
                <w:rFonts w:ascii="Arial" w:hAnsi="Arial"/>
                <w:b/>
                <w:bCs/>
                <w:sz w:val="17"/>
                <w:szCs w:val="17"/>
                <w:lang w:eastAsia="sl-SI"/>
              </w:rPr>
            </w:pPr>
            <w:r w:rsidRPr="00424274">
              <w:rPr>
                <w:rFonts w:ascii="Arial" w:hAnsi="Arial"/>
                <w:b/>
                <w:bCs/>
                <w:sz w:val="17"/>
                <w:szCs w:val="17"/>
                <w:lang w:eastAsia="sl-SI"/>
              </w:rPr>
              <w:t>2016</w:t>
            </w:r>
          </w:p>
        </w:tc>
        <w:tc>
          <w:tcPr>
            <w:tcW w:w="992" w:type="dxa"/>
            <w:vAlign w:val="bottom"/>
          </w:tcPr>
          <w:p w14:paraId="2C4DAD70"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449</w:t>
            </w:r>
          </w:p>
        </w:tc>
        <w:tc>
          <w:tcPr>
            <w:tcW w:w="1134" w:type="dxa"/>
            <w:vAlign w:val="bottom"/>
          </w:tcPr>
          <w:p w14:paraId="3B0371C9"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245</w:t>
            </w:r>
          </w:p>
        </w:tc>
        <w:tc>
          <w:tcPr>
            <w:tcW w:w="1417" w:type="dxa"/>
            <w:vAlign w:val="bottom"/>
          </w:tcPr>
          <w:p w14:paraId="0E310C88"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151</w:t>
            </w:r>
          </w:p>
        </w:tc>
        <w:tc>
          <w:tcPr>
            <w:tcW w:w="1418" w:type="dxa"/>
            <w:vAlign w:val="bottom"/>
          </w:tcPr>
          <w:p w14:paraId="0ABA6F16"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136</w:t>
            </w:r>
          </w:p>
        </w:tc>
        <w:tc>
          <w:tcPr>
            <w:tcW w:w="1417" w:type="dxa"/>
            <w:vAlign w:val="bottom"/>
          </w:tcPr>
          <w:p w14:paraId="2D4462E1"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531</w:t>
            </w:r>
          </w:p>
        </w:tc>
        <w:tc>
          <w:tcPr>
            <w:tcW w:w="2127" w:type="dxa"/>
            <w:vAlign w:val="bottom"/>
          </w:tcPr>
          <w:p w14:paraId="33921AF2"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185/128</w:t>
            </w:r>
          </w:p>
        </w:tc>
      </w:tr>
      <w:tr w:rsidR="008F6703" w:rsidRPr="00424274" w14:paraId="101E2A67" w14:textId="77777777" w:rsidTr="00C67A40">
        <w:trPr>
          <w:trHeight w:val="330"/>
        </w:trPr>
        <w:tc>
          <w:tcPr>
            <w:tcW w:w="710" w:type="dxa"/>
            <w:shd w:val="clear" w:color="auto" w:fill="99FF33"/>
            <w:noWrap/>
            <w:vAlign w:val="bottom"/>
          </w:tcPr>
          <w:p w14:paraId="0421345B" w14:textId="77777777" w:rsidR="008F6703" w:rsidRPr="00424274" w:rsidRDefault="008F6703" w:rsidP="008F6703">
            <w:pPr>
              <w:widowControl/>
              <w:jc w:val="center"/>
              <w:rPr>
                <w:rFonts w:ascii="Arial" w:hAnsi="Arial"/>
                <w:b/>
                <w:bCs/>
                <w:sz w:val="17"/>
                <w:szCs w:val="17"/>
                <w:lang w:eastAsia="sl-SI"/>
              </w:rPr>
            </w:pPr>
            <w:r w:rsidRPr="00424274">
              <w:rPr>
                <w:rFonts w:ascii="Arial" w:hAnsi="Arial"/>
                <w:b/>
                <w:bCs/>
                <w:sz w:val="17"/>
                <w:szCs w:val="17"/>
                <w:lang w:eastAsia="sl-SI"/>
              </w:rPr>
              <w:t>2017</w:t>
            </w:r>
          </w:p>
        </w:tc>
        <w:tc>
          <w:tcPr>
            <w:tcW w:w="992" w:type="dxa"/>
            <w:vAlign w:val="bottom"/>
          </w:tcPr>
          <w:p w14:paraId="08E2287B"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558</w:t>
            </w:r>
          </w:p>
        </w:tc>
        <w:tc>
          <w:tcPr>
            <w:tcW w:w="1134" w:type="dxa"/>
            <w:vAlign w:val="bottom"/>
          </w:tcPr>
          <w:p w14:paraId="6737AA9B"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243</w:t>
            </w:r>
          </w:p>
        </w:tc>
        <w:tc>
          <w:tcPr>
            <w:tcW w:w="1417" w:type="dxa"/>
            <w:vAlign w:val="bottom"/>
          </w:tcPr>
          <w:p w14:paraId="5D98F7CA"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117</w:t>
            </w:r>
          </w:p>
        </w:tc>
        <w:tc>
          <w:tcPr>
            <w:tcW w:w="1418" w:type="dxa"/>
            <w:vAlign w:val="bottom"/>
          </w:tcPr>
          <w:p w14:paraId="5066E769"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75</w:t>
            </w:r>
          </w:p>
        </w:tc>
        <w:tc>
          <w:tcPr>
            <w:tcW w:w="1417" w:type="dxa"/>
            <w:vAlign w:val="bottom"/>
          </w:tcPr>
          <w:p w14:paraId="16C8779F"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435</w:t>
            </w:r>
          </w:p>
        </w:tc>
        <w:tc>
          <w:tcPr>
            <w:tcW w:w="2127" w:type="dxa"/>
            <w:vAlign w:val="bottom"/>
          </w:tcPr>
          <w:p w14:paraId="23A1C563"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181/92</w:t>
            </w:r>
          </w:p>
        </w:tc>
      </w:tr>
      <w:tr w:rsidR="008F6703" w:rsidRPr="00424274" w14:paraId="4CE1F492" w14:textId="77777777" w:rsidTr="00C67A40">
        <w:trPr>
          <w:trHeight w:val="330"/>
        </w:trPr>
        <w:tc>
          <w:tcPr>
            <w:tcW w:w="710" w:type="dxa"/>
            <w:tcBorders>
              <w:top w:val="single" w:sz="6" w:space="0" w:color="auto"/>
              <w:left w:val="single" w:sz="8" w:space="0" w:color="auto"/>
              <w:bottom w:val="single" w:sz="6" w:space="0" w:color="auto"/>
              <w:right w:val="single" w:sz="6" w:space="0" w:color="auto"/>
            </w:tcBorders>
            <w:shd w:val="clear" w:color="auto" w:fill="99FF33"/>
            <w:noWrap/>
            <w:vAlign w:val="bottom"/>
          </w:tcPr>
          <w:p w14:paraId="704D772C" w14:textId="77777777" w:rsidR="008F6703" w:rsidRPr="00424274" w:rsidRDefault="008F6703" w:rsidP="008F6703">
            <w:pPr>
              <w:widowControl/>
              <w:jc w:val="center"/>
              <w:rPr>
                <w:rFonts w:ascii="Arial" w:hAnsi="Arial"/>
                <w:b/>
                <w:bCs/>
                <w:sz w:val="17"/>
                <w:szCs w:val="17"/>
                <w:lang w:eastAsia="sl-SI"/>
              </w:rPr>
            </w:pPr>
            <w:r w:rsidRPr="00424274">
              <w:rPr>
                <w:rFonts w:ascii="Arial" w:hAnsi="Arial"/>
                <w:b/>
                <w:bCs/>
                <w:sz w:val="17"/>
                <w:szCs w:val="17"/>
                <w:lang w:eastAsia="sl-SI"/>
              </w:rPr>
              <w:t>2018</w:t>
            </w:r>
          </w:p>
        </w:tc>
        <w:tc>
          <w:tcPr>
            <w:tcW w:w="992" w:type="dxa"/>
            <w:tcBorders>
              <w:top w:val="single" w:sz="6" w:space="0" w:color="auto"/>
              <w:left w:val="single" w:sz="6" w:space="0" w:color="auto"/>
              <w:bottom w:val="single" w:sz="6" w:space="0" w:color="auto"/>
              <w:right w:val="single" w:sz="6" w:space="0" w:color="auto"/>
            </w:tcBorders>
            <w:vAlign w:val="bottom"/>
          </w:tcPr>
          <w:p w14:paraId="66E1D74E"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787</w:t>
            </w:r>
          </w:p>
        </w:tc>
        <w:tc>
          <w:tcPr>
            <w:tcW w:w="1134" w:type="dxa"/>
            <w:tcBorders>
              <w:top w:val="single" w:sz="6" w:space="0" w:color="auto"/>
              <w:left w:val="single" w:sz="6" w:space="0" w:color="auto"/>
              <w:bottom w:val="single" w:sz="6" w:space="0" w:color="auto"/>
              <w:right w:val="single" w:sz="6" w:space="0" w:color="auto"/>
            </w:tcBorders>
            <w:vAlign w:val="bottom"/>
          </w:tcPr>
          <w:p w14:paraId="010DC327"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328</w:t>
            </w:r>
          </w:p>
        </w:tc>
        <w:tc>
          <w:tcPr>
            <w:tcW w:w="1417" w:type="dxa"/>
            <w:tcBorders>
              <w:top w:val="single" w:sz="6" w:space="0" w:color="auto"/>
              <w:left w:val="single" w:sz="6" w:space="0" w:color="auto"/>
              <w:bottom w:val="single" w:sz="6" w:space="0" w:color="auto"/>
              <w:right w:val="single" w:sz="6" w:space="0" w:color="auto"/>
            </w:tcBorders>
            <w:vAlign w:val="bottom"/>
          </w:tcPr>
          <w:p w14:paraId="08044D4B"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149</w:t>
            </w:r>
          </w:p>
        </w:tc>
        <w:tc>
          <w:tcPr>
            <w:tcW w:w="1418" w:type="dxa"/>
            <w:tcBorders>
              <w:top w:val="single" w:sz="6" w:space="0" w:color="auto"/>
              <w:left w:val="single" w:sz="6" w:space="0" w:color="auto"/>
              <w:bottom w:val="single" w:sz="6" w:space="0" w:color="auto"/>
              <w:right w:val="single" w:sz="6" w:space="0" w:color="auto"/>
            </w:tcBorders>
            <w:vAlign w:val="bottom"/>
          </w:tcPr>
          <w:p w14:paraId="2815EA79"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82</w:t>
            </w:r>
          </w:p>
        </w:tc>
        <w:tc>
          <w:tcPr>
            <w:tcW w:w="1417" w:type="dxa"/>
            <w:tcBorders>
              <w:top w:val="single" w:sz="6" w:space="0" w:color="auto"/>
              <w:left w:val="single" w:sz="6" w:space="0" w:color="auto"/>
              <w:bottom w:val="single" w:sz="6" w:space="0" w:color="auto"/>
              <w:right w:val="single" w:sz="6" w:space="0" w:color="auto"/>
            </w:tcBorders>
            <w:vAlign w:val="bottom"/>
          </w:tcPr>
          <w:p w14:paraId="6BD0FA16"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559</w:t>
            </w:r>
          </w:p>
        </w:tc>
        <w:tc>
          <w:tcPr>
            <w:tcW w:w="2127" w:type="dxa"/>
            <w:tcBorders>
              <w:top w:val="single" w:sz="6" w:space="0" w:color="auto"/>
              <w:left w:val="single" w:sz="6" w:space="0" w:color="auto"/>
              <w:bottom w:val="single" w:sz="6" w:space="0" w:color="auto"/>
              <w:right w:val="single" w:sz="8" w:space="0" w:color="auto"/>
            </w:tcBorders>
            <w:vAlign w:val="bottom"/>
          </w:tcPr>
          <w:p w14:paraId="4B17032F"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253/129</w:t>
            </w:r>
          </w:p>
        </w:tc>
      </w:tr>
      <w:tr w:rsidR="008F6703" w:rsidRPr="00424274" w14:paraId="0B848A46" w14:textId="77777777" w:rsidTr="00C67A40">
        <w:trPr>
          <w:trHeight w:val="330"/>
        </w:trPr>
        <w:tc>
          <w:tcPr>
            <w:tcW w:w="710" w:type="dxa"/>
            <w:tcBorders>
              <w:top w:val="single" w:sz="6" w:space="0" w:color="auto"/>
              <w:left w:val="single" w:sz="8" w:space="0" w:color="auto"/>
              <w:bottom w:val="single" w:sz="6" w:space="0" w:color="auto"/>
              <w:right w:val="single" w:sz="6" w:space="0" w:color="auto"/>
            </w:tcBorders>
            <w:shd w:val="clear" w:color="auto" w:fill="99FF33"/>
            <w:noWrap/>
            <w:vAlign w:val="bottom"/>
          </w:tcPr>
          <w:p w14:paraId="13705E5B" w14:textId="77777777" w:rsidR="008F6703" w:rsidRPr="00424274" w:rsidRDefault="008F6703" w:rsidP="008F6703">
            <w:pPr>
              <w:widowControl/>
              <w:jc w:val="center"/>
              <w:rPr>
                <w:rFonts w:ascii="Arial" w:hAnsi="Arial"/>
                <w:b/>
                <w:bCs/>
                <w:sz w:val="17"/>
                <w:szCs w:val="17"/>
                <w:lang w:eastAsia="sl-SI"/>
              </w:rPr>
            </w:pPr>
            <w:r w:rsidRPr="00424274">
              <w:rPr>
                <w:rFonts w:ascii="Arial" w:hAnsi="Arial"/>
                <w:b/>
                <w:bCs/>
                <w:sz w:val="17"/>
                <w:szCs w:val="17"/>
                <w:lang w:eastAsia="sl-SI"/>
              </w:rPr>
              <w:t>2019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bottom"/>
          </w:tcPr>
          <w:p w14:paraId="58E09050"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1.069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14:paraId="3A0D434D"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351</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bottom"/>
          </w:tcPr>
          <w:p w14:paraId="29DBAC94"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243</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bottom"/>
          </w:tcPr>
          <w:p w14:paraId="6B7867CE"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187</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bottom"/>
          </w:tcPr>
          <w:p w14:paraId="053332F7"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781</w:t>
            </w:r>
          </w:p>
        </w:tc>
        <w:tc>
          <w:tcPr>
            <w:tcW w:w="2127" w:type="dxa"/>
            <w:tcBorders>
              <w:top w:val="single" w:sz="6" w:space="0" w:color="auto"/>
              <w:left w:val="single" w:sz="6" w:space="0" w:color="auto"/>
              <w:bottom w:val="single" w:sz="6" w:space="0" w:color="auto"/>
              <w:right w:val="single" w:sz="8" w:space="0" w:color="auto"/>
            </w:tcBorders>
            <w:shd w:val="clear" w:color="auto" w:fill="auto"/>
            <w:vAlign w:val="bottom"/>
          </w:tcPr>
          <w:p w14:paraId="1836DB37"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259/170</w:t>
            </w:r>
          </w:p>
        </w:tc>
      </w:tr>
      <w:tr w:rsidR="008F6703" w:rsidRPr="00424274" w14:paraId="323F476A" w14:textId="77777777" w:rsidTr="00C67A40">
        <w:trPr>
          <w:trHeight w:val="330"/>
        </w:trPr>
        <w:tc>
          <w:tcPr>
            <w:tcW w:w="710" w:type="dxa"/>
            <w:tcBorders>
              <w:top w:val="single" w:sz="6" w:space="0" w:color="auto"/>
              <w:left w:val="single" w:sz="8" w:space="0" w:color="auto"/>
              <w:bottom w:val="single" w:sz="6" w:space="0" w:color="auto"/>
              <w:right w:val="single" w:sz="6" w:space="0" w:color="auto"/>
            </w:tcBorders>
            <w:shd w:val="clear" w:color="auto" w:fill="99FF33"/>
            <w:noWrap/>
            <w:vAlign w:val="bottom"/>
          </w:tcPr>
          <w:p w14:paraId="76B9693B" w14:textId="77777777" w:rsidR="008F6703" w:rsidRPr="00424274" w:rsidRDefault="008F6703" w:rsidP="008F6703">
            <w:pPr>
              <w:widowControl/>
              <w:jc w:val="center"/>
              <w:rPr>
                <w:rFonts w:ascii="Arial" w:hAnsi="Arial"/>
                <w:b/>
                <w:bCs/>
                <w:sz w:val="17"/>
                <w:szCs w:val="17"/>
                <w:lang w:eastAsia="sl-SI"/>
              </w:rPr>
            </w:pPr>
            <w:r w:rsidRPr="00424274">
              <w:rPr>
                <w:rFonts w:ascii="Arial" w:hAnsi="Arial"/>
                <w:b/>
                <w:bCs/>
                <w:sz w:val="17"/>
                <w:szCs w:val="17"/>
                <w:lang w:eastAsia="sl-SI"/>
              </w:rPr>
              <w:t>2020</w:t>
            </w:r>
          </w:p>
        </w:tc>
        <w:tc>
          <w:tcPr>
            <w:tcW w:w="992" w:type="dxa"/>
            <w:tcBorders>
              <w:top w:val="single" w:sz="6" w:space="0" w:color="auto"/>
              <w:left w:val="single" w:sz="6" w:space="0" w:color="auto"/>
              <w:bottom w:val="single" w:sz="6" w:space="0" w:color="auto"/>
              <w:right w:val="single" w:sz="6" w:space="0" w:color="auto"/>
            </w:tcBorders>
            <w:shd w:val="clear" w:color="auto" w:fill="auto"/>
            <w:vAlign w:val="bottom"/>
          </w:tcPr>
          <w:p w14:paraId="4206F96A"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1.137</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14:paraId="209B3073"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450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bottom"/>
          </w:tcPr>
          <w:p w14:paraId="7C9E768D"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486</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bottom"/>
          </w:tcPr>
          <w:p w14:paraId="66370A10"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298</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bottom"/>
          </w:tcPr>
          <w:p w14:paraId="6889F7FA"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1.234</w:t>
            </w:r>
          </w:p>
        </w:tc>
        <w:tc>
          <w:tcPr>
            <w:tcW w:w="2127" w:type="dxa"/>
            <w:tcBorders>
              <w:top w:val="single" w:sz="6" w:space="0" w:color="auto"/>
              <w:left w:val="single" w:sz="6" w:space="0" w:color="auto"/>
              <w:bottom w:val="single" w:sz="6" w:space="0" w:color="auto"/>
              <w:right w:val="single" w:sz="8" w:space="0" w:color="auto"/>
            </w:tcBorders>
            <w:shd w:val="clear" w:color="auto" w:fill="auto"/>
            <w:vAlign w:val="bottom"/>
          </w:tcPr>
          <w:p w14:paraId="0FFB2ECE" w14:textId="77777777" w:rsidR="008F6703" w:rsidRPr="00424274" w:rsidRDefault="008F6703" w:rsidP="008F6703">
            <w:pPr>
              <w:widowControl/>
              <w:jc w:val="center"/>
              <w:rPr>
                <w:rFonts w:ascii="Arial" w:hAnsi="Arial"/>
                <w:sz w:val="17"/>
                <w:szCs w:val="17"/>
                <w:lang w:eastAsia="sl-SI"/>
              </w:rPr>
            </w:pPr>
            <w:r w:rsidRPr="00424274">
              <w:rPr>
                <w:rFonts w:ascii="Arial" w:hAnsi="Arial"/>
                <w:sz w:val="17"/>
                <w:szCs w:val="17"/>
                <w:lang w:eastAsia="sl-SI"/>
              </w:rPr>
              <w:t>362/354</w:t>
            </w:r>
          </w:p>
        </w:tc>
      </w:tr>
    </w:tbl>
    <w:p w14:paraId="22580728" w14:textId="26175A3B" w:rsidR="008F6703" w:rsidRPr="00424274" w:rsidRDefault="008F6703" w:rsidP="008F6703"/>
    <w:p w14:paraId="01B181C7" w14:textId="77777777" w:rsidR="00851C49" w:rsidRPr="00424274" w:rsidRDefault="00851C49" w:rsidP="00D21F86">
      <w:pPr>
        <w:pStyle w:val="Telobesedila"/>
        <w:spacing w:line="276" w:lineRule="auto"/>
        <w:ind w:right="-22"/>
        <w:rPr>
          <w:rFonts w:ascii="Arial" w:hAnsi="Arial"/>
          <w:iCs/>
          <w:sz w:val="20"/>
        </w:rPr>
      </w:pPr>
    </w:p>
    <w:p w14:paraId="5B44B307" w14:textId="0985BD07" w:rsidR="00623C7A" w:rsidRPr="00424274" w:rsidRDefault="00623C7A" w:rsidP="00623C7A">
      <w:pPr>
        <w:widowControl/>
        <w:spacing w:line="276" w:lineRule="auto"/>
        <w:ind w:right="-22"/>
        <w:rPr>
          <w:rFonts w:ascii="Arial" w:hAnsi="Arial"/>
          <w:iCs/>
          <w:sz w:val="20"/>
        </w:rPr>
      </w:pPr>
      <w:r w:rsidRPr="00424274">
        <w:rPr>
          <w:rFonts w:ascii="Arial" w:hAnsi="Arial"/>
          <w:iCs/>
          <w:sz w:val="20"/>
        </w:rPr>
        <w:t xml:space="preserve">Iz </w:t>
      </w:r>
      <w:r w:rsidR="00814A21">
        <w:rPr>
          <w:rFonts w:ascii="Arial" w:hAnsi="Arial"/>
          <w:iCs/>
          <w:sz w:val="20"/>
        </w:rPr>
        <w:t>preglednic</w:t>
      </w:r>
      <w:r w:rsidRPr="00424274">
        <w:rPr>
          <w:rFonts w:ascii="Arial" w:hAnsi="Arial"/>
          <w:iCs/>
          <w:sz w:val="20"/>
        </w:rPr>
        <w:t xml:space="preserve">e je razvidno, da je leta 2020 </w:t>
      </w:r>
      <w:r w:rsidR="00814A21">
        <w:rPr>
          <w:rFonts w:ascii="Arial" w:hAnsi="Arial"/>
          <w:iCs/>
          <w:sz w:val="20"/>
        </w:rPr>
        <w:t>urad</w:t>
      </w:r>
      <w:r w:rsidRPr="00424274">
        <w:rPr>
          <w:rFonts w:ascii="Arial" w:hAnsi="Arial"/>
          <w:iCs/>
          <w:sz w:val="20"/>
        </w:rPr>
        <w:t xml:space="preserve"> odprl 1.137 novih zadev in v istem obdobju zaključil 1.234 zadev.</w:t>
      </w:r>
    </w:p>
    <w:p w14:paraId="759505F5" w14:textId="77777777" w:rsidR="00623C7A" w:rsidRPr="00424274" w:rsidRDefault="00623C7A" w:rsidP="00623C7A">
      <w:pPr>
        <w:widowControl/>
        <w:spacing w:line="276" w:lineRule="auto"/>
        <w:ind w:right="-22"/>
        <w:rPr>
          <w:rFonts w:ascii="Arial" w:hAnsi="Arial"/>
          <w:b/>
          <w:iCs/>
          <w:sz w:val="20"/>
          <w:highlight w:val="yellow"/>
        </w:rPr>
      </w:pPr>
    </w:p>
    <w:p w14:paraId="71126FDA" w14:textId="77777777" w:rsidR="00623C7A" w:rsidRPr="00424274" w:rsidRDefault="00623C7A" w:rsidP="00623C7A">
      <w:pPr>
        <w:tabs>
          <w:tab w:val="left" w:pos="-1049"/>
          <w:tab w:val="left" w:pos="-689"/>
          <w:tab w:val="left" w:pos="31"/>
          <w:tab w:val="left" w:pos="751"/>
          <w:tab w:val="left" w:pos="1471"/>
          <w:tab w:val="left" w:pos="2191"/>
          <w:tab w:val="left" w:pos="2911"/>
          <w:tab w:val="left" w:pos="3631"/>
          <w:tab w:val="center" w:pos="4153"/>
          <w:tab w:val="left" w:pos="4351"/>
          <w:tab w:val="left" w:pos="4531"/>
          <w:tab w:val="left" w:pos="5071"/>
          <w:tab w:val="left" w:pos="5791"/>
          <w:tab w:val="left" w:pos="6511"/>
          <w:tab w:val="left" w:pos="7231"/>
          <w:tab w:val="left" w:pos="7951"/>
          <w:tab w:val="right" w:pos="8306"/>
          <w:tab w:val="left" w:pos="8671"/>
          <w:tab w:val="left" w:pos="9391"/>
          <w:tab w:val="left" w:pos="10111"/>
          <w:tab w:val="left" w:pos="10831"/>
          <w:tab w:val="left" w:pos="11551"/>
        </w:tabs>
        <w:spacing w:line="276" w:lineRule="auto"/>
        <w:rPr>
          <w:rFonts w:ascii="Arial" w:hAnsi="Arial"/>
          <w:bCs/>
          <w:iCs/>
          <w:sz w:val="20"/>
        </w:rPr>
      </w:pPr>
      <w:r w:rsidRPr="00424274">
        <w:rPr>
          <w:rFonts w:ascii="Arial" w:hAnsi="Arial"/>
          <w:bCs/>
          <w:iCs/>
          <w:sz w:val="20"/>
        </w:rPr>
        <w:t>V letu 2020 je bilo 1.234 zadev zaključenih na naslednje načine:</w:t>
      </w:r>
    </w:p>
    <w:p w14:paraId="6B59F51B" w14:textId="488F5DE0" w:rsidR="00623C7A" w:rsidRPr="00424274" w:rsidRDefault="00623C7A" w:rsidP="00623C7A">
      <w:pPr>
        <w:numPr>
          <w:ilvl w:val="0"/>
          <w:numId w:val="11"/>
        </w:numPr>
        <w:tabs>
          <w:tab w:val="left" w:pos="-1049"/>
          <w:tab w:val="left" w:pos="-689"/>
          <w:tab w:val="left" w:pos="31"/>
          <w:tab w:val="left" w:pos="751"/>
          <w:tab w:val="left" w:pos="1471"/>
          <w:tab w:val="left" w:pos="2191"/>
          <w:tab w:val="left" w:pos="2911"/>
          <w:tab w:val="left" w:pos="3631"/>
          <w:tab w:val="center" w:pos="4153"/>
          <w:tab w:val="left" w:pos="4351"/>
          <w:tab w:val="left" w:pos="4531"/>
          <w:tab w:val="left" w:pos="5071"/>
          <w:tab w:val="left" w:pos="5791"/>
          <w:tab w:val="left" w:pos="6511"/>
          <w:tab w:val="left" w:pos="7231"/>
          <w:tab w:val="left" w:pos="7951"/>
          <w:tab w:val="right" w:pos="8306"/>
          <w:tab w:val="left" w:pos="8671"/>
          <w:tab w:val="left" w:pos="9391"/>
          <w:tab w:val="left" w:pos="10111"/>
          <w:tab w:val="left" w:pos="10831"/>
          <w:tab w:val="left" w:pos="11551"/>
        </w:tabs>
        <w:spacing w:line="276" w:lineRule="auto"/>
        <w:ind w:right="-22"/>
        <w:rPr>
          <w:rFonts w:ascii="Arial" w:hAnsi="Arial"/>
          <w:bCs/>
          <w:iCs/>
          <w:sz w:val="20"/>
        </w:rPr>
      </w:pPr>
      <w:r w:rsidRPr="00424274">
        <w:rPr>
          <w:rFonts w:ascii="Arial" w:hAnsi="Arial"/>
          <w:bCs/>
          <w:iCs/>
          <w:sz w:val="20"/>
        </w:rPr>
        <w:t xml:space="preserve">450 zadev smo v obliki 362 pisnih obvestil o sumljivih transakcijah odstopili v nadaljnjo obravnavo UKP MNZ in v nekaterih primerih tudi državnemu tožilstvu in drugim pristojnim institucijam, saj smo ugotovili, da pri </w:t>
      </w:r>
      <w:r w:rsidR="00475AFD">
        <w:rPr>
          <w:rFonts w:ascii="Arial" w:hAnsi="Arial"/>
          <w:bCs/>
          <w:iCs/>
          <w:sz w:val="20"/>
        </w:rPr>
        <w:t>teh zadevah</w:t>
      </w:r>
      <w:r w:rsidR="00475AFD" w:rsidRPr="00424274">
        <w:rPr>
          <w:rFonts w:ascii="Arial" w:hAnsi="Arial"/>
          <w:bCs/>
          <w:iCs/>
          <w:sz w:val="20"/>
        </w:rPr>
        <w:t xml:space="preserve"> </w:t>
      </w:r>
      <w:r w:rsidRPr="00424274">
        <w:rPr>
          <w:rFonts w:ascii="Arial" w:hAnsi="Arial"/>
          <w:bCs/>
          <w:iCs/>
          <w:sz w:val="20"/>
        </w:rPr>
        <w:t xml:space="preserve">obstajajo nekateri razlogi za sum storitve kaznivega dejanja pranja denarja ali financiranja terorizma, kar </w:t>
      </w:r>
      <w:r w:rsidR="00475AFD">
        <w:rPr>
          <w:rFonts w:ascii="Arial" w:hAnsi="Arial"/>
          <w:bCs/>
          <w:iCs/>
          <w:sz w:val="20"/>
        </w:rPr>
        <w:t>zajema</w:t>
      </w:r>
      <w:r w:rsidR="008A1626" w:rsidRPr="00424274">
        <w:rPr>
          <w:rFonts w:ascii="Arial" w:hAnsi="Arial"/>
          <w:bCs/>
          <w:iCs/>
          <w:sz w:val="20"/>
        </w:rPr>
        <w:t xml:space="preserve"> </w:t>
      </w:r>
      <w:r w:rsidRPr="00424274">
        <w:rPr>
          <w:rFonts w:ascii="Arial" w:hAnsi="Arial"/>
          <w:bCs/>
          <w:iCs/>
          <w:sz w:val="20"/>
        </w:rPr>
        <w:t>36,48</w:t>
      </w:r>
      <w:r w:rsidR="008A1626">
        <w:rPr>
          <w:rFonts w:ascii="Arial" w:hAnsi="Arial"/>
          <w:bCs/>
          <w:iCs/>
          <w:sz w:val="20"/>
        </w:rPr>
        <w:t xml:space="preserve"> </w:t>
      </w:r>
      <w:r w:rsidRPr="00424274">
        <w:rPr>
          <w:rFonts w:ascii="Arial" w:hAnsi="Arial"/>
          <w:bCs/>
          <w:iCs/>
          <w:sz w:val="20"/>
        </w:rPr>
        <w:t>% vseh v letu 2020 zaključenih zadev;</w:t>
      </w:r>
    </w:p>
    <w:p w14:paraId="751CF0D6" w14:textId="19F82967" w:rsidR="00623C7A" w:rsidRPr="00424274" w:rsidRDefault="00623C7A" w:rsidP="00623C7A">
      <w:pPr>
        <w:numPr>
          <w:ilvl w:val="0"/>
          <w:numId w:val="11"/>
        </w:numPr>
        <w:tabs>
          <w:tab w:val="left" w:pos="-1049"/>
          <w:tab w:val="left" w:pos="-689"/>
          <w:tab w:val="left" w:pos="31"/>
          <w:tab w:val="left" w:pos="751"/>
          <w:tab w:val="left" w:pos="1471"/>
          <w:tab w:val="left" w:pos="2191"/>
          <w:tab w:val="left" w:pos="2911"/>
          <w:tab w:val="left" w:pos="3631"/>
          <w:tab w:val="center" w:pos="4153"/>
          <w:tab w:val="left" w:pos="4351"/>
          <w:tab w:val="left" w:pos="4531"/>
          <w:tab w:val="left" w:pos="5071"/>
          <w:tab w:val="left" w:pos="5791"/>
          <w:tab w:val="left" w:pos="6511"/>
          <w:tab w:val="left" w:pos="7231"/>
          <w:tab w:val="left" w:pos="7951"/>
          <w:tab w:val="right" w:pos="8306"/>
          <w:tab w:val="left" w:pos="8671"/>
          <w:tab w:val="left" w:pos="9391"/>
          <w:tab w:val="left" w:pos="10111"/>
          <w:tab w:val="left" w:pos="10831"/>
          <w:tab w:val="left" w:pos="11551"/>
        </w:tabs>
        <w:spacing w:line="276" w:lineRule="auto"/>
        <w:ind w:right="-22"/>
        <w:rPr>
          <w:rFonts w:ascii="Arial" w:hAnsi="Arial"/>
          <w:bCs/>
          <w:iCs/>
          <w:sz w:val="20"/>
        </w:rPr>
      </w:pPr>
      <w:r w:rsidRPr="00424274">
        <w:rPr>
          <w:rFonts w:ascii="Arial" w:hAnsi="Arial"/>
          <w:bCs/>
          <w:iCs/>
          <w:sz w:val="20"/>
        </w:rPr>
        <w:t>486 zadev smo zaključili s 354 pisnimi informacijami, saj smo ugotovili, da pri njih obstajajo nekateri razlogi za sum storitve drugih kaznivih dejanj, navedenih v 102. členu ZPPDFT-1, zato smo jih posredovali pristojnim organom (</w:t>
      </w:r>
      <w:r w:rsidR="004728ED">
        <w:rPr>
          <w:rFonts w:ascii="Arial" w:hAnsi="Arial"/>
          <w:bCs/>
          <w:iCs/>
          <w:sz w:val="20"/>
        </w:rPr>
        <w:t>p</w:t>
      </w:r>
      <w:r w:rsidRPr="00424274">
        <w:rPr>
          <w:rFonts w:ascii="Arial" w:hAnsi="Arial"/>
          <w:bCs/>
          <w:iCs/>
          <w:sz w:val="20"/>
        </w:rPr>
        <w:t>olicija, FURS</w:t>
      </w:r>
      <w:r w:rsidR="00475AFD">
        <w:rPr>
          <w:rFonts w:ascii="Arial" w:hAnsi="Arial"/>
          <w:bCs/>
          <w:iCs/>
          <w:sz w:val="20"/>
        </w:rPr>
        <w:t xml:space="preserve"> …</w:t>
      </w:r>
      <w:r w:rsidRPr="00424274">
        <w:rPr>
          <w:rFonts w:ascii="Arial" w:hAnsi="Arial"/>
          <w:bCs/>
          <w:iCs/>
          <w:sz w:val="20"/>
        </w:rPr>
        <w:t>). Z informacijami smo tako v letu 2020 zaključili 39,46 % vseh v tem letu zaključenih zadev;</w:t>
      </w:r>
    </w:p>
    <w:p w14:paraId="72502E76" w14:textId="60CD48A8" w:rsidR="00623C7A" w:rsidRPr="00424274" w:rsidRDefault="00623C7A" w:rsidP="00623C7A">
      <w:pPr>
        <w:numPr>
          <w:ilvl w:val="0"/>
          <w:numId w:val="11"/>
        </w:numPr>
        <w:tabs>
          <w:tab w:val="left" w:pos="-1049"/>
          <w:tab w:val="left" w:pos="-689"/>
          <w:tab w:val="left" w:pos="31"/>
          <w:tab w:val="left" w:pos="751"/>
          <w:tab w:val="left" w:pos="1471"/>
          <w:tab w:val="left" w:pos="2191"/>
          <w:tab w:val="left" w:pos="2911"/>
          <w:tab w:val="left" w:pos="3631"/>
          <w:tab w:val="center" w:pos="4153"/>
          <w:tab w:val="left" w:pos="4351"/>
          <w:tab w:val="left" w:pos="4531"/>
          <w:tab w:val="left" w:pos="5071"/>
          <w:tab w:val="left" w:pos="5791"/>
          <w:tab w:val="left" w:pos="6511"/>
          <w:tab w:val="left" w:pos="7231"/>
          <w:tab w:val="left" w:pos="7951"/>
          <w:tab w:val="right" w:pos="8306"/>
          <w:tab w:val="left" w:pos="8671"/>
          <w:tab w:val="left" w:pos="9391"/>
          <w:tab w:val="left" w:pos="10111"/>
          <w:tab w:val="left" w:pos="10831"/>
          <w:tab w:val="left" w:pos="11551"/>
        </w:tabs>
        <w:spacing w:line="276" w:lineRule="auto"/>
        <w:ind w:right="-22"/>
        <w:rPr>
          <w:rFonts w:ascii="Arial" w:hAnsi="Arial"/>
          <w:bCs/>
          <w:iCs/>
          <w:sz w:val="20"/>
        </w:rPr>
      </w:pPr>
      <w:r w:rsidRPr="00424274">
        <w:rPr>
          <w:rFonts w:ascii="Arial" w:hAnsi="Arial"/>
          <w:bCs/>
          <w:iCs/>
          <w:sz w:val="20"/>
        </w:rPr>
        <w:t xml:space="preserve">298 zadev smo zaključili in arhivirali v </w:t>
      </w:r>
      <w:r w:rsidR="00814A21">
        <w:rPr>
          <w:rFonts w:ascii="Arial" w:hAnsi="Arial"/>
          <w:bCs/>
          <w:iCs/>
          <w:sz w:val="20"/>
        </w:rPr>
        <w:t>urad</w:t>
      </w:r>
      <w:r w:rsidRPr="00424274">
        <w:rPr>
          <w:rFonts w:ascii="Arial" w:hAnsi="Arial"/>
          <w:bCs/>
          <w:iCs/>
          <w:sz w:val="20"/>
        </w:rPr>
        <w:t xml:space="preserve">u, saj pri njih nismo ugotovili razlogov za sum storitve kaznivega dejanja pranja denarja ali kakšnega drugega uradno pregonljivega kaznivega dejanja iz 102. člena ZPPDFT-1, kar </w:t>
      </w:r>
      <w:r w:rsidR="00475AFD">
        <w:rPr>
          <w:rFonts w:ascii="Arial" w:hAnsi="Arial"/>
          <w:bCs/>
          <w:iCs/>
          <w:sz w:val="20"/>
        </w:rPr>
        <w:t>zajema</w:t>
      </w:r>
      <w:r w:rsidR="00475AFD" w:rsidRPr="00424274">
        <w:rPr>
          <w:rFonts w:ascii="Arial" w:hAnsi="Arial"/>
          <w:bCs/>
          <w:iCs/>
          <w:sz w:val="20"/>
        </w:rPr>
        <w:t xml:space="preserve"> </w:t>
      </w:r>
      <w:r w:rsidRPr="00424274">
        <w:rPr>
          <w:rFonts w:ascii="Arial" w:hAnsi="Arial"/>
          <w:bCs/>
          <w:iCs/>
          <w:sz w:val="20"/>
        </w:rPr>
        <w:t xml:space="preserve">24,05 % vseh v </w:t>
      </w:r>
      <w:r w:rsidR="00814A21">
        <w:rPr>
          <w:rFonts w:ascii="Arial" w:hAnsi="Arial"/>
          <w:bCs/>
          <w:iCs/>
          <w:sz w:val="20"/>
        </w:rPr>
        <w:t>urad</w:t>
      </w:r>
      <w:r w:rsidRPr="00424274">
        <w:rPr>
          <w:rFonts w:ascii="Arial" w:hAnsi="Arial"/>
          <w:bCs/>
          <w:iCs/>
          <w:sz w:val="20"/>
        </w:rPr>
        <w:t>u zaključenih zadev v letu 2020.</w:t>
      </w:r>
    </w:p>
    <w:p w14:paraId="0913544A" w14:textId="77777777" w:rsidR="00623C7A" w:rsidRPr="00424274" w:rsidRDefault="00623C7A" w:rsidP="00623C7A">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right="-22"/>
        <w:rPr>
          <w:rFonts w:ascii="Arial" w:hAnsi="Arial"/>
          <w:bCs/>
          <w:sz w:val="20"/>
          <w:highlight w:val="yellow"/>
        </w:rPr>
      </w:pPr>
    </w:p>
    <w:p w14:paraId="45955241" w14:textId="0294103F" w:rsidR="00623C7A" w:rsidRPr="00424274" w:rsidRDefault="00623C7A" w:rsidP="00623C7A">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right="-22"/>
        <w:rPr>
          <w:rFonts w:ascii="Arial" w:hAnsi="Arial"/>
          <w:sz w:val="20"/>
        </w:rPr>
      </w:pPr>
      <w:r w:rsidRPr="00424274">
        <w:rPr>
          <w:rFonts w:ascii="Arial" w:hAnsi="Arial"/>
          <w:sz w:val="20"/>
        </w:rPr>
        <w:t xml:space="preserve">V spodnjem grafu po letih prikazujemo podatke o številu prejetih zadev v razmerju do števila rešenih zadev, podanih obvestil o sumljivih transakcijah </w:t>
      </w:r>
      <w:r w:rsidRPr="00424274">
        <w:rPr>
          <w:rFonts w:ascii="Arial" w:hAnsi="Arial"/>
          <w:i/>
          <w:iCs/>
          <w:sz w:val="20"/>
        </w:rPr>
        <w:t xml:space="preserve">(glej točki 3.1.3 in 3.1.4 tega poročila) </w:t>
      </w:r>
      <w:r w:rsidRPr="00424274">
        <w:rPr>
          <w:rFonts w:ascii="Arial" w:hAnsi="Arial"/>
          <w:sz w:val="20"/>
        </w:rPr>
        <w:t xml:space="preserve">in informacij </w:t>
      </w:r>
      <w:r w:rsidRPr="00424274">
        <w:rPr>
          <w:rFonts w:ascii="Arial" w:hAnsi="Arial"/>
          <w:i/>
          <w:iCs/>
          <w:sz w:val="20"/>
        </w:rPr>
        <w:t xml:space="preserve">(glej točko 3.1.5 tega poročila) </w:t>
      </w:r>
      <w:r w:rsidRPr="00424274">
        <w:rPr>
          <w:rFonts w:ascii="Arial" w:hAnsi="Arial"/>
          <w:iCs/>
          <w:sz w:val="20"/>
        </w:rPr>
        <w:t>v obdobju 2010–2020</w:t>
      </w:r>
      <w:r w:rsidRPr="00424274">
        <w:rPr>
          <w:rFonts w:ascii="Arial" w:hAnsi="Arial"/>
          <w:sz w:val="20"/>
        </w:rPr>
        <w:t>.</w:t>
      </w:r>
    </w:p>
    <w:p w14:paraId="2DE40A92" w14:textId="3F79E934" w:rsidR="00851C49" w:rsidRPr="00424274" w:rsidRDefault="00851C49" w:rsidP="00D21F86">
      <w:pPr>
        <w:pStyle w:val="Glava"/>
        <w:tabs>
          <w:tab w:val="clear" w:pos="4153"/>
          <w:tab w:val="clear" w:pos="8306"/>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right="-22"/>
        <w:rPr>
          <w:rFonts w:ascii="Arial" w:hAnsi="Arial"/>
          <w:color w:val="FF0000"/>
          <w:sz w:val="20"/>
        </w:rPr>
      </w:pPr>
    </w:p>
    <w:p w14:paraId="42F4404A" w14:textId="2F532CE7" w:rsidR="00145496" w:rsidRPr="00424274" w:rsidRDefault="00145496" w:rsidP="00D21F86">
      <w:pPr>
        <w:pStyle w:val="Glava"/>
        <w:tabs>
          <w:tab w:val="clear" w:pos="4153"/>
          <w:tab w:val="clear" w:pos="8306"/>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right="-22"/>
        <w:rPr>
          <w:rFonts w:ascii="Arial" w:hAnsi="Arial"/>
          <w:color w:val="FF0000"/>
          <w:sz w:val="20"/>
        </w:rPr>
      </w:pPr>
    </w:p>
    <w:p w14:paraId="24EE617A" w14:textId="681E4AB4" w:rsidR="00145496" w:rsidRPr="00424274" w:rsidRDefault="00145496" w:rsidP="00D21F86">
      <w:pPr>
        <w:pStyle w:val="Glava"/>
        <w:tabs>
          <w:tab w:val="clear" w:pos="4153"/>
          <w:tab w:val="clear" w:pos="8306"/>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right="-22"/>
        <w:rPr>
          <w:rFonts w:ascii="Arial" w:hAnsi="Arial"/>
          <w:color w:val="FF0000"/>
          <w:sz w:val="20"/>
        </w:rPr>
      </w:pPr>
    </w:p>
    <w:p w14:paraId="6D24BCDF" w14:textId="356E9CEA" w:rsidR="00145496" w:rsidRPr="00424274" w:rsidRDefault="00145496" w:rsidP="00D21F86">
      <w:pPr>
        <w:pStyle w:val="Glava"/>
        <w:tabs>
          <w:tab w:val="clear" w:pos="4153"/>
          <w:tab w:val="clear" w:pos="8306"/>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right="-22"/>
        <w:rPr>
          <w:rFonts w:ascii="Arial" w:hAnsi="Arial"/>
          <w:color w:val="FF0000"/>
          <w:sz w:val="20"/>
        </w:rPr>
      </w:pPr>
    </w:p>
    <w:p w14:paraId="6F86980B" w14:textId="1983D270" w:rsidR="00145496" w:rsidRPr="00424274" w:rsidRDefault="00145496" w:rsidP="00D21F86">
      <w:pPr>
        <w:pStyle w:val="Glava"/>
        <w:tabs>
          <w:tab w:val="clear" w:pos="4153"/>
          <w:tab w:val="clear" w:pos="8306"/>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right="-22"/>
        <w:rPr>
          <w:rFonts w:ascii="Arial" w:hAnsi="Arial"/>
          <w:color w:val="FF0000"/>
          <w:sz w:val="20"/>
        </w:rPr>
      </w:pPr>
    </w:p>
    <w:p w14:paraId="712CD0A7" w14:textId="5F4D78D3" w:rsidR="00145496" w:rsidRPr="00424274" w:rsidRDefault="00145496" w:rsidP="00D21F86">
      <w:pPr>
        <w:pStyle w:val="Glava"/>
        <w:tabs>
          <w:tab w:val="clear" w:pos="4153"/>
          <w:tab w:val="clear" w:pos="8306"/>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right="-22"/>
        <w:rPr>
          <w:rFonts w:ascii="Arial" w:hAnsi="Arial"/>
          <w:color w:val="FF0000"/>
          <w:sz w:val="20"/>
        </w:rPr>
      </w:pPr>
    </w:p>
    <w:p w14:paraId="3A210EB2" w14:textId="213D868D" w:rsidR="00145496" w:rsidRPr="00424274" w:rsidRDefault="00145496" w:rsidP="00D21F86">
      <w:pPr>
        <w:pStyle w:val="Glava"/>
        <w:tabs>
          <w:tab w:val="clear" w:pos="4153"/>
          <w:tab w:val="clear" w:pos="8306"/>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right="-22"/>
        <w:rPr>
          <w:rFonts w:ascii="Arial" w:hAnsi="Arial"/>
          <w:color w:val="FF0000"/>
          <w:sz w:val="20"/>
        </w:rPr>
      </w:pPr>
    </w:p>
    <w:p w14:paraId="505F986D" w14:textId="7E677931" w:rsidR="00145496" w:rsidRPr="00424274" w:rsidRDefault="00145496" w:rsidP="00D21F86">
      <w:pPr>
        <w:pStyle w:val="Glava"/>
        <w:tabs>
          <w:tab w:val="clear" w:pos="4153"/>
          <w:tab w:val="clear" w:pos="8306"/>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right="-22"/>
        <w:rPr>
          <w:rFonts w:ascii="Arial" w:hAnsi="Arial"/>
          <w:color w:val="FF0000"/>
          <w:sz w:val="20"/>
        </w:rPr>
      </w:pPr>
    </w:p>
    <w:p w14:paraId="62A146B5" w14:textId="49E8EB14" w:rsidR="00145496" w:rsidRPr="00424274" w:rsidRDefault="00145496" w:rsidP="00D21F86">
      <w:pPr>
        <w:pStyle w:val="Glava"/>
        <w:tabs>
          <w:tab w:val="clear" w:pos="4153"/>
          <w:tab w:val="clear" w:pos="8306"/>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right="-22"/>
        <w:rPr>
          <w:rFonts w:ascii="Arial" w:hAnsi="Arial"/>
          <w:color w:val="FF0000"/>
          <w:sz w:val="20"/>
        </w:rPr>
      </w:pPr>
    </w:p>
    <w:p w14:paraId="078F3EED" w14:textId="77777777" w:rsidR="003F39DE" w:rsidRPr="00424274" w:rsidRDefault="003F39DE" w:rsidP="00D21F86">
      <w:pPr>
        <w:pStyle w:val="Glava"/>
        <w:tabs>
          <w:tab w:val="clear" w:pos="4153"/>
          <w:tab w:val="clear" w:pos="8306"/>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right="-22"/>
        <w:rPr>
          <w:rFonts w:ascii="Arial" w:hAnsi="Arial"/>
          <w:color w:val="FF0000"/>
          <w:sz w:val="20"/>
        </w:rPr>
      </w:pPr>
    </w:p>
    <w:p w14:paraId="25FAE0B7" w14:textId="248B9D7B" w:rsidR="00145496" w:rsidRPr="00424274" w:rsidRDefault="00145496" w:rsidP="00D21F86">
      <w:pPr>
        <w:pStyle w:val="Glava"/>
        <w:tabs>
          <w:tab w:val="clear" w:pos="4153"/>
          <w:tab w:val="clear" w:pos="8306"/>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right="-22"/>
        <w:rPr>
          <w:rFonts w:ascii="Arial" w:hAnsi="Arial"/>
          <w:color w:val="FF0000"/>
          <w:sz w:val="20"/>
        </w:rPr>
      </w:pPr>
    </w:p>
    <w:p w14:paraId="1B2538B9" w14:textId="77777777" w:rsidR="00145496" w:rsidRPr="00424274" w:rsidRDefault="00145496" w:rsidP="00D21F86">
      <w:pPr>
        <w:pStyle w:val="Glava"/>
        <w:tabs>
          <w:tab w:val="clear" w:pos="4153"/>
          <w:tab w:val="clear" w:pos="8306"/>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right="-22"/>
        <w:rPr>
          <w:rFonts w:ascii="Arial" w:hAnsi="Arial"/>
          <w:color w:val="FF0000"/>
          <w:sz w:val="20"/>
        </w:rPr>
      </w:pPr>
    </w:p>
    <w:p w14:paraId="44F70E25" w14:textId="6941AE6E" w:rsidR="00C54B1D" w:rsidRPr="00424274" w:rsidRDefault="00C54B1D" w:rsidP="00C54B1D">
      <w:pPr>
        <w:tabs>
          <w:tab w:val="left" w:pos="-1049"/>
          <w:tab w:val="left" w:pos="-689"/>
          <w:tab w:val="left" w:pos="751"/>
          <w:tab w:val="left" w:pos="8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left="851" w:right="-22" w:hanging="851"/>
        <w:rPr>
          <w:rFonts w:ascii="Arial" w:hAnsi="Arial"/>
          <w:b/>
          <w:bCs/>
          <w:i/>
          <w:iCs/>
          <w:sz w:val="20"/>
        </w:rPr>
      </w:pPr>
      <w:r w:rsidRPr="00424274">
        <w:rPr>
          <w:rFonts w:ascii="Arial" w:hAnsi="Arial"/>
          <w:b/>
          <w:bCs/>
          <w:i/>
          <w:iCs/>
          <w:sz w:val="20"/>
        </w:rPr>
        <w:t>Graf 3:</w:t>
      </w:r>
      <w:r w:rsidRPr="00424274">
        <w:rPr>
          <w:rFonts w:ascii="Arial" w:hAnsi="Arial"/>
          <w:b/>
          <w:bCs/>
          <w:i/>
          <w:iCs/>
          <w:sz w:val="20"/>
        </w:rPr>
        <w:tab/>
        <w:t xml:space="preserve">Prikaz števila vseh odprtih zadev in </w:t>
      </w:r>
      <w:r w:rsidR="00475AFD">
        <w:rPr>
          <w:rFonts w:ascii="Arial" w:hAnsi="Arial"/>
          <w:b/>
          <w:bCs/>
          <w:i/>
          <w:iCs/>
          <w:sz w:val="20"/>
        </w:rPr>
        <w:t>poslanih</w:t>
      </w:r>
      <w:r w:rsidR="00475AFD" w:rsidRPr="00424274">
        <w:rPr>
          <w:rFonts w:ascii="Arial" w:hAnsi="Arial"/>
          <w:b/>
          <w:bCs/>
          <w:i/>
          <w:iCs/>
          <w:sz w:val="20"/>
        </w:rPr>
        <w:t xml:space="preserve"> </w:t>
      </w:r>
      <w:r w:rsidRPr="00424274">
        <w:rPr>
          <w:rFonts w:ascii="Arial" w:hAnsi="Arial"/>
          <w:b/>
          <w:bCs/>
          <w:i/>
          <w:iCs/>
          <w:sz w:val="20"/>
        </w:rPr>
        <w:t>obvestil o sumljivih transakcijah in</w:t>
      </w:r>
      <w:r w:rsidR="00475AFD">
        <w:rPr>
          <w:rFonts w:ascii="Arial" w:hAnsi="Arial"/>
          <w:b/>
          <w:bCs/>
          <w:i/>
          <w:iCs/>
          <w:sz w:val="20"/>
        </w:rPr>
        <w:t xml:space="preserve"> </w:t>
      </w:r>
      <w:r w:rsidRPr="00424274">
        <w:rPr>
          <w:rFonts w:ascii="Arial" w:hAnsi="Arial"/>
          <w:b/>
          <w:bCs/>
          <w:i/>
          <w:iCs/>
          <w:sz w:val="20"/>
        </w:rPr>
        <w:tab/>
        <w:t>informacij v obdobju 2010–2020</w:t>
      </w:r>
    </w:p>
    <w:p w14:paraId="1C2E7193" w14:textId="3CC7C302" w:rsidR="001F6FB5" w:rsidRPr="00424274" w:rsidRDefault="001F6FB5" w:rsidP="00C54B1D">
      <w:pPr>
        <w:tabs>
          <w:tab w:val="left" w:pos="-1049"/>
          <w:tab w:val="left" w:pos="-689"/>
          <w:tab w:val="left" w:pos="751"/>
          <w:tab w:val="left" w:pos="8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left="851" w:right="-22" w:hanging="851"/>
        <w:rPr>
          <w:rFonts w:ascii="Arial" w:hAnsi="Arial"/>
          <w:b/>
          <w:bCs/>
          <w:i/>
          <w:iCs/>
          <w:sz w:val="20"/>
        </w:rPr>
      </w:pPr>
    </w:p>
    <w:p w14:paraId="5690FCD1" w14:textId="133FB6A5" w:rsidR="001F6FB5" w:rsidRPr="00424274" w:rsidRDefault="001F6FB5" w:rsidP="00C54B1D">
      <w:pPr>
        <w:tabs>
          <w:tab w:val="left" w:pos="-1049"/>
          <w:tab w:val="left" w:pos="-689"/>
          <w:tab w:val="left" w:pos="751"/>
          <w:tab w:val="left" w:pos="8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left="851" w:right="-22" w:hanging="851"/>
        <w:rPr>
          <w:rFonts w:ascii="Arial" w:hAnsi="Arial"/>
          <w:b/>
          <w:bCs/>
          <w:i/>
          <w:iCs/>
          <w:sz w:val="20"/>
        </w:rPr>
      </w:pPr>
    </w:p>
    <w:p w14:paraId="0E4E8DD1" w14:textId="515C9341" w:rsidR="001F6FB5" w:rsidRPr="00424274" w:rsidRDefault="001F6FB5" w:rsidP="00C54B1D">
      <w:pPr>
        <w:tabs>
          <w:tab w:val="left" w:pos="-1049"/>
          <w:tab w:val="left" w:pos="-689"/>
          <w:tab w:val="left" w:pos="751"/>
          <w:tab w:val="left" w:pos="8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left="851" w:right="-22" w:hanging="851"/>
        <w:rPr>
          <w:rFonts w:ascii="Arial" w:hAnsi="Arial"/>
          <w:b/>
          <w:bCs/>
          <w:i/>
          <w:iCs/>
          <w:sz w:val="20"/>
        </w:rPr>
      </w:pPr>
      <w:r w:rsidRPr="00424274">
        <w:rPr>
          <w:noProof/>
          <w:lang w:eastAsia="sl-SI"/>
        </w:rPr>
        <w:drawing>
          <wp:inline distT="0" distB="0" distL="0" distR="0" wp14:anchorId="6789F9CE" wp14:editId="3A4897FF">
            <wp:extent cx="5746750" cy="3276600"/>
            <wp:effectExtent l="0" t="0" r="6350" b="0"/>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2CAA3989" w14:textId="77777777" w:rsidR="00847332" w:rsidRPr="00424274" w:rsidRDefault="00847332" w:rsidP="00D21F86">
      <w:pPr>
        <w:spacing w:line="276" w:lineRule="auto"/>
        <w:rPr>
          <w:rFonts w:ascii="Arial" w:hAnsi="Arial"/>
          <w:sz w:val="20"/>
        </w:rPr>
      </w:pPr>
      <w:bookmarkStart w:id="49" w:name="_Toc107306489"/>
      <w:bookmarkStart w:id="50" w:name="_Toc135206722"/>
    </w:p>
    <w:bookmarkEnd w:id="49"/>
    <w:bookmarkEnd w:id="50"/>
    <w:p w14:paraId="77D87339" w14:textId="4B5E1789" w:rsidR="0053270A" w:rsidRPr="00424274" w:rsidRDefault="0053270A" w:rsidP="0053270A">
      <w:pPr>
        <w:spacing w:line="276" w:lineRule="auto"/>
        <w:rPr>
          <w:rFonts w:ascii="Arial" w:hAnsi="Arial"/>
          <w:sz w:val="20"/>
        </w:rPr>
      </w:pPr>
      <w:r w:rsidRPr="00424274">
        <w:rPr>
          <w:rFonts w:ascii="Arial" w:hAnsi="Arial"/>
          <w:sz w:val="20"/>
        </w:rPr>
        <w:t>Glede na podatke iz prejšnjih let lahko ugotovimo, da se je število prejetih prijav oziroma na njihovi podlagi odprtih zadev v letu 2020 glede na leto 2019 povečalo za 6,4%, glede na povprečje zadnjih petih let pa za 60 %. Povprečje števila prijav v obdobju 2016</w:t>
      </w:r>
      <w:r w:rsidR="00E544D8">
        <w:rPr>
          <w:rFonts w:ascii="Arial" w:hAnsi="Arial"/>
          <w:sz w:val="20"/>
        </w:rPr>
        <w:t>–</w:t>
      </w:r>
      <w:r w:rsidRPr="00424274">
        <w:rPr>
          <w:rFonts w:ascii="Arial" w:hAnsi="Arial"/>
          <w:sz w:val="20"/>
        </w:rPr>
        <w:t xml:space="preserve">2020 znaša 800 zadev letno, kar je v primerjavi z letnim povprečjem števila prijav na prebivalca drugih držav zelo visoko povprečje. V nadaljevanju poročila navajamo podatke o zadevah, ki smo jih v obliki obvestil o ugotovljenih sumih storitve kaznivega dejanja pranja denarja ali kaznivega dejanja financiranja terorizma in informacij o drugih kaznivih dejanjih </w:t>
      </w:r>
      <w:r w:rsidR="00E544D8">
        <w:rPr>
          <w:rFonts w:ascii="Arial" w:hAnsi="Arial"/>
          <w:sz w:val="20"/>
        </w:rPr>
        <w:t>poslali</w:t>
      </w:r>
      <w:r w:rsidR="00E544D8" w:rsidRPr="00424274">
        <w:rPr>
          <w:rFonts w:ascii="Arial" w:hAnsi="Arial"/>
          <w:sz w:val="20"/>
        </w:rPr>
        <w:t xml:space="preserve"> </w:t>
      </w:r>
      <w:r w:rsidRPr="00424274">
        <w:rPr>
          <w:rFonts w:ascii="Arial" w:hAnsi="Arial"/>
          <w:sz w:val="20"/>
        </w:rPr>
        <w:t>v nadaljnjo obravnavo pristojnim organom.</w:t>
      </w:r>
      <w:r w:rsidR="00E544D8">
        <w:rPr>
          <w:rFonts w:ascii="Arial" w:hAnsi="Arial"/>
          <w:sz w:val="20"/>
        </w:rPr>
        <w:t xml:space="preserve"> </w:t>
      </w:r>
    </w:p>
    <w:p w14:paraId="2CF38C8A" w14:textId="77777777" w:rsidR="00851C49" w:rsidRPr="00424274" w:rsidRDefault="00851C49" w:rsidP="00D21F86">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napToGrid w:val="0"/>
        <w:spacing w:line="276" w:lineRule="auto"/>
        <w:ind w:right="-22"/>
        <w:rPr>
          <w:rFonts w:ascii="Arial" w:hAnsi="Arial"/>
          <w:sz w:val="20"/>
        </w:rPr>
      </w:pPr>
    </w:p>
    <w:p w14:paraId="16634D32" w14:textId="089894B2" w:rsidR="00851C49" w:rsidRPr="00424274" w:rsidRDefault="00292A8B" w:rsidP="006D5A5A">
      <w:pPr>
        <w:pStyle w:val="Naslov3"/>
      </w:pPr>
      <w:bookmarkStart w:id="51" w:name="_Toc200524140"/>
      <w:bookmarkStart w:id="52" w:name="_Toc262605337"/>
      <w:bookmarkStart w:id="53" w:name="_Toc113535457"/>
      <w:r w:rsidRPr="00424274">
        <w:t xml:space="preserve">3.1.3 </w:t>
      </w:r>
      <w:r w:rsidR="00851C49" w:rsidRPr="00424274">
        <w:t xml:space="preserve">Zadeve, </w:t>
      </w:r>
      <w:r w:rsidR="00361F5F">
        <w:t>poslane</w:t>
      </w:r>
      <w:r w:rsidR="00851C49" w:rsidRPr="00424274">
        <w:t xml:space="preserve"> UKP MNZ in/ali državnemu tožilstvu zaradi suma storitve kaznivega dejanja pranja denarja po 245</w:t>
      </w:r>
      <w:r w:rsidR="000B2536" w:rsidRPr="00424274">
        <w:t>.</w:t>
      </w:r>
      <w:r w:rsidR="00851C49" w:rsidRPr="00424274">
        <w:t xml:space="preserve"> </w:t>
      </w:r>
      <w:r w:rsidR="000B2536" w:rsidRPr="00424274">
        <w:t xml:space="preserve">členu </w:t>
      </w:r>
      <w:r w:rsidR="00851C49" w:rsidRPr="00424274">
        <w:t>KZ</w:t>
      </w:r>
      <w:bookmarkEnd w:id="51"/>
      <w:r w:rsidR="00851C49" w:rsidRPr="00424274">
        <w:t>-1</w:t>
      </w:r>
      <w:bookmarkEnd w:id="52"/>
      <w:bookmarkEnd w:id="53"/>
    </w:p>
    <w:p w14:paraId="7A954071" w14:textId="77777777" w:rsidR="00851C49" w:rsidRPr="00424274" w:rsidRDefault="00851C49" w:rsidP="00D21F86">
      <w:pPr>
        <w:pStyle w:val="Telobesedila"/>
        <w:spacing w:line="276" w:lineRule="auto"/>
        <w:ind w:right="-22"/>
        <w:rPr>
          <w:rFonts w:ascii="Arial" w:hAnsi="Arial"/>
          <w:sz w:val="20"/>
        </w:rPr>
      </w:pPr>
    </w:p>
    <w:p w14:paraId="5E5A0C77" w14:textId="35373911" w:rsidR="00A0588B" w:rsidRPr="00424274" w:rsidRDefault="00A0588B" w:rsidP="00A0588B">
      <w:pPr>
        <w:widowControl/>
        <w:spacing w:line="276" w:lineRule="auto"/>
        <w:ind w:right="-22"/>
        <w:rPr>
          <w:rFonts w:ascii="Arial" w:hAnsi="Arial"/>
          <w:sz w:val="20"/>
        </w:rPr>
      </w:pPr>
      <w:r w:rsidRPr="00424274">
        <w:rPr>
          <w:rFonts w:ascii="Arial" w:hAnsi="Arial"/>
          <w:sz w:val="20"/>
        </w:rPr>
        <w:t xml:space="preserve">Med zaključenimi zadevami je </w:t>
      </w:r>
      <w:r w:rsidR="00814A21">
        <w:rPr>
          <w:rFonts w:ascii="Arial" w:hAnsi="Arial"/>
          <w:sz w:val="20"/>
        </w:rPr>
        <w:t>urad</w:t>
      </w:r>
      <w:r w:rsidRPr="00424274">
        <w:rPr>
          <w:rFonts w:ascii="Arial" w:hAnsi="Arial"/>
          <w:sz w:val="20"/>
        </w:rPr>
        <w:t xml:space="preserve"> tiste zadeve, pri katerih je z dodatnim zbiranjem in analizo podatkov ugotovil, da obstajajo nekateri razlogi za sum storitve kaznivega dejanja pranja denarja, skupaj z dokumentacijo na podlagi 101. člena ZPPDFT-1 odstopil v nadaljnjo obravnavo UKP MNZ, v nekaterih primerih pa tudi pristojnemu državnemu tožilstvu.</w:t>
      </w:r>
    </w:p>
    <w:p w14:paraId="3F9D25E5" w14:textId="77777777" w:rsidR="00A0588B" w:rsidRPr="00424274" w:rsidRDefault="00A0588B" w:rsidP="00A0588B">
      <w:pPr>
        <w:widowControl/>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right="-22"/>
        <w:rPr>
          <w:rFonts w:ascii="Arial" w:hAnsi="Arial"/>
          <w:b/>
          <w:i/>
          <w:sz w:val="20"/>
          <w:highlight w:val="yellow"/>
        </w:rPr>
      </w:pPr>
    </w:p>
    <w:p w14:paraId="0AC394EA" w14:textId="3C595B1F" w:rsidR="00A0588B" w:rsidRPr="00424274" w:rsidRDefault="00A0588B" w:rsidP="00A0588B">
      <w:pPr>
        <w:widowControl/>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right="-22"/>
        <w:rPr>
          <w:rFonts w:ascii="Arial" w:hAnsi="Arial"/>
          <w:bCs/>
          <w:iCs/>
          <w:sz w:val="20"/>
        </w:rPr>
      </w:pPr>
      <w:r w:rsidRPr="00424274">
        <w:rPr>
          <w:rFonts w:ascii="Arial" w:hAnsi="Arial"/>
          <w:bCs/>
          <w:iCs/>
          <w:sz w:val="20"/>
        </w:rPr>
        <w:t xml:space="preserve">Leta 2020 je </w:t>
      </w:r>
      <w:r w:rsidR="00814A21">
        <w:rPr>
          <w:rFonts w:ascii="Arial" w:hAnsi="Arial"/>
          <w:bCs/>
          <w:iCs/>
          <w:sz w:val="20"/>
        </w:rPr>
        <w:t>urad</w:t>
      </w:r>
      <w:r w:rsidRPr="00424274">
        <w:rPr>
          <w:rFonts w:ascii="Arial" w:hAnsi="Arial"/>
          <w:bCs/>
          <w:iCs/>
          <w:sz w:val="20"/>
        </w:rPr>
        <w:t xml:space="preserve"> pri analiziranju 438 zadev ugotovil razloge za sum storitve kaznivega dejanja pranja denarja, ki jih je v obliki 351 pisnih obvestil (obvestila vezana na sume kaznivega dejanja financiranja terorizma prikazujemo v točki 3.1.4) </w:t>
      </w:r>
      <w:r w:rsidR="00E544D8">
        <w:rPr>
          <w:rFonts w:ascii="Arial" w:hAnsi="Arial"/>
          <w:bCs/>
          <w:iCs/>
          <w:sz w:val="20"/>
        </w:rPr>
        <w:t>poslal</w:t>
      </w:r>
      <w:r w:rsidR="00E544D8" w:rsidRPr="00424274">
        <w:rPr>
          <w:rFonts w:ascii="Arial" w:hAnsi="Arial"/>
          <w:bCs/>
          <w:iCs/>
          <w:sz w:val="20"/>
        </w:rPr>
        <w:t xml:space="preserve"> </w:t>
      </w:r>
      <w:r w:rsidRPr="00424274">
        <w:rPr>
          <w:rFonts w:ascii="Arial" w:hAnsi="Arial"/>
          <w:bCs/>
          <w:iCs/>
          <w:sz w:val="20"/>
        </w:rPr>
        <w:t>na UKP MNZ in/ali na državno tožilstvo. Razlog, da je število zadev večje od števila poslanih obvestil</w:t>
      </w:r>
      <w:r w:rsidR="00E544D8">
        <w:rPr>
          <w:rFonts w:ascii="Arial" w:hAnsi="Arial"/>
          <w:bCs/>
          <w:iCs/>
          <w:sz w:val="20"/>
        </w:rPr>
        <w:t>,</w:t>
      </w:r>
      <w:r w:rsidRPr="00424274">
        <w:rPr>
          <w:rFonts w:ascii="Arial" w:hAnsi="Arial"/>
          <w:bCs/>
          <w:iCs/>
          <w:sz w:val="20"/>
        </w:rPr>
        <w:t xml:space="preserve"> je v tem, da so nekatera obvestila vsebovala več med seboj povezanih zadev. Poleg omenjenih obvestil o sumljivih transakcijah smo leta 2020 na UKP MNZ in/ali državnemu tožilstvu </w:t>
      </w:r>
      <w:r w:rsidR="00E544D8">
        <w:rPr>
          <w:rFonts w:ascii="Arial" w:hAnsi="Arial"/>
          <w:bCs/>
          <w:iCs/>
          <w:sz w:val="20"/>
        </w:rPr>
        <w:t>poslali</w:t>
      </w:r>
      <w:r w:rsidR="00E544D8" w:rsidRPr="00424274">
        <w:rPr>
          <w:rFonts w:ascii="Arial" w:hAnsi="Arial"/>
          <w:bCs/>
          <w:iCs/>
          <w:sz w:val="20"/>
        </w:rPr>
        <w:t xml:space="preserve"> </w:t>
      </w:r>
      <w:r w:rsidRPr="00424274">
        <w:rPr>
          <w:rFonts w:ascii="Arial" w:hAnsi="Arial"/>
          <w:bCs/>
          <w:iCs/>
          <w:sz w:val="20"/>
        </w:rPr>
        <w:t xml:space="preserve">tudi 78 dopolnitev že podanih obvestil o sumljivih transakcijah. </w:t>
      </w:r>
    </w:p>
    <w:p w14:paraId="0C349CDE" w14:textId="77777777" w:rsidR="00A0588B" w:rsidRPr="00424274" w:rsidRDefault="00A0588B" w:rsidP="00A0588B">
      <w:pPr>
        <w:widowControl/>
        <w:spacing w:line="276" w:lineRule="auto"/>
        <w:ind w:right="-22"/>
        <w:rPr>
          <w:rFonts w:ascii="Arial" w:hAnsi="Arial"/>
          <w:b/>
          <w:i/>
          <w:sz w:val="20"/>
          <w:highlight w:val="yellow"/>
        </w:rPr>
      </w:pPr>
    </w:p>
    <w:p w14:paraId="5972AB8A" w14:textId="4561725D" w:rsidR="00A0588B" w:rsidRPr="00424274" w:rsidRDefault="00A0588B" w:rsidP="00A0588B">
      <w:pPr>
        <w:widowControl/>
        <w:spacing w:line="276" w:lineRule="auto"/>
        <w:ind w:right="-22"/>
        <w:rPr>
          <w:rFonts w:ascii="Arial" w:hAnsi="Arial"/>
          <w:sz w:val="20"/>
        </w:rPr>
      </w:pPr>
      <w:r w:rsidRPr="00424274">
        <w:rPr>
          <w:rFonts w:ascii="Arial" w:hAnsi="Arial"/>
          <w:sz w:val="20"/>
        </w:rPr>
        <w:t xml:space="preserve">V nadaljevanju v </w:t>
      </w:r>
      <w:r w:rsidR="00814A21">
        <w:rPr>
          <w:rFonts w:ascii="Arial" w:hAnsi="Arial"/>
          <w:sz w:val="20"/>
        </w:rPr>
        <w:t>preglednici</w:t>
      </w:r>
      <w:r w:rsidRPr="00424274">
        <w:rPr>
          <w:rFonts w:ascii="Arial" w:hAnsi="Arial"/>
          <w:sz w:val="20"/>
        </w:rPr>
        <w:t xml:space="preserve"> 6 za leti 2019 in 2020 prikazujemo število obravnavanih domačih in tujih fizičnih in pravnih oseb ter kumulativne zneske izvršenih transakcij, pri katerih smo v </w:t>
      </w:r>
      <w:r w:rsidR="00814A21">
        <w:rPr>
          <w:rFonts w:ascii="Arial" w:hAnsi="Arial"/>
          <w:sz w:val="20"/>
        </w:rPr>
        <w:t>urad</w:t>
      </w:r>
      <w:r w:rsidRPr="00424274">
        <w:rPr>
          <w:rFonts w:ascii="Arial" w:hAnsi="Arial"/>
          <w:sz w:val="20"/>
        </w:rPr>
        <w:t>u ugotovili razloge za sum storitve kaznivega dejanja pranja denarja.</w:t>
      </w:r>
    </w:p>
    <w:p w14:paraId="4803AEED" w14:textId="6E3C9667" w:rsidR="007732A7" w:rsidRPr="00424274" w:rsidRDefault="007732A7" w:rsidP="00A0588B">
      <w:pPr>
        <w:widowControl/>
        <w:spacing w:line="276" w:lineRule="auto"/>
        <w:ind w:right="-22"/>
        <w:rPr>
          <w:rFonts w:ascii="Arial" w:hAnsi="Arial"/>
          <w:sz w:val="20"/>
        </w:rPr>
      </w:pPr>
    </w:p>
    <w:p w14:paraId="2562D678" w14:textId="5BCA868B" w:rsidR="00E11825" w:rsidRPr="00424274" w:rsidRDefault="00E11825" w:rsidP="00A0588B">
      <w:pPr>
        <w:widowControl/>
        <w:spacing w:line="276" w:lineRule="auto"/>
        <w:ind w:right="-22"/>
        <w:rPr>
          <w:rFonts w:ascii="Arial" w:hAnsi="Arial"/>
          <w:sz w:val="20"/>
        </w:rPr>
      </w:pPr>
    </w:p>
    <w:p w14:paraId="0398713E" w14:textId="0A3D1CD6" w:rsidR="00E11825" w:rsidRPr="00424274" w:rsidRDefault="00E11825" w:rsidP="00A0588B">
      <w:pPr>
        <w:widowControl/>
        <w:spacing w:line="276" w:lineRule="auto"/>
        <w:ind w:right="-22"/>
        <w:rPr>
          <w:rFonts w:ascii="Arial" w:hAnsi="Arial"/>
          <w:sz w:val="20"/>
        </w:rPr>
      </w:pPr>
    </w:p>
    <w:p w14:paraId="6587F1E4" w14:textId="77777777" w:rsidR="00E11825" w:rsidRPr="00424274" w:rsidRDefault="00E11825" w:rsidP="00A0588B">
      <w:pPr>
        <w:widowControl/>
        <w:spacing w:line="276" w:lineRule="auto"/>
        <w:ind w:right="-22"/>
        <w:rPr>
          <w:rFonts w:ascii="Arial" w:hAnsi="Arial"/>
          <w:sz w:val="20"/>
        </w:rPr>
      </w:pPr>
    </w:p>
    <w:p w14:paraId="3BEA86E1" w14:textId="77777777" w:rsidR="007732A7" w:rsidRPr="00424274" w:rsidRDefault="007732A7" w:rsidP="00A0588B">
      <w:pPr>
        <w:widowControl/>
        <w:spacing w:line="276" w:lineRule="auto"/>
        <w:ind w:right="-22"/>
        <w:rPr>
          <w:rFonts w:ascii="Arial" w:hAnsi="Arial"/>
          <w:sz w:val="20"/>
        </w:rPr>
      </w:pPr>
    </w:p>
    <w:p w14:paraId="5AE2ACEB" w14:textId="0618A102" w:rsidR="0077403D" w:rsidRPr="00424274" w:rsidRDefault="00814A21" w:rsidP="0077403D">
      <w:pPr>
        <w:spacing w:line="276" w:lineRule="auto"/>
        <w:ind w:left="993" w:hanging="993"/>
        <w:rPr>
          <w:rFonts w:ascii="Arial" w:hAnsi="Arial"/>
          <w:b/>
          <w:bCs/>
          <w:i/>
          <w:iCs/>
          <w:sz w:val="20"/>
        </w:rPr>
      </w:pPr>
      <w:r>
        <w:rPr>
          <w:rFonts w:ascii="Arial" w:hAnsi="Arial"/>
          <w:b/>
          <w:bCs/>
          <w:i/>
          <w:iCs/>
          <w:sz w:val="20"/>
        </w:rPr>
        <w:t>Preglednica</w:t>
      </w:r>
      <w:r w:rsidR="00851C49" w:rsidRPr="00424274">
        <w:rPr>
          <w:rFonts w:ascii="Arial" w:hAnsi="Arial"/>
          <w:b/>
          <w:bCs/>
          <w:i/>
          <w:iCs/>
          <w:sz w:val="20"/>
        </w:rPr>
        <w:t xml:space="preserve"> </w:t>
      </w:r>
      <w:r w:rsidR="00045D57" w:rsidRPr="00424274">
        <w:rPr>
          <w:rFonts w:ascii="Arial" w:hAnsi="Arial"/>
          <w:b/>
          <w:bCs/>
          <w:i/>
          <w:iCs/>
          <w:sz w:val="20"/>
        </w:rPr>
        <w:t>6</w:t>
      </w:r>
      <w:r w:rsidR="002334A5" w:rsidRPr="00424274">
        <w:rPr>
          <w:rFonts w:ascii="Arial" w:hAnsi="Arial"/>
          <w:b/>
          <w:bCs/>
          <w:i/>
          <w:iCs/>
          <w:sz w:val="20"/>
        </w:rPr>
        <w:t xml:space="preserve">: </w:t>
      </w:r>
      <w:r w:rsidR="00D5703F" w:rsidRPr="00424274">
        <w:rPr>
          <w:rFonts w:ascii="Arial" w:hAnsi="Arial"/>
          <w:b/>
          <w:bCs/>
          <w:i/>
          <w:iCs/>
          <w:sz w:val="20"/>
        </w:rPr>
        <w:tab/>
      </w:r>
      <w:r w:rsidR="0077403D" w:rsidRPr="00424274">
        <w:rPr>
          <w:rFonts w:ascii="Arial" w:hAnsi="Arial"/>
          <w:b/>
          <w:bCs/>
          <w:i/>
          <w:iCs/>
          <w:sz w:val="20"/>
        </w:rPr>
        <w:t xml:space="preserve">Struktura </w:t>
      </w:r>
      <w:r w:rsidR="0048437D" w:rsidRPr="00424274">
        <w:rPr>
          <w:rFonts w:ascii="Arial" w:hAnsi="Arial"/>
          <w:b/>
          <w:bCs/>
          <w:i/>
          <w:iCs/>
          <w:sz w:val="20"/>
        </w:rPr>
        <w:t xml:space="preserve">udeleženih </w:t>
      </w:r>
      <w:r w:rsidR="0077403D" w:rsidRPr="00424274">
        <w:rPr>
          <w:rFonts w:ascii="Arial" w:hAnsi="Arial"/>
          <w:b/>
          <w:bCs/>
          <w:i/>
          <w:iCs/>
          <w:sz w:val="20"/>
        </w:rPr>
        <w:t xml:space="preserve">oseb v zadevah, ki so bile leta 2019 in 2020 </w:t>
      </w:r>
      <w:r w:rsidR="00361F5F">
        <w:rPr>
          <w:rFonts w:ascii="Arial" w:hAnsi="Arial"/>
          <w:b/>
          <w:bCs/>
          <w:i/>
          <w:iCs/>
          <w:sz w:val="20"/>
        </w:rPr>
        <w:t>poslane</w:t>
      </w:r>
      <w:r w:rsidR="0077403D" w:rsidRPr="00424274">
        <w:rPr>
          <w:rFonts w:ascii="Arial" w:hAnsi="Arial"/>
          <w:b/>
          <w:bCs/>
          <w:i/>
          <w:iCs/>
          <w:sz w:val="20"/>
        </w:rPr>
        <w:t xml:space="preserve"> UKP MNZ in/ali državnemu tožilstvu zaradi sumov pranja denarja</w:t>
      </w:r>
    </w:p>
    <w:p w14:paraId="169B3337" w14:textId="5B087CE0" w:rsidR="00BF3F4B" w:rsidRPr="00424274" w:rsidRDefault="00BF3F4B" w:rsidP="0077403D">
      <w:pPr>
        <w:spacing w:line="276" w:lineRule="auto"/>
        <w:ind w:left="993" w:hanging="993"/>
        <w:rPr>
          <w:rFonts w:ascii="Arial" w:hAnsi="Arial"/>
          <w:b/>
          <w:bCs/>
          <w:i/>
          <w:iCs/>
          <w:sz w:val="20"/>
        </w:rPr>
      </w:pPr>
    </w:p>
    <w:tbl>
      <w:tblPr>
        <w:tblW w:w="705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80"/>
        <w:gridCol w:w="1985"/>
        <w:gridCol w:w="1985"/>
      </w:tblGrid>
      <w:tr w:rsidR="00BF3F4B" w:rsidRPr="00424274" w14:paraId="078AF8EE" w14:textId="77777777" w:rsidTr="00C67A40">
        <w:trPr>
          <w:trHeight w:val="345"/>
        </w:trPr>
        <w:tc>
          <w:tcPr>
            <w:tcW w:w="3080" w:type="dxa"/>
            <w:shd w:val="clear" w:color="auto" w:fill="00CCFF"/>
            <w:noWrap/>
            <w:vAlign w:val="center"/>
          </w:tcPr>
          <w:p w14:paraId="7D173413" w14:textId="77777777" w:rsidR="00BF3F4B" w:rsidRPr="00424274" w:rsidRDefault="00BF3F4B" w:rsidP="00BF3F4B">
            <w:pPr>
              <w:widowControl/>
              <w:jc w:val="left"/>
              <w:rPr>
                <w:rFonts w:ascii="Arial" w:hAnsi="Arial"/>
                <w:b/>
                <w:bCs/>
                <w:sz w:val="20"/>
                <w:lang w:eastAsia="sl-SI"/>
              </w:rPr>
            </w:pPr>
            <w:r w:rsidRPr="00424274">
              <w:rPr>
                <w:rFonts w:ascii="Arial" w:hAnsi="Arial"/>
                <w:b/>
                <w:bCs/>
                <w:sz w:val="20"/>
                <w:lang w:eastAsia="sl-SI"/>
              </w:rPr>
              <w:t>VRSTA PODATKA</w:t>
            </w:r>
          </w:p>
        </w:tc>
        <w:tc>
          <w:tcPr>
            <w:tcW w:w="1985" w:type="dxa"/>
            <w:shd w:val="clear" w:color="auto" w:fill="00CCFF"/>
            <w:vAlign w:val="center"/>
          </w:tcPr>
          <w:p w14:paraId="7E35BDDA" w14:textId="77777777" w:rsidR="00BF3F4B" w:rsidRPr="00424274" w:rsidRDefault="00BF3F4B" w:rsidP="00BF3F4B">
            <w:pPr>
              <w:widowControl/>
              <w:jc w:val="center"/>
              <w:rPr>
                <w:rFonts w:ascii="Arial" w:hAnsi="Arial"/>
                <w:b/>
                <w:bCs/>
                <w:sz w:val="20"/>
                <w:lang w:eastAsia="sl-SI"/>
              </w:rPr>
            </w:pPr>
            <w:r w:rsidRPr="00424274">
              <w:rPr>
                <w:rFonts w:ascii="Arial" w:hAnsi="Arial"/>
                <w:b/>
                <w:bCs/>
                <w:sz w:val="20"/>
                <w:lang w:eastAsia="sl-SI"/>
              </w:rPr>
              <w:t>2019</w:t>
            </w:r>
          </w:p>
        </w:tc>
        <w:tc>
          <w:tcPr>
            <w:tcW w:w="1985" w:type="dxa"/>
            <w:shd w:val="clear" w:color="auto" w:fill="00CCFF"/>
            <w:vAlign w:val="center"/>
          </w:tcPr>
          <w:p w14:paraId="6EC14542" w14:textId="77777777" w:rsidR="00BF3F4B" w:rsidRPr="00424274" w:rsidRDefault="00BF3F4B" w:rsidP="00BF3F4B">
            <w:pPr>
              <w:widowControl/>
              <w:jc w:val="center"/>
              <w:rPr>
                <w:rFonts w:ascii="Arial" w:hAnsi="Arial"/>
                <w:b/>
                <w:bCs/>
                <w:sz w:val="20"/>
                <w:lang w:eastAsia="sl-SI"/>
              </w:rPr>
            </w:pPr>
            <w:r w:rsidRPr="00424274">
              <w:rPr>
                <w:rFonts w:ascii="Arial" w:hAnsi="Arial"/>
                <w:b/>
                <w:bCs/>
                <w:sz w:val="20"/>
                <w:lang w:eastAsia="sl-SI"/>
              </w:rPr>
              <w:t>2020</w:t>
            </w:r>
          </w:p>
        </w:tc>
      </w:tr>
      <w:tr w:rsidR="00BF3F4B" w:rsidRPr="00424274" w14:paraId="0CE25BE9" w14:textId="77777777" w:rsidTr="00C67A40">
        <w:trPr>
          <w:trHeight w:val="345"/>
        </w:trPr>
        <w:tc>
          <w:tcPr>
            <w:tcW w:w="3080" w:type="dxa"/>
            <w:shd w:val="clear" w:color="auto" w:fill="99FF33"/>
            <w:noWrap/>
            <w:vAlign w:val="center"/>
          </w:tcPr>
          <w:p w14:paraId="797C70FD" w14:textId="77777777" w:rsidR="00BF3F4B" w:rsidRPr="00424274" w:rsidRDefault="00BF3F4B" w:rsidP="00BF3F4B">
            <w:pPr>
              <w:widowControl/>
              <w:jc w:val="left"/>
              <w:rPr>
                <w:rFonts w:ascii="Arial" w:hAnsi="Arial"/>
                <w:sz w:val="20"/>
                <w:lang w:eastAsia="sl-SI"/>
              </w:rPr>
            </w:pPr>
            <w:r w:rsidRPr="00424274">
              <w:rPr>
                <w:rFonts w:ascii="Arial" w:hAnsi="Arial"/>
                <w:sz w:val="20"/>
                <w:lang w:eastAsia="sl-SI"/>
              </w:rPr>
              <w:t>Št. domačih fizičnih oseb</w:t>
            </w:r>
          </w:p>
        </w:tc>
        <w:tc>
          <w:tcPr>
            <w:tcW w:w="1985" w:type="dxa"/>
            <w:vAlign w:val="center"/>
          </w:tcPr>
          <w:p w14:paraId="36079265" w14:textId="77777777" w:rsidR="00BF3F4B" w:rsidRPr="00424274" w:rsidRDefault="00BF3F4B" w:rsidP="00BF3F4B">
            <w:pPr>
              <w:widowControl/>
              <w:jc w:val="center"/>
              <w:rPr>
                <w:rFonts w:ascii="Arial" w:hAnsi="Arial"/>
                <w:sz w:val="20"/>
                <w:lang w:eastAsia="sl-SI"/>
              </w:rPr>
            </w:pPr>
            <w:r w:rsidRPr="00424274">
              <w:rPr>
                <w:rFonts w:ascii="Arial" w:hAnsi="Arial"/>
                <w:sz w:val="20"/>
                <w:lang w:eastAsia="sl-SI"/>
              </w:rPr>
              <w:t>220</w:t>
            </w:r>
          </w:p>
        </w:tc>
        <w:tc>
          <w:tcPr>
            <w:tcW w:w="1985" w:type="dxa"/>
            <w:vAlign w:val="center"/>
          </w:tcPr>
          <w:p w14:paraId="5B880987" w14:textId="77777777" w:rsidR="00BF3F4B" w:rsidRPr="00424274" w:rsidRDefault="00BF3F4B" w:rsidP="00BF3F4B">
            <w:pPr>
              <w:widowControl/>
              <w:jc w:val="center"/>
              <w:rPr>
                <w:rFonts w:ascii="Arial" w:hAnsi="Arial"/>
                <w:sz w:val="20"/>
                <w:lang w:eastAsia="sl-SI"/>
              </w:rPr>
            </w:pPr>
            <w:r w:rsidRPr="00424274">
              <w:rPr>
                <w:rFonts w:ascii="Arial" w:hAnsi="Arial"/>
                <w:sz w:val="20"/>
                <w:lang w:eastAsia="sl-SI"/>
              </w:rPr>
              <w:t>255</w:t>
            </w:r>
          </w:p>
        </w:tc>
      </w:tr>
      <w:tr w:rsidR="00BF3F4B" w:rsidRPr="00424274" w14:paraId="4780552B" w14:textId="77777777" w:rsidTr="00C67A40">
        <w:trPr>
          <w:trHeight w:val="330"/>
        </w:trPr>
        <w:tc>
          <w:tcPr>
            <w:tcW w:w="3080" w:type="dxa"/>
            <w:shd w:val="clear" w:color="auto" w:fill="99FF33"/>
            <w:noWrap/>
            <w:vAlign w:val="center"/>
          </w:tcPr>
          <w:p w14:paraId="62ECA148" w14:textId="77777777" w:rsidR="00BF3F4B" w:rsidRPr="00424274" w:rsidRDefault="00BF3F4B" w:rsidP="00BF3F4B">
            <w:pPr>
              <w:widowControl/>
              <w:jc w:val="left"/>
              <w:rPr>
                <w:rFonts w:ascii="Arial" w:hAnsi="Arial"/>
                <w:sz w:val="20"/>
                <w:lang w:eastAsia="sl-SI"/>
              </w:rPr>
            </w:pPr>
            <w:r w:rsidRPr="00424274">
              <w:rPr>
                <w:rFonts w:ascii="Arial" w:hAnsi="Arial"/>
                <w:sz w:val="20"/>
                <w:lang w:eastAsia="sl-SI"/>
              </w:rPr>
              <w:t>Št. tujih fizičnih oseb</w:t>
            </w:r>
          </w:p>
        </w:tc>
        <w:tc>
          <w:tcPr>
            <w:tcW w:w="1985" w:type="dxa"/>
            <w:vAlign w:val="center"/>
          </w:tcPr>
          <w:p w14:paraId="2AF4245E" w14:textId="77777777" w:rsidR="00BF3F4B" w:rsidRPr="00424274" w:rsidRDefault="00BF3F4B" w:rsidP="00BF3F4B">
            <w:pPr>
              <w:widowControl/>
              <w:jc w:val="center"/>
              <w:rPr>
                <w:rFonts w:ascii="Arial" w:hAnsi="Arial"/>
                <w:sz w:val="20"/>
                <w:lang w:eastAsia="sl-SI"/>
              </w:rPr>
            </w:pPr>
            <w:r w:rsidRPr="00424274">
              <w:rPr>
                <w:rFonts w:ascii="Arial" w:hAnsi="Arial"/>
                <w:sz w:val="20"/>
                <w:lang w:eastAsia="sl-SI"/>
              </w:rPr>
              <w:t>321</w:t>
            </w:r>
          </w:p>
        </w:tc>
        <w:tc>
          <w:tcPr>
            <w:tcW w:w="1985" w:type="dxa"/>
            <w:vAlign w:val="center"/>
          </w:tcPr>
          <w:p w14:paraId="7324027C" w14:textId="77777777" w:rsidR="00BF3F4B" w:rsidRPr="00424274" w:rsidRDefault="00BF3F4B" w:rsidP="00BF3F4B">
            <w:pPr>
              <w:widowControl/>
              <w:jc w:val="center"/>
              <w:rPr>
                <w:rFonts w:ascii="Arial" w:hAnsi="Arial"/>
                <w:sz w:val="20"/>
                <w:lang w:eastAsia="sl-SI"/>
              </w:rPr>
            </w:pPr>
            <w:r w:rsidRPr="00424274">
              <w:rPr>
                <w:rFonts w:ascii="Arial" w:hAnsi="Arial"/>
                <w:sz w:val="20"/>
                <w:lang w:eastAsia="sl-SI"/>
              </w:rPr>
              <w:t>410</w:t>
            </w:r>
          </w:p>
        </w:tc>
      </w:tr>
      <w:tr w:rsidR="00BF3F4B" w:rsidRPr="00424274" w14:paraId="3A32D881" w14:textId="77777777" w:rsidTr="00C67A40">
        <w:trPr>
          <w:trHeight w:val="330"/>
        </w:trPr>
        <w:tc>
          <w:tcPr>
            <w:tcW w:w="3080" w:type="dxa"/>
            <w:shd w:val="clear" w:color="auto" w:fill="99FF33"/>
            <w:noWrap/>
            <w:vAlign w:val="center"/>
          </w:tcPr>
          <w:p w14:paraId="215031DB" w14:textId="77777777" w:rsidR="00BF3F4B" w:rsidRPr="00424274" w:rsidRDefault="00BF3F4B" w:rsidP="00BF3F4B">
            <w:pPr>
              <w:widowControl/>
              <w:jc w:val="left"/>
              <w:rPr>
                <w:rFonts w:ascii="Arial" w:hAnsi="Arial"/>
                <w:sz w:val="20"/>
                <w:lang w:eastAsia="sl-SI"/>
              </w:rPr>
            </w:pPr>
            <w:r w:rsidRPr="00424274">
              <w:rPr>
                <w:rFonts w:ascii="Arial" w:hAnsi="Arial"/>
                <w:sz w:val="20"/>
                <w:lang w:eastAsia="sl-SI"/>
              </w:rPr>
              <w:t>Št. domačih pravnih oseb</w:t>
            </w:r>
          </w:p>
        </w:tc>
        <w:tc>
          <w:tcPr>
            <w:tcW w:w="1985" w:type="dxa"/>
            <w:vAlign w:val="center"/>
          </w:tcPr>
          <w:p w14:paraId="1C95733B" w14:textId="77777777" w:rsidR="00BF3F4B" w:rsidRPr="00424274" w:rsidRDefault="00BF3F4B" w:rsidP="00BF3F4B">
            <w:pPr>
              <w:widowControl/>
              <w:jc w:val="center"/>
              <w:rPr>
                <w:rFonts w:ascii="Arial" w:hAnsi="Arial"/>
                <w:sz w:val="20"/>
                <w:lang w:eastAsia="sl-SI"/>
              </w:rPr>
            </w:pPr>
            <w:r w:rsidRPr="00424274">
              <w:rPr>
                <w:rFonts w:ascii="Arial" w:hAnsi="Arial"/>
                <w:sz w:val="20"/>
                <w:lang w:eastAsia="sl-SI"/>
              </w:rPr>
              <w:t>260</w:t>
            </w:r>
          </w:p>
        </w:tc>
        <w:tc>
          <w:tcPr>
            <w:tcW w:w="1985" w:type="dxa"/>
            <w:vAlign w:val="center"/>
          </w:tcPr>
          <w:p w14:paraId="2C725BA7" w14:textId="77777777" w:rsidR="00BF3F4B" w:rsidRPr="00424274" w:rsidRDefault="00BF3F4B" w:rsidP="00BF3F4B">
            <w:pPr>
              <w:widowControl/>
              <w:jc w:val="center"/>
              <w:rPr>
                <w:rFonts w:ascii="Arial" w:hAnsi="Arial"/>
                <w:sz w:val="20"/>
                <w:lang w:eastAsia="sl-SI"/>
              </w:rPr>
            </w:pPr>
            <w:r w:rsidRPr="00424274">
              <w:rPr>
                <w:rFonts w:ascii="Arial" w:hAnsi="Arial"/>
                <w:sz w:val="20"/>
                <w:lang w:eastAsia="sl-SI"/>
              </w:rPr>
              <w:t>262</w:t>
            </w:r>
          </w:p>
        </w:tc>
      </w:tr>
      <w:tr w:rsidR="00BF3F4B" w:rsidRPr="00424274" w14:paraId="10A4DF8D" w14:textId="77777777" w:rsidTr="00C67A40">
        <w:trPr>
          <w:trHeight w:val="330"/>
        </w:trPr>
        <w:tc>
          <w:tcPr>
            <w:tcW w:w="3080" w:type="dxa"/>
            <w:shd w:val="clear" w:color="auto" w:fill="99FF33"/>
            <w:noWrap/>
            <w:vAlign w:val="center"/>
          </w:tcPr>
          <w:p w14:paraId="4BA8A79A" w14:textId="77777777" w:rsidR="00BF3F4B" w:rsidRPr="00424274" w:rsidRDefault="00BF3F4B" w:rsidP="00BF3F4B">
            <w:pPr>
              <w:widowControl/>
              <w:jc w:val="left"/>
              <w:rPr>
                <w:rFonts w:ascii="Arial" w:hAnsi="Arial"/>
                <w:sz w:val="20"/>
                <w:lang w:eastAsia="sl-SI"/>
              </w:rPr>
            </w:pPr>
            <w:r w:rsidRPr="00424274">
              <w:rPr>
                <w:rFonts w:ascii="Arial" w:hAnsi="Arial"/>
                <w:sz w:val="20"/>
                <w:lang w:eastAsia="sl-SI"/>
              </w:rPr>
              <w:t>Št. tujih pravnih oseb</w:t>
            </w:r>
          </w:p>
        </w:tc>
        <w:tc>
          <w:tcPr>
            <w:tcW w:w="1985" w:type="dxa"/>
            <w:vAlign w:val="center"/>
          </w:tcPr>
          <w:p w14:paraId="20329783" w14:textId="77777777" w:rsidR="00BF3F4B" w:rsidRPr="00424274" w:rsidRDefault="00BF3F4B" w:rsidP="00BF3F4B">
            <w:pPr>
              <w:widowControl/>
              <w:jc w:val="center"/>
              <w:rPr>
                <w:rFonts w:ascii="Arial" w:hAnsi="Arial"/>
                <w:sz w:val="20"/>
                <w:lang w:eastAsia="sl-SI"/>
              </w:rPr>
            </w:pPr>
            <w:r w:rsidRPr="00424274">
              <w:rPr>
                <w:rFonts w:ascii="Arial" w:hAnsi="Arial"/>
                <w:sz w:val="20"/>
                <w:lang w:eastAsia="sl-SI"/>
              </w:rPr>
              <w:t>208</w:t>
            </w:r>
          </w:p>
        </w:tc>
        <w:tc>
          <w:tcPr>
            <w:tcW w:w="1985" w:type="dxa"/>
            <w:vAlign w:val="center"/>
          </w:tcPr>
          <w:p w14:paraId="4FEB4AE4" w14:textId="77777777" w:rsidR="00BF3F4B" w:rsidRPr="00424274" w:rsidRDefault="00BF3F4B" w:rsidP="00BF3F4B">
            <w:pPr>
              <w:widowControl/>
              <w:jc w:val="center"/>
              <w:rPr>
                <w:rFonts w:ascii="Arial" w:hAnsi="Arial"/>
                <w:sz w:val="20"/>
                <w:lang w:eastAsia="sl-SI"/>
              </w:rPr>
            </w:pPr>
            <w:r w:rsidRPr="00424274">
              <w:rPr>
                <w:rFonts w:ascii="Arial" w:hAnsi="Arial"/>
                <w:sz w:val="20"/>
                <w:lang w:eastAsia="sl-SI"/>
              </w:rPr>
              <w:t>195</w:t>
            </w:r>
          </w:p>
        </w:tc>
      </w:tr>
      <w:tr w:rsidR="00BF3F4B" w:rsidRPr="00424274" w14:paraId="4CF38140" w14:textId="77777777" w:rsidTr="00C67A40">
        <w:trPr>
          <w:trHeight w:val="330"/>
        </w:trPr>
        <w:tc>
          <w:tcPr>
            <w:tcW w:w="3080" w:type="dxa"/>
            <w:shd w:val="clear" w:color="auto" w:fill="00CCFF"/>
            <w:noWrap/>
            <w:vAlign w:val="center"/>
          </w:tcPr>
          <w:p w14:paraId="2020EC15" w14:textId="77777777" w:rsidR="00BF3F4B" w:rsidRPr="00424274" w:rsidRDefault="00BF3F4B" w:rsidP="00BF3F4B">
            <w:pPr>
              <w:widowControl/>
              <w:jc w:val="left"/>
              <w:rPr>
                <w:rFonts w:ascii="Arial" w:hAnsi="Arial"/>
                <w:b/>
                <w:bCs/>
                <w:sz w:val="20"/>
                <w:lang w:eastAsia="sl-SI"/>
              </w:rPr>
            </w:pPr>
            <w:r w:rsidRPr="00424274">
              <w:rPr>
                <w:rFonts w:ascii="Arial" w:hAnsi="Arial"/>
                <w:b/>
                <w:bCs/>
                <w:sz w:val="20"/>
                <w:lang w:eastAsia="sl-SI"/>
              </w:rPr>
              <w:t>VALUTA</w:t>
            </w:r>
          </w:p>
        </w:tc>
        <w:tc>
          <w:tcPr>
            <w:tcW w:w="1985" w:type="dxa"/>
            <w:shd w:val="clear" w:color="auto" w:fill="00CCFF"/>
            <w:vAlign w:val="center"/>
          </w:tcPr>
          <w:p w14:paraId="2A0D9C86" w14:textId="77777777" w:rsidR="00BF3F4B" w:rsidRPr="00424274" w:rsidRDefault="00BF3F4B" w:rsidP="00BF3F4B">
            <w:pPr>
              <w:widowControl/>
              <w:jc w:val="center"/>
              <w:rPr>
                <w:rFonts w:ascii="Arial" w:hAnsi="Arial"/>
                <w:b/>
                <w:bCs/>
                <w:sz w:val="20"/>
                <w:lang w:eastAsia="sl-SI"/>
              </w:rPr>
            </w:pPr>
            <w:r w:rsidRPr="00424274">
              <w:rPr>
                <w:rFonts w:ascii="Arial" w:hAnsi="Arial"/>
                <w:b/>
                <w:bCs/>
                <w:sz w:val="20"/>
                <w:lang w:eastAsia="sl-SI"/>
              </w:rPr>
              <w:t>ZNESEK</w:t>
            </w:r>
          </w:p>
        </w:tc>
        <w:tc>
          <w:tcPr>
            <w:tcW w:w="1985" w:type="dxa"/>
            <w:shd w:val="clear" w:color="auto" w:fill="00CCFF"/>
            <w:vAlign w:val="center"/>
          </w:tcPr>
          <w:p w14:paraId="673A91AD" w14:textId="77777777" w:rsidR="00BF3F4B" w:rsidRPr="00424274" w:rsidRDefault="00BF3F4B" w:rsidP="00BF3F4B">
            <w:pPr>
              <w:widowControl/>
              <w:jc w:val="center"/>
              <w:rPr>
                <w:rFonts w:ascii="Arial" w:hAnsi="Arial"/>
                <w:b/>
                <w:bCs/>
                <w:sz w:val="20"/>
                <w:lang w:eastAsia="sl-SI"/>
              </w:rPr>
            </w:pPr>
            <w:r w:rsidRPr="00424274">
              <w:rPr>
                <w:rFonts w:ascii="Arial" w:hAnsi="Arial"/>
                <w:b/>
                <w:bCs/>
                <w:sz w:val="20"/>
                <w:lang w:eastAsia="sl-SI"/>
              </w:rPr>
              <w:t>ZNESEK</w:t>
            </w:r>
          </w:p>
        </w:tc>
      </w:tr>
      <w:tr w:rsidR="00BF3F4B" w:rsidRPr="00424274" w14:paraId="6459D72C" w14:textId="77777777" w:rsidTr="00C67A40">
        <w:trPr>
          <w:trHeight w:val="330"/>
        </w:trPr>
        <w:tc>
          <w:tcPr>
            <w:tcW w:w="3080" w:type="dxa"/>
            <w:shd w:val="clear" w:color="auto" w:fill="99FF33"/>
            <w:noWrap/>
            <w:vAlign w:val="center"/>
          </w:tcPr>
          <w:p w14:paraId="34B24134" w14:textId="77777777" w:rsidR="00BF3F4B" w:rsidRPr="00424274" w:rsidRDefault="00BF3F4B" w:rsidP="00BF3F4B">
            <w:pPr>
              <w:widowControl/>
              <w:jc w:val="left"/>
              <w:rPr>
                <w:rFonts w:ascii="Arial" w:hAnsi="Arial"/>
                <w:sz w:val="20"/>
                <w:lang w:eastAsia="sl-SI"/>
              </w:rPr>
            </w:pPr>
            <w:r w:rsidRPr="00424274">
              <w:rPr>
                <w:rFonts w:ascii="Arial" w:hAnsi="Arial"/>
                <w:sz w:val="20"/>
                <w:lang w:eastAsia="sl-SI"/>
              </w:rPr>
              <w:t>EUR</w:t>
            </w:r>
          </w:p>
        </w:tc>
        <w:tc>
          <w:tcPr>
            <w:tcW w:w="1985" w:type="dxa"/>
            <w:vAlign w:val="center"/>
          </w:tcPr>
          <w:p w14:paraId="357C3046" w14:textId="77777777" w:rsidR="00BF3F4B" w:rsidRPr="00424274" w:rsidRDefault="00BF3F4B" w:rsidP="00BF3F4B">
            <w:pPr>
              <w:widowControl/>
              <w:jc w:val="right"/>
              <w:rPr>
                <w:rFonts w:ascii="Arial" w:hAnsi="Arial"/>
                <w:sz w:val="20"/>
              </w:rPr>
            </w:pPr>
            <w:r w:rsidRPr="00424274">
              <w:rPr>
                <w:rFonts w:ascii="Arial" w:hAnsi="Arial"/>
                <w:sz w:val="20"/>
              </w:rPr>
              <w:t>505.244.914</w:t>
            </w:r>
          </w:p>
        </w:tc>
        <w:tc>
          <w:tcPr>
            <w:tcW w:w="1985" w:type="dxa"/>
            <w:vAlign w:val="center"/>
          </w:tcPr>
          <w:p w14:paraId="7854B2BC" w14:textId="77777777" w:rsidR="00BF3F4B" w:rsidRPr="00424274" w:rsidRDefault="00BF3F4B" w:rsidP="00BF3F4B">
            <w:pPr>
              <w:widowControl/>
              <w:jc w:val="right"/>
              <w:rPr>
                <w:rFonts w:ascii="Arial" w:hAnsi="Arial"/>
                <w:sz w:val="20"/>
              </w:rPr>
            </w:pPr>
            <w:r w:rsidRPr="00424274">
              <w:rPr>
                <w:rFonts w:ascii="Arial" w:hAnsi="Arial"/>
                <w:sz w:val="20"/>
              </w:rPr>
              <w:t>505.903.011</w:t>
            </w:r>
          </w:p>
        </w:tc>
      </w:tr>
      <w:tr w:rsidR="00BF3F4B" w:rsidRPr="00424274" w14:paraId="7EA17F84" w14:textId="77777777" w:rsidTr="00C67A40">
        <w:trPr>
          <w:trHeight w:val="330"/>
        </w:trPr>
        <w:tc>
          <w:tcPr>
            <w:tcW w:w="3080" w:type="dxa"/>
            <w:shd w:val="clear" w:color="auto" w:fill="99FF33"/>
            <w:noWrap/>
            <w:vAlign w:val="center"/>
          </w:tcPr>
          <w:p w14:paraId="65A09D02" w14:textId="77777777" w:rsidR="00BF3F4B" w:rsidRPr="00424274" w:rsidRDefault="00BF3F4B" w:rsidP="00BF3F4B">
            <w:pPr>
              <w:widowControl/>
              <w:jc w:val="left"/>
              <w:rPr>
                <w:rFonts w:ascii="Arial" w:hAnsi="Arial"/>
                <w:sz w:val="20"/>
                <w:lang w:eastAsia="sl-SI"/>
              </w:rPr>
            </w:pPr>
            <w:r w:rsidRPr="00424274">
              <w:rPr>
                <w:rFonts w:ascii="Arial" w:hAnsi="Arial"/>
                <w:sz w:val="20"/>
                <w:lang w:eastAsia="sl-SI"/>
              </w:rPr>
              <w:t>USD</w:t>
            </w:r>
          </w:p>
        </w:tc>
        <w:tc>
          <w:tcPr>
            <w:tcW w:w="1985" w:type="dxa"/>
            <w:vAlign w:val="center"/>
          </w:tcPr>
          <w:p w14:paraId="5DB43063" w14:textId="77777777" w:rsidR="00BF3F4B" w:rsidRPr="00424274" w:rsidRDefault="00BF3F4B" w:rsidP="00BF3F4B">
            <w:pPr>
              <w:widowControl/>
              <w:jc w:val="right"/>
              <w:rPr>
                <w:rFonts w:ascii="Arial" w:hAnsi="Arial"/>
                <w:sz w:val="20"/>
              </w:rPr>
            </w:pPr>
            <w:r w:rsidRPr="00424274">
              <w:rPr>
                <w:rFonts w:ascii="Arial" w:hAnsi="Arial"/>
                <w:sz w:val="20"/>
              </w:rPr>
              <w:t>448.589</w:t>
            </w:r>
          </w:p>
        </w:tc>
        <w:tc>
          <w:tcPr>
            <w:tcW w:w="1985" w:type="dxa"/>
            <w:vAlign w:val="center"/>
          </w:tcPr>
          <w:p w14:paraId="64B13DEC" w14:textId="77777777" w:rsidR="00BF3F4B" w:rsidRPr="00424274" w:rsidRDefault="00BF3F4B" w:rsidP="00BF3F4B">
            <w:pPr>
              <w:widowControl/>
              <w:jc w:val="right"/>
              <w:rPr>
                <w:rFonts w:ascii="Arial" w:hAnsi="Arial"/>
                <w:sz w:val="20"/>
              </w:rPr>
            </w:pPr>
            <w:r w:rsidRPr="00424274">
              <w:rPr>
                <w:rFonts w:ascii="Arial" w:hAnsi="Arial"/>
                <w:sz w:val="20"/>
              </w:rPr>
              <w:t>2.083.530</w:t>
            </w:r>
          </w:p>
        </w:tc>
      </w:tr>
    </w:tbl>
    <w:p w14:paraId="48DBE583" w14:textId="77777777" w:rsidR="00E959BF" w:rsidRPr="00424274" w:rsidRDefault="00E959BF" w:rsidP="00D21F86">
      <w:pPr>
        <w:pStyle w:val="Telobesedila2"/>
        <w:widowControl/>
        <w:snapToGrid w:val="0"/>
        <w:spacing w:line="276" w:lineRule="auto"/>
        <w:ind w:right="-22"/>
        <w:rPr>
          <w:rFonts w:ascii="Arial" w:hAnsi="Arial"/>
          <w:sz w:val="20"/>
        </w:rPr>
      </w:pPr>
    </w:p>
    <w:p w14:paraId="10192175" w14:textId="20FDCAA0" w:rsidR="00A576F4" w:rsidRPr="00424274" w:rsidRDefault="00A576F4" w:rsidP="00A576F4">
      <w:pPr>
        <w:widowControl/>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napToGrid w:val="0"/>
        <w:spacing w:line="276" w:lineRule="auto"/>
        <w:ind w:right="-22"/>
        <w:rPr>
          <w:rFonts w:ascii="Arial" w:hAnsi="Arial"/>
          <w:sz w:val="20"/>
        </w:rPr>
      </w:pPr>
      <w:r w:rsidRPr="00424274">
        <w:rPr>
          <w:rFonts w:ascii="Arial" w:hAnsi="Arial"/>
          <w:sz w:val="20"/>
        </w:rPr>
        <w:t xml:space="preserve">Iz podatkov v </w:t>
      </w:r>
      <w:r w:rsidR="00814A21">
        <w:rPr>
          <w:rFonts w:ascii="Arial" w:hAnsi="Arial"/>
          <w:sz w:val="20"/>
        </w:rPr>
        <w:t>preglednici</w:t>
      </w:r>
      <w:r w:rsidRPr="00424274">
        <w:rPr>
          <w:rFonts w:ascii="Arial" w:hAnsi="Arial"/>
          <w:sz w:val="20"/>
        </w:rPr>
        <w:t xml:space="preserve"> je razvidno, da smo v </w:t>
      </w:r>
      <w:r w:rsidR="00814A21">
        <w:rPr>
          <w:rFonts w:ascii="Arial" w:hAnsi="Arial"/>
          <w:sz w:val="20"/>
        </w:rPr>
        <w:t>urad</w:t>
      </w:r>
      <w:r w:rsidRPr="00424274">
        <w:rPr>
          <w:rFonts w:ascii="Arial" w:hAnsi="Arial"/>
          <w:sz w:val="20"/>
        </w:rPr>
        <w:t>u v obvestilih o sumljivih transakcijah zaradi razlogov za sum storitve kaznivega dejanja pranja denarja v letu 2020 obravnavali 517 domačih fizičnih in pravnih oseb ter kar 605 tujih fizičnih in pravnih oseb. Glede na prejšnje leto smo skupno obravnavali 11</w:t>
      </w:r>
      <w:r w:rsidR="00E544D8">
        <w:rPr>
          <w:rFonts w:ascii="Arial" w:hAnsi="Arial"/>
          <w:sz w:val="20"/>
        </w:rPr>
        <w:t> </w:t>
      </w:r>
      <w:r w:rsidRPr="00424274">
        <w:rPr>
          <w:rFonts w:ascii="Arial" w:hAnsi="Arial"/>
          <w:sz w:val="20"/>
        </w:rPr>
        <w:t>% več oseb, pri čemer se je povprečno število oseb na obvestilo zmanjšalo z 2,87 oseb</w:t>
      </w:r>
      <w:r w:rsidR="00E544D8">
        <w:rPr>
          <w:rFonts w:ascii="Arial" w:hAnsi="Arial"/>
          <w:sz w:val="20"/>
        </w:rPr>
        <w:t>e</w:t>
      </w:r>
      <w:r w:rsidRPr="00424274">
        <w:rPr>
          <w:rFonts w:ascii="Arial" w:hAnsi="Arial"/>
          <w:sz w:val="20"/>
        </w:rPr>
        <w:t xml:space="preserve"> na 2,49 oseb</w:t>
      </w:r>
      <w:r w:rsidR="00E544D8">
        <w:rPr>
          <w:rFonts w:ascii="Arial" w:hAnsi="Arial"/>
          <w:sz w:val="20"/>
        </w:rPr>
        <w:t>e</w:t>
      </w:r>
      <w:r w:rsidRPr="00424274">
        <w:rPr>
          <w:rFonts w:ascii="Arial" w:hAnsi="Arial"/>
          <w:sz w:val="20"/>
        </w:rPr>
        <w:t xml:space="preserve"> na obvestilo. Trend povečevanja obravnavanih tujih oseb, ki se je lani ustalil</w:t>
      </w:r>
      <w:r w:rsidR="00E544D8">
        <w:rPr>
          <w:rFonts w:ascii="Arial" w:hAnsi="Arial"/>
          <w:sz w:val="20"/>
        </w:rPr>
        <w:t>,</w:t>
      </w:r>
      <w:r w:rsidRPr="00424274">
        <w:rPr>
          <w:rFonts w:ascii="Arial" w:hAnsi="Arial"/>
          <w:sz w:val="20"/>
        </w:rPr>
        <w:t xml:space="preserve"> se je v letu 2020 </w:t>
      </w:r>
      <w:r w:rsidR="00E544D8">
        <w:rPr>
          <w:rFonts w:ascii="Arial" w:hAnsi="Arial"/>
          <w:sz w:val="20"/>
        </w:rPr>
        <w:t>spet</w:t>
      </w:r>
      <w:r w:rsidR="00E544D8" w:rsidRPr="00424274">
        <w:rPr>
          <w:rFonts w:ascii="Arial" w:hAnsi="Arial"/>
          <w:sz w:val="20"/>
        </w:rPr>
        <w:t xml:space="preserve"> </w:t>
      </w:r>
      <w:r w:rsidRPr="00424274">
        <w:rPr>
          <w:rFonts w:ascii="Arial" w:hAnsi="Arial"/>
          <w:sz w:val="20"/>
        </w:rPr>
        <w:t>malenkostno povečal z 52</w:t>
      </w:r>
      <w:r w:rsidR="00E544D8">
        <w:rPr>
          <w:rFonts w:ascii="Arial" w:hAnsi="Arial"/>
          <w:sz w:val="20"/>
        </w:rPr>
        <w:t> </w:t>
      </w:r>
      <w:r w:rsidRPr="00424274">
        <w:rPr>
          <w:rFonts w:ascii="Arial" w:hAnsi="Arial"/>
          <w:sz w:val="20"/>
        </w:rPr>
        <w:t>% na 54</w:t>
      </w:r>
      <w:r w:rsidR="00E544D8">
        <w:rPr>
          <w:rFonts w:ascii="Arial" w:hAnsi="Arial"/>
          <w:sz w:val="20"/>
        </w:rPr>
        <w:t> </w:t>
      </w:r>
      <w:r w:rsidRPr="00424274">
        <w:rPr>
          <w:rFonts w:ascii="Arial" w:hAnsi="Arial"/>
          <w:sz w:val="20"/>
        </w:rPr>
        <w:t xml:space="preserve">%. Med tujimi osebami podobno kot prejšnje leto prevladujejo osebe iz Italije, ki </w:t>
      </w:r>
      <w:r w:rsidR="00E544D8">
        <w:rPr>
          <w:rFonts w:ascii="Arial" w:hAnsi="Arial"/>
          <w:sz w:val="20"/>
        </w:rPr>
        <w:t>zajemajo</w:t>
      </w:r>
      <w:r w:rsidR="00E544D8" w:rsidRPr="00424274">
        <w:rPr>
          <w:rFonts w:ascii="Arial" w:hAnsi="Arial"/>
          <w:sz w:val="20"/>
        </w:rPr>
        <w:t xml:space="preserve"> </w:t>
      </w:r>
      <w:r w:rsidRPr="00424274">
        <w:rPr>
          <w:rFonts w:ascii="Arial" w:hAnsi="Arial"/>
          <w:sz w:val="20"/>
        </w:rPr>
        <w:t>kar 31</w:t>
      </w:r>
      <w:r w:rsidR="00E544D8">
        <w:rPr>
          <w:rFonts w:ascii="Arial" w:hAnsi="Arial"/>
          <w:sz w:val="20"/>
        </w:rPr>
        <w:t>-</w:t>
      </w:r>
      <w:r w:rsidRPr="00424274">
        <w:rPr>
          <w:rFonts w:ascii="Arial" w:hAnsi="Arial"/>
          <w:sz w:val="20"/>
        </w:rPr>
        <w:t xml:space="preserve">% delež vseh tujcev, medtem ko osebe iz Hrvaške, Bosne in Hercegovine, Srbije ter Rusije skupaj </w:t>
      </w:r>
      <w:r w:rsidR="00E544D8">
        <w:rPr>
          <w:rFonts w:ascii="Arial" w:hAnsi="Arial"/>
          <w:sz w:val="20"/>
        </w:rPr>
        <w:t>obsegajo</w:t>
      </w:r>
      <w:r w:rsidR="00E544D8" w:rsidRPr="00424274">
        <w:rPr>
          <w:rFonts w:ascii="Arial" w:hAnsi="Arial"/>
          <w:sz w:val="20"/>
        </w:rPr>
        <w:t xml:space="preserve"> </w:t>
      </w:r>
      <w:r w:rsidRPr="00424274">
        <w:rPr>
          <w:rFonts w:ascii="Arial" w:hAnsi="Arial"/>
          <w:sz w:val="20"/>
        </w:rPr>
        <w:t>15</w:t>
      </w:r>
      <w:r w:rsidR="00E544D8">
        <w:rPr>
          <w:rFonts w:ascii="Arial" w:hAnsi="Arial"/>
          <w:sz w:val="20"/>
        </w:rPr>
        <w:t>-</w:t>
      </w:r>
      <w:r w:rsidRPr="00424274">
        <w:rPr>
          <w:rFonts w:ascii="Arial" w:hAnsi="Arial"/>
          <w:sz w:val="20"/>
        </w:rPr>
        <w:t>% delež vseh obravnavanih tujcev.</w:t>
      </w:r>
    </w:p>
    <w:p w14:paraId="2F254FAF" w14:textId="77777777" w:rsidR="00A576F4" w:rsidRPr="00424274" w:rsidRDefault="00A576F4" w:rsidP="00A576F4">
      <w:pPr>
        <w:widowControl/>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napToGrid w:val="0"/>
        <w:spacing w:line="276" w:lineRule="auto"/>
        <w:ind w:right="-22"/>
        <w:rPr>
          <w:rFonts w:ascii="Arial" w:hAnsi="Arial"/>
          <w:sz w:val="20"/>
        </w:rPr>
      </w:pPr>
    </w:p>
    <w:p w14:paraId="456EBFAB" w14:textId="1F34A031" w:rsidR="00A576F4" w:rsidRPr="00424274" w:rsidRDefault="00A576F4" w:rsidP="00743A51">
      <w:pPr>
        <w:spacing w:line="276" w:lineRule="auto"/>
        <w:rPr>
          <w:rFonts w:ascii="Arial" w:hAnsi="Arial"/>
          <w:sz w:val="20"/>
        </w:rPr>
      </w:pPr>
      <w:r w:rsidRPr="00424274">
        <w:rPr>
          <w:rFonts w:ascii="Arial" w:hAnsi="Arial"/>
          <w:sz w:val="20"/>
        </w:rPr>
        <w:t>Znesek denarja, za katerega smo ugotovili razloge za sum storitve kaznivega dejanja, je v letu 2020 glede na prejšnje leto ostal enak</w:t>
      </w:r>
      <w:r w:rsidR="00E544D8">
        <w:rPr>
          <w:rFonts w:ascii="Arial" w:hAnsi="Arial"/>
          <w:sz w:val="20"/>
        </w:rPr>
        <w:t>,</w:t>
      </w:r>
      <w:r w:rsidRPr="00424274">
        <w:rPr>
          <w:rFonts w:ascii="Arial" w:hAnsi="Arial"/>
          <w:sz w:val="20"/>
        </w:rPr>
        <w:t xml:space="preserve"> medtem ko se je znesek v valuti ameriški dolar povečal za </w:t>
      </w:r>
      <w:r w:rsidR="00E544D8">
        <w:rPr>
          <w:rFonts w:ascii="Arial" w:hAnsi="Arial"/>
          <w:sz w:val="20"/>
        </w:rPr>
        <w:t>pet</w:t>
      </w:r>
      <w:r w:rsidRPr="00424274">
        <w:rPr>
          <w:rFonts w:ascii="Arial" w:hAnsi="Arial"/>
          <w:sz w:val="20"/>
        </w:rPr>
        <w:t xml:space="preserve">krat, kar pa bistveno ne vpliva na celoten znesek obravnavanih sredstev, saj večino sredstev predstavljajo evri. Povprečno obravnavani znesek na zadevo se je znižal na okoli </w:t>
      </w:r>
      <w:r w:rsidRPr="00424274">
        <w:rPr>
          <w:rFonts w:ascii="Arial" w:hAnsi="Arial"/>
          <w:bCs/>
          <w:color w:val="000000"/>
          <w:sz w:val="20"/>
          <w:lang w:eastAsia="sl-SI"/>
        </w:rPr>
        <w:t xml:space="preserve">1.155.000 EUR </w:t>
      </w:r>
      <w:r w:rsidRPr="00424274">
        <w:rPr>
          <w:rFonts w:ascii="Arial" w:hAnsi="Arial"/>
          <w:sz w:val="20"/>
        </w:rPr>
        <w:t>na zadevo, kar pomeni 15</w:t>
      </w:r>
      <w:r w:rsidR="00E544D8">
        <w:rPr>
          <w:rFonts w:ascii="Arial" w:hAnsi="Arial"/>
          <w:sz w:val="20"/>
        </w:rPr>
        <w:t>-</w:t>
      </w:r>
      <w:r w:rsidRPr="00424274">
        <w:rPr>
          <w:rFonts w:ascii="Arial" w:hAnsi="Arial"/>
          <w:sz w:val="20"/>
        </w:rPr>
        <w:t>% znižanje glede na prejšnje leto, kar pa je še vedno 37,5</w:t>
      </w:r>
      <w:r w:rsidR="00E544D8">
        <w:rPr>
          <w:rFonts w:ascii="Arial" w:hAnsi="Arial"/>
          <w:sz w:val="20"/>
        </w:rPr>
        <w:t> </w:t>
      </w:r>
      <w:r w:rsidRPr="00424274">
        <w:rPr>
          <w:rFonts w:ascii="Arial" w:hAnsi="Arial"/>
          <w:sz w:val="20"/>
        </w:rPr>
        <w:t>% več</w:t>
      </w:r>
      <w:r w:rsidR="00E544D8">
        <w:rPr>
          <w:rFonts w:ascii="Arial" w:hAnsi="Arial"/>
          <w:sz w:val="20"/>
        </w:rPr>
        <w:t>,</w:t>
      </w:r>
      <w:r w:rsidRPr="00424274">
        <w:rPr>
          <w:rFonts w:ascii="Arial" w:hAnsi="Arial"/>
          <w:sz w:val="20"/>
        </w:rPr>
        <w:t xml:space="preserve"> kot je znašalo povprečje v obdobju 2014</w:t>
      </w:r>
      <w:r w:rsidR="00E544D8">
        <w:rPr>
          <w:rFonts w:ascii="Arial" w:hAnsi="Arial"/>
          <w:sz w:val="20"/>
        </w:rPr>
        <w:t>–</w:t>
      </w:r>
      <w:r w:rsidRPr="00424274">
        <w:rPr>
          <w:rFonts w:ascii="Arial" w:hAnsi="Arial"/>
          <w:sz w:val="20"/>
        </w:rPr>
        <w:t>2018.</w:t>
      </w:r>
    </w:p>
    <w:p w14:paraId="44BBEDD2" w14:textId="40F23BFC" w:rsidR="00A576F4" w:rsidRPr="00424274" w:rsidRDefault="00A576F4" w:rsidP="00A576F4">
      <w:pPr>
        <w:spacing w:line="276" w:lineRule="auto"/>
        <w:rPr>
          <w:rFonts w:ascii="Arial" w:hAnsi="Arial"/>
          <w:sz w:val="20"/>
          <w:highlight w:val="yellow"/>
        </w:rPr>
      </w:pPr>
    </w:p>
    <w:p w14:paraId="789F5DF0" w14:textId="7B5678B8" w:rsidR="00A576F4" w:rsidRPr="00424274" w:rsidRDefault="00A576F4" w:rsidP="00AE6653">
      <w:pPr>
        <w:spacing w:line="276" w:lineRule="auto"/>
        <w:rPr>
          <w:rFonts w:ascii="Arial" w:hAnsi="Arial"/>
          <w:color w:val="000000"/>
          <w:sz w:val="20"/>
          <w:lang w:eastAsia="sl-SI"/>
        </w:rPr>
      </w:pPr>
      <w:r w:rsidRPr="00424274">
        <w:rPr>
          <w:rFonts w:ascii="Arial" w:hAnsi="Arial"/>
          <w:sz w:val="20"/>
        </w:rPr>
        <w:t>Urad v okviru pooblastil, ki jih ima pri odkrivanju razlogov za sum storitve kaznivega dejanja pranja denarja</w:t>
      </w:r>
      <w:r w:rsidR="00E544D8">
        <w:rPr>
          <w:rFonts w:ascii="Arial" w:hAnsi="Arial"/>
          <w:sz w:val="20"/>
        </w:rPr>
        <w:t>,</w:t>
      </w:r>
      <w:r w:rsidRPr="00424274">
        <w:rPr>
          <w:rFonts w:ascii="Arial" w:hAnsi="Arial"/>
          <w:sz w:val="20"/>
        </w:rPr>
        <w:t xml:space="preserve"> ne more zagotovo ugotoviti, iz katerega predhodnega kaznivega dejanja ta sredstva izvirajo. Urad tako v 75 podanih pisnih obvestilih ni navajal predhodnega kaznivega dejanja, pri </w:t>
      </w:r>
      <w:r w:rsidR="00814A21">
        <w:rPr>
          <w:rFonts w:ascii="Arial" w:hAnsi="Arial"/>
          <w:sz w:val="20"/>
        </w:rPr>
        <w:t>pre</w:t>
      </w:r>
      <w:r w:rsidRPr="00424274">
        <w:rPr>
          <w:rFonts w:ascii="Arial" w:hAnsi="Arial"/>
          <w:sz w:val="20"/>
        </w:rPr>
        <w:t>ostalih pa smo glede na zbrane podatke o okoliščinah izvedbe transakcij ocenili, katero predhodno kaznivo dejanje je bilo najverjetneje storjeno. Med predhodnimi kaznivimi dejanji, iz katerih najverjetneje izvira umazan</w:t>
      </w:r>
      <w:r w:rsidR="00E544D8">
        <w:rPr>
          <w:rFonts w:ascii="Arial" w:hAnsi="Arial"/>
          <w:sz w:val="20"/>
        </w:rPr>
        <w:t>i</w:t>
      </w:r>
      <w:r w:rsidRPr="00424274">
        <w:rPr>
          <w:rFonts w:ascii="Arial" w:hAnsi="Arial"/>
          <w:sz w:val="20"/>
        </w:rPr>
        <w:t xml:space="preserve"> denar, smo v letu 2020 v 76 primerih ugotovili sume storitve kaznivega dejanja goljufije po 211. členu KZ-1, v 10 primerih sume storitve davčne zatajitve po 249. členu KZ-1,</w:t>
      </w:r>
      <w:r w:rsidR="00ED07DC" w:rsidRPr="00424274">
        <w:rPr>
          <w:rFonts w:ascii="Arial" w:hAnsi="Arial"/>
          <w:sz w:val="20"/>
        </w:rPr>
        <w:t xml:space="preserve"> </w:t>
      </w:r>
      <w:r w:rsidRPr="00424274">
        <w:rPr>
          <w:rFonts w:ascii="Arial" w:hAnsi="Arial"/>
          <w:sz w:val="20"/>
        </w:rPr>
        <w:t xml:space="preserve">v </w:t>
      </w:r>
      <w:r w:rsidR="004F25CB">
        <w:rPr>
          <w:rFonts w:ascii="Arial" w:hAnsi="Arial"/>
          <w:sz w:val="20"/>
        </w:rPr>
        <w:t>osmih</w:t>
      </w:r>
      <w:r w:rsidRPr="00424274">
        <w:rPr>
          <w:rFonts w:ascii="Arial" w:hAnsi="Arial"/>
          <w:sz w:val="20"/>
        </w:rPr>
        <w:t xml:space="preserve"> primerih sume neupravičene proizvodnje in prometa s prepovedanimi drogami, nedovoljenimi snovmi v športu in predhodnimi sestavinami za izdelavo prepovedanih drog po 186. členu KZ-1, v </w:t>
      </w:r>
      <w:r w:rsidR="00E544D8">
        <w:rPr>
          <w:rFonts w:ascii="Arial" w:hAnsi="Arial"/>
          <w:sz w:val="20"/>
        </w:rPr>
        <w:t>sedmih</w:t>
      </w:r>
      <w:r w:rsidRPr="00424274">
        <w:rPr>
          <w:rFonts w:ascii="Arial" w:hAnsi="Arial"/>
          <w:sz w:val="20"/>
        </w:rPr>
        <w:t xml:space="preserve"> primerih sume z</w:t>
      </w:r>
      <w:r w:rsidRPr="00424274">
        <w:rPr>
          <w:rFonts w:ascii="Arial" w:hAnsi="Arial"/>
          <w:color w:val="000000"/>
          <w:sz w:val="20"/>
          <w:lang w:eastAsia="sl-SI"/>
        </w:rPr>
        <w:t>lorab</w:t>
      </w:r>
      <w:r w:rsidR="00E544D8">
        <w:rPr>
          <w:rFonts w:ascii="Arial" w:hAnsi="Arial"/>
          <w:color w:val="000000"/>
          <w:sz w:val="20"/>
          <w:lang w:eastAsia="sl-SI"/>
        </w:rPr>
        <w:t>e</w:t>
      </w:r>
      <w:r w:rsidRPr="00424274">
        <w:rPr>
          <w:rFonts w:ascii="Arial" w:hAnsi="Arial"/>
          <w:color w:val="000000"/>
          <w:sz w:val="20"/>
          <w:lang w:eastAsia="sl-SI"/>
        </w:rPr>
        <w:t xml:space="preserve"> prostitucije po 175. členu KZ-1, </w:t>
      </w:r>
      <w:r w:rsidRPr="00424274">
        <w:rPr>
          <w:rFonts w:ascii="Arial" w:hAnsi="Arial"/>
          <w:sz w:val="20"/>
        </w:rPr>
        <w:t xml:space="preserve">v </w:t>
      </w:r>
      <w:r w:rsidR="00E544D8">
        <w:rPr>
          <w:rFonts w:ascii="Arial" w:hAnsi="Arial"/>
          <w:sz w:val="20"/>
        </w:rPr>
        <w:t>treh</w:t>
      </w:r>
      <w:r w:rsidRPr="00424274">
        <w:rPr>
          <w:rFonts w:ascii="Arial" w:hAnsi="Arial"/>
          <w:sz w:val="20"/>
        </w:rPr>
        <w:t xml:space="preserve"> primerih sume storitve kaznivega dejanja zlorabe položaja ali zaupanja pri gospodarski dejavnosti po 240. členu KZ-1, v </w:t>
      </w:r>
      <w:r w:rsidR="00E544D8">
        <w:rPr>
          <w:rFonts w:ascii="Arial" w:hAnsi="Arial"/>
          <w:sz w:val="20"/>
        </w:rPr>
        <w:t>treh</w:t>
      </w:r>
      <w:r w:rsidRPr="00424274">
        <w:rPr>
          <w:rFonts w:ascii="Arial" w:hAnsi="Arial"/>
          <w:sz w:val="20"/>
        </w:rPr>
        <w:t xml:space="preserve"> primerih sume storitve kaznivega dejanja poslovne goljufije po 228. členu KZ-1 in v posameznih primerih sume storitve kaznivega dejanja oškodovanj</w:t>
      </w:r>
      <w:r w:rsidR="00E544D8">
        <w:rPr>
          <w:rFonts w:ascii="Arial" w:hAnsi="Arial"/>
          <w:sz w:val="20"/>
        </w:rPr>
        <w:t>a</w:t>
      </w:r>
      <w:r w:rsidRPr="00424274">
        <w:rPr>
          <w:rFonts w:ascii="Arial" w:hAnsi="Arial"/>
          <w:sz w:val="20"/>
        </w:rPr>
        <w:t xml:space="preserve"> javnih sredstev po 257a. členu KZ-1, </w:t>
      </w:r>
      <w:r w:rsidRPr="00424274">
        <w:rPr>
          <w:rFonts w:ascii="Arial" w:hAnsi="Arial"/>
          <w:color w:val="000000"/>
          <w:sz w:val="20"/>
          <w:lang w:eastAsia="sl-SI"/>
        </w:rPr>
        <w:t>prepovedanega prehajanja meje ali ozemlja države po 308. členu KZ-1, nedovoljene proizvodnje in prometa orožja ali eksploziva po 307. člen</w:t>
      </w:r>
      <w:r w:rsidR="00E544D8">
        <w:rPr>
          <w:rFonts w:ascii="Arial" w:hAnsi="Arial"/>
          <w:color w:val="000000"/>
          <w:sz w:val="20"/>
          <w:lang w:eastAsia="sl-SI"/>
        </w:rPr>
        <w:t>u</w:t>
      </w:r>
      <w:r w:rsidRPr="00424274">
        <w:rPr>
          <w:rFonts w:ascii="Arial" w:hAnsi="Arial"/>
          <w:color w:val="000000"/>
          <w:sz w:val="20"/>
          <w:lang w:eastAsia="sl-SI"/>
        </w:rPr>
        <w:t xml:space="preserve"> KZ-1, nedovoljen</w:t>
      </w:r>
      <w:r w:rsidR="00E544D8">
        <w:rPr>
          <w:rFonts w:ascii="Arial" w:hAnsi="Arial"/>
          <w:color w:val="000000"/>
          <w:sz w:val="20"/>
          <w:lang w:eastAsia="sl-SI"/>
        </w:rPr>
        <w:t>ega</w:t>
      </w:r>
      <w:r w:rsidRPr="00424274">
        <w:rPr>
          <w:rFonts w:ascii="Arial" w:hAnsi="Arial"/>
          <w:color w:val="000000"/>
          <w:sz w:val="20"/>
          <w:lang w:eastAsia="sl-SI"/>
        </w:rPr>
        <w:t xml:space="preserve"> dajanj</w:t>
      </w:r>
      <w:r w:rsidR="00E544D8">
        <w:rPr>
          <w:rFonts w:ascii="Arial" w:hAnsi="Arial"/>
          <w:color w:val="000000"/>
          <w:sz w:val="20"/>
          <w:lang w:eastAsia="sl-SI"/>
        </w:rPr>
        <w:t>a</w:t>
      </w:r>
      <w:r w:rsidRPr="00424274">
        <w:rPr>
          <w:rFonts w:ascii="Arial" w:hAnsi="Arial"/>
          <w:color w:val="000000"/>
          <w:sz w:val="20"/>
          <w:lang w:eastAsia="sl-SI"/>
        </w:rPr>
        <w:t xml:space="preserve"> daril po 242. členu KZ-1, tatvine po 204. členu KZ-</w:t>
      </w:r>
      <w:bookmarkStart w:id="54" w:name="_Toc21590828"/>
      <w:r w:rsidRPr="00424274">
        <w:rPr>
          <w:rFonts w:ascii="Arial" w:hAnsi="Arial"/>
          <w:color w:val="000000"/>
          <w:sz w:val="20"/>
          <w:lang w:eastAsia="sl-SI"/>
        </w:rPr>
        <w:t xml:space="preserve">1, zlorabe notranje informacije po 243. člen KZ-1, </w:t>
      </w:r>
      <w:proofErr w:type="spellStart"/>
      <w:r w:rsidRPr="00424274">
        <w:rPr>
          <w:rFonts w:ascii="Arial" w:hAnsi="Arial"/>
          <w:color w:val="000000"/>
          <w:sz w:val="20"/>
          <w:lang w:eastAsia="sl-SI"/>
        </w:rPr>
        <w:t>izneverjanja</w:t>
      </w:r>
      <w:proofErr w:type="spellEnd"/>
      <w:r w:rsidRPr="00424274">
        <w:rPr>
          <w:rFonts w:ascii="Arial" w:hAnsi="Arial"/>
          <w:color w:val="000000"/>
          <w:sz w:val="20"/>
          <w:lang w:eastAsia="sl-SI"/>
        </w:rPr>
        <w:t xml:space="preserve"> po 215. členu KZ-1, trgovine z ljudmi po 113. členu KZ-1, jemanj</w:t>
      </w:r>
      <w:r w:rsidR="00E544D8">
        <w:rPr>
          <w:rFonts w:ascii="Arial" w:hAnsi="Arial"/>
          <w:color w:val="000000"/>
          <w:sz w:val="20"/>
          <w:lang w:eastAsia="sl-SI"/>
        </w:rPr>
        <w:t>a</w:t>
      </w:r>
      <w:r w:rsidRPr="00424274">
        <w:rPr>
          <w:rFonts w:ascii="Arial" w:hAnsi="Arial"/>
          <w:color w:val="000000"/>
          <w:sz w:val="20"/>
          <w:lang w:eastAsia="sl-SI"/>
        </w:rPr>
        <w:t xml:space="preserve"> podkupnine po 261. člen KZ-1 ter goljufije na škodo Evropsk</w:t>
      </w:r>
      <w:r w:rsidR="00E544D8">
        <w:rPr>
          <w:rFonts w:ascii="Arial" w:hAnsi="Arial"/>
          <w:color w:val="000000"/>
          <w:sz w:val="20"/>
          <w:lang w:eastAsia="sl-SI"/>
        </w:rPr>
        <w:t>e</w:t>
      </w:r>
      <w:r w:rsidRPr="00424274">
        <w:rPr>
          <w:rFonts w:ascii="Arial" w:hAnsi="Arial"/>
          <w:color w:val="000000"/>
          <w:sz w:val="20"/>
          <w:lang w:eastAsia="sl-SI"/>
        </w:rPr>
        <w:t xml:space="preserve"> </w:t>
      </w:r>
      <w:r w:rsidR="00E544D8" w:rsidRPr="006A03CE">
        <w:rPr>
          <w:rFonts w:ascii="Arial" w:hAnsi="Arial"/>
          <w:color w:val="000000"/>
          <w:sz w:val="20"/>
          <w:lang w:eastAsia="sl-SI"/>
        </w:rPr>
        <w:t>unije</w:t>
      </w:r>
      <w:r w:rsidRPr="00424274">
        <w:rPr>
          <w:rFonts w:ascii="Arial" w:hAnsi="Arial"/>
          <w:color w:val="000000"/>
          <w:sz w:val="20"/>
          <w:lang w:eastAsia="sl-SI"/>
        </w:rPr>
        <w:t xml:space="preserve"> 229. člen KZ-1.</w:t>
      </w:r>
    </w:p>
    <w:p w14:paraId="14E3B96D" w14:textId="77777777" w:rsidR="00A576F4" w:rsidRPr="00424274" w:rsidRDefault="00A576F4" w:rsidP="00A576F4">
      <w:pPr>
        <w:rPr>
          <w:rFonts w:ascii="Arial" w:hAnsi="Arial"/>
          <w:sz w:val="20"/>
        </w:rPr>
      </w:pPr>
    </w:p>
    <w:p w14:paraId="7F4D3A2C" w14:textId="2625FEF9" w:rsidR="00A576F4" w:rsidRPr="00424274" w:rsidRDefault="00A576F4" w:rsidP="00984925">
      <w:pPr>
        <w:spacing w:line="276" w:lineRule="auto"/>
        <w:rPr>
          <w:rFonts w:ascii="Arial" w:hAnsi="Arial"/>
          <w:sz w:val="20"/>
        </w:rPr>
      </w:pPr>
      <w:r w:rsidRPr="00424274">
        <w:rPr>
          <w:rFonts w:ascii="Arial" w:hAnsi="Arial"/>
          <w:sz w:val="20"/>
        </w:rPr>
        <w:t>V kar 161 primerih smo glede na zbrane podatke ocenili, da sredstva najverjetneje izvirajo iz predhodnih kaznivih dejanj</w:t>
      </w:r>
      <w:r w:rsidR="00E544D8">
        <w:rPr>
          <w:rFonts w:ascii="Arial" w:hAnsi="Arial"/>
          <w:sz w:val="20"/>
        </w:rPr>
        <w:t>,</w:t>
      </w:r>
      <w:r w:rsidRPr="00424274">
        <w:rPr>
          <w:rFonts w:ascii="Arial" w:hAnsi="Arial"/>
          <w:sz w:val="20"/>
        </w:rPr>
        <w:t xml:space="preserve"> storjenih v tujini, pri čemer je šlo v 46 primerih za ugotovitve, da sredstva najverjetneje izvirajo iz kaznivih dejanj</w:t>
      </w:r>
      <w:r w:rsidR="00E544D8">
        <w:rPr>
          <w:rFonts w:ascii="Arial" w:hAnsi="Arial"/>
          <w:sz w:val="20"/>
        </w:rPr>
        <w:t>,</w:t>
      </w:r>
      <w:r w:rsidRPr="00424274">
        <w:rPr>
          <w:rFonts w:ascii="Arial" w:hAnsi="Arial"/>
          <w:sz w:val="20"/>
        </w:rPr>
        <w:t xml:space="preserve"> storjenih v Italiji.</w:t>
      </w:r>
    </w:p>
    <w:p w14:paraId="76BE329B" w14:textId="22696F28" w:rsidR="00607A18" w:rsidRPr="00424274" w:rsidRDefault="00607A18" w:rsidP="00984925">
      <w:pPr>
        <w:spacing w:line="276" w:lineRule="auto"/>
        <w:rPr>
          <w:rFonts w:ascii="Arial" w:hAnsi="Arial"/>
          <w:sz w:val="20"/>
        </w:rPr>
      </w:pPr>
    </w:p>
    <w:p w14:paraId="41DA27EC" w14:textId="2CE8E321" w:rsidR="00607A18" w:rsidRPr="00424274" w:rsidRDefault="00607A18" w:rsidP="00A576F4">
      <w:pPr>
        <w:rPr>
          <w:rFonts w:ascii="Arial" w:hAnsi="Arial"/>
          <w:b/>
          <w:bCs/>
          <w:i/>
          <w:iCs/>
          <w:sz w:val="20"/>
          <w:u w:val="single"/>
        </w:rPr>
      </w:pPr>
    </w:p>
    <w:p w14:paraId="7D5E3D48" w14:textId="3C5AD70A" w:rsidR="00607A18" w:rsidRPr="00424274" w:rsidRDefault="00607A18" w:rsidP="00A576F4">
      <w:pPr>
        <w:rPr>
          <w:rFonts w:ascii="Arial" w:hAnsi="Arial"/>
          <w:b/>
          <w:bCs/>
          <w:i/>
          <w:iCs/>
          <w:sz w:val="20"/>
          <w:u w:val="single"/>
        </w:rPr>
      </w:pPr>
    </w:p>
    <w:p w14:paraId="03F880C4" w14:textId="4DA46B4B" w:rsidR="00607A18" w:rsidRPr="00424274" w:rsidRDefault="00607A18" w:rsidP="00A576F4">
      <w:pPr>
        <w:rPr>
          <w:rFonts w:ascii="Arial" w:hAnsi="Arial"/>
          <w:b/>
          <w:bCs/>
          <w:i/>
          <w:iCs/>
          <w:sz w:val="20"/>
          <w:u w:val="single"/>
        </w:rPr>
      </w:pPr>
    </w:p>
    <w:p w14:paraId="37B4ECDF" w14:textId="77777777" w:rsidR="00607A18" w:rsidRPr="00424274" w:rsidRDefault="00607A18" w:rsidP="00A576F4">
      <w:pPr>
        <w:rPr>
          <w:rFonts w:ascii="Arial" w:hAnsi="Arial"/>
          <w:b/>
          <w:bCs/>
          <w:i/>
          <w:iCs/>
          <w:sz w:val="20"/>
          <w:u w:val="single"/>
        </w:rPr>
      </w:pPr>
    </w:p>
    <w:bookmarkEnd w:id="54"/>
    <w:p w14:paraId="5DD0A0BB" w14:textId="77777777" w:rsidR="009426E5" w:rsidRPr="00424274" w:rsidRDefault="009426E5" w:rsidP="00D90EEA">
      <w:pPr>
        <w:spacing w:line="276" w:lineRule="auto"/>
        <w:rPr>
          <w:rFonts w:ascii="Arial" w:hAnsi="Arial"/>
          <w:b/>
          <w:bCs/>
          <w:i/>
          <w:iCs/>
          <w:sz w:val="20"/>
          <w:u w:val="single"/>
        </w:rPr>
      </w:pPr>
    </w:p>
    <w:p w14:paraId="27B30F36" w14:textId="33B69DDB" w:rsidR="00851C49" w:rsidRPr="00424274" w:rsidRDefault="00292A8B" w:rsidP="006D5A5A">
      <w:pPr>
        <w:pStyle w:val="Naslov3"/>
      </w:pPr>
      <w:bookmarkStart w:id="55" w:name="_Toc262605338"/>
      <w:bookmarkStart w:id="56" w:name="_Toc113535458"/>
      <w:r w:rsidRPr="00424274">
        <w:t xml:space="preserve">3.1.4 </w:t>
      </w:r>
      <w:r w:rsidR="00851C49" w:rsidRPr="00424274">
        <w:t xml:space="preserve">Zadeve, </w:t>
      </w:r>
      <w:r w:rsidR="00361F5F">
        <w:t>poslane</w:t>
      </w:r>
      <w:r w:rsidR="00851C49" w:rsidRPr="00424274">
        <w:t xml:space="preserve"> UKP MNZ in/ali državnemu tožilstvu zaradi suma storitve kaznivega dejanja financiranja terorizma po 109</w:t>
      </w:r>
      <w:r w:rsidR="000B2536" w:rsidRPr="00424274">
        <w:t>.</w:t>
      </w:r>
      <w:r w:rsidR="00851C49" w:rsidRPr="00424274">
        <w:t xml:space="preserve"> </w:t>
      </w:r>
      <w:r w:rsidR="000B2536" w:rsidRPr="00424274">
        <w:t xml:space="preserve">členu </w:t>
      </w:r>
      <w:r w:rsidR="00851C49" w:rsidRPr="00424274">
        <w:t>KZ-1</w:t>
      </w:r>
      <w:bookmarkEnd w:id="55"/>
      <w:bookmarkEnd w:id="56"/>
    </w:p>
    <w:p w14:paraId="1B5B45F7" w14:textId="77777777" w:rsidR="00851C49" w:rsidRPr="00424274" w:rsidRDefault="00851C49" w:rsidP="00D21F86">
      <w:pPr>
        <w:pStyle w:val="Telobesedila-zamik"/>
        <w:tabs>
          <w:tab w:val="left" w:pos="9391"/>
          <w:tab w:val="left" w:pos="10111"/>
          <w:tab w:val="left" w:pos="10831"/>
          <w:tab w:val="left" w:pos="11551"/>
        </w:tabs>
        <w:spacing w:line="276" w:lineRule="auto"/>
        <w:ind w:left="0" w:right="-22"/>
        <w:rPr>
          <w:rFonts w:ascii="Arial" w:hAnsi="Arial"/>
          <w:bCs/>
          <w:sz w:val="20"/>
        </w:rPr>
      </w:pPr>
    </w:p>
    <w:p w14:paraId="566D9D69" w14:textId="10E560BD" w:rsidR="0054041C" w:rsidRPr="00424274" w:rsidRDefault="0054041C" w:rsidP="0054041C">
      <w:pPr>
        <w:widowControl/>
        <w:spacing w:line="276" w:lineRule="auto"/>
        <w:ind w:right="-22"/>
        <w:rPr>
          <w:rFonts w:ascii="Arial" w:hAnsi="Arial"/>
          <w:sz w:val="20"/>
        </w:rPr>
      </w:pPr>
      <w:r w:rsidRPr="00424274">
        <w:rPr>
          <w:rFonts w:ascii="Arial" w:hAnsi="Arial"/>
          <w:sz w:val="20"/>
        </w:rPr>
        <w:t xml:space="preserve">Urad je v letu 2020 prejel tudi 53 prijav, v katerih so prijavitelji ugotovili transakcije, ki bi lahko bile povezane s financiranjem terorizma. Skoraj vse te prijave je </w:t>
      </w:r>
      <w:r w:rsidR="00814A21">
        <w:rPr>
          <w:rFonts w:ascii="Arial" w:hAnsi="Arial"/>
          <w:sz w:val="20"/>
        </w:rPr>
        <w:t>urad</w:t>
      </w:r>
      <w:r w:rsidRPr="00424274">
        <w:rPr>
          <w:rFonts w:ascii="Arial" w:hAnsi="Arial"/>
          <w:sz w:val="20"/>
        </w:rPr>
        <w:t xml:space="preserve"> prejel od zavezancev, medtem ko je eno prijavo </w:t>
      </w:r>
      <w:r w:rsidR="00E544D8">
        <w:rPr>
          <w:rFonts w:ascii="Arial" w:hAnsi="Arial"/>
          <w:sz w:val="20"/>
        </w:rPr>
        <w:t>poslala</w:t>
      </w:r>
      <w:r w:rsidR="00E544D8" w:rsidRPr="00424274">
        <w:rPr>
          <w:rFonts w:ascii="Arial" w:hAnsi="Arial"/>
          <w:sz w:val="20"/>
        </w:rPr>
        <w:t xml:space="preserve"> </w:t>
      </w:r>
      <w:r w:rsidRPr="00424274">
        <w:rPr>
          <w:rFonts w:ascii="Arial" w:hAnsi="Arial"/>
          <w:sz w:val="20"/>
        </w:rPr>
        <w:t xml:space="preserve">SOVA, eno pa je odprl </w:t>
      </w:r>
      <w:r w:rsidR="00814A21">
        <w:rPr>
          <w:rFonts w:ascii="Arial" w:hAnsi="Arial"/>
          <w:sz w:val="20"/>
        </w:rPr>
        <w:t>urad</w:t>
      </w:r>
      <w:r w:rsidRPr="00424274">
        <w:rPr>
          <w:rFonts w:ascii="Arial" w:hAnsi="Arial"/>
          <w:sz w:val="20"/>
        </w:rPr>
        <w:t xml:space="preserve"> na podlagi drugih podatkov.</w:t>
      </w:r>
    </w:p>
    <w:p w14:paraId="463CAEF1" w14:textId="77777777" w:rsidR="0054041C" w:rsidRPr="00424274" w:rsidRDefault="0054041C" w:rsidP="0054041C">
      <w:pPr>
        <w:widowControl/>
        <w:spacing w:line="276" w:lineRule="auto"/>
        <w:ind w:right="-22"/>
        <w:rPr>
          <w:rFonts w:ascii="Arial" w:hAnsi="Arial"/>
          <w:sz w:val="20"/>
          <w:highlight w:val="yellow"/>
        </w:rPr>
      </w:pPr>
    </w:p>
    <w:p w14:paraId="21103FAD" w14:textId="4ABCF80B" w:rsidR="0054041C" w:rsidRPr="00424274" w:rsidRDefault="0054041C" w:rsidP="0054041C">
      <w:pPr>
        <w:widowControl/>
        <w:spacing w:line="276" w:lineRule="auto"/>
        <w:ind w:right="-22"/>
        <w:rPr>
          <w:rFonts w:ascii="Arial" w:hAnsi="Arial"/>
          <w:bCs/>
          <w:iCs/>
          <w:color w:val="FF0000"/>
          <w:sz w:val="20"/>
        </w:rPr>
      </w:pPr>
      <w:r w:rsidRPr="00424274">
        <w:rPr>
          <w:rFonts w:ascii="Arial" w:hAnsi="Arial"/>
          <w:bCs/>
          <w:iCs/>
          <w:sz w:val="20"/>
        </w:rPr>
        <w:t xml:space="preserve">V letu 2020 smo pri analiziranju 12 zadev ugotovili razloge za sum storitve kaznivega dejanja financiranja terorizma po 109. členu KZ-1 in jih v obliki 11 obvestil </w:t>
      </w:r>
      <w:r w:rsidR="00E544D8">
        <w:rPr>
          <w:rFonts w:ascii="Arial" w:hAnsi="Arial"/>
          <w:bCs/>
          <w:iCs/>
          <w:sz w:val="20"/>
        </w:rPr>
        <w:t>poslali</w:t>
      </w:r>
      <w:r w:rsidR="00E544D8" w:rsidRPr="00424274">
        <w:rPr>
          <w:rFonts w:ascii="Arial" w:hAnsi="Arial"/>
          <w:bCs/>
          <w:iCs/>
          <w:sz w:val="20"/>
        </w:rPr>
        <w:t xml:space="preserve"> </w:t>
      </w:r>
      <w:r w:rsidRPr="00424274">
        <w:rPr>
          <w:rFonts w:ascii="Arial" w:hAnsi="Arial"/>
          <w:bCs/>
          <w:iCs/>
          <w:sz w:val="20"/>
        </w:rPr>
        <w:t>pristojnim organom. V teh obvestilih smo obravnavali 39 oseb, od katerih je bilo 16 tujih.</w:t>
      </w:r>
    </w:p>
    <w:p w14:paraId="72C5FE09" w14:textId="77777777" w:rsidR="00FF52E2" w:rsidRPr="00424274" w:rsidRDefault="00FF52E2" w:rsidP="00D21F86">
      <w:pPr>
        <w:pStyle w:val="Telobesedila"/>
        <w:spacing w:line="276" w:lineRule="auto"/>
        <w:ind w:right="-22"/>
        <w:rPr>
          <w:rFonts w:ascii="Arial" w:hAnsi="Arial"/>
          <w:sz w:val="20"/>
        </w:rPr>
      </w:pPr>
    </w:p>
    <w:p w14:paraId="59D85F15" w14:textId="50E6F139" w:rsidR="008004EA" w:rsidRPr="00424274" w:rsidRDefault="00814A21" w:rsidP="008004EA">
      <w:pPr>
        <w:spacing w:line="276" w:lineRule="auto"/>
        <w:ind w:left="993" w:hanging="993"/>
        <w:rPr>
          <w:rFonts w:ascii="Arial" w:hAnsi="Arial"/>
          <w:b/>
          <w:bCs/>
          <w:i/>
          <w:iCs/>
          <w:sz w:val="20"/>
        </w:rPr>
      </w:pPr>
      <w:r>
        <w:rPr>
          <w:rFonts w:ascii="Arial" w:hAnsi="Arial"/>
          <w:b/>
          <w:bCs/>
          <w:i/>
          <w:iCs/>
          <w:sz w:val="20"/>
        </w:rPr>
        <w:t>Preglednica</w:t>
      </w:r>
      <w:r w:rsidR="008004EA" w:rsidRPr="00424274">
        <w:rPr>
          <w:rFonts w:ascii="Arial" w:hAnsi="Arial"/>
          <w:b/>
          <w:bCs/>
          <w:i/>
          <w:iCs/>
          <w:sz w:val="20"/>
        </w:rPr>
        <w:t xml:space="preserve"> 7: </w:t>
      </w:r>
      <w:r w:rsidR="008004EA" w:rsidRPr="00424274">
        <w:rPr>
          <w:rFonts w:ascii="Arial" w:hAnsi="Arial"/>
          <w:b/>
          <w:bCs/>
          <w:i/>
          <w:iCs/>
          <w:sz w:val="20"/>
        </w:rPr>
        <w:tab/>
        <w:t xml:space="preserve">Struktura udeleženih oseb v zadevah, ki so bile leta 2019 in 2020 </w:t>
      </w:r>
      <w:r w:rsidR="00361F5F">
        <w:rPr>
          <w:rFonts w:ascii="Arial" w:hAnsi="Arial"/>
          <w:b/>
          <w:bCs/>
          <w:i/>
          <w:iCs/>
          <w:sz w:val="20"/>
        </w:rPr>
        <w:t>poslane</w:t>
      </w:r>
      <w:r w:rsidR="008004EA" w:rsidRPr="00424274">
        <w:rPr>
          <w:rFonts w:ascii="Arial" w:hAnsi="Arial"/>
          <w:b/>
          <w:bCs/>
          <w:i/>
          <w:iCs/>
          <w:sz w:val="20"/>
        </w:rPr>
        <w:t xml:space="preserve"> UKP MNZ in/ali državnemu tožilstvu zaradi razlogov za sum financiranja terorizma</w:t>
      </w:r>
    </w:p>
    <w:p w14:paraId="0D46CC60" w14:textId="701B2E87" w:rsidR="006078B5" w:rsidRPr="00424274" w:rsidRDefault="006078B5" w:rsidP="008004EA">
      <w:pPr>
        <w:spacing w:line="276" w:lineRule="auto"/>
        <w:ind w:left="993" w:hanging="993"/>
        <w:rPr>
          <w:rFonts w:ascii="Arial" w:hAnsi="Arial"/>
          <w:b/>
          <w:bCs/>
          <w:i/>
          <w:iCs/>
          <w:sz w:val="20"/>
        </w:rPr>
      </w:pPr>
    </w:p>
    <w:tbl>
      <w:tblPr>
        <w:tblW w:w="59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80"/>
        <w:gridCol w:w="1420"/>
        <w:gridCol w:w="1420"/>
      </w:tblGrid>
      <w:tr w:rsidR="00F2168F" w:rsidRPr="00424274" w14:paraId="6BB1A2A4" w14:textId="77777777" w:rsidTr="00C67A40">
        <w:trPr>
          <w:trHeight w:val="345"/>
        </w:trPr>
        <w:tc>
          <w:tcPr>
            <w:tcW w:w="3080" w:type="dxa"/>
            <w:shd w:val="clear" w:color="auto" w:fill="00CCFF"/>
            <w:noWrap/>
            <w:vAlign w:val="center"/>
          </w:tcPr>
          <w:p w14:paraId="159BE274" w14:textId="77777777" w:rsidR="00F2168F" w:rsidRPr="00424274" w:rsidRDefault="00F2168F" w:rsidP="00F2168F">
            <w:pPr>
              <w:widowControl/>
              <w:jc w:val="left"/>
              <w:rPr>
                <w:rFonts w:ascii="Arial" w:hAnsi="Arial"/>
                <w:b/>
                <w:bCs/>
                <w:sz w:val="20"/>
                <w:lang w:eastAsia="sl-SI"/>
              </w:rPr>
            </w:pPr>
            <w:r w:rsidRPr="00424274">
              <w:rPr>
                <w:rFonts w:ascii="Arial" w:hAnsi="Arial"/>
                <w:b/>
                <w:bCs/>
                <w:sz w:val="20"/>
                <w:lang w:eastAsia="sl-SI"/>
              </w:rPr>
              <w:t>VRSTA PODATKA</w:t>
            </w:r>
          </w:p>
        </w:tc>
        <w:tc>
          <w:tcPr>
            <w:tcW w:w="1420" w:type="dxa"/>
            <w:shd w:val="clear" w:color="auto" w:fill="00CCFF"/>
            <w:vAlign w:val="center"/>
          </w:tcPr>
          <w:p w14:paraId="184B492B" w14:textId="77777777" w:rsidR="00F2168F" w:rsidRPr="00424274" w:rsidRDefault="00F2168F" w:rsidP="00F2168F">
            <w:pPr>
              <w:widowControl/>
              <w:jc w:val="center"/>
              <w:rPr>
                <w:rFonts w:ascii="Arial" w:hAnsi="Arial"/>
                <w:b/>
                <w:bCs/>
                <w:sz w:val="20"/>
                <w:lang w:eastAsia="sl-SI"/>
              </w:rPr>
            </w:pPr>
            <w:r w:rsidRPr="00424274">
              <w:rPr>
                <w:rFonts w:ascii="Arial" w:hAnsi="Arial"/>
                <w:b/>
                <w:bCs/>
                <w:sz w:val="20"/>
                <w:lang w:eastAsia="sl-SI"/>
              </w:rPr>
              <w:t>2019</w:t>
            </w:r>
          </w:p>
        </w:tc>
        <w:tc>
          <w:tcPr>
            <w:tcW w:w="1420" w:type="dxa"/>
            <w:shd w:val="clear" w:color="auto" w:fill="00CCFF"/>
            <w:vAlign w:val="center"/>
          </w:tcPr>
          <w:p w14:paraId="1B42C5F9" w14:textId="77777777" w:rsidR="00F2168F" w:rsidRPr="00424274" w:rsidRDefault="00F2168F" w:rsidP="00F2168F">
            <w:pPr>
              <w:widowControl/>
              <w:jc w:val="center"/>
              <w:rPr>
                <w:rFonts w:ascii="Arial" w:hAnsi="Arial"/>
                <w:b/>
                <w:bCs/>
                <w:sz w:val="20"/>
                <w:lang w:eastAsia="sl-SI"/>
              </w:rPr>
            </w:pPr>
            <w:r w:rsidRPr="00424274">
              <w:rPr>
                <w:rFonts w:ascii="Arial" w:hAnsi="Arial"/>
                <w:b/>
                <w:bCs/>
                <w:sz w:val="20"/>
                <w:lang w:eastAsia="sl-SI"/>
              </w:rPr>
              <w:t>2020</w:t>
            </w:r>
          </w:p>
        </w:tc>
      </w:tr>
      <w:tr w:rsidR="00F2168F" w:rsidRPr="00424274" w14:paraId="27DB6D3D" w14:textId="77777777" w:rsidTr="00C67A40">
        <w:trPr>
          <w:trHeight w:val="345"/>
        </w:trPr>
        <w:tc>
          <w:tcPr>
            <w:tcW w:w="3080" w:type="dxa"/>
            <w:shd w:val="clear" w:color="auto" w:fill="99FF33"/>
            <w:noWrap/>
            <w:vAlign w:val="center"/>
          </w:tcPr>
          <w:p w14:paraId="18B96ED5" w14:textId="77777777" w:rsidR="00F2168F" w:rsidRPr="00424274" w:rsidRDefault="00F2168F" w:rsidP="00F2168F">
            <w:pPr>
              <w:widowControl/>
              <w:jc w:val="left"/>
              <w:rPr>
                <w:rFonts w:ascii="Arial" w:hAnsi="Arial"/>
                <w:sz w:val="20"/>
                <w:lang w:eastAsia="sl-SI"/>
              </w:rPr>
            </w:pPr>
            <w:r w:rsidRPr="00424274">
              <w:rPr>
                <w:rFonts w:ascii="Arial" w:hAnsi="Arial"/>
                <w:sz w:val="20"/>
                <w:lang w:eastAsia="sl-SI"/>
              </w:rPr>
              <w:t>Št. domačih fizičnih oseb</w:t>
            </w:r>
          </w:p>
        </w:tc>
        <w:tc>
          <w:tcPr>
            <w:tcW w:w="1420" w:type="dxa"/>
            <w:vAlign w:val="center"/>
          </w:tcPr>
          <w:p w14:paraId="1CDDA198" w14:textId="77777777" w:rsidR="00F2168F" w:rsidRPr="00424274" w:rsidRDefault="00F2168F" w:rsidP="00F2168F">
            <w:pPr>
              <w:widowControl/>
              <w:jc w:val="center"/>
              <w:rPr>
                <w:rFonts w:ascii="Arial" w:hAnsi="Arial"/>
                <w:sz w:val="20"/>
                <w:lang w:eastAsia="sl-SI"/>
              </w:rPr>
            </w:pPr>
            <w:r w:rsidRPr="00424274">
              <w:rPr>
                <w:rFonts w:ascii="Arial" w:hAnsi="Arial"/>
                <w:sz w:val="20"/>
                <w:lang w:eastAsia="sl-SI"/>
              </w:rPr>
              <w:t>24</w:t>
            </w:r>
          </w:p>
        </w:tc>
        <w:tc>
          <w:tcPr>
            <w:tcW w:w="1420" w:type="dxa"/>
            <w:vAlign w:val="center"/>
          </w:tcPr>
          <w:p w14:paraId="7D8D113E" w14:textId="77777777" w:rsidR="00F2168F" w:rsidRPr="00424274" w:rsidRDefault="00F2168F" w:rsidP="00F2168F">
            <w:pPr>
              <w:widowControl/>
              <w:jc w:val="center"/>
              <w:rPr>
                <w:rFonts w:ascii="Arial" w:hAnsi="Arial"/>
                <w:sz w:val="20"/>
                <w:lang w:eastAsia="sl-SI"/>
              </w:rPr>
            </w:pPr>
            <w:r w:rsidRPr="00424274">
              <w:rPr>
                <w:rFonts w:ascii="Arial" w:hAnsi="Arial"/>
                <w:sz w:val="20"/>
                <w:lang w:eastAsia="sl-SI"/>
              </w:rPr>
              <w:t>15</w:t>
            </w:r>
          </w:p>
        </w:tc>
      </w:tr>
      <w:tr w:rsidR="00F2168F" w:rsidRPr="00424274" w14:paraId="1F436C18" w14:textId="77777777" w:rsidTr="00C67A40">
        <w:trPr>
          <w:trHeight w:val="330"/>
        </w:trPr>
        <w:tc>
          <w:tcPr>
            <w:tcW w:w="3080" w:type="dxa"/>
            <w:shd w:val="clear" w:color="auto" w:fill="99FF33"/>
            <w:noWrap/>
            <w:vAlign w:val="center"/>
          </w:tcPr>
          <w:p w14:paraId="27FA7E6D" w14:textId="77777777" w:rsidR="00F2168F" w:rsidRPr="00424274" w:rsidRDefault="00F2168F" w:rsidP="00F2168F">
            <w:pPr>
              <w:widowControl/>
              <w:jc w:val="left"/>
              <w:rPr>
                <w:rFonts w:ascii="Arial" w:hAnsi="Arial"/>
                <w:sz w:val="20"/>
                <w:lang w:eastAsia="sl-SI"/>
              </w:rPr>
            </w:pPr>
            <w:r w:rsidRPr="00424274">
              <w:rPr>
                <w:rFonts w:ascii="Arial" w:hAnsi="Arial"/>
                <w:sz w:val="20"/>
                <w:lang w:eastAsia="sl-SI"/>
              </w:rPr>
              <w:t>Št. tujih fizičnih oseb</w:t>
            </w:r>
          </w:p>
        </w:tc>
        <w:tc>
          <w:tcPr>
            <w:tcW w:w="1420" w:type="dxa"/>
            <w:vAlign w:val="center"/>
          </w:tcPr>
          <w:p w14:paraId="4FD0D717" w14:textId="77777777" w:rsidR="00F2168F" w:rsidRPr="00424274" w:rsidRDefault="00F2168F" w:rsidP="00F2168F">
            <w:pPr>
              <w:widowControl/>
              <w:jc w:val="center"/>
              <w:rPr>
                <w:rFonts w:ascii="Arial" w:hAnsi="Arial"/>
                <w:sz w:val="20"/>
                <w:lang w:eastAsia="sl-SI"/>
              </w:rPr>
            </w:pPr>
            <w:r w:rsidRPr="00424274">
              <w:rPr>
                <w:rFonts w:ascii="Arial" w:hAnsi="Arial"/>
                <w:sz w:val="20"/>
                <w:lang w:eastAsia="sl-SI"/>
              </w:rPr>
              <w:t>26</w:t>
            </w:r>
          </w:p>
        </w:tc>
        <w:tc>
          <w:tcPr>
            <w:tcW w:w="1420" w:type="dxa"/>
            <w:vAlign w:val="center"/>
          </w:tcPr>
          <w:p w14:paraId="19D86FBD" w14:textId="77777777" w:rsidR="00F2168F" w:rsidRPr="00424274" w:rsidRDefault="00F2168F" w:rsidP="00F2168F">
            <w:pPr>
              <w:widowControl/>
              <w:jc w:val="center"/>
              <w:rPr>
                <w:rFonts w:ascii="Arial" w:hAnsi="Arial"/>
                <w:sz w:val="20"/>
                <w:lang w:eastAsia="sl-SI"/>
              </w:rPr>
            </w:pPr>
            <w:r w:rsidRPr="00424274">
              <w:rPr>
                <w:rFonts w:ascii="Arial" w:hAnsi="Arial"/>
                <w:sz w:val="20"/>
                <w:lang w:eastAsia="sl-SI"/>
              </w:rPr>
              <w:t>11</w:t>
            </w:r>
          </w:p>
        </w:tc>
      </w:tr>
      <w:tr w:rsidR="00F2168F" w:rsidRPr="00424274" w14:paraId="4A07C15E" w14:textId="77777777" w:rsidTr="00C67A40">
        <w:trPr>
          <w:trHeight w:val="330"/>
        </w:trPr>
        <w:tc>
          <w:tcPr>
            <w:tcW w:w="3080" w:type="dxa"/>
            <w:shd w:val="clear" w:color="auto" w:fill="99FF33"/>
            <w:noWrap/>
            <w:vAlign w:val="center"/>
          </w:tcPr>
          <w:p w14:paraId="7896A4AA" w14:textId="77777777" w:rsidR="00F2168F" w:rsidRPr="00424274" w:rsidRDefault="00F2168F" w:rsidP="00F2168F">
            <w:pPr>
              <w:widowControl/>
              <w:jc w:val="left"/>
              <w:rPr>
                <w:rFonts w:ascii="Arial" w:hAnsi="Arial"/>
                <w:sz w:val="20"/>
                <w:lang w:eastAsia="sl-SI"/>
              </w:rPr>
            </w:pPr>
            <w:r w:rsidRPr="00424274">
              <w:rPr>
                <w:rFonts w:ascii="Arial" w:hAnsi="Arial"/>
                <w:sz w:val="20"/>
                <w:lang w:eastAsia="sl-SI"/>
              </w:rPr>
              <w:t>Št. domačih pravnih oseb</w:t>
            </w:r>
          </w:p>
        </w:tc>
        <w:tc>
          <w:tcPr>
            <w:tcW w:w="1420" w:type="dxa"/>
            <w:vAlign w:val="center"/>
          </w:tcPr>
          <w:p w14:paraId="463806B1" w14:textId="77777777" w:rsidR="00F2168F" w:rsidRPr="00424274" w:rsidRDefault="00F2168F" w:rsidP="00F2168F">
            <w:pPr>
              <w:widowControl/>
              <w:jc w:val="center"/>
              <w:rPr>
                <w:rFonts w:ascii="Arial" w:hAnsi="Arial"/>
                <w:sz w:val="20"/>
                <w:lang w:eastAsia="sl-SI"/>
              </w:rPr>
            </w:pPr>
            <w:r w:rsidRPr="00424274">
              <w:rPr>
                <w:rFonts w:ascii="Arial" w:hAnsi="Arial"/>
                <w:sz w:val="20"/>
                <w:lang w:eastAsia="sl-SI"/>
              </w:rPr>
              <w:t>4</w:t>
            </w:r>
          </w:p>
        </w:tc>
        <w:tc>
          <w:tcPr>
            <w:tcW w:w="1420" w:type="dxa"/>
            <w:vAlign w:val="center"/>
          </w:tcPr>
          <w:p w14:paraId="6E6594BB" w14:textId="77777777" w:rsidR="00F2168F" w:rsidRPr="00424274" w:rsidRDefault="00F2168F" w:rsidP="00F2168F">
            <w:pPr>
              <w:widowControl/>
              <w:jc w:val="center"/>
              <w:rPr>
                <w:rFonts w:ascii="Arial" w:hAnsi="Arial"/>
                <w:sz w:val="20"/>
                <w:lang w:eastAsia="sl-SI"/>
              </w:rPr>
            </w:pPr>
            <w:r w:rsidRPr="00424274">
              <w:rPr>
                <w:rFonts w:ascii="Arial" w:hAnsi="Arial"/>
                <w:sz w:val="20"/>
                <w:lang w:eastAsia="sl-SI"/>
              </w:rPr>
              <w:t>8</w:t>
            </w:r>
          </w:p>
        </w:tc>
      </w:tr>
      <w:tr w:rsidR="00F2168F" w:rsidRPr="00424274" w14:paraId="4FFA9C81" w14:textId="77777777" w:rsidTr="00C67A40">
        <w:trPr>
          <w:trHeight w:val="330"/>
        </w:trPr>
        <w:tc>
          <w:tcPr>
            <w:tcW w:w="3080" w:type="dxa"/>
            <w:shd w:val="clear" w:color="auto" w:fill="99FF33"/>
            <w:noWrap/>
            <w:vAlign w:val="center"/>
          </w:tcPr>
          <w:p w14:paraId="269221AB" w14:textId="77777777" w:rsidR="00F2168F" w:rsidRPr="00424274" w:rsidRDefault="00F2168F" w:rsidP="00F2168F">
            <w:pPr>
              <w:widowControl/>
              <w:jc w:val="left"/>
              <w:rPr>
                <w:rFonts w:ascii="Arial" w:hAnsi="Arial"/>
                <w:sz w:val="20"/>
                <w:lang w:eastAsia="sl-SI"/>
              </w:rPr>
            </w:pPr>
            <w:r w:rsidRPr="00424274">
              <w:rPr>
                <w:rFonts w:ascii="Arial" w:hAnsi="Arial"/>
                <w:sz w:val="20"/>
                <w:lang w:eastAsia="sl-SI"/>
              </w:rPr>
              <w:t>Št. tujih pravnih oseb</w:t>
            </w:r>
          </w:p>
        </w:tc>
        <w:tc>
          <w:tcPr>
            <w:tcW w:w="1420" w:type="dxa"/>
            <w:vAlign w:val="center"/>
          </w:tcPr>
          <w:p w14:paraId="4F2273E3" w14:textId="77777777" w:rsidR="00F2168F" w:rsidRPr="00424274" w:rsidRDefault="00F2168F" w:rsidP="00F2168F">
            <w:pPr>
              <w:widowControl/>
              <w:jc w:val="center"/>
              <w:rPr>
                <w:rFonts w:ascii="Arial" w:hAnsi="Arial"/>
                <w:sz w:val="20"/>
                <w:lang w:eastAsia="sl-SI"/>
              </w:rPr>
            </w:pPr>
            <w:r w:rsidRPr="00424274">
              <w:rPr>
                <w:rFonts w:ascii="Arial" w:hAnsi="Arial"/>
                <w:sz w:val="20"/>
                <w:lang w:eastAsia="sl-SI"/>
              </w:rPr>
              <w:t>0</w:t>
            </w:r>
          </w:p>
        </w:tc>
        <w:tc>
          <w:tcPr>
            <w:tcW w:w="1420" w:type="dxa"/>
            <w:vAlign w:val="center"/>
          </w:tcPr>
          <w:p w14:paraId="77C4B257" w14:textId="77777777" w:rsidR="00F2168F" w:rsidRPr="00424274" w:rsidRDefault="00F2168F" w:rsidP="00F2168F">
            <w:pPr>
              <w:widowControl/>
              <w:jc w:val="center"/>
              <w:rPr>
                <w:rFonts w:ascii="Arial" w:hAnsi="Arial"/>
                <w:sz w:val="20"/>
                <w:lang w:eastAsia="sl-SI"/>
              </w:rPr>
            </w:pPr>
            <w:r w:rsidRPr="00424274">
              <w:rPr>
                <w:rFonts w:ascii="Arial" w:hAnsi="Arial"/>
                <w:sz w:val="20"/>
                <w:lang w:eastAsia="sl-SI"/>
              </w:rPr>
              <w:t>5</w:t>
            </w:r>
          </w:p>
        </w:tc>
      </w:tr>
      <w:tr w:rsidR="00F2168F" w:rsidRPr="00424274" w14:paraId="0653C004" w14:textId="77777777" w:rsidTr="00C67A40">
        <w:trPr>
          <w:trHeight w:val="330"/>
        </w:trPr>
        <w:tc>
          <w:tcPr>
            <w:tcW w:w="3080" w:type="dxa"/>
            <w:shd w:val="clear" w:color="auto" w:fill="00CCFF"/>
            <w:noWrap/>
            <w:vAlign w:val="center"/>
          </w:tcPr>
          <w:p w14:paraId="5C52E617" w14:textId="77777777" w:rsidR="00F2168F" w:rsidRPr="00424274" w:rsidRDefault="00F2168F" w:rsidP="00F2168F">
            <w:pPr>
              <w:widowControl/>
              <w:jc w:val="left"/>
              <w:rPr>
                <w:rFonts w:ascii="Arial" w:hAnsi="Arial"/>
                <w:b/>
                <w:bCs/>
                <w:sz w:val="20"/>
                <w:lang w:eastAsia="sl-SI"/>
              </w:rPr>
            </w:pPr>
            <w:r w:rsidRPr="00424274">
              <w:rPr>
                <w:rFonts w:ascii="Arial" w:hAnsi="Arial"/>
                <w:b/>
                <w:bCs/>
                <w:sz w:val="20"/>
                <w:lang w:eastAsia="sl-SI"/>
              </w:rPr>
              <w:t>VALUTA</w:t>
            </w:r>
          </w:p>
        </w:tc>
        <w:tc>
          <w:tcPr>
            <w:tcW w:w="1420" w:type="dxa"/>
            <w:shd w:val="clear" w:color="auto" w:fill="00CCFF"/>
            <w:vAlign w:val="center"/>
          </w:tcPr>
          <w:p w14:paraId="7351E967" w14:textId="77777777" w:rsidR="00F2168F" w:rsidRPr="00424274" w:rsidRDefault="00F2168F" w:rsidP="00F2168F">
            <w:pPr>
              <w:widowControl/>
              <w:jc w:val="center"/>
              <w:rPr>
                <w:rFonts w:ascii="Arial" w:hAnsi="Arial"/>
                <w:b/>
                <w:bCs/>
                <w:sz w:val="20"/>
                <w:lang w:eastAsia="sl-SI"/>
              </w:rPr>
            </w:pPr>
            <w:r w:rsidRPr="00424274">
              <w:rPr>
                <w:rFonts w:ascii="Arial" w:hAnsi="Arial"/>
                <w:b/>
                <w:bCs/>
                <w:sz w:val="20"/>
                <w:lang w:eastAsia="sl-SI"/>
              </w:rPr>
              <w:t>ZNESEK</w:t>
            </w:r>
          </w:p>
        </w:tc>
        <w:tc>
          <w:tcPr>
            <w:tcW w:w="1420" w:type="dxa"/>
            <w:shd w:val="clear" w:color="auto" w:fill="00CCFF"/>
            <w:vAlign w:val="center"/>
          </w:tcPr>
          <w:p w14:paraId="28740796" w14:textId="77777777" w:rsidR="00F2168F" w:rsidRPr="00424274" w:rsidRDefault="00F2168F" w:rsidP="00F2168F">
            <w:pPr>
              <w:widowControl/>
              <w:jc w:val="center"/>
              <w:rPr>
                <w:rFonts w:ascii="Arial" w:hAnsi="Arial"/>
                <w:b/>
                <w:bCs/>
                <w:sz w:val="20"/>
                <w:lang w:eastAsia="sl-SI"/>
              </w:rPr>
            </w:pPr>
            <w:r w:rsidRPr="00424274">
              <w:rPr>
                <w:rFonts w:ascii="Arial" w:hAnsi="Arial"/>
                <w:b/>
                <w:bCs/>
                <w:sz w:val="20"/>
                <w:lang w:eastAsia="sl-SI"/>
              </w:rPr>
              <w:t>ZNESEK</w:t>
            </w:r>
          </w:p>
        </w:tc>
      </w:tr>
      <w:tr w:rsidR="00F2168F" w:rsidRPr="00424274" w14:paraId="44292E01" w14:textId="77777777" w:rsidTr="00C67A40">
        <w:trPr>
          <w:trHeight w:val="330"/>
        </w:trPr>
        <w:tc>
          <w:tcPr>
            <w:tcW w:w="3080" w:type="dxa"/>
            <w:shd w:val="clear" w:color="auto" w:fill="99FF33"/>
            <w:noWrap/>
            <w:vAlign w:val="center"/>
          </w:tcPr>
          <w:p w14:paraId="55FA079C" w14:textId="77777777" w:rsidR="00F2168F" w:rsidRPr="00424274" w:rsidRDefault="00F2168F" w:rsidP="00F2168F">
            <w:pPr>
              <w:widowControl/>
              <w:jc w:val="left"/>
              <w:rPr>
                <w:rFonts w:ascii="Arial" w:hAnsi="Arial"/>
                <w:sz w:val="20"/>
                <w:lang w:eastAsia="sl-SI"/>
              </w:rPr>
            </w:pPr>
            <w:r w:rsidRPr="00424274">
              <w:rPr>
                <w:rFonts w:ascii="Arial" w:hAnsi="Arial"/>
                <w:sz w:val="20"/>
                <w:lang w:eastAsia="sl-SI"/>
              </w:rPr>
              <w:t>EUR</w:t>
            </w:r>
          </w:p>
        </w:tc>
        <w:tc>
          <w:tcPr>
            <w:tcW w:w="1420" w:type="dxa"/>
            <w:vAlign w:val="center"/>
          </w:tcPr>
          <w:p w14:paraId="7402C150" w14:textId="77777777" w:rsidR="00F2168F" w:rsidRPr="00424274" w:rsidRDefault="00F2168F" w:rsidP="00F2168F">
            <w:pPr>
              <w:widowControl/>
              <w:jc w:val="right"/>
              <w:rPr>
                <w:rFonts w:ascii="Arial" w:hAnsi="Arial"/>
                <w:sz w:val="20"/>
              </w:rPr>
            </w:pPr>
            <w:r w:rsidRPr="00424274">
              <w:rPr>
                <w:rFonts w:ascii="Arial" w:hAnsi="Arial"/>
                <w:sz w:val="20"/>
              </w:rPr>
              <w:t>248.943</w:t>
            </w:r>
          </w:p>
        </w:tc>
        <w:tc>
          <w:tcPr>
            <w:tcW w:w="1420" w:type="dxa"/>
            <w:vAlign w:val="center"/>
          </w:tcPr>
          <w:p w14:paraId="28BF0B81" w14:textId="77777777" w:rsidR="00F2168F" w:rsidRPr="00424274" w:rsidRDefault="00F2168F" w:rsidP="00F2168F">
            <w:pPr>
              <w:widowControl/>
              <w:jc w:val="right"/>
              <w:rPr>
                <w:rFonts w:ascii="Arial" w:hAnsi="Arial"/>
                <w:sz w:val="20"/>
              </w:rPr>
            </w:pPr>
            <w:r w:rsidRPr="00424274">
              <w:rPr>
                <w:rFonts w:ascii="Arial" w:hAnsi="Arial"/>
                <w:sz w:val="20"/>
              </w:rPr>
              <w:t>2.462.001</w:t>
            </w:r>
          </w:p>
        </w:tc>
      </w:tr>
    </w:tbl>
    <w:p w14:paraId="63311E9B" w14:textId="77777777" w:rsidR="000D3238" w:rsidRPr="00424274" w:rsidRDefault="000D3238" w:rsidP="00D21F86">
      <w:pPr>
        <w:pStyle w:val="Telobesedila"/>
        <w:spacing w:line="276" w:lineRule="auto"/>
        <w:ind w:right="-22"/>
        <w:rPr>
          <w:rFonts w:ascii="Arial" w:hAnsi="Arial"/>
          <w:sz w:val="20"/>
        </w:rPr>
      </w:pPr>
    </w:p>
    <w:p w14:paraId="73C0E001" w14:textId="3D30FC02" w:rsidR="00881B82" w:rsidRPr="00424274" w:rsidRDefault="00881B82" w:rsidP="00881B82">
      <w:pPr>
        <w:widowControl/>
        <w:spacing w:line="276" w:lineRule="auto"/>
        <w:ind w:right="-22"/>
        <w:rPr>
          <w:rFonts w:ascii="Arial" w:hAnsi="Arial"/>
          <w:sz w:val="20"/>
        </w:rPr>
      </w:pPr>
      <w:r w:rsidRPr="00424274">
        <w:rPr>
          <w:rFonts w:ascii="Arial" w:hAnsi="Arial"/>
          <w:sz w:val="20"/>
        </w:rPr>
        <w:t xml:space="preserve">V zvezi </w:t>
      </w:r>
      <w:r w:rsidR="00E544D8">
        <w:rPr>
          <w:rFonts w:ascii="Arial" w:hAnsi="Arial"/>
          <w:sz w:val="20"/>
        </w:rPr>
        <w:t>z</w:t>
      </w:r>
      <w:r w:rsidRPr="00424274">
        <w:rPr>
          <w:rFonts w:ascii="Arial" w:hAnsi="Arial"/>
          <w:sz w:val="20"/>
        </w:rPr>
        <w:t xml:space="preserve"> zadevami, ki se nanašajo na sume storitve kaznivega dejanja financiranja terorizma po 109. členu KZ-1, ugotavljamo, da se prijave s tega področja iz leta v leto povečujejo, saj smo na primer še v letu 2015 prejeli samo pet prijav</w:t>
      </w:r>
      <w:r w:rsidR="00E544D8">
        <w:rPr>
          <w:rFonts w:ascii="Arial" w:hAnsi="Arial"/>
          <w:sz w:val="20"/>
        </w:rPr>
        <w:t>,</w:t>
      </w:r>
      <w:r w:rsidRPr="00424274">
        <w:rPr>
          <w:rFonts w:ascii="Arial" w:hAnsi="Arial"/>
          <w:sz w:val="20"/>
        </w:rPr>
        <w:t xml:space="preserve"> povezanih s sumi financiranja terorizma. Od 53 prejetih prijav</w:t>
      </w:r>
      <w:r w:rsidR="00E544D8">
        <w:rPr>
          <w:rFonts w:ascii="Arial" w:hAnsi="Arial"/>
          <w:sz w:val="20"/>
        </w:rPr>
        <w:t>,</w:t>
      </w:r>
      <w:r w:rsidRPr="00424274">
        <w:rPr>
          <w:rFonts w:ascii="Arial" w:hAnsi="Arial"/>
          <w:sz w:val="20"/>
        </w:rPr>
        <w:t xml:space="preserve"> povezanih s financiranjem terorizma</w:t>
      </w:r>
      <w:r w:rsidR="00E544D8">
        <w:rPr>
          <w:rFonts w:ascii="Arial" w:hAnsi="Arial"/>
          <w:sz w:val="20"/>
        </w:rPr>
        <w:t>,</w:t>
      </w:r>
      <w:r w:rsidRPr="00424274">
        <w:rPr>
          <w:rFonts w:ascii="Arial" w:hAnsi="Arial"/>
          <w:sz w:val="20"/>
        </w:rPr>
        <w:t xml:space="preserve"> smo jih kar 96 % prejeli </w:t>
      </w:r>
      <w:r w:rsidR="00E544D8">
        <w:rPr>
          <w:rFonts w:ascii="Arial" w:hAnsi="Arial"/>
          <w:sz w:val="20"/>
        </w:rPr>
        <w:t>od</w:t>
      </w:r>
      <w:r w:rsidRPr="00424274">
        <w:rPr>
          <w:rFonts w:ascii="Arial" w:hAnsi="Arial"/>
          <w:sz w:val="20"/>
        </w:rPr>
        <w:t xml:space="preserve"> zavezancev. Iz zgornje </w:t>
      </w:r>
      <w:r w:rsidR="00814A21">
        <w:rPr>
          <w:rFonts w:ascii="Arial" w:hAnsi="Arial"/>
          <w:sz w:val="20"/>
        </w:rPr>
        <w:t>preglednic</w:t>
      </w:r>
      <w:r w:rsidRPr="00424274">
        <w:rPr>
          <w:rFonts w:ascii="Arial" w:hAnsi="Arial"/>
          <w:sz w:val="20"/>
        </w:rPr>
        <w:t xml:space="preserve">e izhaja, da smo v letu 2020 obravnavali le nekaj manj oseb kot v letu 2019, pri čemer je </w:t>
      </w:r>
      <w:r w:rsidR="008126B7">
        <w:rPr>
          <w:rFonts w:ascii="Arial" w:hAnsi="Arial"/>
          <w:sz w:val="20"/>
        </w:rPr>
        <w:t>treba</w:t>
      </w:r>
      <w:r w:rsidRPr="00424274">
        <w:rPr>
          <w:rFonts w:ascii="Arial" w:hAnsi="Arial"/>
          <w:sz w:val="20"/>
        </w:rPr>
        <w:t xml:space="preserve"> poudariti, da smo leta 2020 ugotovili razloge za sum storitve kaznivega dejanja financiranja terorizma v 12 zadevah, medtem ko je bilo leta 2019 takih zadev 27.</w:t>
      </w:r>
    </w:p>
    <w:p w14:paraId="495E7E40" w14:textId="77777777" w:rsidR="00881B82" w:rsidRPr="00424274" w:rsidRDefault="00881B82" w:rsidP="00881B82">
      <w:pPr>
        <w:widowControl/>
        <w:spacing w:line="276" w:lineRule="auto"/>
        <w:ind w:right="-22"/>
        <w:rPr>
          <w:rFonts w:ascii="Arial" w:hAnsi="Arial"/>
          <w:sz w:val="20"/>
          <w:highlight w:val="yellow"/>
        </w:rPr>
      </w:pPr>
    </w:p>
    <w:p w14:paraId="491E28B4" w14:textId="75116D24" w:rsidR="00881B82" w:rsidRPr="00424274" w:rsidRDefault="00881B82" w:rsidP="00881B82">
      <w:pPr>
        <w:widowControl/>
        <w:spacing w:line="276" w:lineRule="auto"/>
        <w:ind w:right="-22"/>
        <w:rPr>
          <w:rFonts w:ascii="Arial" w:hAnsi="Arial"/>
          <w:sz w:val="20"/>
        </w:rPr>
      </w:pPr>
      <w:r w:rsidRPr="00424274">
        <w:rPr>
          <w:rFonts w:ascii="Arial" w:hAnsi="Arial"/>
          <w:sz w:val="20"/>
        </w:rPr>
        <w:t xml:space="preserve">V </w:t>
      </w:r>
      <w:r w:rsidR="00E544D8">
        <w:rPr>
          <w:rFonts w:ascii="Arial" w:hAnsi="Arial"/>
          <w:sz w:val="20"/>
        </w:rPr>
        <w:t>z</w:t>
      </w:r>
      <w:r w:rsidRPr="00424274">
        <w:rPr>
          <w:rFonts w:ascii="Arial" w:hAnsi="Arial"/>
          <w:sz w:val="20"/>
        </w:rPr>
        <w:t xml:space="preserve">vezi s preprečevanjem financiranja terorizma </w:t>
      </w:r>
      <w:r w:rsidR="00814A21">
        <w:rPr>
          <w:rFonts w:ascii="Arial" w:hAnsi="Arial"/>
          <w:sz w:val="20"/>
        </w:rPr>
        <w:t>urad</w:t>
      </w:r>
      <w:r w:rsidRPr="00424274">
        <w:rPr>
          <w:rFonts w:ascii="Arial" w:hAnsi="Arial"/>
          <w:sz w:val="20"/>
        </w:rPr>
        <w:t xml:space="preserve"> </w:t>
      </w:r>
      <w:r w:rsidR="00E544D8">
        <w:rPr>
          <w:rFonts w:ascii="Arial" w:hAnsi="Arial"/>
          <w:sz w:val="20"/>
        </w:rPr>
        <w:t xml:space="preserve">za </w:t>
      </w:r>
      <w:r w:rsidRPr="00424274">
        <w:rPr>
          <w:rFonts w:ascii="Arial" w:hAnsi="Arial"/>
          <w:sz w:val="20"/>
        </w:rPr>
        <w:t>vse osebe, v zvezi s katerimi odpre zadeve, ne glede na to, kaj je bil razlog prijave, izvaja tudi sprotne redne preglede seznama oseb in organizacij s seznama EU, zoper katere na podlagi direktiv EU in resolucij Združenih narodov veljajo določene finančne sankcije (</w:t>
      </w:r>
      <w:proofErr w:type="spellStart"/>
      <w:r w:rsidRPr="00424274">
        <w:rPr>
          <w:rFonts w:ascii="Arial" w:hAnsi="Arial"/>
          <w:sz w:val="20"/>
        </w:rPr>
        <w:t>Consolidated</w:t>
      </w:r>
      <w:proofErr w:type="spellEnd"/>
      <w:r w:rsidRPr="00424274">
        <w:rPr>
          <w:rFonts w:ascii="Arial" w:hAnsi="Arial"/>
          <w:sz w:val="20"/>
        </w:rPr>
        <w:t xml:space="preserve"> List </w:t>
      </w:r>
      <w:proofErr w:type="spellStart"/>
      <w:r w:rsidRPr="00424274">
        <w:rPr>
          <w:rFonts w:ascii="Arial" w:hAnsi="Arial"/>
          <w:sz w:val="20"/>
        </w:rPr>
        <w:t>of</w:t>
      </w:r>
      <w:proofErr w:type="spellEnd"/>
      <w:r w:rsidRPr="00424274">
        <w:rPr>
          <w:rFonts w:ascii="Arial" w:hAnsi="Arial"/>
          <w:sz w:val="20"/>
        </w:rPr>
        <w:t xml:space="preserve"> </w:t>
      </w:r>
      <w:proofErr w:type="spellStart"/>
      <w:r w:rsidRPr="00424274">
        <w:rPr>
          <w:rFonts w:ascii="Arial" w:hAnsi="Arial"/>
          <w:sz w:val="20"/>
        </w:rPr>
        <w:t>Persons</w:t>
      </w:r>
      <w:proofErr w:type="spellEnd"/>
      <w:r w:rsidRPr="00424274">
        <w:rPr>
          <w:rFonts w:ascii="Arial" w:hAnsi="Arial"/>
          <w:sz w:val="20"/>
        </w:rPr>
        <w:t xml:space="preserve">, </w:t>
      </w:r>
      <w:proofErr w:type="spellStart"/>
      <w:r w:rsidRPr="00424274">
        <w:rPr>
          <w:rFonts w:ascii="Arial" w:hAnsi="Arial"/>
          <w:sz w:val="20"/>
        </w:rPr>
        <w:t>Groups</w:t>
      </w:r>
      <w:proofErr w:type="spellEnd"/>
      <w:r w:rsidRPr="00424274">
        <w:rPr>
          <w:rFonts w:ascii="Arial" w:hAnsi="Arial"/>
          <w:sz w:val="20"/>
        </w:rPr>
        <w:t xml:space="preserve">, </w:t>
      </w:r>
      <w:proofErr w:type="spellStart"/>
      <w:r w:rsidRPr="00424274">
        <w:rPr>
          <w:rFonts w:ascii="Arial" w:hAnsi="Arial"/>
          <w:sz w:val="20"/>
        </w:rPr>
        <w:t>Entities</w:t>
      </w:r>
      <w:proofErr w:type="spellEnd"/>
      <w:r w:rsidRPr="00424274">
        <w:rPr>
          <w:rFonts w:ascii="Arial" w:hAnsi="Arial"/>
          <w:sz w:val="20"/>
        </w:rPr>
        <w:t xml:space="preserve"> </w:t>
      </w:r>
      <w:proofErr w:type="spellStart"/>
      <w:r w:rsidRPr="00424274">
        <w:rPr>
          <w:rFonts w:ascii="Arial" w:hAnsi="Arial"/>
          <w:sz w:val="20"/>
        </w:rPr>
        <w:t>subject</w:t>
      </w:r>
      <w:proofErr w:type="spellEnd"/>
      <w:r w:rsidRPr="00424274">
        <w:rPr>
          <w:rFonts w:ascii="Arial" w:hAnsi="Arial"/>
          <w:sz w:val="20"/>
        </w:rPr>
        <w:t xml:space="preserve"> to EU </w:t>
      </w:r>
      <w:proofErr w:type="spellStart"/>
      <w:r w:rsidRPr="00424274">
        <w:rPr>
          <w:rFonts w:ascii="Arial" w:hAnsi="Arial"/>
          <w:sz w:val="20"/>
        </w:rPr>
        <w:t>Financial</w:t>
      </w:r>
      <w:proofErr w:type="spellEnd"/>
      <w:r w:rsidRPr="00424274">
        <w:rPr>
          <w:rFonts w:ascii="Arial" w:hAnsi="Arial"/>
          <w:sz w:val="20"/>
        </w:rPr>
        <w:t xml:space="preserve"> </w:t>
      </w:r>
      <w:proofErr w:type="spellStart"/>
      <w:r w:rsidRPr="00424274">
        <w:rPr>
          <w:rFonts w:ascii="Arial" w:hAnsi="Arial"/>
          <w:sz w:val="20"/>
        </w:rPr>
        <w:t>Sanctions</w:t>
      </w:r>
      <w:proofErr w:type="spellEnd"/>
      <w:r w:rsidRPr="00424274">
        <w:rPr>
          <w:rFonts w:ascii="Arial" w:hAnsi="Arial"/>
          <w:sz w:val="20"/>
        </w:rPr>
        <w:t>). Z uvedbo novega sistema poročanja sumljivih transakcij se ti pregledi opravljajo takoj ob prejemu prijave. Pri teh pregledih</w:t>
      </w:r>
      <w:r w:rsidR="008126B7">
        <w:rPr>
          <w:rFonts w:ascii="Arial" w:hAnsi="Arial"/>
          <w:sz w:val="20"/>
        </w:rPr>
        <w:t xml:space="preserve"> </w:t>
      </w:r>
      <w:r w:rsidRPr="00424274">
        <w:rPr>
          <w:rFonts w:ascii="Arial" w:hAnsi="Arial"/>
          <w:sz w:val="20"/>
        </w:rPr>
        <w:t>v letu 2020 nismo ugotovili, da bi katera od oseb s tega seznama opravila</w:t>
      </w:r>
      <w:r w:rsidR="00DC1B8F">
        <w:rPr>
          <w:rFonts w:ascii="Arial" w:hAnsi="Arial"/>
          <w:sz w:val="20"/>
        </w:rPr>
        <w:t xml:space="preserve"> finančne transakcije</w:t>
      </w:r>
      <w:r w:rsidRPr="00424274">
        <w:rPr>
          <w:rFonts w:ascii="Arial" w:hAnsi="Arial"/>
          <w:sz w:val="20"/>
        </w:rPr>
        <w:t xml:space="preserve"> ali bi bila povezana s finančnimi transakcijami v Sloveniji.</w:t>
      </w:r>
    </w:p>
    <w:p w14:paraId="017B0715" w14:textId="77777777" w:rsidR="00FF1FD0" w:rsidRPr="00424274" w:rsidRDefault="00FF1FD0" w:rsidP="00D21F86">
      <w:pPr>
        <w:pStyle w:val="Telobesedila"/>
        <w:spacing w:line="276" w:lineRule="auto"/>
        <w:ind w:right="-22"/>
        <w:rPr>
          <w:rFonts w:ascii="Arial" w:hAnsi="Arial"/>
          <w:sz w:val="20"/>
        </w:rPr>
      </w:pPr>
    </w:p>
    <w:p w14:paraId="67CB74BD" w14:textId="44737E5B" w:rsidR="00851C49" w:rsidRPr="00424274" w:rsidRDefault="00292A8B" w:rsidP="006D5A5A">
      <w:pPr>
        <w:pStyle w:val="Naslov3"/>
      </w:pPr>
      <w:bookmarkStart w:id="57" w:name="_Toc107306490"/>
      <w:bookmarkStart w:id="58" w:name="_Toc135206723"/>
      <w:bookmarkStart w:id="59" w:name="_Toc200524141"/>
      <w:bookmarkStart w:id="60" w:name="_Toc262605339"/>
      <w:bookmarkStart w:id="61" w:name="_Toc113535459"/>
      <w:r w:rsidRPr="00424274">
        <w:t xml:space="preserve">3.1.5 </w:t>
      </w:r>
      <w:r w:rsidR="00851C49" w:rsidRPr="00424274">
        <w:t xml:space="preserve">Zadeve, </w:t>
      </w:r>
      <w:r w:rsidR="00361F5F">
        <w:t>poslane</w:t>
      </w:r>
      <w:r w:rsidR="00851C49" w:rsidRPr="00424274">
        <w:t xml:space="preserve"> UKP MNZ in drugim pristojnim državnim organom zaradi suma storitve drugih kaznivih deja</w:t>
      </w:r>
      <w:bookmarkEnd w:id="57"/>
      <w:bookmarkEnd w:id="58"/>
      <w:bookmarkEnd w:id="59"/>
      <w:r w:rsidR="00851C49" w:rsidRPr="00424274">
        <w:t>nj</w:t>
      </w:r>
      <w:bookmarkEnd w:id="60"/>
      <w:r w:rsidR="00851C49" w:rsidRPr="00424274">
        <w:rPr>
          <w:rStyle w:val="Sprotnaopomba-sklic"/>
          <w:rFonts w:cs="Arial"/>
          <w:b/>
          <w:bCs/>
        </w:rPr>
        <w:footnoteReference w:id="6"/>
      </w:r>
      <w:bookmarkEnd w:id="61"/>
    </w:p>
    <w:p w14:paraId="034A54C6" w14:textId="77777777" w:rsidR="00851C49" w:rsidRPr="00424274" w:rsidRDefault="00851C49" w:rsidP="00D21F86">
      <w:pPr>
        <w:pStyle w:val="Telobesedila2"/>
        <w:widowControl/>
        <w:snapToGrid w:val="0"/>
        <w:spacing w:line="276" w:lineRule="auto"/>
        <w:ind w:right="-22"/>
        <w:rPr>
          <w:rFonts w:ascii="Arial" w:hAnsi="Arial"/>
          <w:sz w:val="20"/>
        </w:rPr>
      </w:pPr>
    </w:p>
    <w:p w14:paraId="59F88EBD" w14:textId="15B7959E" w:rsidR="00667AD4" w:rsidRPr="00424274" w:rsidRDefault="00667AD4" w:rsidP="00667AD4">
      <w:pPr>
        <w:widowControl/>
        <w:spacing w:line="276" w:lineRule="auto"/>
        <w:ind w:right="-22"/>
        <w:rPr>
          <w:rFonts w:ascii="Arial" w:hAnsi="Arial"/>
          <w:bCs/>
          <w:sz w:val="20"/>
        </w:rPr>
      </w:pPr>
      <w:r w:rsidRPr="00424274">
        <w:rPr>
          <w:rFonts w:ascii="Arial" w:hAnsi="Arial"/>
          <w:sz w:val="20"/>
        </w:rPr>
        <w:t xml:space="preserve">Leta 2020 je </w:t>
      </w:r>
      <w:r w:rsidR="00814A21">
        <w:rPr>
          <w:rFonts w:ascii="Arial" w:hAnsi="Arial"/>
          <w:sz w:val="20"/>
        </w:rPr>
        <w:t>urad</w:t>
      </w:r>
      <w:r w:rsidRPr="00424274">
        <w:rPr>
          <w:rFonts w:ascii="Arial" w:hAnsi="Arial"/>
          <w:sz w:val="20"/>
        </w:rPr>
        <w:t xml:space="preserve"> na podlagi 102. člena ZPPDFT-1 v 487 zadevah, pri katerih so bili ugotovljeni razlogi za sum storitve drugih kaznivih dejanj, </w:t>
      </w:r>
      <w:r w:rsidR="008126B7">
        <w:rPr>
          <w:rFonts w:ascii="Arial" w:hAnsi="Arial"/>
          <w:sz w:val="20"/>
        </w:rPr>
        <w:t>poslal</w:t>
      </w:r>
      <w:r w:rsidR="008126B7" w:rsidRPr="00424274">
        <w:rPr>
          <w:rFonts w:ascii="Arial" w:hAnsi="Arial"/>
          <w:sz w:val="20"/>
        </w:rPr>
        <w:t xml:space="preserve"> </w:t>
      </w:r>
      <w:r w:rsidRPr="00424274">
        <w:rPr>
          <w:rFonts w:ascii="Arial" w:hAnsi="Arial"/>
          <w:sz w:val="20"/>
        </w:rPr>
        <w:t xml:space="preserve">pristojnim organom </w:t>
      </w:r>
      <w:r w:rsidRPr="00424274">
        <w:rPr>
          <w:rFonts w:ascii="Arial" w:hAnsi="Arial"/>
          <w:i/>
          <w:iCs/>
          <w:sz w:val="20"/>
        </w:rPr>
        <w:t>354 pisnih informacij.</w:t>
      </w:r>
      <w:r w:rsidRPr="00424274">
        <w:rPr>
          <w:rFonts w:ascii="Arial" w:hAnsi="Arial"/>
          <w:b/>
          <w:bCs/>
          <w:i/>
          <w:iCs/>
          <w:sz w:val="20"/>
        </w:rPr>
        <w:t xml:space="preserve"> </w:t>
      </w:r>
      <w:r w:rsidRPr="00424274">
        <w:rPr>
          <w:rFonts w:ascii="Arial" w:hAnsi="Arial"/>
          <w:bCs/>
          <w:sz w:val="20"/>
        </w:rPr>
        <w:t xml:space="preserve">Glede na vrsto ugotovljenih kaznivih dejanj smo informacije </w:t>
      </w:r>
      <w:r w:rsidR="008126B7">
        <w:rPr>
          <w:rFonts w:ascii="Arial" w:hAnsi="Arial"/>
          <w:bCs/>
          <w:sz w:val="20"/>
        </w:rPr>
        <w:t>poslali</w:t>
      </w:r>
      <w:r w:rsidR="008126B7" w:rsidRPr="00424274">
        <w:rPr>
          <w:rFonts w:ascii="Arial" w:hAnsi="Arial"/>
          <w:bCs/>
          <w:sz w:val="20"/>
        </w:rPr>
        <w:t xml:space="preserve"> </w:t>
      </w:r>
      <w:r w:rsidRPr="00424274">
        <w:rPr>
          <w:rFonts w:ascii="Arial" w:hAnsi="Arial"/>
          <w:bCs/>
          <w:sz w:val="20"/>
        </w:rPr>
        <w:t>naslednjim pristojnim državnim organom:</w:t>
      </w:r>
    </w:p>
    <w:p w14:paraId="2F88BB9B" w14:textId="77777777" w:rsidR="00667AD4" w:rsidRPr="00424274" w:rsidRDefault="00667AD4" w:rsidP="00667AD4">
      <w:pPr>
        <w:widowControl/>
        <w:numPr>
          <w:ilvl w:val="0"/>
          <w:numId w:val="12"/>
        </w:numPr>
        <w:spacing w:line="276" w:lineRule="auto"/>
        <w:jc w:val="left"/>
        <w:rPr>
          <w:rFonts w:ascii="Arial" w:hAnsi="Arial"/>
          <w:sz w:val="20"/>
          <w:lang w:eastAsia="sl-SI"/>
        </w:rPr>
      </w:pPr>
      <w:r w:rsidRPr="00424274">
        <w:rPr>
          <w:rFonts w:ascii="Arial" w:hAnsi="Arial"/>
          <w:sz w:val="20"/>
          <w:lang w:eastAsia="sl-SI"/>
        </w:rPr>
        <w:t>MNZ, FURS</w:t>
      </w:r>
      <w:r w:rsidRPr="00424274">
        <w:rPr>
          <w:rFonts w:ascii="Arial" w:hAnsi="Arial"/>
          <w:sz w:val="20"/>
          <w:lang w:eastAsia="sl-SI"/>
        </w:rPr>
        <w:tab/>
      </w:r>
      <w:r w:rsidRPr="00424274">
        <w:rPr>
          <w:rFonts w:ascii="Arial" w:hAnsi="Arial"/>
          <w:sz w:val="20"/>
          <w:lang w:eastAsia="sl-SI"/>
        </w:rPr>
        <w:tab/>
      </w:r>
      <w:r w:rsidRPr="00424274">
        <w:rPr>
          <w:rFonts w:ascii="Arial" w:hAnsi="Arial"/>
          <w:sz w:val="20"/>
          <w:lang w:eastAsia="sl-SI"/>
        </w:rPr>
        <w:tab/>
        <w:t>(325 informacij v 254 izdelkih)</w:t>
      </w:r>
    </w:p>
    <w:p w14:paraId="2B920612" w14:textId="77777777" w:rsidR="00667AD4" w:rsidRPr="00424274" w:rsidRDefault="00667AD4" w:rsidP="00667AD4">
      <w:pPr>
        <w:widowControl/>
        <w:numPr>
          <w:ilvl w:val="0"/>
          <w:numId w:val="12"/>
        </w:numPr>
        <w:spacing w:line="276" w:lineRule="auto"/>
        <w:jc w:val="left"/>
        <w:rPr>
          <w:rFonts w:ascii="Arial" w:hAnsi="Arial"/>
          <w:sz w:val="20"/>
          <w:lang w:eastAsia="sl-SI"/>
        </w:rPr>
      </w:pPr>
      <w:r w:rsidRPr="00424274">
        <w:rPr>
          <w:rFonts w:ascii="Arial" w:hAnsi="Arial"/>
          <w:sz w:val="20"/>
          <w:lang w:eastAsia="sl-SI"/>
        </w:rPr>
        <w:t>MNZ</w:t>
      </w:r>
      <w:r w:rsidRPr="00424274">
        <w:rPr>
          <w:rFonts w:ascii="Arial" w:hAnsi="Arial"/>
          <w:sz w:val="20"/>
          <w:lang w:eastAsia="sl-SI"/>
        </w:rPr>
        <w:tab/>
      </w:r>
      <w:r w:rsidRPr="00424274">
        <w:rPr>
          <w:rFonts w:ascii="Arial" w:hAnsi="Arial"/>
          <w:sz w:val="20"/>
          <w:lang w:eastAsia="sl-SI"/>
        </w:rPr>
        <w:tab/>
      </w:r>
      <w:r w:rsidRPr="00424274">
        <w:rPr>
          <w:rFonts w:ascii="Arial" w:hAnsi="Arial"/>
          <w:sz w:val="20"/>
          <w:lang w:eastAsia="sl-SI"/>
        </w:rPr>
        <w:tab/>
      </w:r>
      <w:r w:rsidRPr="00424274">
        <w:rPr>
          <w:rFonts w:ascii="Arial" w:hAnsi="Arial"/>
          <w:sz w:val="20"/>
          <w:lang w:eastAsia="sl-SI"/>
        </w:rPr>
        <w:tab/>
        <w:t>(74 informacij v 69 izdelkih)</w:t>
      </w:r>
    </w:p>
    <w:p w14:paraId="1BFFB56F" w14:textId="77777777" w:rsidR="00667AD4" w:rsidRPr="00424274" w:rsidRDefault="00667AD4" w:rsidP="00667AD4">
      <w:pPr>
        <w:widowControl/>
        <w:numPr>
          <w:ilvl w:val="0"/>
          <w:numId w:val="12"/>
        </w:numPr>
        <w:spacing w:line="276" w:lineRule="auto"/>
        <w:jc w:val="left"/>
        <w:rPr>
          <w:rFonts w:ascii="Arial" w:hAnsi="Arial"/>
          <w:sz w:val="20"/>
          <w:lang w:eastAsia="sl-SI"/>
        </w:rPr>
      </w:pPr>
      <w:r w:rsidRPr="00424274">
        <w:rPr>
          <w:rFonts w:ascii="Arial" w:hAnsi="Arial"/>
          <w:sz w:val="20"/>
          <w:lang w:eastAsia="sl-SI"/>
        </w:rPr>
        <w:t>MNZ, SOVA, FURS</w:t>
      </w:r>
      <w:r w:rsidRPr="00424274">
        <w:rPr>
          <w:rFonts w:ascii="Arial" w:hAnsi="Arial"/>
          <w:sz w:val="20"/>
          <w:lang w:eastAsia="sl-SI"/>
        </w:rPr>
        <w:tab/>
      </w:r>
      <w:r w:rsidRPr="00424274">
        <w:rPr>
          <w:rFonts w:ascii="Arial" w:hAnsi="Arial"/>
          <w:sz w:val="20"/>
          <w:lang w:eastAsia="sl-SI"/>
        </w:rPr>
        <w:tab/>
        <w:t>(38 informacij v 16 izdelkih)</w:t>
      </w:r>
    </w:p>
    <w:p w14:paraId="3BE03572" w14:textId="77777777" w:rsidR="00667AD4" w:rsidRPr="00424274" w:rsidRDefault="00667AD4" w:rsidP="00667AD4">
      <w:pPr>
        <w:widowControl/>
        <w:numPr>
          <w:ilvl w:val="0"/>
          <w:numId w:val="12"/>
        </w:numPr>
        <w:spacing w:line="276" w:lineRule="auto"/>
        <w:jc w:val="left"/>
        <w:rPr>
          <w:rFonts w:ascii="Arial" w:hAnsi="Arial"/>
          <w:sz w:val="20"/>
          <w:lang w:eastAsia="sl-SI"/>
        </w:rPr>
      </w:pPr>
      <w:r w:rsidRPr="00424274">
        <w:rPr>
          <w:rFonts w:ascii="Arial" w:hAnsi="Arial"/>
          <w:sz w:val="20"/>
          <w:lang w:eastAsia="sl-SI"/>
        </w:rPr>
        <w:t xml:space="preserve">MNZ, SOVA </w:t>
      </w:r>
      <w:r w:rsidRPr="00424274">
        <w:rPr>
          <w:rFonts w:ascii="Arial" w:hAnsi="Arial"/>
          <w:sz w:val="20"/>
          <w:lang w:eastAsia="sl-SI"/>
        </w:rPr>
        <w:tab/>
      </w:r>
      <w:r w:rsidRPr="00424274">
        <w:rPr>
          <w:rFonts w:ascii="Arial" w:hAnsi="Arial"/>
          <w:sz w:val="20"/>
          <w:lang w:eastAsia="sl-SI"/>
        </w:rPr>
        <w:tab/>
      </w:r>
      <w:r w:rsidRPr="00424274">
        <w:rPr>
          <w:rFonts w:ascii="Arial" w:hAnsi="Arial"/>
          <w:sz w:val="20"/>
          <w:lang w:eastAsia="sl-SI"/>
        </w:rPr>
        <w:tab/>
        <w:t>(34 informacij v 8 izdelkih)</w:t>
      </w:r>
    </w:p>
    <w:p w14:paraId="236F3341" w14:textId="77777777" w:rsidR="00667AD4" w:rsidRPr="00424274" w:rsidRDefault="00667AD4" w:rsidP="00667AD4">
      <w:pPr>
        <w:widowControl/>
        <w:numPr>
          <w:ilvl w:val="0"/>
          <w:numId w:val="12"/>
        </w:numPr>
        <w:spacing w:line="276" w:lineRule="auto"/>
        <w:jc w:val="left"/>
        <w:rPr>
          <w:rFonts w:ascii="Arial" w:hAnsi="Arial"/>
          <w:sz w:val="20"/>
          <w:lang w:eastAsia="sl-SI"/>
        </w:rPr>
      </w:pPr>
      <w:r w:rsidRPr="00424274">
        <w:rPr>
          <w:rFonts w:ascii="Arial" w:hAnsi="Arial"/>
          <w:sz w:val="20"/>
          <w:lang w:eastAsia="sl-SI"/>
        </w:rPr>
        <w:lastRenderedPageBreak/>
        <w:t xml:space="preserve">MNZ, FURS, MDSZ </w:t>
      </w:r>
      <w:r w:rsidRPr="00424274">
        <w:rPr>
          <w:rFonts w:ascii="Arial" w:hAnsi="Arial"/>
          <w:sz w:val="20"/>
          <w:lang w:eastAsia="sl-SI"/>
        </w:rPr>
        <w:tab/>
      </w:r>
      <w:r w:rsidRPr="00424274">
        <w:rPr>
          <w:rFonts w:ascii="Arial" w:hAnsi="Arial"/>
          <w:sz w:val="20"/>
          <w:lang w:eastAsia="sl-SI"/>
        </w:rPr>
        <w:tab/>
        <w:t>(8 informacij v 2 izdelkih)</w:t>
      </w:r>
    </w:p>
    <w:p w14:paraId="7C0DFA1C" w14:textId="77777777" w:rsidR="00667AD4" w:rsidRPr="00424274" w:rsidRDefault="00667AD4" w:rsidP="00667AD4">
      <w:pPr>
        <w:widowControl/>
        <w:numPr>
          <w:ilvl w:val="0"/>
          <w:numId w:val="12"/>
        </w:numPr>
        <w:spacing w:line="276" w:lineRule="auto"/>
        <w:jc w:val="left"/>
        <w:rPr>
          <w:rFonts w:ascii="Arial" w:hAnsi="Arial"/>
          <w:sz w:val="20"/>
          <w:lang w:eastAsia="sl-SI"/>
        </w:rPr>
      </w:pPr>
      <w:r w:rsidRPr="00424274">
        <w:rPr>
          <w:rFonts w:ascii="Arial" w:hAnsi="Arial"/>
          <w:sz w:val="20"/>
          <w:lang w:eastAsia="sl-SI"/>
        </w:rPr>
        <w:t xml:space="preserve">MNZ, MORS </w:t>
      </w:r>
      <w:r w:rsidRPr="00424274">
        <w:rPr>
          <w:rFonts w:ascii="Arial" w:hAnsi="Arial"/>
          <w:sz w:val="20"/>
          <w:lang w:eastAsia="sl-SI"/>
        </w:rPr>
        <w:tab/>
      </w:r>
      <w:r w:rsidRPr="00424274">
        <w:rPr>
          <w:rFonts w:ascii="Arial" w:hAnsi="Arial"/>
          <w:sz w:val="20"/>
          <w:lang w:eastAsia="sl-SI"/>
        </w:rPr>
        <w:tab/>
      </w:r>
      <w:r w:rsidRPr="00424274">
        <w:rPr>
          <w:rFonts w:ascii="Arial" w:hAnsi="Arial"/>
          <w:sz w:val="20"/>
          <w:lang w:eastAsia="sl-SI"/>
        </w:rPr>
        <w:tab/>
        <w:t>(4 informacije v 1 izdelku)</w:t>
      </w:r>
    </w:p>
    <w:p w14:paraId="3F40F889" w14:textId="77777777" w:rsidR="00667AD4" w:rsidRPr="00424274" w:rsidRDefault="00667AD4" w:rsidP="00667AD4">
      <w:pPr>
        <w:widowControl/>
        <w:numPr>
          <w:ilvl w:val="0"/>
          <w:numId w:val="12"/>
        </w:numPr>
        <w:spacing w:line="276" w:lineRule="auto"/>
        <w:jc w:val="left"/>
        <w:rPr>
          <w:rFonts w:ascii="Arial" w:hAnsi="Arial"/>
          <w:sz w:val="20"/>
          <w:lang w:eastAsia="sl-SI"/>
        </w:rPr>
      </w:pPr>
      <w:r w:rsidRPr="00424274">
        <w:rPr>
          <w:rFonts w:ascii="Arial" w:hAnsi="Arial"/>
          <w:sz w:val="20"/>
          <w:lang w:eastAsia="sl-SI"/>
        </w:rPr>
        <w:t xml:space="preserve">FURS </w:t>
      </w:r>
      <w:r w:rsidRPr="00424274">
        <w:rPr>
          <w:rFonts w:ascii="Arial" w:hAnsi="Arial"/>
          <w:sz w:val="20"/>
          <w:lang w:eastAsia="sl-SI"/>
        </w:rPr>
        <w:tab/>
      </w:r>
      <w:r w:rsidRPr="00424274">
        <w:rPr>
          <w:rFonts w:ascii="Arial" w:hAnsi="Arial"/>
          <w:sz w:val="20"/>
          <w:lang w:eastAsia="sl-SI"/>
        </w:rPr>
        <w:tab/>
      </w:r>
      <w:r w:rsidRPr="00424274">
        <w:rPr>
          <w:rFonts w:ascii="Arial" w:hAnsi="Arial"/>
          <w:sz w:val="20"/>
          <w:lang w:eastAsia="sl-SI"/>
        </w:rPr>
        <w:tab/>
      </w:r>
      <w:r w:rsidRPr="00424274">
        <w:rPr>
          <w:rFonts w:ascii="Arial" w:hAnsi="Arial"/>
          <w:sz w:val="20"/>
          <w:lang w:eastAsia="sl-SI"/>
        </w:rPr>
        <w:tab/>
        <w:t>(2 informaciji v 2 izdelkih)</w:t>
      </w:r>
    </w:p>
    <w:p w14:paraId="3A8B7D0E" w14:textId="3EF37E34" w:rsidR="00667AD4" w:rsidRPr="00424274" w:rsidRDefault="00667AD4" w:rsidP="00667AD4">
      <w:pPr>
        <w:widowControl/>
        <w:numPr>
          <w:ilvl w:val="0"/>
          <w:numId w:val="12"/>
        </w:numPr>
        <w:spacing w:line="276" w:lineRule="auto"/>
        <w:jc w:val="left"/>
        <w:rPr>
          <w:rFonts w:ascii="Arial" w:hAnsi="Arial"/>
          <w:sz w:val="20"/>
          <w:lang w:eastAsia="sl-SI"/>
        </w:rPr>
      </w:pPr>
      <w:r w:rsidRPr="00424274">
        <w:rPr>
          <w:rFonts w:ascii="Arial" w:hAnsi="Arial"/>
          <w:sz w:val="20"/>
          <w:lang w:eastAsia="sl-SI"/>
        </w:rPr>
        <w:t>MNZ, SDT, SOVA, MZZ, MORS (2 informacij</w:t>
      </w:r>
      <w:r w:rsidR="006C582F">
        <w:rPr>
          <w:rFonts w:ascii="Arial" w:hAnsi="Arial"/>
          <w:sz w:val="20"/>
          <w:lang w:eastAsia="sl-SI"/>
        </w:rPr>
        <w:t>i</w:t>
      </w:r>
      <w:r w:rsidRPr="00424274">
        <w:rPr>
          <w:rFonts w:ascii="Arial" w:hAnsi="Arial"/>
          <w:sz w:val="20"/>
          <w:lang w:eastAsia="sl-SI"/>
        </w:rPr>
        <w:t xml:space="preserve"> v 1 izdelku)</w:t>
      </w:r>
    </w:p>
    <w:p w14:paraId="14496166" w14:textId="77777777" w:rsidR="00667AD4" w:rsidRPr="00424274" w:rsidRDefault="00667AD4" w:rsidP="00667AD4">
      <w:pPr>
        <w:widowControl/>
        <w:numPr>
          <w:ilvl w:val="0"/>
          <w:numId w:val="12"/>
        </w:numPr>
        <w:spacing w:line="276" w:lineRule="auto"/>
        <w:jc w:val="left"/>
        <w:rPr>
          <w:rFonts w:ascii="Arial" w:hAnsi="Arial"/>
          <w:sz w:val="20"/>
          <w:lang w:eastAsia="sl-SI"/>
        </w:rPr>
      </w:pPr>
      <w:r w:rsidRPr="00424274">
        <w:rPr>
          <w:rFonts w:ascii="Arial" w:hAnsi="Arial"/>
          <w:sz w:val="20"/>
          <w:lang w:eastAsia="sl-SI"/>
        </w:rPr>
        <w:t xml:space="preserve">MNZ, SOVA, MORS </w:t>
      </w:r>
      <w:r w:rsidRPr="00424274">
        <w:rPr>
          <w:rFonts w:ascii="Arial" w:hAnsi="Arial"/>
          <w:sz w:val="20"/>
          <w:lang w:eastAsia="sl-SI"/>
        </w:rPr>
        <w:tab/>
      </w:r>
      <w:r w:rsidRPr="00424274">
        <w:rPr>
          <w:rFonts w:ascii="Arial" w:hAnsi="Arial"/>
          <w:sz w:val="20"/>
          <w:lang w:eastAsia="sl-SI"/>
        </w:rPr>
        <w:tab/>
        <w:t>(2 informacij v 1 izdelku)</w:t>
      </w:r>
    </w:p>
    <w:p w14:paraId="5E2A3B54" w14:textId="77777777" w:rsidR="00667AD4" w:rsidRPr="00424274" w:rsidRDefault="00667AD4" w:rsidP="00667AD4">
      <w:pPr>
        <w:widowControl/>
        <w:spacing w:line="276" w:lineRule="auto"/>
        <w:ind w:right="-22"/>
        <w:rPr>
          <w:rFonts w:ascii="Arial" w:hAnsi="Arial"/>
          <w:bCs/>
          <w:sz w:val="20"/>
          <w:highlight w:val="yellow"/>
        </w:rPr>
      </w:pPr>
    </w:p>
    <w:p w14:paraId="1532E4FA" w14:textId="66E2FFBD" w:rsidR="00667AD4" w:rsidRPr="00424274" w:rsidRDefault="00667AD4" w:rsidP="00667AD4">
      <w:pPr>
        <w:spacing w:line="276" w:lineRule="auto"/>
        <w:rPr>
          <w:rFonts w:ascii="Arial" w:hAnsi="Arial"/>
          <w:bCs/>
          <w:sz w:val="20"/>
        </w:rPr>
      </w:pPr>
      <w:r w:rsidRPr="00424274">
        <w:rPr>
          <w:rFonts w:ascii="Arial" w:hAnsi="Arial"/>
          <w:bCs/>
          <w:sz w:val="20"/>
        </w:rPr>
        <w:t>Večina informacij, in sicer 260, se je nanašal</w:t>
      </w:r>
      <w:r w:rsidR="00E544D8">
        <w:rPr>
          <w:rFonts w:ascii="Arial" w:hAnsi="Arial"/>
          <w:bCs/>
          <w:sz w:val="20"/>
        </w:rPr>
        <w:t>a</w:t>
      </w:r>
      <w:r w:rsidRPr="00424274">
        <w:rPr>
          <w:rFonts w:ascii="Arial" w:hAnsi="Arial"/>
          <w:bCs/>
          <w:sz w:val="20"/>
        </w:rPr>
        <w:t xml:space="preserve"> na sum storitve kaznivega dejanja davčne zatajitve po 249. členu KZ-1, 42 se jih je nanašalo na sume goljufije po 211. členu KZ-1, </w:t>
      </w:r>
      <w:r w:rsidR="00E544D8">
        <w:rPr>
          <w:rFonts w:ascii="Arial" w:hAnsi="Arial"/>
          <w:bCs/>
          <w:sz w:val="20"/>
        </w:rPr>
        <w:t>devet</w:t>
      </w:r>
      <w:r w:rsidRPr="00424274">
        <w:rPr>
          <w:rFonts w:ascii="Arial" w:hAnsi="Arial"/>
          <w:bCs/>
          <w:sz w:val="20"/>
        </w:rPr>
        <w:t xml:space="preserve"> na prepovedano prehajanje meje ali ozemlja države po 308. členu KZ-1, </w:t>
      </w:r>
      <w:r w:rsidR="00E544D8">
        <w:rPr>
          <w:rFonts w:ascii="Arial" w:hAnsi="Arial"/>
          <w:bCs/>
          <w:sz w:val="20"/>
        </w:rPr>
        <w:t>šest</w:t>
      </w:r>
      <w:r w:rsidRPr="00424274">
        <w:rPr>
          <w:rFonts w:ascii="Arial" w:hAnsi="Arial"/>
          <w:bCs/>
          <w:sz w:val="20"/>
        </w:rPr>
        <w:t xml:space="preserve"> na kršitve temeljnih pravic delavcev po 196. členu KZ-1, </w:t>
      </w:r>
      <w:r w:rsidR="00E544D8">
        <w:rPr>
          <w:rFonts w:ascii="Arial" w:hAnsi="Arial"/>
          <w:bCs/>
          <w:sz w:val="20"/>
        </w:rPr>
        <w:t xml:space="preserve">šest </w:t>
      </w:r>
      <w:r w:rsidRPr="00424274">
        <w:rPr>
          <w:rFonts w:ascii="Arial" w:hAnsi="Arial"/>
          <w:bCs/>
          <w:sz w:val="20"/>
        </w:rPr>
        <w:t xml:space="preserve">na poneverbo in neupravičeno uporabo tujega premoženja po 209. členu KZ-1 in </w:t>
      </w:r>
      <w:r w:rsidR="00E544D8">
        <w:rPr>
          <w:rFonts w:ascii="Arial" w:hAnsi="Arial"/>
          <w:bCs/>
          <w:sz w:val="20"/>
        </w:rPr>
        <w:t>pet</w:t>
      </w:r>
      <w:r w:rsidRPr="00424274">
        <w:rPr>
          <w:rFonts w:ascii="Arial" w:hAnsi="Arial"/>
          <w:bCs/>
          <w:sz w:val="20"/>
        </w:rPr>
        <w:t xml:space="preserve"> na sum storitve kaznivega dejanja oškodovanja upnikov po 227. členu KZ-1. Po dvakrat smo v naših informacijah kot predhodno kaznivo dejanje navedli naslednja kazniva dejanja: </w:t>
      </w:r>
      <w:r w:rsidRPr="00424274">
        <w:rPr>
          <w:rFonts w:ascii="Arial" w:hAnsi="Arial"/>
          <w:color w:val="000000"/>
          <w:sz w:val="20"/>
          <w:lang w:eastAsia="sl-SI"/>
        </w:rPr>
        <w:t xml:space="preserve">zloraba pravic iz socialnega varstva po 203. členu KZ-1, neupravičena proizvodnja in promet s prepovedanimi drogami po 186. členu KZ-1, preslepitev pri pridobitvi in uporabi posojila ali ugodnosti po 230. členu KZ-1, zloraba položaja ali zaupanja pri gospodarski dejavnosti po 240. členu KZ-1 in izsiljevanja po 213. členu KZ-1. </w:t>
      </w:r>
      <w:r w:rsidRPr="00424274">
        <w:rPr>
          <w:rFonts w:ascii="Arial" w:hAnsi="Arial"/>
          <w:bCs/>
          <w:sz w:val="20"/>
        </w:rPr>
        <w:t>V posameznih primerih pa smo ugotovili še razloge za sum storitve več drugih kaznivih dejanj.</w:t>
      </w:r>
    </w:p>
    <w:p w14:paraId="6BFD59B6" w14:textId="77777777" w:rsidR="00FF1FD0" w:rsidRPr="00424274" w:rsidRDefault="00FF1FD0" w:rsidP="00D21F86">
      <w:pPr>
        <w:spacing w:line="276" w:lineRule="auto"/>
      </w:pPr>
    </w:p>
    <w:p w14:paraId="2F7B1B18" w14:textId="375ED90D" w:rsidR="00217BAB" w:rsidRPr="00424274" w:rsidRDefault="00814A21" w:rsidP="00217BAB">
      <w:pPr>
        <w:spacing w:line="276" w:lineRule="auto"/>
        <w:ind w:left="1134" w:right="-23" w:hanging="1134"/>
        <w:rPr>
          <w:rFonts w:ascii="Arial" w:hAnsi="Arial"/>
          <w:b/>
          <w:i/>
          <w:sz w:val="20"/>
        </w:rPr>
      </w:pPr>
      <w:r>
        <w:rPr>
          <w:rFonts w:ascii="Arial" w:hAnsi="Arial"/>
          <w:b/>
          <w:i/>
          <w:sz w:val="20"/>
        </w:rPr>
        <w:t>Preglednica</w:t>
      </w:r>
      <w:r w:rsidR="00217BAB" w:rsidRPr="00424274">
        <w:rPr>
          <w:rFonts w:ascii="Arial" w:hAnsi="Arial"/>
          <w:b/>
          <w:i/>
          <w:sz w:val="20"/>
        </w:rPr>
        <w:t xml:space="preserve"> 8</w:t>
      </w:r>
      <w:r w:rsidR="00217BAB" w:rsidRPr="00424274">
        <w:rPr>
          <w:rFonts w:ascii="Arial" w:hAnsi="Arial"/>
          <w:sz w:val="20"/>
        </w:rPr>
        <w:t>:</w:t>
      </w:r>
      <w:r w:rsidR="00217BAB" w:rsidRPr="00424274">
        <w:rPr>
          <w:rFonts w:ascii="Arial" w:hAnsi="Arial"/>
          <w:b/>
          <w:i/>
          <w:sz w:val="20"/>
        </w:rPr>
        <w:tab/>
        <w:t xml:space="preserve">Struktura transakcij in udeleženih oseb v zadevah, ki so bile v letih 2019 in 2020 </w:t>
      </w:r>
      <w:r w:rsidR="00361F5F">
        <w:rPr>
          <w:rFonts w:ascii="Arial" w:hAnsi="Arial"/>
          <w:b/>
          <w:i/>
          <w:sz w:val="20"/>
        </w:rPr>
        <w:t>poslane</w:t>
      </w:r>
      <w:r w:rsidR="00217BAB" w:rsidRPr="00424274">
        <w:rPr>
          <w:rFonts w:ascii="Arial" w:hAnsi="Arial"/>
          <w:b/>
          <w:i/>
          <w:sz w:val="20"/>
        </w:rPr>
        <w:t xml:space="preserve"> pristojnim organom zaradi suma storitve drugih kaznivih dejanj</w:t>
      </w:r>
    </w:p>
    <w:p w14:paraId="2E3A307C" w14:textId="79DD0E11" w:rsidR="00851C49" w:rsidRPr="00424274" w:rsidRDefault="00851C49" w:rsidP="00D21F86">
      <w:pPr>
        <w:spacing w:line="276" w:lineRule="auto"/>
        <w:rPr>
          <w:rFonts w:ascii="Arial" w:hAnsi="Arial"/>
          <w:sz w:val="20"/>
        </w:rPr>
      </w:pPr>
    </w:p>
    <w:tbl>
      <w:tblPr>
        <w:tblW w:w="59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80"/>
        <w:gridCol w:w="1420"/>
        <w:gridCol w:w="1420"/>
      </w:tblGrid>
      <w:tr w:rsidR="000C65CE" w:rsidRPr="00424274" w14:paraId="47490C5F" w14:textId="77777777" w:rsidTr="00C67A40">
        <w:trPr>
          <w:trHeight w:val="345"/>
        </w:trPr>
        <w:tc>
          <w:tcPr>
            <w:tcW w:w="3080" w:type="dxa"/>
            <w:shd w:val="clear" w:color="auto" w:fill="00CCFF"/>
            <w:vAlign w:val="center"/>
          </w:tcPr>
          <w:p w14:paraId="563366E5" w14:textId="77777777" w:rsidR="000C65CE" w:rsidRPr="00424274" w:rsidRDefault="000C65CE" w:rsidP="000C65CE">
            <w:pPr>
              <w:widowControl/>
              <w:jc w:val="left"/>
              <w:rPr>
                <w:rFonts w:ascii="Arial" w:hAnsi="Arial"/>
                <w:b/>
                <w:bCs/>
                <w:sz w:val="20"/>
                <w:lang w:eastAsia="sl-SI"/>
              </w:rPr>
            </w:pPr>
            <w:r w:rsidRPr="00424274">
              <w:rPr>
                <w:rFonts w:ascii="Arial" w:hAnsi="Arial"/>
                <w:b/>
                <w:bCs/>
                <w:sz w:val="20"/>
                <w:lang w:eastAsia="sl-SI"/>
              </w:rPr>
              <w:t>VRSTA PODATKA</w:t>
            </w:r>
          </w:p>
        </w:tc>
        <w:tc>
          <w:tcPr>
            <w:tcW w:w="1420" w:type="dxa"/>
            <w:shd w:val="clear" w:color="auto" w:fill="00CCFF"/>
            <w:vAlign w:val="center"/>
          </w:tcPr>
          <w:p w14:paraId="0CFF5030" w14:textId="77777777" w:rsidR="000C65CE" w:rsidRPr="00424274" w:rsidRDefault="000C65CE" w:rsidP="000C65CE">
            <w:pPr>
              <w:widowControl/>
              <w:jc w:val="center"/>
              <w:rPr>
                <w:rFonts w:ascii="Arial" w:hAnsi="Arial"/>
                <w:b/>
                <w:bCs/>
                <w:sz w:val="20"/>
                <w:lang w:eastAsia="sl-SI"/>
              </w:rPr>
            </w:pPr>
            <w:r w:rsidRPr="00424274">
              <w:rPr>
                <w:rFonts w:ascii="Arial" w:hAnsi="Arial"/>
                <w:b/>
                <w:bCs/>
                <w:sz w:val="20"/>
                <w:lang w:eastAsia="sl-SI"/>
              </w:rPr>
              <w:t>2019</w:t>
            </w:r>
          </w:p>
        </w:tc>
        <w:tc>
          <w:tcPr>
            <w:tcW w:w="1420" w:type="dxa"/>
            <w:shd w:val="clear" w:color="auto" w:fill="00CCFF"/>
            <w:vAlign w:val="center"/>
          </w:tcPr>
          <w:p w14:paraId="39B3F19E" w14:textId="77777777" w:rsidR="000C65CE" w:rsidRPr="00424274" w:rsidRDefault="000C65CE" w:rsidP="000C65CE">
            <w:pPr>
              <w:widowControl/>
              <w:jc w:val="center"/>
              <w:rPr>
                <w:rFonts w:ascii="Arial" w:hAnsi="Arial"/>
                <w:b/>
                <w:bCs/>
                <w:sz w:val="20"/>
                <w:lang w:eastAsia="sl-SI"/>
              </w:rPr>
            </w:pPr>
            <w:r w:rsidRPr="00424274">
              <w:rPr>
                <w:rFonts w:ascii="Arial" w:hAnsi="Arial"/>
                <w:b/>
                <w:bCs/>
                <w:sz w:val="20"/>
                <w:lang w:eastAsia="sl-SI"/>
              </w:rPr>
              <w:t>2020</w:t>
            </w:r>
          </w:p>
        </w:tc>
      </w:tr>
      <w:tr w:rsidR="000C65CE" w:rsidRPr="00424274" w14:paraId="604A09C1" w14:textId="77777777" w:rsidTr="00C67A40">
        <w:trPr>
          <w:trHeight w:val="345"/>
        </w:trPr>
        <w:tc>
          <w:tcPr>
            <w:tcW w:w="3080" w:type="dxa"/>
            <w:shd w:val="clear" w:color="auto" w:fill="99FF33"/>
            <w:vAlign w:val="center"/>
          </w:tcPr>
          <w:p w14:paraId="586C6769" w14:textId="77777777" w:rsidR="000C65CE" w:rsidRPr="00424274" w:rsidRDefault="000C65CE" w:rsidP="000C65CE">
            <w:pPr>
              <w:widowControl/>
              <w:jc w:val="left"/>
              <w:rPr>
                <w:rFonts w:ascii="Arial" w:hAnsi="Arial"/>
                <w:sz w:val="20"/>
                <w:lang w:eastAsia="sl-SI"/>
              </w:rPr>
            </w:pPr>
            <w:r w:rsidRPr="00424274">
              <w:rPr>
                <w:rFonts w:ascii="Arial" w:hAnsi="Arial"/>
                <w:sz w:val="20"/>
                <w:lang w:eastAsia="sl-SI"/>
              </w:rPr>
              <w:t>Št. domačih fizičnih oseb</w:t>
            </w:r>
          </w:p>
        </w:tc>
        <w:tc>
          <w:tcPr>
            <w:tcW w:w="1420" w:type="dxa"/>
            <w:vAlign w:val="center"/>
          </w:tcPr>
          <w:p w14:paraId="51C80B3F" w14:textId="77777777" w:rsidR="000C65CE" w:rsidRPr="00424274" w:rsidRDefault="000C65CE" w:rsidP="000C65CE">
            <w:pPr>
              <w:widowControl/>
              <w:jc w:val="center"/>
              <w:rPr>
                <w:rFonts w:ascii="Arial" w:hAnsi="Arial"/>
                <w:sz w:val="20"/>
                <w:lang w:eastAsia="sl-SI"/>
              </w:rPr>
            </w:pPr>
            <w:r w:rsidRPr="00424274">
              <w:rPr>
                <w:rFonts w:ascii="Arial" w:hAnsi="Arial"/>
                <w:sz w:val="20"/>
                <w:lang w:eastAsia="sl-SI"/>
              </w:rPr>
              <w:t>228</w:t>
            </w:r>
          </w:p>
        </w:tc>
        <w:tc>
          <w:tcPr>
            <w:tcW w:w="1420" w:type="dxa"/>
            <w:vAlign w:val="center"/>
          </w:tcPr>
          <w:p w14:paraId="02646381" w14:textId="77777777" w:rsidR="000C65CE" w:rsidRPr="00424274" w:rsidRDefault="000C65CE" w:rsidP="000C65CE">
            <w:pPr>
              <w:widowControl/>
              <w:jc w:val="center"/>
              <w:rPr>
                <w:rFonts w:ascii="Arial" w:hAnsi="Arial"/>
                <w:sz w:val="20"/>
                <w:lang w:eastAsia="sl-SI"/>
              </w:rPr>
            </w:pPr>
            <w:r w:rsidRPr="00424274">
              <w:rPr>
                <w:rFonts w:ascii="Arial" w:hAnsi="Arial"/>
                <w:sz w:val="20"/>
                <w:lang w:eastAsia="sl-SI"/>
              </w:rPr>
              <w:t>418</w:t>
            </w:r>
          </w:p>
        </w:tc>
      </w:tr>
      <w:tr w:rsidR="000C65CE" w:rsidRPr="00424274" w14:paraId="189FB274" w14:textId="77777777" w:rsidTr="00C67A40">
        <w:trPr>
          <w:trHeight w:val="330"/>
        </w:trPr>
        <w:tc>
          <w:tcPr>
            <w:tcW w:w="3080" w:type="dxa"/>
            <w:shd w:val="clear" w:color="auto" w:fill="99FF33"/>
            <w:vAlign w:val="center"/>
          </w:tcPr>
          <w:p w14:paraId="13650C4E" w14:textId="77777777" w:rsidR="000C65CE" w:rsidRPr="00424274" w:rsidRDefault="000C65CE" w:rsidP="000C65CE">
            <w:pPr>
              <w:widowControl/>
              <w:jc w:val="left"/>
              <w:rPr>
                <w:rFonts w:ascii="Arial" w:hAnsi="Arial"/>
                <w:sz w:val="20"/>
                <w:lang w:eastAsia="sl-SI"/>
              </w:rPr>
            </w:pPr>
            <w:r w:rsidRPr="00424274">
              <w:rPr>
                <w:rFonts w:ascii="Arial" w:hAnsi="Arial"/>
                <w:sz w:val="20"/>
                <w:lang w:eastAsia="sl-SI"/>
              </w:rPr>
              <w:t>Št. tujih fizičnih oseb</w:t>
            </w:r>
          </w:p>
        </w:tc>
        <w:tc>
          <w:tcPr>
            <w:tcW w:w="1420" w:type="dxa"/>
            <w:vAlign w:val="center"/>
          </w:tcPr>
          <w:p w14:paraId="2695D8FD" w14:textId="77777777" w:rsidR="000C65CE" w:rsidRPr="00424274" w:rsidRDefault="000C65CE" w:rsidP="000C65CE">
            <w:pPr>
              <w:widowControl/>
              <w:jc w:val="center"/>
              <w:rPr>
                <w:rFonts w:ascii="Arial" w:hAnsi="Arial"/>
                <w:sz w:val="20"/>
                <w:lang w:eastAsia="sl-SI"/>
              </w:rPr>
            </w:pPr>
            <w:r w:rsidRPr="00424274">
              <w:rPr>
                <w:rFonts w:ascii="Arial" w:hAnsi="Arial"/>
                <w:sz w:val="20"/>
                <w:lang w:eastAsia="sl-SI"/>
              </w:rPr>
              <w:t>182</w:t>
            </w:r>
          </w:p>
        </w:tc>
        <w:tc>
          <w:tcPr>
            <w:tcW w:w="1420" w:type="dxa"/>
            <w:vAlign w:val="center"/>
          </w:tcPr>
          <w:p w14:paraId="5DB234C8" w14:textId="77777777" w:rsidR="000C65CE" w:rsidRPr="00424274" w:rsidRDefault="000C65CE" w:rsidP="000C65CE">
            <w:pPr>
              <w:widowControl/>
              <w:jc w:val="center"/>
              <w:rPr>
                <w:rFonts w:ascii="Arial" w:hAnsi="Arial"/>
                <w:sz w:val="20"/>
                <w:lang w:eastAsia="sl-SI"/>
              </w:rPr>
            </w:pPr>
            <w:r w:rsidRPr="00424274">
              <w:rPr>
                <w:rFonts w:ascii="Arial" w:hAnsi="Arial"/>
                <w:sz w:val="20"/>
                <w:lang w:eastAsia="sl-SI"/>
              </w:rPr>
              <w:t>329</w:t>
            </w:r>
          </w:p>
        </w:tc>
      </w:tr>
      <w:tr w:rsidR="000C65CE" w:rsidRPr="00424274" w14:paraId="0E97F79C" w14:textId="77777777" w:rsidTr="00C67A40">
        <w:trPr>
          <w:trHeight w:val="330"/>
        </w:trPr>
        <w:tc>
          <w:tcPr>
            <w:tcW w:w="3080" w:type="dxa"/>
            <w:shd w:val="clear" w:color="auto" w:fill="99FF33"/>
            <w:vAlign w:val="center"/>
          </w:tcPr>
          <w:p w14:paraId="418DBECB" w14:textId="77777777" w:rsidR="000C65CE" w:rsidRPr="00424274" w:rsidRDefault="000C65CE" w:rsidP="000C65CE">
            <w:pPr>
              <w:widowControl/>
              <w:jc w:val="left"/>
              <w:rPr>
                <w:rFonts w:ascii="Arial" w:hAnsi="Arial"/>
                <w:sz w:val="20"/>
                <w:lang w:eastAsia="sl-SI"/>
              </w:rPr>
            </w:pPr>
            <w:r w:rsidRPr="00424274">
              <w:rPr>
                <w:rFonts w:ascii="Arial" w:hAnsi="Arial"/>
                <w:sz w:val="20"/>
                <w:lang w:eastAsia="sl-SI"/>
              </w:rPr>
              <w:t>Št. domačih pravnih oseb</w:t>
            </w:r>
          </w:p>
        </w:tc>
        <w:tc>
          <w:tcPr>
            <w:tcW w:w="1420" w:type="dxa"/>
            <w:vAlign w:val="center"/>
          </w:tcPr>
          <w:p w14:paraId="75DD437D" w14:textId="77777777" w:rsidR="000C65CE" w:rsidRPr="00424274" w:rsidRDefault="000C65CE" w:rsidP="000C65CE">
            <w:pPr>
              <w:widowControl/>
              <w:jc w:val="center"/>
              <w:rPr>
                <w:rFonts w:ascii="Arial" w:hAnsi="Arial"/>
                <w:sz w:val="20"/>
                <w:lang w:eastAsia="sl-SI"/>
              </w:rPr>
            </w:pPr>
            <w:r w:rsidRPr="00424274">
              <w:rPr>
                <w:rFonts w:ascii="Arial" w:hAnsi="Arial"/>
                <w:sz w:val="20"/>
                <w:lang w:eastAsia="sl-SI"/>
              </w:rPr>
              <w:t>208</w:t>
            </w:r>
          </w:p>
        </w:tc>
        <w:tc>
          <w:tcPr>
            <w:tcW w:w="1420" w:type="dxa"/>
            <w:vAlign w:val="center"/>
          </w:tcPr>
          <w:p w14:paraId="44731922" w14:textId="77777777" w:rsidR="000C65CE" w:rsidRPr="00424274" w:rsidRDefault="000C65CE" w:rsidP="000C65CE">
            <w:pPr>
              <w:widowControl/>
              <w:jc w:val="center"/>
              <w:rPr>
                <w:rFonts w:ascii="Arial" w:hAnsi="Arial"/>
                <w:sz w:val="20"/>
                <w:lang w:eastAsia="sl-SI"/>
              </w:rPr>
            </w:pPr>
            <w:r w:rsidRPr="00424274">
              <w:rPr>
                <w:rFonts w:ascii="Arial" w:hAnsi="Arial"/>
                <w:sz w:val="20"/>
                <w:lang w:eastAsia="sl-SI"/>
              </w:rPr>
              <w:t>459</w:t>
            </w:r>
          </w:p>
        </w:tc>
      </w:tr>
      <w:tr w:rsidR="000C65CE" w:rsidRPr="00424274" w14:paraId="694AC7D2" w14:textId="77777777" w:rsidTr="00C67A40">
        <w:trPr>
          <w:trHeight w:val="330"/>
        </w:trPr>
        <w:tc>
          <w:tcPr>
            <w:tcW w:w="3080" w:type="dxa"/>
            <w:shd w:val="clear" w:color="auto" w:fill="99FF33"/>
            <w:vAlign w:val="center"/>
          </w:tcPr>
          <w:p w14:paraId="7702CF5F" w14:textId="77777777" w:rsidR="000C65CE" w:rsidRPr="00424274" w:rsidRDefault="000C65CE" w:rsidP="000C65CE">
            <w:pPr>
              <w:widowControl/>
              <w:jc w:val="left"/>
              <w:rPr>
                <w:rFonts w:ascii="Arial" w:hAnsi="Arial"/>
                <w:sz w:val="20"/>
                <w:lang w:eastAsia="sl-SI"/>
              </w:rPr>
            </w:pPr>
            <w:r w:rsidRPr="00424274">
              <w:rPr>
                <w:rFonts w:ascii="Arial" w:hAnsi="Arial"/>
                <w:sz w:val="20"/>
                <w:lang w:eastAsia="sl-SI"/>
              </w:rPr>
              <w:t>Št. tujih pravnih oseb</w:t>
            </w:r>
          </w:p>
        </w:tc>
        <w:tc>
          <w:tcPr>
            <w:tcW w:w="1420" w:type="dxa"/>
            <w:vAlign w:val="center"/>
          </w:tcPr>
          <w:p w14:paraId="41DA5617" w14:textId="77777777" w:rsidR="000C65CE" w:rsidRPr="00424274" w:rsidRDefault="000C65CE" w:rsidP="000C65CE">
            <w:pPr>
              <w:widowControl/>
              <w:jc w:val="center"/>
              <w:rPr>
                <w:rFonts w:ascii="Arial" w:hAnsi="Arial"/>
                <w:sz w:val="20"/>
                <w:lang w:eastAsia="sl-SI"/>
              </w:rPr>
            </w:pPr>
            <w:r w:rsidRPr="00424274">
              <w:rPr>
                <w:rFonts w:ascii="Arial" w:hAnsi="Arial"/>
                <w:sz w:val="20"/>
                <w:lang w:eastAsia="sl-SI"/>
              </w:rPr>
              <w:t>45</w:t>
            </w:r>
          </w:p>
        </w:tc>
        <w:tc>
          <w:tcPr>
            <w:tcW w:w="1420" w:type="dxa"/>
            <w:vAlign w:val="center"/>
          </w:tcPr>
          <w:p w14:paraId="70257D74" w14:textId="77777777" w:rsidR="000C65CE" w:rsidRPr="00424274" w:rsidRDefault="000C65CE" w:rsidP="000C65CE">
            <w:pPr>
              <w:widowControl/>
              <w:jc w:val="center"/>
              <w:rPr>
                <w:rFonts w:ascii="Arial" w:hAnsi="Arial"/>
                <w:sz w:val="20"/>
                <w:lang w:eastAsia="sl-SI"/>
              </w:rPr>
            </w:pPr>
            <w:r w:rsidRPr="00424274">
              <w:rPr>
                <w:rFonts w:ascii="Arial" w:hAnsi="Arial"/>
                <w:sz w:val="20"/>
                <w:lang w:eastAsia="sl-SI"/>
              </w:rPr>
              <w:t>56</w:t>
            </w:r>
          </w:p>
        </w:tc>
      </w:tr>
      <w:tr w:rsidR="000C65CE" w:rsidRPr="00424274" w14:paraId="4DB2EEF1" w14:textId="77777777" w:rsidTr="00C67A40">
        <w:trPr>
          <w:trHeight w:val="330"/>
        </w:trPr>
        <w:tc>
          <w:tcPr>
            <w:tcW w:w="3080" w:type="dxa"/>
            <w:shd w:val="clear" w:color="auto" w:fill="00CCFF"/>
            <w:vAlign w:val="center"/>
          </w:tcPr>
          <w:p w14:paraId="74E0A6B7" w14:textId="77777777" w:rsidR="000C65CE" w:rsidRPr="00424274" w:rsidRDefault="000C65CE" w:rsidP="000C65CE">
            <w:pPr>
              <w:widowControl/>
              <w:jc w:val="left"/>
              <w:rPr>
                <w:rFonts w:ascii="Arial" w:hAnsi="Arial"/>
                <w:b/>
                <w:bCs/>
                <w:sz w:val="20"/>
                <w:lang w:eastAsia="sl-SI"/>
              </w:rPr>
            </w:pPr>
            <w:r w:rsidRPr="00424274">
              <w:rPr>
                <w:rFonts w:ascii="Arial" w:hAnsi="Arial"/>
                <w:b/>
                <w:bCs/>
                <w:sz w:val="20"/>
                <w:lang w:eastAsia="sl-SI"/>
              </w:rPr>
              <w:t>VALUTA</w:t>
            </w:r>
          </w:p>
        </w:tc>
        <w:tc>
          <w:tcPr>
            <w:tcW w:w="1420" w:type="dxa"/>
            <w:shd w:val="clear" w:color="auto" w:fill="00CCFF"/>
            <w:vAlign w:val="center"/>
          </w:tcPr>
          <w:p w14:paraId="6968BC1B" w14:textId="77777777" w:rsidR="000C65CE" w:rsidRPr="00424274" w:rsidRDefault="000C65CE" w:rsidP="000C65CE">
            <w:pPr>
              <w:widowControl/>
              <w:jc w:val="center"/>
              <w:rPr>
                <w:rFonts w:ascii="Arial" w:hAnsi="Arial"/>
                <w:b/>
                <w:sz w:val="20"/>
                <w:lang w:eastAsia="sl-SI"/>
              </w:rPr>
            </w:pPr>
            <w:r w:rsidRPr="00424274">
              <w:rPr>
                <w:rFonts w:ascii="Arial" w:hAnsi="Arial"/>
                <w:b/>
                <w:sz w:val="20"/>
                <w:lang w:eastAsia="sl-SI"/>
              </w:rPr>
              <w:t>ZNESEK</w:t>
            </w:r>
          </w:p>
        </w:tc>
        <w:tc>
          <w:tcPr>
            <w:tcW w:w="1420" w:type="dxa"/>
            <w:shd w:val="clear" w:color="auto" w:fill="00CCFF"/>
            <w:vAlign w:val="center"/>
          </w:tcPr>
          <w:p w14:paraId="72053AF0" w14:textId="77777777" w:rsidR="000C65CE" w:rsidRPr="00424274" w:rsidRDefault="000C65CE" w:rsidP="000C65CE">
            <w:pPr>
              <w:widowControl/>
              <w:jc w:val="center"/>
              <w:rPr>
                <w:rFonts w:ascii="Arial" w:hAnsi="Arial"/>
                <w:b/>
                <w:sz w:val="20"/>
                <w:lang w:eastAsia="sl-SI"/>
              </w:rPr>
            </w:pPr>
            <w:r w:rsidRPr="00424274">
              <w:rPr>
                <w:rFonts w:ascii="Arial" w:hAnsi="Arial"/>
                <w:b/>
                <w:sz w:val="20"/>
                <w:lang w:eastAsia="sl-SI"/>
              </w:rPr>
              <w:t>ZNESEK</w:t>
            </w:r>
          </w:p>
        </w:tc>
      </w:tr>
      <w:tr w:rsidR="000C65CE" w:rsidRPr="00424274" w14:paraId="3995DC90" w14:textId="77777777" w:rsidTr="00C67A40">
        <w:trPr>
          <w:trHeight w:val="330"/>
        </w:trPr>
        <w:tc>
          <w:tcPr>
            <w:tcW w:w="3080" w:type="dxa"/>
            <w:shd w:val="clear" w:color="auto" w:fill="99FF33"/>
            <w:vAlign w:val="center"/>
          </w:tcPr>
          <w:p w14:paraId="648560CD" w14:textId="77777777" w:rsidR="000C65CE" w:rsidRPr="00424274" w:rsidRDefault="000C65CE" w:rsidP="000C65CE">
            <w:pPr>
              <w:widowControl/>
              <w:jc w:val="left"/>
              <w:rPr>
                <w:rFonts w:ascii="Arial" w:hAnsi="Arial"/>
                <w:sz w:val="20"/>
                <w:lang w:eastAsia="sl-SI"/>
              </w:rPr>
            </w:pPr>
            <w:r w:rsidRPr="00424274">
              <w:rPr>
                <w:rFonts w:ascii="Arial" w:hAnsi="Arial"/>
                <w:sz w:val="20"/>
                <w:lang w:eastAsia="sl-SI"/>
              </w:rPr>
              <w:t>EUR</w:t>
            </w:r>
          </w:p>
        </w:tc>
        <w:tc>
          <w:tcPr>
            <w:tcW w:w="1420" w:type="dxa"/>
            <w:vAlign w:val="center"/>
          </w:tcPr>
          <w:p w14:paraId="6BDF7CB9" w14:textId="77777777" w:rsidR="000C65CE" w:rsidRPr="00424274" w:rsidRDefault="000C65CE" w:rsidP="000C65CE">
            <w:pPr>
              <w:widowControl/>
              <w:jc w:val="right"/>
              <w:rPr>
                <w:rFonts w:ascii="Arial" w:hAnsi="Arial"/>
                <w:color w:val="000000"/>
                <w:sz w:val="20"/>
                <w:lang w:eastAsia="sl-SI"/>
              </w:rPr>
            </w:pPr>
            <w:r w:rsidRPr="00424274">
              <w:rPr>
                <w:rFonts w:ascii="Arial" w:hAnsi="Arial"/>
                <w:sz w:val="20"/>
                <w:lang w:eastAsia="sl-SI"/>
              </w:rPr>
              <w:t>227.200.591</w:t>
            </w:r>
          </w:p>
        </w:tc>
        <w:tc>
          <w:tcPr>
            <w:tcW w:w="1420" w:type="dxa"/>
            <w:vAlign w:val="center"/>
          </w:tcPr>
          <w:p w14:paraId="77C0C6C1" w14:textId="77777777" w:rsidR="000C65CE" w:rsidRPr="00424274" w:rsidRDefault="000C65CE" w:rsidP="000C65CE">
            <w:pPr>
              <w:widowControl/>
              <w:jc w:val="right"/>
              <w:rPr>
                <w:rFonts w:ascii="Arial" w:hAnsi="Arial"/>
                <w:sz w:val="20"/>
                <w:lang w:eastAsia="sl-SI"/>
              </w:rPr>
            </w:pPr>
            <w:r w:rsidRPr="00424274">
              <w:rPr>
                <w:rFonts w:ascii="Arial" w:hAnsi="Arial"/>
                <w:sz w:val="20"/>
                <w:lang w:eastAsia="sl-SI"/>
              </w:rPr>
              <w:t>380.186.326</w:t>
            </w:r>
          </w:p>
        </w:tc>
      </w:tr>
      <w:tr w:rsidR="000C65CE" w:rsidRPr="00424274" w14:paraId="4347AF19" w14:textId="77777777" w:rsidTr="00C67A40">
        <w:trPr>
          <w:trHeight w:val="330"/>
        </w:trPr>
        <w:tc>
          <w:tcPr>
            <w:tcW w:w="3080" w:type="dxa"/>
            <w:shd w:val="clear" w:color="auto" w:fill="99FF33"/>
            <w:vAlign w:val="center"/>
          </w:tcPr>
          <w:p w14:paraId="453B634B" w14:textId="77777777" w:rsidR="000C65CE" w:rsidRPr="00424274" w:rsidRDefault="000C65CE" w:rsidP="000C65CE">
            <w:pPr>
              <w:widowControl/>
              <w:jc w:val="left"/>
              <w:rPr>
                <w:rFonts w:ascii="Arial" w:hAnsi="Arial"/>
                <w:sz w:val="20"/>
                <w:lang w:eastAsia="sl-SI"/>
              </w:rPr>
            </w:pPr>
            <w:r w:rsidRPr="00424274">
              <w:rPr>
                <w:rFonts w:ascii="Arial" w:hAnsi="Arial"/>
                <w:sz w:val="20"/>
                <w:lang w:eastAsia="sl-SI"/>
              </w:rPr>
              <w:t>USD</w:t>
            </w:r>
          </w:p>
        </w:tc>
        <w:tc>
          <w:tcPr>
            <w:tcW w:w="1420" w:type="dxa"/>
            <w:vAlign w:val="center"/>
          </w:tcPr>
          <w:p w14:paraId="125D0C11" w14:textId="77777777" w:rsidR="000C65CE" w:rsidRPr="00424274" w:rsidRDefault="000C65CE" w:rsidP="000C65CE">
            <w:pPr>
              <w:widowControl/>
              <w:jc w:val="right"/>
              <w:rPr>
                <w:rFonts w:ascii="Arial" w:hAnsi="Arial"/>
                <w:color w:val="000000"/>
                <w:sz w:val="20"/>
                <w:lang w:eastAsia="sl-SI"/>
              </w:rPr>
            </w:pPr>
            <w:r w:rsidRPr="00424274">
              <w:rPr>
                <w:rFonts w:ascii="Arial" w:hAnsi="Arial"/>
                <w:sz w:val="20"/>
                <w:lang w:eastAsia="sl-SI"/>
              </w:rPr>
              <w:t>448.000</w:t>
            </w:r>
          </w:p>
        </w:tc>
        <w:tc>
          <w:tcPr>
            <w:tcW w:w="1420" w:type="dxa"/>
            <w:vAlign w:val="center"/>
          </w:tcPr>
          <w:p w14:paraId="16A49729" w14:textId="77777777" w:rsidR="000C65CE" w:rsidRPr="00424274" w:rsidRDefault="000C65CE" w:rsidP="000C65CE">
            <w:pPr>
              <w:widowControl/>
              <w:jc w:val="right"/>
              <w:rPr>
                <w:rFonts w:ascii="Arial" w:hAnsi="Arial"/>
                <w:sz w:val="20"/>
                <w:lang w:eastAsia="sl-SI"/>
              </w:rPr>
            </w:pPr>
            <w:r w:rsidRPr="00424274">
              <w:rPr>
                <w:rFonts w:ascii="Arial" w:hAnsi="Arial"/>
                <w:sz w:val="20"/>
                <w:lang w:eastAsia="sl-SI"/>
              </w:rPr>
              <w:t>8.503.146</w:t>
            </w:r>
          </w:p>
        </w:tc>
      </w:tr>
    </w:tbl>
    <w:p w14:paraId="245A3B6C" w14:textId="77777777" w:rsidR="00984938" w:rsidRPr="00424274" w:rsidRDefault="00984938" w:rsidP="00D21F86">
      <w:pPr>
        <w:pStyle w:val="Telobesedila"/>
        <w:spacing w:line="276" w:lineRule="auto"/>
        <w:ind w:right="-23"/>
        <w:rPr>
          <w:rFonts w:ascii="Arial" w:hAnsi="Arial"/>
          <w:sz w:val="20"/>
        </w:rPr>
      </w:pPr>
    </w:p>
    <w:p w14:paraId="6649325F" w14:textId="26552560" w:rsidR="003B675F" w:rsidRPr="00424274" w:rsidRDefault="003B675F" w:rsidP="003B675F">
      <w:pPr>
        <w:pStyle w:val="Telobesedila"/>
        <w:spacing w:line="276" w:lineRule="auto"/>
        <w:ind w:right="-22"/>
        <w:rPr>
          <w:rFonts w:ascii="Arial" w:hAnsi="Arial"/>
          <w:sz w:val="20"/>
        </w:rPr>
      </w:pPr>
      <w:bookmarkStart w:id="62" w:name="_Toc107306491"/>
      <w:bookmarkStart w:id="63" w:name="_Toc135206724"/>
      <w:bookmarkStart w:id="64" w:name="_Toc200524143"/>
      <w:bookmarkStart w:id="65" w:name="_Toc262605340"/>
      <w:r w:rsidRPr="00424274">
        <w:rPr>
          <w:rFonts w:ascii="Arial" w:hAnsi="Arial"/>
          <w:sz w:val="20"/>
        </w:rPr>
        <w:t>Iz medletne primerjave števila udeleženih oseb, v zvezi s katerimi so bili podani razlogi za sum storitve zgoraj navedenih kaznivih dejanj, je ugotoviti, da se je glede na prejšnje leto število obravnavanih oseb skoraj podvojilo, medtem ko je struktura obravnavanih oseb glede na državljanstvo in status ostala na približno enaki ravni. Kljub povečanju števila obravnavanih oseb pa ugotavljamo, da se je povprečno število oseb na izdelek celo zmanjšalo za 8,6</w:t>
      </w:r>
      <w:r w:rsidR="004F25CB">
        <w:rPr>
          <w:rFonts w:ascii="Arial" w:hAnsi="Arial"/>
          <w:sz w:val="20"/>
        </w:rPr>
        <w:t> </w:t>
      </w:r>
      <w:r w:rsidRPr="00424274">
        <w:rPr>
          <w:rFonts w:ascii="Arial" w:hAnsi="Arial"/>
          <w:sz w:val="20"/>
        </w:rPr>
        <w:t xml:space="preserve">%, in sicer </w:t>
      </w:r>
      <w:r w:rsidR="008126B7">
        <w:rPr>
          <w:rFonts w:ascii="Arial" w:hAnsi="Arial"/>
          <w:sz w:val="20"/>
        </w:rPr>
        <w:t>s</w:t>
      </w:r>
      <w:r w:rsidRPr="00424274">
        <w:rPr>
          <w:rFonts w:ascii="Arial" w:hAnsi="Arial"/>
          <w:sz w:val="20"/>
        </w:rPr>
        <w:t xml:space="preserve"> 3,9 oseb</w:t>
      </w:r>
      <w:r w:rsidR="008126B7">
        <w:rPr>
          <w:rFonts w:ascii="Arial" w:hAnsi="Arial"/>
          <w:sz w:val="20"/>
        </w:rPr>
        <w:t>e</w:t>
      </w:r>
      <w:r w:rsidRPr="00424274">
        <w:rPr>
          <w:rFonts w:ascii="Arial" w:hAnsi="Arial"/>
          <w:sz w:val="20"/>
        </w:rPr>
        <w:t xml:space="preserve"> na 3,6 obravnavane osebe na izdelek. Skup</w:t>
      </w:r>
      <w:r w:rsidR="008126B7">
        <w:rPr>
          <w:rFonts w:ascii="Arial" w:hAnsi="Arial"/>
          <w:sz w:val="20"/>
        </w:rPr>
        <w:t>ni</w:t>
      </w:r>
      <w:r w:rsidRPr="00424274">
        <w:rPr>
          <w:rFonts w:ascii="Arial" w:hAnsi="Arial"/>
          <w:sz w:val="20"/>
        </w:rPr>
        <w:t xml:space="preserve"> znesek je narasel za 67</w:t>
      </w:r>
      <w:r w:rsidR="004F25CB">
        <w:rPr>
          <w:rFonts w:ascii="Arial" w:hAnsi="Arial"/>
          <w:sz w:val="20"/>
        </w:rPr>
        <w:t> </w:t>
      </w:r>
      <w:r w:rsidRPr="00424274">
        <w:rPr>
          <w:rFonts w:ascii="Arial" w:hAnsi="Arial"/>
          <w:sz w:val="20"/>
        </w:rPr>
        <w:t xml:space="preserve">%, pri čemer pa se je povprečni znesek po izdelku celo znižal za 20 %. </w:t>
      </w:r>
    </w:p>
    <w:p w14:paraId="211E5AEA" w14:textId="77777777" w:rsidR="003B675F" w:rsidRPr="00424274" w:rsidRDefault="003B675F" w:rsidP="003B675F">
      <w:pPr>
        <w:pStyle w:val="Telobesedila"/>
        <w:spacing w:line="276" w:lineRule="auto"/>
        <w:ind w:right="-22"/>
        <w:rPr>
          <w:rFonts w:ascii="Arial" w:hAnsi="Arial"/>
          <w:sz w:val="20"/>
        </w:rPr>
      </w:pPr>
    </w:p>
    <w:p w14:paraId="2492907C" w14:textId="47CD5DBA" w:rsidR="003B675F" w:rsidRPr="00424274" w:rsidRDefault="003B675F" w:rsidP="003B675F">
      <w:pPr>
        <w:pStyle w:val="Telobesedila"/>
        <w:spacing w:line="276" w:lineRule="auto"/>
        <w:ind w:right="-22"/>
        <w:rPr>
          <w:rFonts w:ascii="Arial" w:hAnsi="Arial"/>
          <w:bCs/>
          <w:sz w:val="20"/>
        </w:rPr>
      </w:pPr>
      <w:r w:rsidRPr="00424274">
        <w:rPr>
          <w:rFonts w:ascii="Arial" w:hAnsi="Arial"/>
          <w:sz w:val="20"/>
        </w:rPr>
        <w:t>Kot smo navedli</w:t>
      </w:r>
      <w:r w:rsidR="00814A21">
        <w:rPr>
          <w:rFonts w:ascii="Arial" w:hAnsi="Arial"/>
          <w:sz w:val="20"/>
        </w:rPr>
        <w:t>,</w:t>
      </w:r>
      <w:r w:rsidRPr="00424274">
        <w:rPr>
          <w:rFonts w:ascii="Arial" w:hAnsi="Arial"/>
          <w:sz w:val="20"/>
        </w:rPr>
        <w:t xml:space="preserve"> je </w:t>
      </w:r>
      <w:r w:rsidR="00814A21">
        <w:rPr>
          <w:rFonts w:ascii="Arial" w:hAnsi="Arial"/>
          <w:sz w:val="20"/>
        </w:rPr>
        <w:t>u</w:t>
      </w:r>
      <w:r w:rsidRPr="00424274">
        <w:rPr>
          <w:rFonts w:ascii="Arial" w:hAnsi="Arial"/>
          <w:sz w:val="20"/>
        </w:rPr>
        <w:t xml:space="preserve">rad pristojne organe največkrat obveščal o ugotovitvah, ki so se nanašale na sume storitve kaznivega dejanja davčne zatajitve po 249. členu KZ-1, o čemer je </w:t>
      </w:r>
      <w:r w:rsidR="00E544D8">
        <w:rPr>
          <w:rFonts w:ascii="Arial" w:hAnsi="Arial"/>
          <w:sz w:val="20"/>
        </w:rPr>
        <w:t>poslal</w:t>
      </w:r>
      <w:r w:rsidR="00E544D8" w:rsidRPr="00424274">
        <w:rPr>
          <w:rFonts w:ascii="Arial" w:hAnsi="Arial"/>
          <w:sz w:val="20"/>
        </w:rPr>
        <w:t xml:space="preserve"> </w:t>
      </w:r>
      <w:r w:rsidRPr="00424274">
        <w:rPr>
          <w:rFonts w:ascii="Arial" w:hAnsi="Arial"/>
          <w:sz w:val="20"/>
        </w:rPr>
        <w:t xml:space="preserve">FURS in </w:t>
      </w:r>
      <w:r w:rsidR="004728ED">
        <w:rPr>
          <w:rFonts w:ascii="Arial" w:hAnsi="Arial"/>
          <w:sz w:val="20"/>
        </w:rPr>
        <w:t>p</w:t>
      </w:r>
      <w:r w:rsidRPr="00424274">
        <w:rPr>
          <w:rFonts w:ascii="Arial" w:hAnsi="Arial"/>
          <w:sz w:val="20"/>
        </w:rPr>
        <w:t>oliciji 241 pisnih informacij. V teh informacijah smo ocenili, da v zvezi s sredstvi v višini 301.633.984 EUR in 360.000 USD obstajajo razlogi za sum storitve kaznivega dejanja davčne zatajitve po 249. členu KZ-1, pri čemer naj bi ta znesek po naši oceni predstavljal osnovo za izračun davčnih obveznosti. V točki 3.1.</w:t>
      </w:r>
      <w:r w:rsidR="000F3EA2" w:rsidRPr="00424274">
        <w:rPr>
          <w:rFonts w:ascii="Arial" w:hAnsi="Arial"/>
          <w:sz w:val="20"/>
        </w:rPr>
        <w:t>7</w:t>
      </w:r>
      <w:r w:rsidRPr="00424274">
        <w:rPr>
          <w:rFonts w:ascii="Arial" w:hAnsi="Arial"/>
          <w:sz w:val="20"/>
        </w:rPr>
        <w:t xml:space="preserve"> predstavljamo podrobnosti o ugotovitvah FURS v zvezi s temi informacijami.</w:t>
      </w:r>
    </w:p>
    <w:p w14:paraId="0A475896" w14:textId="0006D8D9" w:rsidR="00D937A2" w:rsidRPr="00424274" w:rsidRDefault="00292A8B" w:rsidP="006D5A5A">
      <w:pPr>
        <w:pStyle w:val="Naslov3"/>
      </w:pPr>
      <w:bookmarkStart w:id="66" w:name="_Toc113535460"/>
      <w:r w:rsidRPr="00424274">
        <w:t xml:space="preserve">3.1.6 </w:t>
      </w:r>
      <w:r w:rsidR="00D937A2" w:rsidRPr="00424274">
        <w:t>Analiza informacij</w:t>
      </w:r>
      <w:bookmarkEnd w:id="66"/>
    </w:p>
    <w:p w14:paraId="6E1E17A7" w14:textId="77777777" w:rsidR="00355A95" w:rsidRPr="00424274" w:rsidRDefault="00355A95" w:rsidP="00D21F86">
      <w:pPr>
        <w:spacing w:line="276" w:lineRule="auto"/>
        <w:rPr>
          <w:rFonts w:ascii="Arial" w:hAnsi="Arial"/>
          <w:color w:val="FF0000"/>
          <w:sz w:val="20"/>
        </w:rPr>
      </w:pPr>
    </w:p>
    <w:p w14:paraId="7AB3FCE7" w14:textId="0824C256" w:rsidR="00912E70" w:rsidRPr="00424274" w:rsidRDefault="00912E70" w:rsidP="00FE4A09">
      <w:pPr>
        <w:spacing w:line="276" w:lineRule="auto"/>
        <w:rPr>
          <w:rFonts w:ascii="Arial" w:hAnsi="Arial"/>
          <w:sz w:val="20"/>
        </w:rPr>
      </w:pPr>
      <w:r w:rsidRPr="00424274">
        <w:rPr>
          <w:rFonts w:ascii="Arial" w:hAnsi="Arial"/>
          <w:sz w:val="20"/>
        </w:rPr>
        <w:t xml:space="preserve">Informacije o razlogih za sum storitve drugih kaznivih dejanj, ki niso pranje denarja, predstavljajo pomemben delež v izdelkih </w:t>
      </w:r>
      <w:r w:rsidR="00814A21">
        <w:rPr>
          <w:rFonts w:ascii="Arial" w:hAnsi="Arial"/>
          <w:sz w:val="20"/>
        </w:rPr>
        <w:t>urad</w:t>
      </w:r>
      <w:r w:rsidRPr="00424274">
        <w:rPr>
          <w:rFonts w:ascii="Arial" w:hAnsi="Arial"/>
          <w:sz w:val="20"/>
        </w:rPr>
        <w:t xml:space="preserve">a, zato smo na </w:t>
      </w:r>
      <w:r w:rsidR="00814A21">
        <w:rPr>
          <w:rFonts w:ascii="Arial" w:hAnsi="Arial"/>
          <w:sz w:val="20"/>
        </w:rPr>
        <w:t>urad</w:t>
      </w:r>
      <w:r w:rsidRPr="00424274">
        <w:rPr>
          <w:rFonts w:ascii="Arial" w:hAnsi="Arial"/>
          <w:sz w:val="20"/>
        </w:rPr>
        <w:t>u v letu 2020 izdelali tudi analizo 354 poslanih pisnih informacij. Po opravljeni analizi le</w:t>
      </w:r>
      <w:r w:rsidR="00E544D8">
        <w:rPr>
          <w:rFonts w:ascii="Arial" w:hAnsi="Arial"/>
          <w:sz w:val="20"/>
        </w:rPr>
        <w:t>-</w:t>
      </w:r>
      <w:r w:rsidRPr="00424274">
        <w:rPr>
          <w:rFonts w:ascii="Arial" w:hAnsi="Arial"/>
          <w:sz w:val="20"/>
        </w:rPr>
        <w:t xml:space="preserve">teh smo ugotovili nekatere </w:t>
      </w:r>
      <w:r w:rsidRPr="00424274">
        <w:rPr>
          <w:rFonts w:ascii="Arial" w:hAnsi="Arial"/>
          <w:bCs/>
          <w:iCs/>
          <w:sz w:val="20"/>
        </w:rPr>
        <w:t>skupne značilnosti,</w:t>
      </w:r>
      <w:r w:rsidRPr="00424274">
        <w:rPr>
          <w:rFonts w:ascii="Arial" w:hAnsi="Arial"/>
          <w:sz w:val="20"/>
        </w:rPr>
        <w:t xml:space="preserve"> ki se pojavljajo v več informacijah in predstavljajo tudi neko neobičajno ravnanje obravnavanih pravnih ali fizičnih oseb, ki bi lahko bilo povezano tudi s kaznivimi dejanji, zaradi katerih se odločimo za </w:t>
      </w:r>
      <w:r w:rsidR="00E544D8">
        <w:rPr>
          <w:rFonts w:ascii="Arial" w:hAnsi="Arial"/>
          <w:sz w:val="20"/>
        </w:rPr>
        <w:t>pošiljanje</w:t>
      </w:r>
      <w:r w:rsidR="00E544D8" w:rsidRPr="00424274">
        <w:rPr>
          <w:rFonts w:ascii="Arial" w:hAnsi="Arial"/>
          <w:sz w:val="20"/>
        </w:rPr>
        <w:t xml:space="preserve"> </w:t>
      </w:r>
      <w:r w:rsidRPr="00424274">
        <w:rPr>
          <w:rFonts w:ascii="Arial" w:hAnsi="Arial"/>
          <w:sz w:val="20"/>
        </w:rPr>
        <w:t xml:space="preserve">informacije pristojnim organom (FURS, </w:t>
      </w:r>
      <w:r w:rsidR="004728ED">
        <w:rPr>
          <w:rFonts w:ascii="Arial" w:hAnsi="Arial"/>
          <w:sz w:val="20"/>
        </w:rPr>
        <w:t>p</w:t>
      </w:r>
      <w:r w:rsidRPr="00424274">
        <w:rPr>
          <w:rFonts w:ascii="Arial" w:hAnsi="Arial"/>
          <w:sz w:val="20"/>
        </w:rPr>
        <w:t>olicija …). Najpogost</w:t>
      </w:r>
      <w:r w:rsidR="00E544D8">
        <w:rPr>
          <w:rFonts w:ascii="Arial" w:hAnsi="Arial"/>
          <w:sz w:val="20"/>
        </w:rPr>
        <w:t>ejše</w:t>
      </w:r>
      <w:r w:rsidRPr="00424274">
        <w:rPr>
          <w:rFonts w:ascii="Arial" w:hAnsi="Arial"/>
          <w:sz w:val="20"/>
        </w:rPr>
        <w:t xml:space="preserve"> ugotovljene </w:t>
      </w:r>
      <w:r w:rsidRPr="00424274">
        <w:rPr>
          <w:rFonts w:ascii="Arial" w:hAnsi="Arial"/>
          <w:bCs/>
          <w:iCs/>
          <w:sz w:val="20"/>
        </w:rPr>
        <w:t>skupne značilnosti</w:t>
      </w:r>
      <w:r w:rsidRPr="00424274">
        <w:rPr>
          <w:rFonts w:ascii="Arial" w:hAnsi="Arial"/>
          <w:sz w:val="20"/>
        </w:rPr>
        <w:t xml:space="preserve"> so:</w:t>
      </w:r>
    </w:p>
    <w:p w14:paraId="65FA1F54" w14:textId="05401C69" w:rsidR="00912E70" w:rsidRPr="00424274" w:rsidRDefault="00912E70" w:rsidP="00FE4A09">
      <w:pPr>
        <w:pStyle w:val="Odstavekseznama"/>
        <w:numPr>
          <w:ilvl w:val="0"/>
          <w:numId w:val="16"/>
        </w:numPr>
        <w:spacing w:before="80" w:line="276" w:lineRule="auto"/>
        <w:jc w:val="both"/>
        <w:rPr>
          <w:rFonts w:ascii="Arial" w:hAnsi="Arial" w:cs="Arial"/>
          <w:sz w:val="20"/>
          <w:szCs w:val="20"/>
          <w:lang w:val="sl-SI"/>
        </w:rPr>
      </w:pPr>
      <w:r w:rsidRPr="00424274">
        <w:rPr>
          <w:rFonts w:ascii="Arial" w:hAnsi="Arial" w:cs="Arial"/>
          <w:sz w:val="20"/>
          <w:szCs w:val="20"/>
          <w:lang w:val="sl-SI"/>
        </w:rPr>
        <w:t xml:space="preserve">neprijavljeni dohodki </w:t>
      </w:r>
      <w:r w:rsidR="00210B00">
        <w:rPr>
          <w:rFonts w:ascii="Arial" w:hAnsi="Arial" w:cs="Arial"/>
          <w:sz w:val="20"/>
          <w:szCs w:val="20"/>
          <w:lang w:val="sl-SI"/>
        </w:rPr>
        <w:t>oziroma</w:t>
      </w:r>
      <w:r w:rsidRPr="00424274">
        <w:rPr>
          <w:rFonts w:ascii="Arial" w:hAnsi="Arial" w:cs="Arial"/>
          <w:sz w:val="20"/>
          <w:szCs w:val="20"/>
          <w:lang w:val="sl-SI"/>
        </w:rPr>
        <w:t xml:space="preserve"> prihodki iz neregistriranih dejavnosti – ugotovljeno v 119 informacijah,</w:t>
      </w:r>
    </w:p>
    <w:p w14:paraId="4790CBA2" w14:textId="078EA058" w:rsidR="00912E70" w:rsidRPr="00424274" w:rsidRDefault="00912E70" w:rsidP="00FE4A09">
      <w:pPr>
        <w:pStyle w:val="Odstavekseznama"/>
        <w:numPr>
          <w:ilvl w:val="0"/>
          <w:numId w:val="16"/>
        </w:numPr>
        <w:spacing w:before="80" w:line="276" w:lineRule="auto"/>
        <w:jc w:val="both"/>
        <w:rPr>
          <w:rFonts w:ascii="Arial" w:hAnsi="Arial" w:cs="Arial"/>
          <w:sz w:val="20"/>
          <w:szCs w:val="20"/>
          <w:lang w:val="sl-SI"/>
        </w:rPr>
      </w:pPr>
      <w:r w:rsidRPr="00424274">
        <w:rPr>
          <w:rFonts w:ascii="Arial" w:hAnsi="Arial" w:cs="Arial"/>
          <w:sz w:val="20"/>
          <w:szCs w:val="20"/>
          <w:lang w:val="sl-SI"/>
        </w:rPr>
        <w:lastRenderedPageBreak/>
        <w:t>gotovinski dvigi z računa družbe – ugotovljeno v 57 informacijah,</w:t>
      </w:r>
    </w:p>
    <w:p w14:paraId="18E0D1D5" w14:textId="67A62ED3" w:rsidR="00912E70" w:rsidRPr="00424274" w:rsidRDefault="00912E70" w:rsidP="00FE4A09">
      <w:pPr>
        <w:pStyle w:val="Odstavekseznama"/>
        <w:numPr>
          <w:ilvl w:val="0"/>
          <w:numId w:val="16"/>
        </w:numPr>
        <w:spacing w:before="80" w:line="276" w:lineRule="auto"/>
        <w:jc w:val="both"/>
        <w:rPr>
          <w:rFonts w:ascii="Arial" w:hAnsi="Arial" w:cs="Arial"/>
          <w:sz w:val="20"/>
          <w:szCs w:val="20"/>
          <w:lang w:val="sl-SI"/>
        </w:rPr>
      </w:pPr>
      <w:r w:rsidRPr="00424274">
        <w:rPr>
          <w:rFonts w:ascii="Arial" w:hAnsi="Arial" w:cs="Arial"/>
          <w:sz w:val="20"/>
          <w:szCs w:val="20"/>
          <w:lang w:val="sl-SI"/>
        </w:rPr>
        <w:t xml:space="preserve">goljufije </w:t>
      </w:r>
      <w:r w:rsidR="00210B00">
        <w:rPr>
          <w:rFonts w:ascii="Arial" w:hAnsi="Arial" w:cs="Arial"/>
          <w:sz w:val="20"/>
          <w:szCs w:val="20"/>
          <w:lang w:val="sl-SI"/>
        </w:rPr>
        <w:t>oziroma</w:t>
      </w:r>
      <w:r w:rsidRPr="00424274">
        <w:rPr>
          <w:rFonts w:ascii="Arial" w:hAnsi="Arial" w:cs="Arial"/>
          <w:sz w:val="20"/>
          <w:szCs w:val="20"/>
          <w:lang w:val="sl-SI"/>
        </w:rPr>
        <w:t xml:space="preserve"> poskusi goljufij </w:t>
      </w:r>
      <w:r w:rsidR="00E544D8">
        <w:rPr>
          <w:rFonts w:ascii="Arial" w:hAnsi="Arial" w:cs="Arial"/>
          <w:sz w:val="20"/>
          <w:szCs w:val="20"/>
          <w:lang w:val="sl-SI"/>
        </w:rPr>
        <w:t>in</w:t>
      </w:r>
      <w:r w:rsidR="00E544D8" w:rsidRPr="00424274">
        <w:rPr>
          <w:rFonts w:ascii="Arial" w:hAnsi="Arial" w:cs="Arial"/>
          <w:sz w:val="20"/>
          <w:szCs w:val="20"/>
          <w:lang w:val="sl-SI"/>
        </w:rPr>
        <w:t xml:space="preserve"> </w:t>
      </w:r>
      <w:r w:rsidRPr="00424274">
        <w:rPr>
          <w:rFonts w:ascii="Arial" w:hAnsi="Arial" w:cs="Arial"/>
          <w:sz w:val="20"/>
          <w:szCs w:val="20"/>
          <w:lang w:val="sl-SI"/>
        </w:rPr>
        <w:t>zlorabe – ugotovljeno v 48 informacijah,</w:t>
      </w:r>
    </w:p>
    <w:p w14:paraId="03DE92E7" w14:textId="795354C0" w:rsidR="00912E70" w:rsidRPr="00424274" w:rsidRDefault="00912E70" w:rsidP="00FE4A09">
      <w:pPr>
        <w:pStyle w:val="Odstavekseznama"/>
        <w:numPr>
          <w:ilvl w:val="0"/>
          <w:numId w:val="16"/>
        </w:numPr>
        <w:spacing w:before="80" w:line="276" w:lineRule="auto"/>
        <w:jc w:val="both"/>
        <w:rPr>
          <w:rFonts w:ascii="Arial" w:hAnsi="Arial" w:cs="Arial"/>
          <w:sz w:val="20"/>
          <w:szCs w:val="20"/>
          <w:lang w:val="sl-SI"/>
        </w:rPr>
      </w:pPr>
      <w:r w:rsidRPr="00424274">
        <w:rPr>
          <w:rFonts w:ascii="Arial" w:hAnsi="Arial" w:cs="Arial"/>
          <w:sz w:val="20"/>
          <w:szCs w:val="20"/>
          <w:lang w:val="sl-SI"/>
        </w:rPr>
        <w:t xml:space="preserve">mednarodni davčni vrtiljaki </w:t>
      </w:r>
      <w:r w:rsidR="00210B00">
        <w:rPr>
          <w:rFonts w:ascii="Arial" w:hAnsi="Arial" w:cs="Arial"/>
          <w:sz w:val="20"/>
          <w:szCs w:val="20"/>
          <w:lang w:val="sl-SI"/>
        </w:rPr>
        <w:t>oziroma</w:t>
      </w:r>
      <w:r w:rsidRPr="00424274">
        <w:rPr>
          <w:rFonts w:ascii="Arial" w:hAnsi="Arial" w:cs="Arial"/>
          <w:sz w:val="20"/>
          <w:szCs w:val="20"/>
          <w:lang w:val="sl-SI"/>
        </w:rPr>
        <w:t xml:space="preserve"> uporaba kanalskih podjetij – ugotovljeno v 40 informacijah,</w:t>
      </w:r>
    </w:p>
    <w:p w14:paraId="0CB65614" w14:textId="0CE74277" w:rsidR="00912E70" w:rsidRPr="00424274" w:rsidRDefault="00912E70" w:rsidP="00FE4A09">
      <w:pPr>
        <w:pStyle w:val="Odstavekseznama"/>
        <w:numPr>
          <w:ilvl w:val="0"/>
          <w:numId w:val="16"/>
        </w:numPr>
        <w:spacing w:before="80" w:line="276" w:lineRule="auto"/>
        <w:jc w:val="both"/>
        <w:rPr>
          <w:rFonts w:ascii="Arial" w:hAnsi="Arial" w:cs="Arial"/>
          <w:sz w:val="20"/>
          <w:szCs w:val="20"/>
          <w:lang w:val="sl-SI"/>
        </w:rPr>
      </w:pPr>
      <w:r w:rsidRPr="00424274">
        <w:rPr>
          <w:rFonts w:ascii="Arial" w:hAnsi="Arial" w:cs="Arial"/>
          <w:sz w:val="20"/>
          <w:szCs w:val="20"/>
          <w:lang w:val="sl-SI"/>
        </w:rPr>
        <w:t xml:space="preserve">odlivi sredstev na račune fizičnih oseb, </w:t>
      </w:r>
      <w:r w:rsidR="00E544D8">
        <w:rPr>
          <w:rFonts w:ascii="Arial" w:hAnsi="Arial" w:cs="Arial"/>
          <w:sz w:val="20"/>
          <w:szCs w:val="20"/>
          <w:lang w:val="sl-SI"/>
        </w:rPr>
        <w:t>ki jim</w:t>
      </w:r>
      <w:r w:rsidR="00E544D8" w:rsidRPr="00424274">
        <w:rPr>
          <w:rFonts w:ascii="Arial" w:hAnsi="Arial" w:cs="Arial"/>
          <w:sz w:val="20"/>
          <w:szCs w:val="20"/>
          <w:lang w:val="sl-SI"/>
        </w:rPr>
        <w:t xml:space="preserve"> </w:t>
      </w:r>
      <w:r w:rsidRPr="00424274">
        <w:rPr>
          <w:rFonts w:ascii="Arial" w:hAnsi="Arial" w:cs="Arial"/>
          <w:sz w:val="20"/>
          <w:szCs w:val="20"/>
          <w:lang w:val="sl-SI"/>
        </w:rPr>
        <w:t>sledijo dvigi gotovine – ugotovljeno v 23 informacijah,</w:t>
      </w:r>
    </w:p>
    <w:p w14:paraId="4A10EC8C" w14:textId="38867A5C" w:rsidR="00912E70" w:rsidRPr="00424274" w:rsidRDefault="00912E70" w:rsidP="00FE4A09">
      <w:pPr>
        <w:pStyle w:val="Odstavekseznama"/>
        <w:numPr>
          <w:ilvl w:val="0"/>
          <w:numId w:val="16"/>
        </w:numPr>
        <w:spacing w:before="80" w:line="276" w:lineRule="auto"/>
        <w:jc w:val="both"/>
        <w:rPr>
          <w:rFonts w:ascii="Arial" w:hAnsi="Arial" w:cs="Arial"/>
          <w:sz w:val="20"/>
          <w:szCs w:val="20"/>
          <w:lang w:val="sl-SI"/>
        </w:rPr>
      </w:pPr>
      <w:r w:rsidRPr="00424274">
        <w:rPr>
          <w:rFonts w:ascii="Arial" w:hAnsi="Arial" w:cs="Arial"/>
          <w:sz w:val="20"/>
          <w:szCs w:val="20"/>
          <w:lang w:val="sl-SI"/>
        </w:rPr>
        <w:t>kroženje sredstev – ugotovljeno v 15 informacijah</w:t>
      </w:r>
      <w:r w:rsidR="00DF64F4" w:rsidRPr="00424274">
        <w:rPr>
          <w:rFonts w:ascii="Arial" w:hAnsi="Arial" w:cs="Arial"/>
          <w:sz w:val="20"/>
          <w:szCs w:val="20"/>
          <w:lang w:val="sl-SI"/>
        </w:rPr>
        <w:t>,</w:t>
      </w:r>
    </w:p>
    <w:p w14:paraId="064F81F1" w14:textId="1EED7453" w:rsidR="00912E70" w:rsidRPr="00424274" w:rsidRDefault="00912E70" w:rsidP="00FE4A09">
      <w:pPr>
        <w:pStyle w:val="Odstavekseznama"/>
        <w:numPr>
          <w:ilvl w:val="0"/>
          <w:numId w:val="16"/>
        </w:numPr>
        <w:spacing w:before="80" w:line="276" w:lineRule="auto"/>
        <w:jc w:val="both"/>
        <w:rPr>
          <w:rFonts w:ascii="Arial" w:hAnsi="Arial" w:cs="Arial"/>
          <w:sz w:val="20"/>
          <w:szCs w:val="20"/>
          <w:lang w:val="sl-SI"/>
        </w:rPr>
      </w:pPr>
      <w:r w:rsidRPr="00424274">
        <w:rPr>
          <w:rFonts w:ascii="Arial" w:hAnsi="Arial"/>
          <w:sz w:val="20"/>
          <w:lang w:val="sl-SI"/>
        </w:rPr>
        <w:t>izogibanje plačevanja obveznosti – ugotovljeno v 15 informacijah,</w:t>
      </w:r>
    </w:p>
    <w:p w14:paraId="3338AE2D" w14:textId="510B62FB" w:rsidR="00912E70" w:rsidRPr="00424274" w:rsidRDefault="00912E70" w:rsidP="00FE4A09">
      <w:pPr>
        <w:pStyle w:val="Odstavekseznama"/>
        <w:numPr>
          <w:ilvl w:val="0"/>
          <w:numId w:val="16"/>
        </w:numPr>
        <w:spacing w:before="80" w:line="276" w:lineRule="auto"/>
        <w:jc w:val="both"/>
        <w:rPr>
          <w:rFonts w:ascii="Arial" w:hAnsi="Arial" w:cs="Arial"/>
          <w:sz w:val="20"/>
          <w:szCs w:val="20"/>
          <w:lang w:val="sl-SI"/>
        </w:rPr>
      </w:pPr>
      <w:r w:rsidRPr="00424274">
        <w:rPr>
          <w:rFonts w:ascii="Arial" w:hAnsi="Arial"/>
          <w:sz w:val="20"/>
          <w:lang w:val="sl-SI"/>
        </w:rPr>
        <w:t>transakcije</w:t>
      </w:r>
      <w:r w:rsidR="00E544D8">
        <w:rPr>
          <w:rFonts w:ascii="Arial" w:hAnsi="Arial"/>
          <w:sz w:val="20"/>
          <w:lang w:val="sl-SI"/>
        </w:rPr>
        <w:t>,</w:t>
      </w:r>
      <w:r w:rsidRPr="00424274">
        <w:rPr>
          <w:rFonts w:ascii="Arial" w:hAnsi="Arial"/>
          <w:sz w:val="20"/>
          <w:lang w:val="sl-SI"/>
        </w:rPr>
        <w:t xml:space="preserve"> povezane s prepovedanim prehodom meje ali ozemlja države – ugotovljeno v </w:t>
      </w:r>
      <w:r w:rsidR="008126B7">
        <w:rPr>
          <w:rFonts w:ascii="Arial" w:hAnsi="Arial"/>
          <w:sz w:val="20"/>
          <w:lang w:val="sl-SI"/>
        </w:rPr>
        <w:t>devetih</w:t>
      </w:r>
      <w:r w:rsidRPr="00424274">
        <w:rPr>
          <w:rFonts w:ascii="Arial" w:hAnsi="Arial"/>
          <w:sz w:val="20"/>
          <w:lang w:val="sl-SI"/>
        </w:rPr>
        <w:t xml:space="preserve"> informacijah,</w:t>
      </w:r>
    </w:p>
    <w:p w14:paraId="207ED3F5" w14:textId="3CE10A34" w:rsidR="00912E70" w:rsidRPr="00424274" w:rsidRDefault="00912E70" w:rsidP="00FE4A09">
      <w:pPr>
        <w:pStyle w:val="Odstavekseznama"/>
        <w:numPr>
          <w:ilvl w:val="0"/>
          <w:numId w:val="16"/>
        </w:numPr>
        <w:spacing w:before="80" w:line="276" w:lineRule="auto"/>
        <w:jc w:val="both"/>
        <w:rPr>
          <w:rFonts w:ascii="Arial" w:hAnsi="Arial" w:cs="Arial"/>
          <w:sz w:val="20"/>
          <w:szCs w:val="20"/>
          <w:lang w:val="sl-SI"/>
        </w:rPr>
      </w:pPr>
      <w:r w:rsidRPr="00424274">
        <w:rPr>
          <w:rFonts w:ascii="Arial" w:hAnsi="Arial" w:cs="Arial"/>
          <w:sz w:val="20"/>
          <w:szCs w:val="20"/>
          <w:lang w:val="sl-SI"/>
        </w:rPr>
        <w:t xml:space="preserve">kršitev omejevalnih ukrepov – ugotovljeno v </w:t>
      </w:r>
      <w:r w:rsidR="008126B7">
        <w:rPr>
          <w:rFonts w:ascii="Arial" w:hAnsi="Arial" w:cs="Arial"/>
          <w:sz w:val="20"/>
          <w:szCs w:val="20"/>
          <w:lang w:val="sl-SI"/>
        </w:rPr>
        <w:t>eni</w:t>
      </w:r>
      <w:r w:rsidRPr="00424274">
        <w:rPr>
          <w:rFonts w:ascii="Arial" w:hAnsi="Arial" w:cs="Arial"/>
          <w:sz w:val="20"/>
          <w:szCs w:val="20"/>
          <w:lang w:val="sl-SI"/>
        </w:rPr>
        <w:t xml:space="preserve"> informaciji.</w:t>
      </w:r>
    </w:p>
    <w:p w14:paraId="689BBA24" w14:textId="77777777" w:rsidR="00912E70" w:rsidRPr="00424274" w:rsidRDefault="00912E70" w:rsidP="00DF64F4">
      <w:pPr>
        <w:spacing w:before="80" w:line="276" w:lineRule="auto"/>
        <w:rPr>
          <w:rFonts w:ascii="Arial" w:hAnsi="Arial"/>
          <w:bCs/>
          <w:color w:val="000000"/>
          <w:sz w:val="20"/>
          <w:highlight w:val="yellow"/>
          <w:lang w:eastAsia="sl-SI"/>
        </w:rPr>
      </w:pPr>
    </w:p>
    <w:p w14:paraId="3940E227" w14:textId="2051509F" w:rsidR="00912E70" w:rsidRPr="00424274" w:rsidRDefault="00912E70" w:rsidP="00DF64F4">
      <w:pPr>
        <w:spacing w:line="276" w:lineRule="auto"/>
        <w:rPr>
          <w:rFonts w:ascii="Arial" w:hAnsi="Arial"/>
          <w:sz w:val="20"/>
        </w:rPr>
      </w:pPr>
      <w:r w:rsidRPr="00424274">
        <w:rPr>
          <w:rFonts w:ascii="Arial" w:hAnsi="Arial"/>
          <w:b/>
          <w:i/>
          <w:sz w:val="20"/>
        </w:rPr>
        <w:t xml:space="preserve">Neprijavljeni prihodki </w:t>
      </w:r>
      <w:r w:rsidR="00210B00">
        <w:rPr>
          <w:rFonts w:ascii="Arial" w:hAnsi="Arial"/>
          <w:b/>
          <w:i/>
          <w:sz w:val="20"/>
        </w:rPr>
        <w:t>oziroma</w:t>
      </w:r>
      <w:r w:rsidRPr="00424274">
        <w:rPr>
          <w:rFonts w:ascii="Arial" w:hAnsi="Arial"/>
          <w:b/>
          <w:i/>
          <w:sz w:val="20"/>
        </w:rPr>
        <w:t xml:space="preserve"> prihodki iz neregistriranih dejavnost</w:t>
      </w:r>
      <w:r w:rsidR="00B646C7" w:rsidRPr="00424274">
        <w:rPr>
          <w:rFonts w:ascii="Arial" w:hAnsi="Arial"/>
          <w:b/>
          <w:i/>
          <w:sz w:val="20"/>
        </w:rPr>
        <w:t xml:space="preserve">i </w:t>
      </w:r>
      <w:r w:rsidRPr="00424274">
        <w:rPr>
          <w:rFonts w:ascii="Arial" w:hAnsi="Arial"/>
          <w:sz w:val="20"/>
        </w:rPr>
        <w:t>se običajno zaznajo v informacijah, kjer se iz analize prometa na računih fizičnih in pravnih oseb ugotovi nesorazmerje med prihodki (premoženjem), ki jih te osebe prijavijo pristojnim organom (FURS)</w:t>
      </w:r>
      <w:r w:rsidR="00E544D8">
        <w:rPr>
          <w:rFonts w:ascii="Arial" w:hAnsi="Arial"/>
          <w:sz w:val="20"/>
        </w:rPr>
        <w:t>,</w:t>
      </w:r>
      <w:r w:rsidRPr="00424274">
        <w:rPr>
          <w:rFonts w:ascii="Arial" w:hAnsi="Arial"/>
          <w:sz w:val="20"/>
        </w:rPr>
        <w:t xml:space="preserve"> in dejanskim prometom na računih. Razliko med tema kategorijama lahko predstavljajo neprijavljeni prihodki, ki lahko vsebujejo tudi elemente kaznivega dejanja davčne zatajitve. V teh primerih je iz prometa na računih fizičnih in pravnih oseb razvidno bistveno odstopanje od običajnega prometa, kot je viden na računih drugih fizičnih ali pravnih oseb. Pogosta zaznana oblika neprijavljenih prihodkov je tudi poslovanje na nerezidenčnih računih tujih pravnih ali fizičnih oseb v RS, kjer se s tem poslovanjem najverjetneje prikrijejo dejanski prihodki pred pristojnimi organi v državah, kjer je pravna oseba registrirana ali katere rezident je fizična oseba.</w:t>
      </w:r>
    </w:p>
    <w:p w14:paraId="0930BB4D" w14:textId="77777777" w:rsidR="00912E70" w:rsidRPr="00424274" w:rsidRDefault="00912E70" w:rsidP="00912E70">
      <w:pPr>
        <w:rPr>
          <w:rFonts w:ascii="Arial" w:hAnsi="Arial"/>
          <w:b/>
          <w:i/>
          <w:sz w:val="20"/>
        </w:rPr>
      </w:pPr>
    </w:p>
    <w:p w14:paraId="2D8E373D" w14:textId="6A8EB488" w:rsidR="00912E70" w:rsidRPr="00424274" w:rsidRDefault="00912E70" w:rsidP="00DF64F4">
      <w:pPr>
        <w:spacing w:line="276" w:lineRule="auto"/>
        <w:rPr>
          <w:rFonts w:ascii="Arial" w:hAnsi="Arial"/>
          <w:sz w:val="20"/>
        </w:rPr>
      </w:pPr>
      <w:r w:rsidRPr="00424274">
        <w:rPr>
          <w:rFonts w:ascii="Arial" w:hAnsi="Arial"/>
          <w:sz w:val="20"/>
        </w:rPr>
        <w:t xml:space="preserve">V obravnavanih primerih informacij, kjer je prišlo do </w:t>
      </w:r>
      <w:r w:rsidRPr="00424274">
        <w:rPr>
          <w:rFonts w:ascii="Arial" w:hAnsi="Arial"/>
          <w:b/>
          <w:i/>
          <w:sz w:val="20"/>
        </w:rPr>
        <w:t xml:space="preserve">gotovinskih dvigov z </w:t>
      </w:r>
      <w:r w:rsidR="008257F3">
        <w:rPr>
          <w:rFonts w:ascii="Arial" w:hAnsi="Arial"/>
          <w:b/>
          <w:i/>
          <w:sz w:val="20"/>
        </w:rPr>
        <w:t xml:space="preserve">bančnega </w:t>
      </w:r>
      <w:r w:rsidRPr="00424274">
        <w:rPr>
          <w:rFonts w:ascii="Arial" w:hAnsi="Arial"/>
          <w:b/>
          <w:i/>
          <w:sz w:val="20"/>
        </w:rPr>
        <w:t>računa družbe</w:t>
      </w:r>
      <w:r w:rsidRPr="00424274">
        <w:rPr>
          <w:rFonts w:ascii="Arial" w:hAnsi="Arial"/>
          <w:sz w:val="20"/>
        </w:rPr>
        <w:t xml:space="preserve">, je bila po naši oceni zaznana tudi uporaba slamnatih družb oziroma družb tipa </w:t>
      </w:r>
      <w:r w:rsidRPr="00424274">
        <w:rPr>
          <w:rFonts w:ascii="Arial" w:hAnsi="Arial"/>
          <w:i/>
          <w:sz w:val="20"/>
        </w:rPr>
        <w:t>»</w:t>
      </w:r>
      <w:proofErr w:type="spellStart"/>
      <w:r w:rsidRPr="00424274">
        <w:rPr>
          <w:rFonts w:ascii="Arial" w:hAnsi="Arial"/>
          <w:i/>
          <w:sz w:val="20"/>
        </w:rPr>
        <w:t>missing</w:t>
      </w:r>
      <w:proofErr w:type="spellEnd"/>
      <w:r w:rsidRPr="00424274">
        <w:rPr>
          <w:rFonts w:ascii="Arial" w:hAnsi="Arial"/>
          <w:i/>
          <w:sz w:val="20"/>
        </w:rPr>
        <w:t xml:space="preserve"> </w:t>
      </w:r>
      <w:proofErr w:type="spellStart"/>
      <w:r w:rsidRPr="00424274">
        <w:rPr>
          <w:rFonts w:ascii="Arial" w:hAnsi="Arial"/>
          <w:i/>
          <w:sz w:val="20"/>
        </w:rPr>
        <w:t>trader</w:t>
      </w:r>
      <w:proofErr w:type="spellEnd"/>
      <w:r w:rsidRPr="00424274">
        <w:rPr>
          <w:rFonts w:ascii="Arial" w:hAnsi="Arial"/>
          <w:i/>
          <w:sz w:val="20"/>
        </w:rPr>
        <w:t>«,</w:t>
      </w:r>
      <w:r w:rsidRPr="00424274">
        <w:rPr>
          <w:rFonts w:ascii="Arial" w:hAnsi="Arial"/>
          <w:sz w:val="20"/>
        </w:rPr>
        <w:t xml:space="preserve"> ki so lahko ustanovljene tudi za izvrševanje spornih transakcij, največkrat povezanih s kaznivimi dejanji davčne zatajitve ter zlorabe položaja ali zaupanja pri gospodarski dejavnosti. </w:t>
      </w:r>
    </w:p>
    <w:p w14:paraId="43E9F6D4" w14:textId="77777777" w:rsidR="00912E70" w:rsidRPr="00424274" w:rsidRDefault="00912E70" w:rsidP="00912E70">
      <w:pPr>
        <w:rPr>
          <w:rFonts w:ascii="Arial" w:hAnsi="Arial"/>
          <w:b/>
          <w:i/>
          <w:sz w:val="20"/>
        </w:rPr>
      </w:pPr>
    </w:p>
    <w:p w14:paraId="01AEEA6D" w14:textId="1A03D999" w:rsidR="00912E70" w:rsidRPr="00424274" w:rsidRDefault="00912E70" w:rsidP="00B646C7">
      <w:pPr>
        <w:spacing w:line="276" w:lineRule="auto"/>
        <w:rPr>
          <w:rFonts w:ascii="Arial" w:hAnsi="Arial"/>
          <w:sz w:val="20"/>
        </w:rPr>
      </w:pPr>
      <w:r w:rsidRPr="00424274">
        <w:rPr>
          <w:rFonts w:ascii="Arial" w:hAnsi="Arial"/>
          <w:b/>
          <w:i/>
          <w:sz w:val="20"/>
        </w:rPr>
        <w:t xml:space="preserve">Goljufije </w:t>
      </w:r>
      <w:r w:rsidR="00210B00">
        <w:rPr>
          <w:rFonts w:ascii="Arial" w:hAnsi="Arial"/>
          <w:b/>
          <w:i/>
          <w:sz w:val="20"/>
        </w:rPr>
        <w:t>oziroma</w:t>
      </w:r>
      <w:r w:rsidRPr="00424274">
        <w:rPr>
          <w:rFonts w:ascii="Arial" w:hAnsi="Arial"/>
          <w:b/>
          <w:i/>
          <w:sz w:val="20"/>
        </w:rPr>
        <w:t xml:space="preserve"> poskusi goljufij in zlorabe </w:t>
      </w:r>
      <w:r w:rsidRPr="00424274">
        <w:rPr>
          <w:rFonts w:ascii="Arial" w:hAnsi="Arial"/>
          <w:sz w:val="20"/>
        </w:rPr>
        <w:t xml:space="preserve">se izvršujejo na </w:t>
      </w:r>
      <w:r w:rsidR="00E544D8">
        <w:rPr>
          <w:rFonts w:ascii="Arial" w:hAnsi="Arial"/>
          <w:sz w:val="20"/>
        </w:rPr>
        <w:t>zelo</w:t>
      </w:r>
      <w:r w:rsidR="00E544D8" w:rsidRPr="00424274">
        <w:rPr>
          <w:rFonts w:ascii="Arial" w:hAnsi="Arial"/>
          <w:sz w:val="20"/>
        </w:rPr>
        <w:t xml:space="preserve"> </w:t>
      </w:r>
      <w:r w:rsidRPr="00424274">
        <w:rPr>
          <w:rFonts w:ascii="Arial" w:hAnsi="Arial"/>
          <w:sz w:val="20"/>
        </w:rPr>
        <w:t>različne načine. Pogosti so primeri goljufij</w:t>
      </w:r>
      <w:r w:rsidR="00E544D8">
        <w:rPr>
          <w:rFonts w:ascii="Arial" w:hAnsi="Arial"/>
          <w:sz w:val="20"/>
        </w:rPr>
        <w:t>,</w:t>
      </w:r>
      <w:r w:rsidRPr="00424274">
        <w:rPr>
          <w:rFonts w:ascii="Arial" w:hAnsi="Arial"/>
          <w:sz w:val="20"/>
        </w:rPr>
        <w:t xml:space="preserve"> povezani z napadi na informacijske sisteme družb in pošiljanjem lažnih elektronskih sporočil (direktorske goljufije, BEC goljufije), sledijo primeri goljufij</w:t>
      </w:r>
      <w:r w:rsidR="008126B7">
        <w:rPr>
          <w:rFonts w:ascii="Arial" w:hAnsi="Arial"/>
          <w:sz w:val="20"/>
        </w:rPr>
        <w:t>,</w:t>
      </w:r>
      <w:r w:rsidRPr="00424274">
        <w:rPr>
          <w:rFonts w:ascii="Arial" w:hAnsi="Arial"/>
          <w:sz w:val="20"/>
        </w:rPr>
        <w:t xml:space="preserve"> povezani z lažno prodajo blaga in storitev, primeri tako imenovanih »nigerijskih goljufij« ter redkejši primeri organiziranja denarnih verig in nedovoljenih iger na srečo. Zaznani so bili tudi primeri fizičnih oseb, ki na finančnih institucijah predložijo v unovčitev čeke ali menice, tudi iz tujine, ki nimajo kritja in za katere se pri nadaljnjem preverjanju izkaže, da so ponarejeni. Novost </w:t>
      </w:r>
      <w:r w:rsidR="008126B7">
        <w:rPr>
          <w:rFonts w:ascii="Arial" w:hAnsi="Arial"/>
          <w:sz w:val="20"/>
        </w:rPr>
        <w:t>so</w:t>
      </w:r>
      <w:r w:rsidR="008126B7" w:rsidRPr="00424274">
        <w:rPr>
          <w:rFonts w:ascii="Arial" w:hAnsi="Arial"/>
          <w:sz w:val="20"/>
        </w:rPr>
        <w:t xml:space="preserve"> </w:t>
      </w:r>
      <w:r w:rsidRPr="00424274">
        <w:rPr>
          <w:rFonts w:ascii="Arial" w:hAnsi="Arial"/>
          <w:sz w:val="20"/>
        </w:rPr>
        <w:t xml:space="preserve">primeri tako imenovanih ljubezenskih goljufij, kjer storilci prek elektronskih sporočil ali socialnih omrežij </w:t>
      </w:r>
      <w:proofErr w:type="spellStart"/>
      <w:r w:rsidRPr="00424274">
        <w:rPr>
          <w:rFonts w:ascii="Arial" w:hAnsi="Arial"/>
          <w:sz w:val="20"/>
        </w:rPr>
        <w:t>z</w:t>
      </w:r>
      <w:r w:rsidR="008126B7">
        <w:rPr>
          <w:rFonts w:ascii="Arial" w:hAnsi="Arial"/>
          <w:sz w:val="20"/>
        </w:rPr>
        <w:t>a</w:t>
      </w:r>
      <w:r w:rsidRPr="00424274">
        <w:rPr>
          <w:rFonts w:ascii="Arial" w:hAnsi="Arial"/>
          <w:sz w:val="20"/>
        </w:rPr>
        <w:t>vedejo</w:t>
      </w:r>
      <w:proofErr w:type="spellEnd"/>
      <w:r w:rsidRPr="00424274">
        <w:rPr>
          <w:rFonts w:ascii="Arial" w:hAnsi="Arial"/>
          <w:sz w:val="20"/>
        </w:rPr>
        <w:t xml:space="preserve"> oškodovance, da jim neupravičeno nakažejo sredstva.</w:t>
      </w:r>
    </w:p>
    <w:p w14:paraId="2E640F0C" w14:textId="77777777" w:rsidR="00912E70" w:rsidRPr="00424274" w:rsidRDefault="00912E70" w:rsidP="00912E70">
      <w:pPr>
        <w:rPr>
          <w:rFonts w:ascii="Arial" w:hAnsi="Arial"/>
          <w:sz w:val="20"/>
        </w:rPr>
      </w:pPr>
    </w:p>
    <w:p w14:paraId="4FA202B9" w14:textId="5EB23917" w:rsidR="00912E70" w:rsidRPr="00424274" w:rsidRDefault="00912E70" w:rsidP="00C25EFF">
      <w:pPr>
        <w:spacing w:line="276" w:lineRule="auto"/>
        <w:rPr>
          <w:rFonts w:ascii="Arial" w:hAnsi="Arial"/>
          <w:i/>
          <w:sz w:val="20"/>
        </w:rPr>
      </w:pPr>
      <w:r w:rsidRPr="00424274">
        <w:rPr>
          <w:rFonts w:ascii="Arial" w:hAnsi="Arial"/>
          <w:b/>
          <w:i/>
          <w:sz w:val="20"/>
        </w:rPr>
        <w:t xml:space="preserve">Mednarodni davčni vrtiljaki </w:t>
      </w:r>
      <w:r w:rsidR="00210B00">
        <w:rPr>
          <w:rFonts w:ascii="Arial" w:hAnsi="Arial"/>
          <w:b/>
          <w:i/>
          <w:sz w:val="20"/>
        </w:rPr>
        <w:t>oziroma</w:t>
      </w:r>
      <w:r w:rsidRPr="00424274">
        <w:rPr>
          <w:rFonts w:ascii="Arial" w:hAnsi="Arial"/>
          <w:b/>
          <w:i/>
          <w:sz w:val="20"/>
        </w:rPr>
        <w:t xml:space="preserve"> uporaba kanalskih družb</w:t>
      </w:r>
      <w:r w:rsidRPr="00424274">
        <w:rPr>
          <w:rFonts w:ascii="Arial" w:hAnsi="Arial"/>
          <w:sz w:val="20"/>
        </w:rPr>
        <w:t xml:space="preserve"> so ugotovljeni v informacijah, kjer zaznamo, da se prek slovenskega računa domače ali tuje družbe izvaja kroženje sredstev iz tujine v Slovenijo in nazaj v tujino. Pogosto zaznamo predvsem prilive sredstev iz sosednjih držav, </w:t>
      </w:r>
      <w:r w:rsidR="008126B7">
        <w:rPr>
          <w:rFonts w:ascii="Arial" w:hAnsi="Arial"/>
          <w:sz w:val="20"/>
        </w:rPr>
        <w:t>ki jim</w:t>
      </w:r>
      <w:r w:rsidR="008126B7" w:rsidRPr="00424274">
        <w:rPr>
          <w:rFonts w:ascii="Arial" w:hAnsi="Arial"/>
          <w:sz w:val="20"/>
        </w:rPr>
        <w:t xml:space="preserve"> </w:t>
      </w:r>
      <w:r w:rsidRPr="00424274">
        <w:rPr>
          <w:rFonts w:ascii="Arial" w:hAnsi="Arial"/>
          <w:sz w:val="20"/>
        </w:rPr>
        <w:t xml:space="preserve">sledijo odlivi sredstev nazaj ali v druge države EU. Ocenjujemo, da se v teh primerih lahko izvajajo aktivnosti prenosov sredstev, ki so povezane z mednarodnimi davčnimi vrtiljaki, pri čemer so domače in tuje družbe, ki so vpletene v te aktivnosti, praviloma </w:t>
      </w:r>
      <w:r w:rsidR="00F2760A">
        <w:rPr>
          <w:rFonts w:ascii="Arial" w:hAnsi="Arial"/>
          <w:sz w:val="20"/>
        </w:rPr>
        <w:t xml:space="preserve">kanalske </w:t>
      </w:r>
      <w:r w:rsidRPr="00424274">
        <w:rPr>
          <w:rFonts w:ascii="Arial" w:hAnsi="Arial"/>
          <w:sz w:val="20"/>
        </w:rPr>
        <w:t>družbe</w:t>
      </w:r>
      <w:r w:rsidRPr="00424274">
        <w:rPr>
          <w:rFonts w:ascii="Arial" w:hAnsi="Arial"/>
          <w:i/>
          <w:sz w:val="20"/>
        </w:rPr>
        <w:t>.</w:t>
      </w:r>
    </w:p>
    <w:p w14:paraId="154F4901" w14:textId="77777777" w:rsidR="00912E70" w:rsidRPr="00424274" w:rsidRDefault="00912E70" w:rsidP="00912E70">
      <w:pPr>
        <w:rPr>
          <w:rFonts w:ascii="Arial" w:hAnsi="Arial"/>
          <w:sz w:val="20"/>
        </w:rPr>
      </w:pPr>
    </w:p>
    <w:p w14:paraId="1DB05E04" w14:textId="64B22177" w:rsidR="00912E70" w:rsidRPr="00424274" w:rsidRDefault="00912E70" w:rsidP="00C25EFF">
      <w:pPr>
        <w:spacing w:line="276" w:lineRule="auto"/>
        <w:rPr>
          <w:rFonts w:ascii="Arial" w:hAnsi="Arial"/>
          <w:sz w:val="20"/>
        </w:rPr>
      </w:pPr>
      <w:r w:rsidRPr="00424274">
        <w:rPr>
          <w:rFonts w:ascii="Arial" w:hAnsi="Arial"/>
          <w:b/>
          <w:i/>
          <w:sz w:val="20"/>
        </w:rPr>
        <w:t xml:space="preserve">Odlivi sredstev na osebne račune, </w:t>
      </w:r>
      <w:r w:rsidR="00F37EC7">
        <w:rPr>
          <w:rFonts w:ascii="Arial" w:hAnsi="Arial"/>
          <w:b/>
          <w:i/>
          <w:sz w:val="20"/>
        </w:rPr>
        <w:t>ki jim</w:t>
      </w:r>
      <w:r w:rsidR="00F37EC7" w:rsidRPr="00424274">
        <w:rPr>
          <w:rFonts w:ascii="Arial" w:hAnsi="Arial"/>
          <w:b/>
          <w:i/>
          <w:sz w:val="20"/>
        </w:rPr>
        <w:t xml:space="preserve"> </w:t>
      </w:r>
      <w:r w:rsidRPr="00424274">
        <w:rPr>
          <w:rFonts w:ascii="Arial" w:hAnsi="Arial"/>
          <w:b/>
          <w:i/>
          <w:sz w:val="20"/>
        </w:rPr>
        <w:t>sledijo dvigi gotovine</w:t>
      </w:r>
      <w:r w:rsidR="00F37EC7">
        <w:rPr>
          <w:rFonts w:ascii="Arial" w:hAnsi="Arial"/>
          <w:b/>
          <w:i/>
          <w:sz w:val="20"/>
        </w:rPr>
        <w:t>,</w:t>
      </w:r>
      <w:r w:rsidRPr="00424274">
        <w:rPr>
          <w:rFonts w:ascii="Arial" w:hAnsi="Arial"/>
          <w:sz w:val="20"/>
        </w:rPr>
        <w:t xml:space="preserve"> so običajno zaznani v informacijah, ko z računa družbe vršijo odlivi na račun fizične osebe, pri čemer ni jasna ekonomska in pravna podlaga za te odlive in bi tovrstni odlivi lahko pomenili tudi oškodovanje družbe ali neupravičeno zmanjšanje davčne osnove družbe. </w:t>
      </w:r>
    </w:p>
    <w:p w14:paraId="12139134" w14:textId="77777777" w:rsidR="00912E70" w:rsidRPr="00424274" w:rsidRDefault="00912E70" w:rsidP="00912E70">
      <w:pPr>
        <w:rPr>
          <w:rFonts w:ascii="Arial" w:hAnsi="Arial"/>
          <w:sz w:val="20"/>
        </w:rPr>
      </w:pPr>
    </w:p>
    <w:p w14:paraId="13B631E3" w14:textId="396166EC" w:rsidR="00912E70" w:rsidRPr="00424274" w:rsidRDefault="00912E70" w:rsidP="0027639D">
      <w:pPr>
        <w:spacing w:line="276" w:lineRule="auto"/>
        <w:rPr>
          <w:rFonts w:ascii="Arial" w:hAnsi="Arial"/>
          <w:sz w:val="20"/>
        </w:rPr>
      </w:pPr>
      <w:r w:rsidRPr="00424274">
        <w:rPr>
          <w:rFonts w:ascii="Arial" w:hAnsi="Arial"/>
          <w:b/>
          <w:i/>
          <w:sz w:val="20"/>
        </w:rPr>
        <w:t>Kroženje sredstev</w:t>
      </w:r>
      <w:r w:rsidRPr="00424274">
        <w:rPr>
          <w:rFonts w:ascii="Arial" w:hAnsi="Arial"/>
          <w:sz w:val="20"/>
        </w:rPr>
        <w:t>, kot skupna značilnost predstavlja primere informacij, kjer ugotovimo, da se med računi pravnih in fizičnih oseb izvršujejo transakcije kroženja sredstev, kjer se lahko ena in ista sredstva obrača</w:t>
      </w:r>
      <w:r w:rsidR="00836189">
        <w:rPr>
          <w:rFonts w:ascii="Arial" w:hAnsi="Arial"/>
          <w:sz w:val="20"/>
        </w:rPr>
        <w:t>jo</w:t>
      </w:r>
      <w:r w:rsidRPr="00424274">
        <w:rPr>
          <w:rFonts w:ascii="Arial" w:hAnsi="Arial"/>
          <w:sz w:val="20"/>
        </w:rPr>
        <w:t xml:space="preserve"> med različnimi/istimi</w:t>
      </w:r>
      <w:r w:rsidR="00836189">
        <w:rPr>
          <w:rFonts w:ascii="Arial" w:hAnsi="Arial"/>
          <w:sz w:val="20"/>
        </w:rPr>
        <w:t>,</w:t>
      </w:r>
      <w:r w:rsidRPr="00424274">
        <w:rPr>
          <w:rFonts w:ascii="Arial" w:hAnsi="Arial"/>
          <w:sz w:val="20"/>
        </w:rPr>
        <w:t xml:space="preserve"> večinoma povezanimi pravnimi in fizičnimi osebami. V primerih tovrstnih transakcij kroženja sredstev na </w:t>
      </w:r>
      <w:r w:rsidR="00814A21">
        <w:rPr>
          <w:rFonts w:ascii="Arial" w:hAnsi="Arial"/>
          <w:sz w:val="20"/>
        </w:rPr>
        <w:t>urad</w:t>
      </w:r>
      <w:r w:rsidRPr="00424274">
        <w:rPr>
          <w:rFonts w:ascii="Arial" w:hAnsi="Arial"/>
          <w:sz w:val="20"/>
        </w:rPr>
        <w:t xml:space="preserve">u ne ugotovimo nobenega ekonomskega smisla za izvrševanje teh transakcij, ocenjujemo pa, da gre lahko za </w:t>
      </w:r>
      <w:r w:rsidR="00836189">
        <w:rPr>
          <w:rFonts w:ascii="Arial" w:hAnsi="Arial"/>
          <w:sz w:val="20"/>
        </w:rPr>
        <w:t>navidezno</w:t>
      </w:r>
      <w:r w:rsidR="00836189" w:rsidRPr="00424274">
        <w:rPr>
          <w:rFonts w:ascii="Arial" w:hAnsi="Arial"/>
          <w:sz w:val="20"/>
        </w:rPr>
        <w:t xml:space="preserve"> </w:t>
      </w:r>
      <w:r w:rsidRPr="00424274">
        <w:rPr>
          <w:rFonts w:ascii="Arial" w:hAnsi="Arial"/>
          <w:sz w:val="20"/>
        </w:rPr>
        <w:t xml:space="preserve">ustvarjanje obveznosti/terjatev do družb ali umetno prikazovanje večjega prometa družb, kot je dejanski, kjer so v ozadju lahko tudi pripravljalna dejanja za morebitne goljufije ali kakšna druga kazniva dejanja.  </w:t>
      </w:r>
    </w:p>
    <w:p w14:paraId="4FA49B91" w14:textId="77777777" w:rsidR="00912E70" w:rsidRPr="00424274" w:rsidRDefault="00912E70" w:rsidP="00912E70">
      <w:pPr>
        <w:rPr>
          <w:rFonts w:ascii="Arial" w:hAnsi="Arial"/>
          <w:sz w:val="20"/>
        </w:rPr>
      </w:pPr>
    </w:p>
    <w:p w14:paraId="78F0FC2A" w14:textId="441EFA6E" w:rsidR="00912E70" w:rsidRPr="00424274" w:rsidRDefault="00912E70" w:rsidP="003B30A2">
      <w:pPr>
        <w:spacing w:line="276" w:lineRule="auto"/>
        <w:rPr>
          <w:rFonts w:ascii="Arial" w:hAnsi="Arial"/>
          <w:sz w:val="20"/>
        </w:rPr>
      </w:pPr>
      <w:r w:rsidRPr="00424274">
        <w:rPr>
          <w:rFonts w:ascii="Arial" w:hAnsi="Arial"/>
          <w:b/>
          <w:i/>
          <w:sz w:val="20"/>
        </w:rPr>
        <w:t xml:space="preserve">Izogibanje plačevanja obveznostim </w:t>
      </w:r>
      <w:r w:rsidRPr="00424274">
        <w:rPr>
          <w:rFonts w:ascii="Arial" w:hAnsi="Arial"/>
          <w:sz w:val="20"/>
        </w:rPr>
        <w:t xml:space="preserve">je skupna značilnost, ki je običajno ugotovljena v primerih, ko osebe, ki so bodisi lastniki </w:t>
      </w:r>
      <w:r w:rsidR="004E3462">
        <w:rPr>
          <w:rFonts w:ascii="Arial" w:hAnsi="Arial"/>
          <w:sz w:val="20"/>
        </w:rPr>
        <w:t>bodisi</w:t>
      </w:r>
      <w:r w:rsidR="004E3462" w:rsidRPr="00424274">
        <w:rPr>
          <w:rFonts w:ascii="Arial" w:hAnsi="Arial"/>
          <w:sz w:val="20"/>
        </w:rPr>
        <w:t xml:space="preserve"> </w:t>
      </w:r>
      <w:r w:rsidRPr="00424274">
        <w:rPr>
          <w:rFonts w:ascii="Arial" w:hAnsi="Arial"/>
          <w:sz w:val="20"/>
        </w:rPr>
        <w:t>zaposleni v dejavni in poslujoči družb</w:t>
      </w:r>
      <w:r w:rsidR="00B937A1">
        <w:rPr>
          <w:rFonts w:ascii="Arial" w:hAnsi="Arial"/>
          <w:sz w:val="20"/>
        </w:rPr>
        <w:t>i</w:t>
      </w:r>
      <w:r w:rsidRPr="00424274">
        <w:rPr>
          <w:rFonts w:ascii="Arial" w:hAnsi="Arial"/>
          <w:sz w:val="20"/>
        </w:rPr>
        <w:t>, del sredstev, ki najverjetneje izvira iz poslovanja družb</w:t>
      </w:r>
      <w:r w:rsidR="00B937A1">
        <w:rPr>
          <w:rFonts w:ascii="Arial" w:hAnsi="Arial"/>
          <w:sz w:val="20"/>
        </w:rPr>
        <w:t>,</w:t>
      </w:r>
      <w:r w:rsidRPr="00424274">
        <w:rPr>
          <w:rFonts w:ascii="Arial" w:hAnsi="Arial"/>
          <w:sz w:val="20"/>
        </w:rPr>
        <w:t xml:space="preserve"> preusmerijo na svoj osebni račun ali na račun povezane fizične osebe namesto na račun poslujoče družbe. Prav tako se to dogaja v primerih, ko pravne ali fizične osebe, ki imajo blokirane račune, svoje tekoče poslovanje izvajajo na računih povezanih pravnih ali fizičnih oseb (tudi mladoletnih). Razlogov za to je lahko več, najpogostejša sta po naši oceni prikrivanje prometa pred pristojnimi institucijami (FURS) ali blokada računov in izvršbe, </w:t>
      </w:r>
      <w:r w:rsidR="00B937A1">
        <w:rPr>
          <w:rFonts w:ascii="Arial" w:hAnsi="Arial"/>
          <w:sz w:val="20"/>
        </w:rPr>
        <w:t>ki jim</w:t>
      </w:r>
      <w:r w:rsidR="00B937A1" w:rsidRPr="00424274">
        <w:rPr>
          <w:rFonts w:ascii="Arial" w:hAnsi="Arial"/>
          <w:sz w:val="20"/>
        </w:rPr>
        <w:t xml:space="preserve"> </w:t>
      </w:r>
      <w:r w:rsidRPr="00424274">
        <w:rPr>
          <w:rFonts w:ascii="Arial" w:hAnsi="Arial"/>
          <w:sz w:val="20"/>
        </w:rPr>
        <w:t xml:space="preserve">posledično sledi prenos prometa </w:t>
      </w:r>
      <w:r w:rsidR="00210B00">
        <w:rPr>
          <w:rFonts w:ascii="Arial" w:hAnsi="Arial"/>
          <w:sz w:val="20"/>
        </w:rPr>
        <w:t>oziroma</w:t>
      </w:r>
      <w:r w:rsidRPr="00424274">
        <w:rPr>
          <w:rFonts w:ascii="Arial" w:hAnsi="Arial"/>
          <w:sz w:val="20"/>
        </w:rPr>
        <w:t xml:space="preserve"> poslovanja na druge račune. </w:t>
      </w:r>
    </w:p>
    <w:p w14:paraId="5006C613" w14:textId="77777777" w:rsidR="00912E70" w:rsidRPr="00424274" w:rsidRDefault="00912E70" w:rsidP="00912E70">
      <w:pPr>
        <w:rPr>
          <w:rFonts w:ascii="Arial" w:hAnsi="Arial"/>
          <w:sz w:val="20"/>
        </w:rPr>
      </w:pPr>
    </w:p>
    <w:p w14:paraId="2EE9B99E" w14:textId="010FE03A" w:rsidR="00912E70" w:rsidRPr="00424274" w:rsidRDefault="00912E70" w:rsidP="003B30A2">
      <w:pPr>
        <w:spacing w:line="276" w:lineRule="auto"/>
        <w:rPr>
          <w:rFonts w:ascii="Arial" w:hAnsi="Arial"/>
          <w:sz w:val="20"/>
        </w:rPr>
      </w:pPr>
      <w:r w:rsidRPr="00424274">
        <w:rPr>
          <w:rFonts w:ascii="Arial" w:hAnsi="Arial"/>
          <w:sz w:val="20"/>
        </w:rPr>
        <w:t xml:space="preserve">Transakcije, povezane s </w:t>
      </w:r>
      <w:r w:rsidRPr="00424274">
        <w:rPr>
          <w:rFonts w:ascii="Arial" w:hAnsi="Arial"/>
          <w:b/>
          <w:sz w:val="20"/>
        </w:rPr>
        <w:t>prepovedanim prehodom meje ali ozemlja države</w:t>
      </w:r>
      <w:r w:rsidRPr="00424274">
        <w:rPr>
          <w:rFonts w:ascii="Arial" w:hAnsi="Arial"/>
          <w:sz w:val="20"/>
        </w:rPr>
        <w:t>, je skupna značilnost, kjer iz primerov transakcij fizičnih ali pravnih oseb ugotovimo, da bi le</w:t>
      </w:r>
      <w:r w:rsidR="00B937A1">
        <w:rPr>
          <w:rFonts w:ascii="Arial" w:hAnsi="Arial"/>
          <w:sz w:val="20"/>
        </w:rPr>
        <w:t>-</w:t>
      </w:r>
      <w:r w:rsidRPr="00424274">
        <w:rPr>
          <w:rFonts w:ascii="Arial" w:hAnsi="Arial"/>
          <w:sz w:val="20"/>
        </w:rPr>
        <w:t>te lahko bile povezane s plačevanjem organizacije in izvedbe prepovedanih prehodov meje ali ozemlja države. V teh primerih se pogosto zazna izvrševanje transakcij prek sistemo</w:t>
      </w:r>
      <w:r w:rsidR="00B937A1">
        <w:rPr>
          <w:rFonts w:ascii="Arial" w:hAnsi="Arial"/>
          <w:sz w:val="20"/>
        </w:rPr>
        <w:t>v</w:t>
      </w:r>
      <w:r w:rsidRPr="00424274">
        <w:rPr>
          <w:rFonts w:ascii="Arial" w:hAnsi="Arial"/>
          <w:sz w:val="20"/>
        </w:rPr>
        <w:t xml:space="preserve"> za prenos sredstev, redkeje pa na bančnih računih. </w:t>
      </w:r>
    </w:p>
    <w:p w14:paraId="5782BFC2" w14:textId="77777777" w:rsidR="00912E70" w:rsidRPr="00424274" w:rsidRDefault="00912E70" w:rsidP="003B30A2">
      <w:pPr>
        <w:spacing w:line="276" w:lineRule="auto"/>
        <w:rPr>
          <w:rFonts w:ascii="Arial" w:hAnsi="Arial"/>
          <w:sz w:val="20"/>
        </w:rPr>
      </w:pPr>
    </w:p>
    <w:p w14:paraId="4E035BC1" w14:textId="4AF53349" w:rsidR="00912E70" w:rsidRPr="00424274" w:rsidRDefault="00912E70" w:rsidP="00915711">
      <w:pPr>
        <w:spacing w:line="276" w:lineRule="auto"/>
        <w:rPr>
          <w:rFonts w:ascii="Arial" w:hAnsi="Arial"/>
          <w:sz w:val="20"/>
        </w:rPr>
      </w:pPr>
      <w:r w:rsidRPr="00424274">
        <w:rPr>
          <w:rFonts w:ascii="Arial" w:hAnsi="Arial"/>
          <w:b/>
          <w:i/>
          <w:sz w:val="20"/>
        </w:rPr>
        <w:t>Kršitev omejevalnih ukrepov</w:t>
      </w:r>
      <w:r w:rsidRPr="00424274">
        <w:rPr>
          <w:rFonts w:ascii="Arial" w:hAnsi="Arial"/>
          <w:sz w:val="20"/>
        </w:rPr>
        <w:t xml:space="preserve"> je skupna značilnost</w:t>
      </w:r>
      <w:r w:rsidR="00B937A1">
        <w:rPr>
          <w:rFonts w:ascii="Arial" w:hAnsi="Arial"/>
          <w:sz w:val="20"/>
        </w:rPr>
        <w:t>,</w:t>
      </w:r>
      <w:r w:rsidRPr="00424274">
        <w:rPr>
          <w:rFonts w:ascii="Arial" w:hAnsi="Arial"/>
          <w:sz w:val="20"/>
        </w:rPr>
        <w:t xml:space="preserve"> ugotovljena v informacijah, kjer zaznamo transakcije, povezane z državami</w:t>
      </w:r>
      <w:r w:rsidR="00B937A1">
        <w:rPr>
          <w:rFonts w:ascii="Arial" w:hAnsi="Arial"/>
          <w:sz w:val="20"/>
        </w:rPr>
        <w:t>,</w:t>
      </w:r>
      <w:r w:rsidRPr="00424274">
        <w:rPr>
          <w:rFonts w:ascii="Arial" w:hAnsi="Arial"/>
          <w:sz w:val="20"/>
        </w:rPr>
        <w:t xml:space="preserve"> zoper katere veljajo mednarodne gospodarske sankcije ali omejevalni ukrepi</w:t>
      </w:r>
      <w:r w:rsidR="00B937A1">
        <w:rPr>
          <w:rFonts w:ascii="Arial" w:hAnsi="Arial"/>
          <w:sz w:val="20"/>
        </w:rPr>
        <w:t>,</w:t>
      </w:r>
      <w:r w:rsidRPr="00424274">
        <w:rPr>
          <w:rFonts w:ascii="Arial" w:hAnsi="Arial"/>
          <w:sz w:val="20"/>
        </w:rPr>
        <w:t xml:space="preserve"> ali z državami, prek katerih bi se lahko zaobšlo poslovanje z državami, zoper katere veljajo mednarodne gospodarske sankcije ali omejevaln</w:t>
      </w:r>
      <w:r w:rsidR="00B937A1">
        <w:rPr>
          <w:rFonts w:ascii="Arial" w:hAnsi="Arial"/>
          <w:sz w:val="20"/>
        </w:rPr>
        <w:t>i</w:t>
      </w:r>
      <w:r w:rsidRPr="00424274">
        <w:rPr>
          <w:rFonts w:ascii="Arial" w:hAnsi="Arial"/>
          <w:sz w:val="20"/>
        </w:rPr>
        <w:t xml:space="preserve"> ukrepi. Z omejevalnimi ukrepi želi mednarodna skupnost na miren način doseči, da države ali drugi subjekti, ki ogrožajo mednarodni mir ali varnost, s tem prenehajo. Najpogosteje se za ta namen uporabljajo finančne sankcije, embargo na orožje in drugo opremo ter »potovalni« embargo, s katerim se močno oteži gospodarsko sodelovanje in poslovanje z državami in subjekti, zoper katere veljajo omejevalni ukrepi.   </w:t>
      </w:r>
    </w:p>
    <w:p w14:paraId="37756507" w14:textId="77777777" w:rsidR="00560C0D" w:rsidRPr="00424274" w:rsidRDefault="00560C0D" w:rsidP="003B30A2">
      <w:pPr>
        <w:spacing w:line="276" w:lineRule="auto"/>
        <w:rPr>
          <w:rFonts w:ascii="Arial" w:hAnsi="Arial"/>
          <w:color w:val="FF0000"/>
          <w:sz w:val="20"/>
        </w:rPr>
      </w:pPr>
    </w:p>
    <w:p w14:paraId="2DB19B94" w14:textId="65751ECF" w:rsidR="00851C49" w:rsidRPr="00424274" w:rsidRDefault="00292A8B" w:rsidP="006D5A5A">
      <w:pPr>
        <w:pStyle w:val="Naslov3"/>
        <w:rPr>
          <w:color w:val="FF0000"/>
        </w:rPr>
      </w:pPr>
      <w:bookmarkStart w:id="67" w:name="_Toc113535461"/>
      <w:r w:rsidRPr="00424274">
        <w:t xml:space="preserve">3.1.7 </w:t>
      </w:r>
      <w:r w:rsidR="00851C49" w:rsidRPr="00424274">
        <w:t>Analiza informacij</w:t>
      </w:r>
      <w:r w:rsidR="004E3462">
        <w:t>,</w:t>
      </w:r>
      <w:r w:rsidR="00851C49" w:rsidRPr="00424274">
        <w:t xml:space="preserve"> poslanih </w:t>
      </w:r>
      <w:r w:rsidR="00C83FBC" w:rsidRPr="00424274">
        <w:t xml:space="preserve">Finančni </w:t>
      </w:r>
      <w:r w:rsidR="00851C49" w:rsidRPr="00424274">
        <w:t>upravi RS (</w:t>
      </w:r>
      <w:r w:rsidR="00C83FBC" w:rsidRPr="00424274">
        <w:t>F</w:t>
      </w:r>
      <w:r w:rsidR="00851C49" w:rsidRPr="00424274">
        <w:t>URS)</w:t>
      </w:r>
      <w:bookmarkEnd w:id="67"/>
    </w:p>
    <w:p w14:paraId="11AA5509" w14:textId="77777777" w:rsidR="0074276D" w:rsidRPr="00424274" w:rsidRDefault="0074276D" w:rsidP="00E6031C">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napToGrid w:val="0"/>
        <w:spacing w:line="276" w:lineRule="auto"/>
        <w:rPr>
          <w:rFonts w:ascii="Arial" w:hAnsi="Arial"/>
          <w:color w:val="FF0000"/>
          <w:sz w:val="20"/>
        </w:rPr>
      </w:pPr>
    </w:p>
    <w:p w14:paraId="68957069" w14:textId="681DD125" w:rsidR="001E68AC" w:rsidRPr="00424274" w:rsidRDefault="001E68AC" w:rsidP="001E68AC">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napToGrid w:val="0"/>
        <w:spacing w:line="276" w:lineRule="auto"/>
        <w:rPr>
          <w:rFonts w:ascii="Arial" w:hAnsi="Arial"/>
          <w:sz w:val="20"/>
        </w:rPr>
      </w:pPr>
      <w:r w:rsidRPr="00424274">
        <w:rPr>
          <w:rFonts w:ascii="Arial" w:hAnsi="Arial"/>
          <w:sz w:val="20"/>
        </w:rPr>
        <w:t>Urad v primerih</w:t>
      </w:r>
      <w:r w:rsidRPr="00424274">
        <w:rPr>
          <w:rFonts w:ascii="Arial" w:hAnsi="Arial"/>
          <w:bCs/>
          <w:sz w:val="20"/>
        </w:rPr>
        <w:t xml:space="preserve">, ko na podlagi zbranih podatkov presodi, da so v zvezi z neko transakcijo, sredstvi ali osebo podani razlogi za sum storitve kaznivega dejanja davčne zatajitve po 249. členu KZ-1, o tem v skladu s </w:t>
      </w:r>
      <w:r w:rsidRPr="00424274">
        <w:rPr>
          <w:rFonts w:ascii="Arial" w:hAnsi="Arial"/>
          <w:sz w:val="20"/>
        </w:rPr>
        <w:t xml:space="preserve">102. členom ZPPDFT-1 </w:t>
      </w:r>
      <w:r w:rsidR="00361F5F">
        <w:rPr>
          <w:rFonts w:ascii="Arial" w:hAnsi="Arial"/>
          <w:sz w:val="20"/>
        </w:rPr>
        <w:t>pošlje</w:t>
      </w:r>
      <w:r w:rsidR="00361F5F" w:rsidRPr="00424274">
        <w:rPr>
          <w:rFonts w:ascii="Arial" w:hAnsi="Arial"/>
          <w:sz w:val="20"/>
        </w:rPr>
        <w:t xml:space="preserve"> </w:t>
      </w:r>
      <w:r w:rsidRPr="00424274">
        <w:rPr>
          <w:rFonts w:ascii="Arial" w:hAnsi="Arial"/>
          <w:sz w:val="20"/>
        </w:rPr>
        <w:t xml:space="preserve">pisno informacijo FURS in </w:t>
      </w:r>
      <w:r w:rsidR="004728ED">
        <w:rPr>
          <w:rFonts w:ascii="Arial" w:hAnsi="Arial"/>
          <w:sz w:val="20"/>
        </w:rPr>
        <w:t>p</w:t>
      </w:r>
      <w:r w:rsidRPr="00424274">
        <w:rPr>
          <w:rFonts w:ascii="Arial" w:hAnsi="Arial"/>
          <w:sz w:val="20"/>
        </w:rPr>
        <w:t>oliciji.</w:t>
      </w:r>
    </w:p>
    <w:p w14:paraId="480666E0" w14:textId="77777777" w:rsidR="001E68AC" w:rsidRPr="00424274" w:rsidRDefault="001E68AC" w:rsidP="001E68AC">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napToGrid w:val="0"/>
        <w:spacing w:line="276" w:lineRule="auto"/>
        <w:rPr>
          <w:rFonts w:ascii="Arial" w:hAnsi="Arial"/>
          <w:sz w:val="20"/>
        </w:rPr>
      </w:pPr>
    </w:p>
    <w:p w14:paraId="38A58D72" w14:textId="1049F557" w:rsidR="001E68AC" w:rsidRPr="00424274" w:rsidRDefault="001E68AC" w:rsidP="001E68AC">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napToGrid w:val="0"/>
        <w:spacing w:line="276" w:lineRule="auto"/>
        <w:rPr>
          <w:rFonts w:ascii="Arial" w:hAnsi="Arial"/>
          <w:bCs/>
          <w:sz w:val="20"/>
        </w:rPr>
      </w:pPr>
      <w:r w:rsidRPr="00424274">
        <w:rPr>
          <w:rFonts w:ascii="Arial" w:hAnsi="Arial"/>
          <w:sz w:val="20"/>
        </w:rPr>
        <w:t xml:space="preserve">Kot smo že navedli, je </w:t>
      </w:r>
      <w:r w:rsidR="00814A21">
        <w:rPr>
          <w:rFonts w:ascii="Arial" w:hAnsi="Arial"/>
          <w:sz w:val="20"/>
        </w:rPr>
        <w:t>urad</w:t>
      </w:r>
      <w:r w:rsidRPr="00424274">
        <w:rPr>
          <w:rFonts w:ascii="Arial" w:hAnsi="Arial"/>
          <w:sz w:val="20"/>
        </w:rPr>
        <w:t xml:space="preserve"> v letu 2020 v zvezi z ugotovljenimi sumi storitve kaznivega dejanja davčne zatajitve po 249. členu KZ-1 FURS </w:t>
      </w:r>
      <w:r w:rsidR="000B5373">
        <w:rPr>
          <w:rFonts w:ascii="Arial" w:hAnsi="Arial"/>
          <w:sz w:val="20"/>
        </w:rPr>
        <w:t>poslal</w:t>
      </w:r>
      <w:r w:rsidR="000B5373" w:rsidRPr="00424274">
        <w:rPr>
          <w:rFonts w:ascii="Arial" w:hAnsi="Arial"/>
          <w:sz w:val="20"/>
        </w:rPr>
        <w:t xml:space="preserve"> </w:t>
      </w:r>
      <w:r w:rsidRPr="00424274">
        <w:rPr>
          <w:rFonts w:ascii="Arial" w:hAnsi="Arial"/>
          <w:sz w:val="20"/>
        </w:rPr>
        <w:t>272 pisnih informacij</w:t>
      </w:r>
      <w:r w:rsidRPr="00424274">
        <w:rPr>
          <w:rFonts w:ascii="Arial" w:hAnsi="Arial"/>
          <w:bCs/>
          <w:sz w:val="20"/>
        </w:rPr>
        <w:t xml:space="preserve">. Informacije </w:t>
      </w:r>
      <w:r w:rsidR="00814A21">
        <w:rPr>
          <w:rFonts w:ascii="Arial" w:hAnsi="Arial"/>
          <w:bCs/>
          <w:sz w:val="20"/>
        </w:rPr>
        <w:t>urad</w:t>
      </w:r>
      <w:r w:rsidRPr="00424274">
        <w:rPr>
          <w:rFonts w:ascii="Arial" w:hAnsi="Arial"/>
          <w:bCs/>
          <w:sz w:val="20"/>
        </w:rPr>
        <w:t xml:space="preserve">a so se, podobno kot v preteklih letih, nanašale na ugotovljene sume zatajitve davčnih obveznosti fizičnih </w:t>
      </w:r>
      <w:r w:rsidR="000B5373">
        <w:rPr>
          <w:rFonts w:ascii="Arial" w:hAnsi="Arial"/>
          <w:bCs/>
          <w:sz w:val="20"/>
        </w:rPr>
        <w:t xml:space="preserve">in </w:t>
      </w:r>
      <w:r w:rsidRPr="00424274">
        <w:rPr>
          <w:rFonts w:ascii="Arial" w:hAnsi="Arial"/>
          <w:bCs/>
          <w:sz w:val="20"/>
        </w:rPr>
        <w:t>pravnih oseb, in sicer tako na področju posrednih kot tudi neposrednih davkov.</w:t>
      </w:r>
    </w:p>
    <w:p w14:paraId="423021BC" w14:textId="77777777" w:rsidR="001E68AC" w:rsidRPr="00424274" w:rsidRDefault="001E68AC" w:rsidP="001E68AC">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napToGrid w:val="0"/>
        <w:spacing w:line="276" w:lineRule="auto"/>
        <w:rPr>
          <w:rFonts w:ascii="Arial" w:hAnsi="Arial"/>
          <w:bCs/>
          <w:sz w:val="20"/>
        </w:rPr>
      </w:pPr>
    </w:p>
    <w:p w14:paraId="4B8B0289" w14:textId="77777777" w:rsidR="001E68AC" w:rsidRPr="00424274" w:rsidRDefault="001E68AC" w:rsidP="001E68AC">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napToGrid w:val="0"/>
        <w:spacing w:line="276" w:lineRule="auto"/>
        <w:rPr>
          <w:rFonts w:ascii="Arial" w:hAnsi="Arial"/>
          <w:bCs/>
          <w:sz w:val="20"/>
        </w:rPr>
      </w:pPr>
      <w:r w:rsidRPr="00424274">
        <w:rPr>
          <w:rFonts w:ascii="Arial" w:hAnsi="Arial"/>
          <w:bCs/>
          <w:sz w:val="20"/>
        </w:rPr>
        <w:t xml:space="preserve">V zadevah, ki so bile povezane s sumi davčne zatajitve pri fizičnih osebah, so se naše ugotovitve največkrat nanašale na sume zatajitve dohodninskih obveznosti, prikritih izplačil dobičkov, utaj kapitalskih dobičkov, v več zadevah pa smo ugotovili razkorak med premoženjem davčnega zavezanca in prijavljenimi dohodki davčni upravi. </w:t>
      </w:r>
    </w:p>
    <w:p w14:paraId="2EED286C" w14:textId="77777777" w:rsidR="001E68AC" w:rsidRPr="00424274" w:rsidRDefault="001E68AC" w:rsidP="001E68AC">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napToGrid w:val="0"/>
        <w:spacing w:line="276" w:lineRule="auto"/>
        <w:rPr>
          <w:rFonts w:ascii="Arial" w:hAnsi="Arial"/>
          <w:bCs/>
          <w:sz w:val="20"/>
          <w:highlight w:val="yellow"/>
        </w:rPr>
      </w:pPr>
    </w:p>
    <w:p w14:paraId="5B348B3A" w14:textId="73B7C551" w:rsidR="001E68AC" w:rsidRPr="00424274" w:rsidRDefault="001E68AC" w:rsidP="001E68AC">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napToGrid w:val="0"/>
        <w:spacing w:line="276" w:lineRule="auto"/>
        <w:rPr>
          <w:rFonts w:ascii="Arial" w:hAnsi="Arial"/>
          <w:bCs/>
          <w:sz w:val="20"/>
        </w:rPr>
      </w:pPr>
      <w:r w:rsidRPr="00424274">
        <w:rPr>
          <w:rFonts w:ascii="Arial" w:hAnsi="Arial"/>
          <w:sz w:val="20"/>
        </w:rPr>
        <w:t xml:space="preserve">Že v preteklih letih se je </w:t>
      </w:r>
      <w:r w:rsidR="00814A21">
        <w:rPr>
          <w:rFonts w:ascii="Arial" w:hAnsi="Arial"/>
          <w:sz w:val="20"/>
        </w:rPr>
        <w:t>urad</w:t>
      </w:r>
      <w:r w:rsidRPr="00424274">
        <w:rPr>
          <w:rFonts w:ascii="Arial" w:hAnsi="Arial"/>
          <w:sz w:val="20"/>
        </w:rPr>
        <w:t xml:space="preserve">, ki deluje kot posrednik med finančnim sistemom in organi pregona, izkazal kot izredno uspešen in učinkovit pri odkrivanju različnih oblik davčnih utaj in davčnih goljufij. Podobno tudi letos ugotavljamo, da se je FURS na naše informacije odzval hitro in učinkovito. V zvezi z osebami iz informacij </w:t>
      </w:r>
      <w:r w:rsidR="00814A21">
        <w:rPr>
          <w:rFonts w:ascii="Arial" w:hAnsi="Arial"/>
          <w:sz w:val="20"/>
        </w:rPr>
        <w:t>urad</w:t>
      </w:r>
      <w:r w:rsidRPr="00424274">
        <w:rPr>
          <w:rFonts w:ascii="Arial" w:hAnsi="Arial"/>
          <w:sz w:val="20"/>
        </w:rPr>
        <w:t xml:space="preserve">a v letu 2020 je FURS v delu zadev že uvedel določene ukrepe in postopke, preostali del zadev pa uvrstil v letne načrte. Ugotovitve in izvedene ukrepe finančne uprave opisujemo v nadaljevanju.  </w:t>
      </w:r>
    </w:p>
    <w:p w14:paraId="09CE21AA" w14:textId="77777777" w:rsidR="001E68AC" w:rsidRPr="00424274" w:rsidRDefault="001E68AC" w:rsidP="001E68AC">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napToGrid w:val="0"/>
        <w:spacing w:line="276" w:lineRule="auto"/>
        <w:rPr>
          <w:rFonts w:ascii="Arial" w:hAnsi="Arial"/>
          <w:bCs/>
          <w:sz w:val="20"/>
          <w:highlight w:val="yellow"/>
        </w:rPr>
      </w:pPr>
    </w:p>
    <w:p w14:paraId="43EE3852" w14:textId="0C4F382D" w:rsidR="001E68AC" w:rsidRPr="00424274" w:rsidRDefault="001E68AC" w:rsidP="001E68AC">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napToGrid w:val="0"/>
        <w:spacing w:line="276" w:lineRule="auto"/>
        <w:rPr>
          <w:rFonts w:ascii="Arial" w:hAnsi="Arial"/>
          <w:bCs/>
          <w:sz w:val="20"/>
        </w:rPr>
      </w:pPr>
      <w:r w:rsidRPr="00424274">
        <w:rPr>
          <w:rFonts w:ascii="Arial" w:hAnsi="Arial"/>
          <w:bCs/>
          <w:sz w:val="20"/>
        </w:rPr>
        <w:t xml:space="preserve">Urad od FURS enkrat letno prejme povratno informacijo o ugotovitvah in izvedenih ukrepih v zvezi z osebami, ki jih je </w:t>
      </w:r>
      <w:r w:rsidR="000B5373">
        <w:rPr>
          <w:rFonts w:ascii="Arial" w:hAnsi="Arial"/>
          <w:bCs/>
          <w:sz w:val="20"/>
        </w:rPr>
        <w:t xml:space="preserve">navajal </w:t>
      </w:r>
      <w:r w:rsidRPr="00424274">
        <w:rPr>
          <w:rFonts w:ascii="Arial" w:hAnsi="Arial"/>
          <w:bCs/>
          <w:sz w:val="20"/>
        </w:rPr>
        <w:t xml:space="preserve">v svojih izdelkih. Iz te povratne informacije izhaja, da so bile v zvezi </w:t>
      </w:r>
      <w:r w:rsidR="008126B7">
        <w:rPr>
          <w:rFonts w:ascii="Arial" w:hAnsi="Arial"/>
          <w:bCs/>
          <w:sz w:val="20"/>
        </w:rPr>
        <w:t>s</w:t>
      </w:r>
      <w:r w:rsidRPr="00424274">
        <w:rPr>
          <w:rFonts w:ascii="Arial" w:hAnsi="Arial"/>
          <w:bCs/>
          <w:sz w:val="20"/>
        </w:rPr>
        <w:t xml:space="preserve"> 184 fizičnimi in pravnimi osebami, ki se pojavljajo tudi v izdelkih </w:t>
      </w:r>
      <w:r w:rsidR="00814A21">
        <w:rPr>
          <w:rFonts w:ascii="Arial" w:hAnsi="Arial"/>
          <w:bCs/>
          <w:sz w:val="20"/>
        </w:rPr>
        <w:t>urad</w:t>
      </w:r>
      <w:r w:rsidRPr="00424274">
        <w:rPr>
          <w:rFonts w:ascii="Arial" w:hAnsi="Arial"/>
          <w:bCs/>
          <w:sz w:val="20"/>
        </w:rPr>
        <w:t>a, ugotovljene številne nepravilnosti, zaradi katerih je FURS izvedel več ukrepov, in sicer:</w:t>
      </w:r>
    </w:p>
    <w:p w14:paraId="24F37928" w14:textId="77777777" w:rsidR="001E68AC" w:rsidRPr="00424274" w:rsidRDefault="001E68AC" w:rsidP="001E68AC">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napToGrid w:val="0"/>
        <w:spacing w:line="276" w:lineRule="auto"/>
        <w:rPr>
          <w:rFonts w:ascii="Arial" w:hAnsi="Arial"/>
          <w:bCs/>
          <w:sz w:val="20"/>
          <w:highlight w:val="yellow"/>
        </w:rPr>
      </w:pPr>
    </w:p>
    <w:p w14:paraId="2B7BC56E" w14:textId="562AC062" w:rsidR="001E68AC" w:rsidRPr="00424274" w:rsidRDefault="001E68AC" w:rsidP="001E68AC">
      <w:pPr>
        <w:widowControl/>
        <w:numPr>
          <w:ilvl w:val="0"/>
          <w:numId w:val="17"/>
        </w:num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napToGrid w:val="0"/>
        <w:spacing w:line="276" w:lineRule="auto"/>
        <w:contextualSpacing/>
        <w:rPr>
          <w:rFonts w:ascii="Arial" w:hAnsi="Arial"/>
          <w:bCs/>
          <w:sz w:val="20"/>
        </w:rPr>
      </w:pPr>
      <w:r w:rsidRPr="00424274">
        <w:rPr>
          <w:rFonts w:ascii="Arial" w:hAnsi="Arial"/>
          <w:bCs/>
          <w:sz w:val="20"/>
        </w:rPr>
        <w:t xml:space="preserve">v 60 primerih so bile na </w:t>
      </w:r>
      <w:r w:rsidR="004728ED">
        <w:rPr>
          <w:rFonts w:ascii="Arial" w:hAnsi="Arial"/>
          <w:bCs/>
          <w:sz w:val="20"/>
        </w:rPr>
        <w:t>p</w:t>
      </w:r>
      <w:r w:rsidRPr="00424274">
        <w:rPr>
          <w:rFonts w:ascii="Arial" w:hAnsi="Arial"/>
          <w:bCs/>
          <w:sz w:val="20"/>
        </w:rPr>
        <w:t>olicijo podane kazenske ovadbe,</w:t>
      </w:r>
    </w:p>
    <w:p w14:paraId="4651D4E4" w14:textId="4123459F" w:rsidR="001E68AC" w:rsidRPr="00424274" w:rsidRDefault="001E68AC" w:rsidP="001E68AC">
      <w:pPr>
        <w:widowControl/>
        <w:numPr>
          <w:ilvl w:val="0"/>
          <w:numId w:val="17"/>
        </w:num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napToGrid w:val="0"/>
        <w:spacing w:line="276" w:lineRule="auto"/>
        <w:contextualSpacing/>
        <w:rPr>
          <w:rFonts w:ascii="Arial" w:hAnsi="Arial"/>
          <w:bCs/>
          <w:sz w:val="20"/>
        </w:rPr>
      </w:pPr>
      <w:r w:rsidRPr="00424274">
        <w:rPr>
          <w:rFonts w:ascii="Arial" w:hAnsi="Arial"/>
          <w:bCs/>
          <w:sz w:val="20"/>
        </w:rPr>
        <w:t xml:space="preserve">v 213 primerih so bili izdani in vročeni </w:t>
      </w:r>
      <w:proofErr w:type="spellStart"/>
      <w:r w:rsidRPr="00424274">
        <w:rPr>
          <w:rFonts w:ascii="Arial" w:hAnsi="Arial"/>
          <w:bCs/>
          <w:sz w:val="20"/>
        </w:rPr>
        <w:t>prekrškovni</w:t>
      </w:r>
      <w:proofErr w:type="spellEnd"/>
      <w:r w:rsidRPr="00424274">
        <w:rPr>
          <w:rFonts w:ascii="Arial" w:hAnsi="Arial"/>
          <w:bCs/>
          <w:sz w:val="20"/>
        </w:rPr>
        <w:t xml:space="preserve"> akti po Zakonu o davčnem postopku, Zakonu o finančni upravi ali Zakonu o davku na dodano vrednost in izrečene globe v skupni višini 278.250 EUR,</w:t>
      </w:r>
    </w:p>
    <w:p w14:paraId="4C61170E" w14:textId="77777777" w:rsidR="001E68AC" w:rsidRPr="00424274" w:rsidRDefault="001E68AC" w:rsidP="001E68AC">
      <w:pPr>
        <w:widowControl/>
        <w:numPr>
          <w:ilvl w:val="0"/>
          <w:numId w:val="17"/>
        </w:num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napToGrid w:val="0"/>
        <w:spacing w:line="276" w:lineRule="auto"/>
        <w:contextualSpacing/>
        <w:rPr>
          <w:rFonts w:ascii="Arial" w:hAnsi="Arial"/>
          <w:bCs/>
          <w:sz w:val="20"/>
        </w:rPr>
      </w:pPr>
      <w:r w:rsidRPr="00424274">
        <w:rPr>
          <w:rFonts w:ascii="Arial" w:hAnsi="Arial"/>
          <w:bCs/>
          <w:sz w:val="20"/>
        </w:rPr>
        <w:lastRenderedPageBreak/>
        <w:t>v 31 primerih so bile naknadno obračunane davčne obveznosti (predvsem iz naslova DDPO, DDV, dohodnine).</w:t>
      </w:r>
    </w:p>
    <w:p w14:paraId="43BE40F6" w14:textId="77777777" w:rsidR="001E68AC" w:rsidRPr="00424274" w:rsidRDefault="001E68AC" w:rsidP="001E68AC">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napToGrid w:val="0"/>
        <w:spacing w:line="276" w:lineRule="auto"/>
        <w:rPr>
          <w:rFonts w:ascii="Arial" w:hAnsi="Arial"/>
          <w:bCs/>
          <w:sz w:val="20"/>
          <w:highlight w:val="yellow"/>
        </w:rPr>
      </w:pPr>
    </w:p>
    <w:p w14:paraId="74CF0524" w14:textId="10098B2D" w:rsidR="001E68AC" w:rsidRPr="00424274" w:rsidRDefault="001E68AC" w:rsidP="001E68AC">
      <w:pPr>
        <w:widowControl/>
        <w:spacing w:line="276" w:lineRule="auto"/>
        <w:rPr>
          <w:rFonts w:ascii="Arial" w:hAnsi="Arial"/>
          <w:bCs/>
          <w:sz w:val="20"/>
          <w:lang w:eastAsia="sl-SI"/>
        </w:rPr>
      </w:pPr>
      <w:r w:rsidRPr="00424274">
        <w:rPr>
          <w:rFonts w:ascii="Arial" w:hAnsi="Arial"/>
          <w:bCs/>
          <w:sz w:val="20"/>
        </w:rPr>
        <w:t xml:space="preserve">Naknadno ugotovljene in obračunane davčne obveznosti so v letu 2020 znašale </w:t>
      </w:r>
      <w:r w:rsidRPr="00424274">
        <w:rPr>
          <w:rFonts w:ascii="Arial" w:hAnsi="Arial"/>
          <w:color w:val="000000"/>
          <w:sz w:val="20"/>
          <w:lang w:eastAsia="sl-SI"/>
        </w:rPr>
        <w:t xml:space="preserve">1.628.825,42 </w:t>
      </w:r>
      <w:r w:rsidRPr="00424274">
        <w:rPr>
          <w:rFonts w:ascii="Arial" w:hAnsi="Arial"/>
          <w:bCs/>
          <w:sz w:val="20"/>
        </w:rPr>
        <w:t xml:space="preserve">EUR, in sicer je šlo za neposredne finančne učinke v višini </w:t>
      </w:r>
      <w:r w:rsidRPr="00424274">
        <w:rPr>
          <w:rFonts w:ascii="Arial" w:hAnsi="Arial"/>
          <w:color w:val="000000"/>
          <w:sz w:val="20"/>
          <w:lang w:eastAsia="sl-SI"/>
        </w:rPr>
        <w:t xml:space="preserve">1.574.763,92 </w:t>
      </w:r>
      <w:r w:rsidRPr="00424274">
        <w:rPr>
          <w:rFonts w:ascii="Arial" w:hAnsi="Arial"/>
          <w:sz w:val="20"/>
          <w:lang w:eastAsia="sl-SI"/>
        </w:rPr>
        <w:t xml:space="preserve">EUR </w:t>
      </w:r>
      <w:r w:rsidR="000B5373">
        <w:rPr>
          <w:rFonts w:ascii="Arial" w:hAnsi="Arial"/>
          <w:sz w:val="20"/>
          <w:lang w:eastAsia="sl-SI"/>
        </w:rPr>
        <w:t>in</w:t>
      </w:r>
      <w:r w:rsidR="000B5373" w:rsidRPr="00424274">
        <w:rPr>
          <w:rFonts w:ascii="Arial" w:hAnsi="Arial"/>
          <w:sz w:val="20"/>
          <w:lang w:eastAsia="sl-SI"/>
        </w:rPr>
        <w:t xml:space="preserve"> </w:t>
      </w:r>
      <w:r w:rsidRPr="00424274">
        <w:rPr>
          <w:rFonts w:ascii="Arial" w:hAnsi="Arial"/>
          <w:sz w:val="20"/>
          <w:lang w:eastAsia="sl-SI"/>
        </w:rPr>
        <w:t xml:space="preserve">posredne finančne učinke v višini </w:t>
      </w:r>
      <w:r w:rsidRPr="00424274">
        <w:rPr>
          <w:rFonts w:ascii="Arial" w:hAnsi="Arial"/>
          <w:color w:val="000000"/>
          <w:sz w:val="20"/>
          <w:lang w:eastAsia="sl-SI"/>
        </w:rPr>
        <w:t xml:space="preserve">54.061,50 </w:t>
      </w:r>
      <w:r w:rsidRPr="00424274">
        <w:rPr>
          <w:rFonts w:ascii="Arial" w:hAnsi="Arial"/>
          <w:bCs/>
          <w:sz w:val="20"/>
          <w:lang w:eastAsia="sl-SI"/>
        </w:rPr>
        <w:t xml:space="preserve">EUR. </w:t>
      </w:r>
    </w:p>
    <w:p w14:paraId="450525DF" w14:textId="77777777" w:rsidR="001E68AC" w:rsidRPr="00424274" w:rsidRDefault="001E68AC" w:rsidP="001E68AC">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napToGrid w:val="0"/>
        <w:spacing w:line="276" w:lineRule="auto"/>
        <w:rPr>
          <w:rFonts w:ascii="Arial" w:hAnsi="Arial"/>
          <w:bCs/>
          <w:sz w:val="20"/>
        </w:rPr>
      </w:pPr>
    </w:p>
    <w:p w14:paraId="718AB626" w14:textId="461DD680" w:rsidR="001E68AC" w:rsidRPr="00424274" w:rsidRDefault="001E68AC" w:rsidP="001E68AC">
      <w:pPr>
        <w:tabs>
          <w:tab w:val="left" w:pos="-1049"/>
          <w:tab w:val="left" w:pos="-689"/>
          <w:tab w:val="left" w:pos="31"/>
          <w:tab w:val="left" w:pos="751"/>
          <w:tab w:val="left" w:pos="1471"/>
          <w:tab w:val="left" w:pos="2191"/>
          <w:tab w:val="left" w:pos="2911"/>
          <w:tab w:val="left" w:pos="3631"/>
          <w:tab w:val="center" w:pos="4153"/>
          <w:tab w:val="left" w:pos="4351"/>
          <w:tab w:val="left" w:pos="4531"/>
          <w:tab w:val="left" w:pos="5071"/>
          <w:tab w:val="left" w:pos="5791"/>
          <w:tab w:val="left" w:pos="6511"/>
          <w:tab w:val="left" w:pos="7231"/>
          <w:tab w:val="left" w:pos="7951"/>
          <w:tab w:val="right" w:pos="8306"/>
          <w:tab w:val="left" w:pos="8671"/>
          <w:tab w:val="left" w:pos="9391"/>
          <w:tab w:val="left" w:pos="10111"/>
          <w:tab w:val="left" w:pos="10831"/>
          <w:tab w:val="left" w:pos="11551"/>
        </w:tabs>
        <w:snapToGrid w:val="0"/>
        <w:spacing w:line="276" w:lineRule="auto"/>
        <w:rPr>
          <w:rFonts w:ascii="Arial" w:hAnsi="Arial"/>
          <w:bCs/>
          <w:iCs/>
          <w:sz w:val="20"/>
        </w:rPr>
      </w:pPr>
      <w:r w:rsidRPr="00424274">
        <w:rPr>
          <w:rFonts w:ascii="Arial" w:hAnsi="Arial"/>
          <w:bCs/>
          <w:iCs/>
          <w:sz w:val="20"/>
        </w:rPr>
        <w:t xml:space="preserve">Iz zgoraj opisanega izhaja, da </w:t>
      </w:r>
      <w:r w:rsidR="000B5373">
        <w:rPr>
          <w:rFonts w:ascii="Arial" w:hAnsi="Arial"/>
          <w:bCs/>
          <w:iCs/>
          <w:sz w:val="20"/>
        </w:rPr>
        <w:t xml:space="preserve">ima </w:t>
      </w:r>
      <w:r w:rsidR="00814A21">
        <w:rPr>
          <w:rFonts w:ascii="Arial" w:hAnsi="Arial"/>
          <w:bCs/>
          <w:iCs/>
          <w:sz w:val="20"/>
        </w:rPr>
        <w:t>urad</w:t>
      </w:r>
      <w:r w:rsidRPr="00424274">
        <w:rPr>
          <w:rFonts w:ascii="Arial" w:hAnsi="Arial"/>
          <w:bCs/>
          <w:iCs/>
          <w:sz w:val="20"/>
        </w:rPr>
        <w:t xml:space="preserve"> poleg temeljne vloge odkrivanja in preprečevanja kaznivega dejanja pranja denarja pomembno vlogo tudi pri odkrivanju in preprečevanju drugih kaznivih dejanj, med drugim tudi davčnih zatajitev. Sodelovanje </w:t>
      </w:r>
      <w:r w:rsidR="00814A21">
        <w:rPr>
          <w:rFonts w:ascii="Arial" w:hAnsi="Arial"/>
          <w:bCs/>
          <w:iCs/>
          <w:sz w:val="20"/>
        </w:rPr>
        <w:t>urad</w:t>
      </w:r>
      <w:r w:rsidRPr="00424274">
        <w:rPr>
          <w:rFonts w:ascii="Arial" w:hAnsi="Arial"/>
          <w:bCs/>
          <w:iCs/>
          <w:sz w:val="20"/>
        </w:rPr>
        <w:t>a s FURS lahko ocenimo kot zgledno in učinkovito.</w:t>
      </w:r>
    </w:p>
    <w:p w14:paraId="5DD46518" w14:textId="77777777" w:rsidR="00355A95" w:rsidRPr="00424274" w:rsidRDefault="00355A95" w:rsidP="00E6031C">
      <w:pPr>
        <w:pStyle w:val="Glava"/>
        <w:tabs>
          <w:tab w:val="left" w:pos="5112"/>
        </w:tabs>
        <w:spacing w:line="276" w:lineRule="auto"/>
        <w:rPr>
          <w:rFonts w:ascii="Arial" w:hAnsi="Arial"/>
          <w:color w:val="FF0000"/>
          <w:sz w:val="20"/>
        </w:rPr>
      </w:pPr>
    </w:p>
    <w:p w14:paraId="38372E0C" w14:textId="6F3A6BDB" w:rsidR="00851C49" w:rsidRPr="00424274" w:rsidRDefault="00292A8B" w:rsidP="006D5A5A">
      <w:pPr>
        <w:pStyle w:val="Naslov3"/>
      </w:pPr>
      <w:bookmarkStart w:id="68" w:name="_Toc113535462"/>
      <w:bookmarkStart w:id="69" w:name="_Hlk73528952"/>
      <w:r w:rsidRPr="00424274">
        <w:t xml:space="preserve">3.1.8 </w:t>
      </w:r>
      <w:r w:rsidR="00851C49" w:rsidRPr="00424274">
        <w:t>Izvajanje pooblastila za začasno ustavitev izvršitve transakcij</w:t>
      </w:r>
      <w:bookmarkEnd w:id="62"/>
      <w:bookmarkEnd w:id="63"/>
      <w:bookmarkEnd w:id="64"/>
      <w:bookmarkEnd w:id="65"/>
      <w:bookmarkEnd w:id="68"/>
      <w:r w:rsidR="00851C49" w:rsidRPr="00424274">
        <w:t xml:space="preserve"> </w:t>
      </w:r>
    </w:p>
    <w:p w14:paraId="37EE6484" w14:textId="77777777" w:rsidR="00851C49" w:rsidRPr="00424274" w:rsidRDefault="00851C49" w:rsidP="00D21F86">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napToGrid w:val="0"/>
        <w:spacing w:line="276" w:lineRule="auto"/>
        <w:ind w:right="-22"/>
        <w:rPr>
          <w:rFonts w:ascii="Arial" w:hAnsi="Arial"/>
          <w:color w:val="FF0000"/>
          <w:sz w:val="20"/>
        </w:rPr>
      </w:pPr>
    </w:p>
    <w:bookmarkEnd w:id="69"/>
    <w:p w14:paraId="07D41EBE" w14:textId="52B998D8" w:rsidR="00AC5CE6" w:rsidRPr="00424274" w:rsidRDefault="00AC5CE6" w:rsidP="00AC5CE6">
      <w:pPr>
        <w:spacing w:line="276" w:lineRule="auto"/>
        <w:rPr>
          <w:rFonts w:ascii="Arial" w:hAnsi="Arial"/>
          <w:sz w:val="20"/>
        </w:rPr>
      </w:pPr>
      <w:r w:rsidRPr="00424274">
        <w:rPr>
          <w:rFonts w:ascii="Arial" w:hAnsi="Arial"/>
          <w:sz w:val="20"/>
        </w:rPr>
        <w:t xml:space="preserve">Zakon o preprečevanju pranja denarja in financiranja terorizma v 96. členu določa, da lahko </w:t>
      </w:r>
      <w:r w:rsidR="00814A21">
        <w:rPr>
          <w:rFonts w:ascii="Arial" w:hAnsi="Arial"/>
          <w:sz w:val="20"/>
        </w:rPr>
        <w:t>urad</w:t>
      </w:r>
      <w:r w:rsidRPr="00424274">
        <w:rPr>
          <w:rFonts w:ascii="Arial" w:hAnsi="Arial"/>
          <w:sz w:val="20"/>
        </w:rPr>
        <w:t>, če oceni, da je podan utemeljen sum storitve kaznivega dejanja pranja denarja, odredi začasno ustavitev izvršitve transakcije, vendar največ za 3 (tri) delovne dni. Urad je navedeno pooblastilo v letu 2020 uporabil v 12 zadevah, ko je v breme 13 bančnih računov ustavil transakcije v skupnem znesku 817.371</w:t>
      </w:r>
      <w:r w:rsidR="009961F4">
        <w:rPr>
          <w:rFonts w:ascii="Arial" w:hAnsi="Arial"/>
          <w:sz w:val="20"/>
        </w:rPr>
        <w:t> </w:t>
      </w:r>
      <w:r w:rsidRPr="00424274">
        <w:rPr>
          <w:rFonts w:ascii="Arial" w:hAnsi="Arial"/>
          <w:sz w:val="20"/>
        </w:rPr>
        <w:t xml:space="preserve">EUR, 450.000 USD in 156.856 GBP. Odredbe o ustavitvi so se nanašale na </w:t>
      </w:r>
      <w:r w:rsidR="009961F4">
        <w:rPr>
          <w:rFonts w:ascii="Arial" w:hAnsi="Arial"/>
          <w:sz w:val="20"/>
        </w:rPr>
        <w:t>sedem</w:t>
      </w:r>
      <w:r w:rsidRPr="00424274">
        <w:rPr>
          <w:rFonts w:ascii="Arial" w:hAnsi="Arial"/>
          <w:sz w:val="20"/>
        </w:rPr>
        <w:t xml:space="preserve"> bančnih računov v Sloveniji, katerih imetnice so bile </w:t>
      </w:r>
      <w:r w:rsidR="009961F4">
        <w:rPr>
          <w:rFonts w:ascii="Arial" w:hAnsi="Arial"/>
          <w:sz w:val="20"/>
        </w:rPr>
        <w:t>štiri</w:t>
      </w:r>
      <w:r w:rsidRPr="00424274">
        <w:rPr>
          <w:rFonts w:ascii="Arial" w:hAnsi="Arial"/>
          <w:sz w:val="20"/>
        </w:rPr>
        <w:t xml:space="preserve"> domače pravne osebe, </w:t>
      </w:r>
      <w:r w:rsidR="009961F4">
        <w:rPr>
          <w:rFonts w:ascii="Arial" w:hAnsi="Arial"/>
          <w:sz w:val="20"/>
        </w:rPr>
        <w:t>ena</w:t>
      </w:r>
      <w:r w:rsidRPr="00424274">
        <w:rPr>
          <w:rFonts w:ascii="Arial" w:hAnsi="Arial"/>
          <w:sz w:val="20"/>
        </w:rPr>
        <w:t xml:space="preserve"> tuja pravna oseba in </w:t>
      </w:r>
      <w:r w:rsidR="009961F4">
        <w:rPr>
          <w:rFonts w:ascii="Arial" w:hAnsi="Arial"/>
          <w:sz w:val="20"/>
        </w:rPr>
        <w:t>ena</w:t>
      </w:r>
      <w:r w:rsidRPr="00424274">
        <w:rPr>
          <w:rFonts w:ascii="Arial" w:hAnsi="Arial"/>
          <w:sz w:val="20"/>
        </w:rPr>
        <w:t xml:space="preserve"> domača fizična oseba</w:t>
      </w:r>
      <w:r w:rsidR="009961F4">
        <w:rPr>
          <w:rFonts w:ascii="Arial" w:hAnsi="Arial"/>
          <w:sz w:val="20"/>
        </w:rPr>
        <w:t>,</w:t>
      </w:r>
      <w:r w:rsidRPr="00424274">
        <w:rPr>
          <w:rFonts w:ascii="Arial" w:hAnsi="Arial"/>
          <w:sz w:val="20"/>
        </w:rPr>
        <w:t xml:space="preserve"> ter </w:t>
      </w:r>
      <w:r w:rsidR="009961F4">
        <w:rPr>
          <w:rFonts w:ascii="Arial" w:hAnsi="Arial"/>
          <w:sz w:val="20"/>
        </w:rPr>
        <w:t>šest</w:t>
      </w:r>
      <w:r w:rsidR="009961F4" w:rsidRPr="00424274">
        <w:rPr>
          <w:rFonts w:ascii="Arial" w:hAnsi="Arial"/>
          <w:sz w:val="20"/>
        </w:rPr>
        <w:t xml:space="preserve"> </w:t>
      </w:r>
      <w:r w:rsidRPr="00424274">
        <w:rPr>
          <w:rFonts w:ascii="Arial" w:hAnsi="Arial"/>
          <w:sz w:val="20"/>
        </w:rPr>
        <w:t xml:space="preserve">bančnih računov v tujini, katerih imetnice so bile </w:t>
      </w:r>
      <w:r w:rsidR="009961F4">
        <w:rPr>
          <w:rFonts w:ascii="Arial" w:hAnsi="Arial"/>
          <w:sz w:val="20"/>
        </w:rPr>
        <w:t>tri</w:t>
      </w:r>
      <w:r w:rsidRPr="00424274">
        <w:rPr>
          <w:rFonts w:ascii="Arial" w:hAnsi="Arial"/>
          <w:sz w:val="20"/>
        </w:rPr>
        <w:t xml:space="preserve"> tuje fizične osebe in </w:t>
      </w:r>
      <w:r w:rsidR="009961F4">
        <w:rPr>
          <w:rFonts w:ascii="Arial" w:hAnsi="Arial"/>
          <w:sz w:val="20"/>
        </w:rPr>
        <w:t>tri</w:t>
      </w:r>
      <w:r w:rsidRPr="00424274">
        <w:rPr>
          <w:rFonts w:ascii="Arial" w:hAnsi="Arial"/>
          <w:sz w:val="20"/>
        </w:rPr>
        <w:t xml:space="preserve"> tuje pravne osebe. V delu teh primerov je tožilstvo pred potekom začasne ustavitve transakcije predlagalo začasno prepoved razpolaganja z vsemi sredstvi na računih, sodišča pa so na predlog tožilstva izdala odredbe o začasnem zavarovanju sredstev na računu.</w:t>
      </w:r>
    </w:p>
    <w:p w14:paraId="53A181C8" w14:textId="77777777" w:rsidR="00705395" w:rsidRPr="00424274" w:rsidRDefault="00705395" w:rsidP="00D21F86">
      <w:pPr>
        <w:spacing w:line="276" w:lineRule="auto"/>
        <w:rPr>
          <w:rFonts w:ascii="Arial" w:hAnsi="Arial"/>
          <w:color w:val="FF0000"/>
          <w:sz w:val="20"/>
        </w:rPr>
      </w:pPr>
    </w:p>
    <w:p w14:paraId="75FCA71A" w14:textId="3BE16DE9" w:rsidR="00851C49" w:rsidRPr="00424274" w:rsidRDefault="00292A8B" w:rsidP="006D5A5A">
      <w:pPr>
        <w:pStyle w:val="Naslov3"/>
      </w:pPr>
      <w:bookmarkStart w:id="70" w:name="_Toc107306492"/>
      <w:bookmarkStart w:id="71" w:name="_Toc135206725"/>
      <w:bookmarkStart w:id="72" w:name="_Toc200524144"/>
      <w:bookmarkStart w:id="73" w:name="_Toc262605341"/>
      <w:bookmarkStart w:id="74" w:name="_Toc113535463"/>
      <w:r w:rsidRPr="00424274">
        <w:t xml:space="preserve">3.1.9 </w:t>
      </w:r>
      <w:r w:rsidR="00851C49" w:rsidRPr="00424274">
        <w:t>Vrednost začasno zavarovanega premoženja v zadevah s področja pranja denar</w:t>
      </w:r>
      <w:bookmarkEnd w:id="70"/>
      <w:bookmarkEnd w:id="71"/>
      <w:bookmarkEnd w:id="72"/>
      <w:r w:rsidR="00851C49" w:rsidRPr="00424274">
        <w:t>ja</w:t>
      </w:r>
      <w:bookmarkEnd w:id="73"/>
      <w:bookmarkEnd w:id="74"/>
    </w:p>
    <w:p w14:paraId="78A37B4A" w14:textId="77777777" w:rsidR="00851C49" w:rsidRPr="00424274" w:rsidRDefault="00851C49" w:rsidP="00D21F86">
      <w:pPr>
        <w:spacing w:line="276" w:lineRule="auto"/>
        <w:ind w:right="-22"/>
        <w:rPr>
          <w:rFonts w:ascii="Arial" w:hAnsi="Arial"/>
          <w:color w:val="FF0000"/>
          <w:sz w:val="20"/>
        </w:rPr>
      </w:pPr>
    </w:p>
    <w:p w14:paraId="6C0236BB" w14:textId="106D67E5" w:rsidR="00EB61F5" w:rsidRPr="00424274" w:rsidRDefault="00EB61F5" w:rsidP="00EB61F5">
      <w:pPr>
        <w:widowControl/>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right="-22"/>
        <w:rPr>
          <w:rFonts w:ascii="Arial" w:hAnsi="Arial"/>
          <w:sz w:val="20"/>
        </w:rPr>
      </w:pPr>
      <w:r w:rsidRPr="00424274">
        <w:rPr>
          <w:rFonts w:ascii="Arial" w:hAnsi="Arial"/>
          <w:sz w:val="20"/>
        </w:rPr>
        <w:t>V letu 2020 je sodišče na predlog tožilstva v eni zadev</w:t>
      </w:r>
      <w:r w:rsidR="00B10A1E" w:rsidRPr="00424274">
        <w:rPr>
          <w:rFonts w:ascii="Arial" w:hAnsi="Arial"/>
          <w:sz w:val="20"/>
        </w:rPr>
        <w:t>i</w:t>
      </w:r>
      <w:r w:rsidRPr="00424274">
        <w:rPr>
          <w:rFonts w:ascii="Arial" w:hAnsi="Arial"/>
          <w:sz w:val="20"/>
        </w:rPr>
        <w:t>, v kateri se obravnava kaznivo dejanje pranja denarja, začasno zavaroval</w:t>
      </w:r>
      <w:r w:rsidR="00534130">
        <w:rPr>
          <w:rFonts w:ascii="Arial" w:hAnsi="Arial"/>
          <w:sz w:val="20"/>
        </w:rPr>
        <w:t>o</w:t>
      </w:r>
      <w:r w:rsidRPr="00424274">
        <w:rPr>
          <w:rFonts w:ascii="Arial" w:hAnsi="Arial"/>
          <w:sz w:val="20"/>
        </w:rPr>
        <w:t xml:space="preserve"> premoženje eni fizični osebi v višini 54.130 EUR. </w:t>
      </w:r>
    </w:p>
    <w:p w14:paraId="2BFA911B" w14:textId="77777777" w:rsidR="00EB61F5" w:rsidRPr="00424274" w:rsidRDefault="00EB61F5" w:rsidP="00EB61F5">
      <w:pPr>
        <w:widowControl/>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right="-22"/>
        <w:rPr>
          <w:rFonts w:ascii="Arial" w:hAnsi="Arial"/>
          <w:sz w:val="20"/>
        </w:rPr>
      </w:pPr>
    </w:p>
    <w:p w14:paraId="469D854F" w14:textId="2372FD4C" w:rsidR="00EB61F5" w:rsidRPr="00424274" w:rsidRDefault="00EB61F5" w:rsidP="00EB61F5">
      <w:pPr>
        <w:widowControl/>
        <w:spacing w:line="276" w:lineRule="auto"/>
        <w:ind w:right="-22"/>
        <w:rPr>
          <w:rFonts w:ascii="Arial" w:hAnsi="Arial"/>
          <w:sz w:val="20"/>
        </w:rPr>
      </w:pPr>
      <w:r w:rsidRPr="00424274">
        <w:rPr>
          <w:rFonts w:ascii="Arial" w:hAnsi="Arial"/>
          <w:sz w:val="20"/>
        </w:rPr>
        <w:t xml:space="preserve">V nadaljevanju v </w:t>
      </w:r>
      <w:r w:rsidR="009961F4">
        <w:rPr>
          <w:rFonts w:ascii="Arial" w:hAnsi="Arial"/>
          <w:sz w:val="20"/>
        </w:rPr>
        <w:t>p</w:t>
      </w:r>
      <w:r w:rsidR="00814A21">
        <w:rPr>
          <w:rFonts w:ascii="Arial" w:hAnsi="Arial"/>
          <w:sz w:val="20"/>
        </w:rPr>
        <w:t>reglednici</w:t>
      </w:r>
      <w:r w:rsidRPr="00424274">
        <w:rPr>
          <w:rFonts w:ascii="Arial" w:hAnsi="Arial"/>
          <w:sz w:val="20"/>
        </w:rPr>
        <w:t xml:space="preserve"> 9 prikazujemo vrednost premoženja, ki je bilo v 17 zadevah zavarovano z odredbami sodišč na dan 31. 12.</w:t>
      </w:r>
      <w:r w:rsidR="009961F4">
        <w:rPr>
          <w:rFonts w:ascii="Arial" w:hAnsi="Arial"/>
          <w:sz w:val="20"/>
        </w:rPr>
        <w:t> </w:t>
      </w:r>
      <w:r w:rsidRPr="00424274">
        <w:rPr>
          <w:rFonts w:ascii="Arial" w:hAnsi="Arial"/>
          <w:sz w:val="20"/>
        </w:rPr>
        <w:t xml:space="preserve">2020 in se je nanašalo na 21 domačih fizičnih oseb, </w:t>
      </w:r>
      <w:r w:rsidR="009961F4">
        <w:rPr>
          <w:rFonts w:ascii="Arial" w:hAnsi="Arial"/>
          <w:sz w:val="20"/>
        </w:rPr>
        <w:t>pet</w:t>
      </w:r>
      <w:r w:rsidRPr="00424274">
        <w:rPr>
          <w:rFonts w:ascii="Arial" w:hAnsi="Arial"/>
          <w:sz w:val="20"/>
        </w:rPr>
        <w:t xml:space="preserve"> domačih pravnih oseb ter </w:t>
      </w:r>
      <w:r w:rsidR="009961F4">
        <w:rPr>
          <w:rFonts w:ascii="Arial" w:hAnsi="Arial"/>
          <w:sz w:val="20"/>
        </w:rPr>
        <w:t>tri</w:t>
      </w:r>
      <w:r w:rsidRPr="00424274">
        <w:rPr>
          <w:rFonts w:ascii="Arial" w:hAnsi="Arial"/>
          <w:sz w:val="20"/>
        </w:rPr>
        <w:t xml:space="preserve"> tuje fizične osebe in </w:t>
      </w:r>
      <w:r w:rsidR="009961F4">
        <w:rPr>
          <w:rFonts w:ascii="Arial" w:hAnsi="Arial"/>
          <w:sz w:val="20"/>
        </w:rPr>
        <w:t>tri</w:t>
      </w:r>
      <w:r w:rsidRPr="00424274">
        <w:rPr>
          <w:rFonts w:ascii="Arial" w:hAnsi="Arial"/>
          <w:sz w:val="20"/>
        </w:rPr>
        <w:t xml:space="preserve"> tuje pravne osebe.</w:t>
      </w:r>
    </w:p>
    <w:p w14:paraId="24101300" w14:textId="77777777" w:rsidR="00EB61F5" w:rsidRPr="00424274" w:rsidRDefault="00EB61F5" w:rsidP="00EB61F5">
      <w:pPr>
        <w:widowControl/>
        <w:spacing w:line="276" w:lineRule="auto"/>
        <w:ind w:right="-22"/>
        <w:rPr>
          <w:rFonts w:ascii="Arial" w:hAnsi="Arial"/>
          <w:sz w:val="20"/>
        </w:rPr>
      </w:pPr>
    </w:p>
    <w:p w14:paraId="17B59EAD" w14:textId="081A6651" w:rsidR="00EB61F5" w:rsidRPr="00424274" w:rsidRDefault="00814A21" w:rsidP="00EB61F5">
      <w:pPr>
        <w:widowControl/>
        <w:spacing w:line="276" w:lineRule="auto"/>
        <w:ind w:left="993" w:right="-22" w:hanging="993"/>
        <w:rPr>
          <w:rFonts w:ascii="Arial" w:hAnsi="Arial"/>
          <w:b/>
          <w:i/>
          <w:sz w:val="20"/>
        </w:rPr>
      </w:pPr>
      <w:r>
        <w:rPr>
          <w:rFonts w:ascii="Arial" w:hAnsi="Arial"/>
          <w:b/>
          <w:i/>
          <w:sz w:val="20"/>
        </w:rPr>
        <w:t>Preglednica</w:t>
      </w:r>
      <w:r w:rsidR="00EB61F5" w:rsidRPr="00424274">
        <w:rPr>
          <w:rFonts w:ascii="Arial" w:hAnsi="Arial"/>
          <w:b/>
          <w:i/>
          <w:sz w:val="20"/>
        </w:rPr>
        <w:t xml:space="preserve"> 9: </w:t>
      </w:r>
      <w:r w:rsidR="00EB61F5" w:rsidRPr="00424274">
        <w:rPr>
          <w:rFonts w:ascii="Arial" w:hAnsi="Arial"/>
          <w:b/>
          <w:i/>
          <w:sz w:val="20"/>
        </w:rPr>
        <w:tab/>
        <w:t>Pregled začasno zaseženega premoženja v Sloveniji in tujini na dan 31. 12. 2020, po valutah in vrsti premoženja</w:t>
      </w:r>
    </w:p>
    <w:p w14:paraId="7DB4633E" w14:textId="0C504BD8" w:rsidR="00EB61F5" w:rsidRPr="00424274" w:rsidRDefault="00EB61F5" w:rsidP="00723C7D">
      <w:pPr>
        <w:pStyle w:val="Telobesedila"/>
        <w:spacing w:line="276" w:lineRule="auto"/>
        <w:ind w:right="-22"/>
        <w:rPr>
          <w:rFonts w:ascii="Arial" w:hAnsi="Arial"/>
          <w:b/>
          <w:i/>
          <w:color w:val="FF0000"/>
          <w:sz w:val="20"/>
        </w:rPr>
      </w:pPr>
    </w:p>
    <w:p w14:paraId="7F7A5CEE" w14:textId="144C10E6" w:rsidR="00EB61F5" w:rsidRPr="00424274" w:rsidRDefault="00EB61F5" w:rsidP="00D21F86">
      <w:pPr>
        <w:pStyle w:val="Telobesedila"/>
        <w:spacing w:line="276" w:lineRule="auto"/>
        <w:ind w:left="993" w:right="-22" w:hanging="993"/>
        <w:rPr>
          <w:rFonts w:ascii="Arial" w:hAnsi="Arial"/>
          <w:b/>
          <w:i/>
          <w:color w:val="FF0000"/>
          <w:sz w:val="20"/>
        </w:rPr>
      </w:pPr>
    </w:p>
    <w:tbl>
      <w:tblPr>
        <w:tblW w:w="8789" w:type="dxa"/>
        <w:tblInd w:w="70" w:type="dxa"/>
        <w:tblCellMar>
          <w:left w:w="70" w:type="dxa"/>
          <w:right w:w="70" w:type="dxa"/>
        </w:tblCellMar>
        <w:tblLook w:val="04A0" w:firstRow="1" w:lastRow="0" w:firstColumn="1" w:lastColumn="0" w:noHBand="0" w:noVBand="1"/>
      </w:tblPr>
      <w:tblGrid>
        <w:gridCol w:w="6237"/>
        <w:gridCol w:w="1560"/>
        <w:gridCol w:w="992"/>
      </w:tblGrid>
      <w:tr w:rsidR="00EB61F5" w:rsidRPr="00424274" w14:paraId="780319E9" w14:textId="77777777" w:rsidTr="00472BE5">
        <w:trPr>
          <w:trHeight w:val="340"/>
        </w:trPr>
        <w:tc>
          <w:tcPr>
            <w:tcW w:w="6237" w:type="dxa"/>
            <w:tcBorders>
              <w:top w:val="single" w:sz="8" w:space="0" w:color="auto"/>
              <w:left w:val="single" w:sz="8" w:space="0" w:color="auto"/>
              <w:bottom w:val="single" w:sz="8" w:space="0" w:color="auto"/>
              <w:right w:val="single" w:sz="8" w:space="0" w:color="000000"/>
            </w:tcBorders>
            <w:shd w:val="clear" w:color="000000" w:fill="00CCFF"/>
            <w:noWrap/>
            <w:vAlign w:val="center"/>
            <w:hideMark/>
          </w:tcPr>
          <w:p w14:paraId="017C2F5B" w14:textId="77777777" w:rsidR="00EB61F5" w:rsidRPr="00424274" w:rsidRDefault="00EB61F5" w:rsidP="00EB61F5">
            <w:pPr>
              <w:widowControl/>
              <w:jc w:val="left"/>
              <w:rPr>
                <w:rFonts w:ascii="Arial" w:hAnsi="Arial"/>
                <w:b/>
                <w:bCs/>
                <w:sz w:val="20"/>
                <w:lang w:eastAsia="sl-SI"/>
              </w:rPr>
            </w:pPr>
            <w:r w:rsidRPr="00424274">
              <w:rPr>
                <w:rFonts w:ascii="Arial" w:hAnsi="Arial"/>
                <w:b/>
                <w:bCs/>
                <w:sz w:val="20"/>
                <w:lang w:eastAsia="sl-SI"/>
              </w:rPr>
              <w:t>VRSTA ZASEŽENEGA PREMOŽENJA</w:t>
            </w:r>
          </w:p>
        </w:tc>
        <w:tc>
          <w:tcPr>
            <w:tcW w:w="1560" w:type="dxa"/>
            <w:tcBorders>
              <w:top w:val="single" w:sz="8" w:space="0" w:color="auto"/>
              <w:left w:val="nil"/>
              <w:bottom w:val="single" w:sz="8" w:space="0" w:color="auto"/>
              <w:right w:val="single" w:sz="8" w:space="0" w:color="auto"/>
            </w:tcBorders>
            <w:shd w:val="clear" w:color="000000" w:fill="00CCFF"/>
            <w:noWrap/>
            <w:vAlign w:val="center"/>
            <w:hideMark/>
          </w:tcPr>
          <w:p w14:paraId="143171C8" w14:textId="77777777" w:rsidR="00EB61F5" w:rsidRPr="00424274" w:rsidRDefault="00EB61F5" w:rsidP="00EB61F5">
            <w:pPr>
              <w:widowControl/>
              <w:jc w:val="right"/>
              <w:rPr>
                <w:rFonts w:ascii="Arial" w:hAnsi="Arial"/>
                <w:b/>
                <w:bCs/>
                <w:sz w:val="20"/>
                <w:lang w:eastAsia="sl-SI"/>
              </w:rPr>
            </w:pPr>
            <w:r w:rsidRPr="00424274">
              <w:rPr>
                <w:rFonts w:ascii="Arial" w:hAnsi="Arial"/>
                <w:b/>
                <w:bCs/>
                <w:sz w:val="20"/>
                <w:lang w:eastAsia="sl-SI"/>
              </w:rPr>
              <w:t>ZNESEK</w:t>
            </w:r>
          </w:p>
        </w:tc>
        <w:tc>
          <w:tcPr>
            <w:tcW w:w="992" w:type="dxa"/>
            <w:tcBorders>
              <w:top w:val="single" w:sz="8" w:space="0" w:color="auto"/>
              <w:left w:val="nil"/>
              <w:bottom w:val="single" w:sz="8" w:space="0" w:color="auto"/>
              <w:right w:val="single" w:sz="8" w:space="0" w:color="auto"/>
            </w:tcBorders>
            <w:shd w:val="clear" w:color="000000" w:fill="00CCFF"/>
            <w:noWrap/>
            <w:vAlign w:val="center"/>
            <w:hideMark/>
          </w:tcPr>
          <w:p w14:paraId="47E6B037" w14:textId="77777777" w:rsidR="00EB61F5" w:rsidRPr="00424274" w:rsidRDefault="00EB61F5" w:rsidP="00EB61F5">
            <w:pPr>
              <w:widowControl/>
              <w:jc w:val="left"/>
              <w:rPr>
                <w:rFonts w:ascii="Arial" w:hAnsi="Arial"/>
                <w:b/>
                <w:bCs/>
                <w:sz w:val="20"/>
                <w:lang w:eastAsia="sl-SI"/>
              </w:rPr>
            </w:pPr>
            <w:r w:rsidRPr="00424274">
              <w:rPr>
                <w:rFonts w:ascii="Arial" w:hAnsi="Arial"/>
                <w:b/>
                <w:bCs/>
                <w:sz w:val="20"/>
                <w:lang w:eastAsia="sl-SI"/>
              </w:rPr>
              <w:t>VALUTA</w:t>
            </w:r>
          </w:p>
        </w:tc>
      </w:tr>
      <w:tr w:rsidR="00EB61F5" w:rsidRPr="00424274" w14:paraId="452156A3" w14:textId="77777777" w:rsidTr="00472BE5">
        <w:trPr>
          <w:trHeight w:val="340"/>
        </w:trPr>
        <w:tc>
          <w:tcPr>
            <w:tcW w:w="6237" w:type="dxa"/>
            <w:tcBorders>
              <w:top w:val="single" w:sz="8" w:space="0" w:color="auto"/>
              <w:left w:val="single" w:sz="8" w:space="0" w:color="auto"/>
              <w:bottom w:val="single" w:sz="8" w:space="0" w:color="auto"/>
              <w:right w:val="single" w:sz="8" w:space="0" w:color="000000"/>
            </w:tcBorders>
            <w:shd w:val="clear" w:color="000000" w:fill="99FF33"/>
            <w:noWrap/>
            <w:vAlign w:val="center"/>
            <w:hideMark/>
          </w:tcPr>
          <w:p w14:paraId="2A0605C5" w14:textId="77777777" w:rsidR="00EB61F5" w:rsidRPr="00424274" w:rsidRDefault="00EB61F5" w:rsidP="00EB61F5">
            <w:pPr>
              <w:widowControl/>
              <w:jc w:val="left"/>
              <w:rPr>
                <w:rFonts w:ascii="Arial" w:hAnsi="Arial"/>
                <w:sz w:val="20"/>
                <w:lang w:eastAsia="sl-SI"/>
              </w:rPr>
            </w:pPr>
            <w:r w:rsidRPr="00424274">
              <w:rPr>
                <w:rFonts w:ascii="Arial" w:hAnsi="Arial"/>
                <w:sz w:val="20"/>
                <w:lang w:eastAsia="sl-SI"/>
              </w:rPr>
              <w:t>Nepremičnine</w:t>
            </w:r>
          </w:p>
        </w:tc>
        <w:tc>
          <w:tcPr>
            <w:tcW w:w="1560" w:type="dxa"/>
            <w:tcBorders>
              <w:top w:val="nil"/>
              <w:left w:val="nil"/>
              <w:bottom w:val="single" w:sz="8" w:space="0" w:color="auto"/>
              <w:right w:val="single" w:sz="8" w:space="0" w:color="auto"/>
            </w:tcBorders>
            <w:shd w:val="clear" w:color="auto" w:fill="auto"/>
            <w:noWrap/>
            <w:vAlign w:val="center"/>
            <w:hideMark/>
          </w:tcPr>
          <w:p w14:paraId="44180F70" w14:textId="77777777" w:rsidR="00EB61F5" w:rsidRPr="00424274" w:rsidRDefault="00EB61F5" w:rsidP="00EB61F5">
            <w:pPr>
              <w:widowControl/>
              <w:jc w:val="right"/>
              <w:rPr>
                <w:rFonts w:ascii="Arial" w:hAnsi="Arial"/>
                <w:sz w:val="20"/>
                <w:lang w:eastAsia="sl-SI"/>
              </w:rPr>
            </w:pPr>
            <w:r w:rsidRPr="00424274">
              <w:rPr>
                <w:rFonts w:ascii="Arial" w:hAnsi="Arial"/>
                <w:sz w:val="20"/>
                <w:lang w:eastAsia="sl-SI"/>
              </w:rPr>
              <w:t>130.000</w:t>
            </w:r>
          </w:p>
        </w:tc>
        <w:tc>
          <w:tcPr>
            <w:tcW w:w="992" w:type="dxa"/>
            <w:tcBorders>
              <w:top w:val="nil"/>
              <w:left w:val="nil"/>
              <w:bottom w:val="single" w:sz="8" w:space="0" w:color="auto"/>
              <w:right w:val="single" w:sz="8" w:space="0" w:color="auto"/>
            </w:tcBorders>
            <w:shd w:val="clear" w:color="auto" w:fill="auto"/>
            <w:noWrap/>
            <w:vAlign w:val="center"/>
            <w:hideMark/>
          </w:tcPr>
          <w:p w14:paraId="6A15105B" w14:textId="77777777" w:rsidR="00EB61F5" w:rsidRPr="00424274" w:rsidRDefault="00EB61F5" w:rsidP="00EB61F5">
            <w:pPr>
              <w:widowControl/>
              <w:jc w:val="left"/>
              <w:rPr>
                <w:rFonts w:ascii="Arial" w:hAnsi="Arial"/>
                <w:sz w:val="20"/>
                <w:lang w:eastAsia="sl-SI"/>
              </w:rPr>
            </w:pPr>
            <w:r w:rsidRPr="00424274">
              <w:rPr>
                <w:rFonts w:ascii="Arial" w:hAnsi="Arial"/>
                <w:sz w:val="20"/>
                <w:lang w:eastAsia="sl-SI"/>
              </w:rPr>
              <w:t>EUR</w:t>
            </w:r>
          </w:p>
        </w:tc>
      </w:tr>
      <w:tr w:rsidR="00EB61F5" w:rsidRPr="00424274" w14:paraId="73E1FE70" w14:textId="77777777" w:rsidTr="00472BE5">
        <w:trPr>
          <w:trHeight w:val="340"/>
        </w:trPr>
        <w:tc>
          <w:tcPr>
            <w:tcW w:w="6237" w:type="dxa"/>
            <w:tcBorders>
              <w:top w:val="single" w:sz="8" w:space="0" w:color="auto"/>
              <w:left w:val="single" w:sz="8" w:space="0" w:color="auto"/>
              <w:bottom w:val="single" w:sz="8" w:space="0" w:color="auto"/>
              <w:right w:val="single" w:sz="8" w:space="0" w:color="000000"/>
            </w:tcBorders>
            <w:shd w:val="clear" w:color="000000" w:fill="99FF33"/>
            <w:noWrap/>
            <w:vAlign w:val="center"/>
            <w:hideMark/>
          </w:tcPr>
          <w:p w14:paraId="2B05946A" w14:textId="77777777" w:rsidR="00EB61F5" w:rsidRPr="00424274" w:rsidRDefault="00EB61F5" w:rsidP="00EB61F5">
            <w:pPr>
              <w:widowControl/>
              <w:jc w:val="left"/>
              <w:rPr>
                <w:rFonts w:ascii="Arial" w:hAnsi="Arial"/>
                <w:sz w:val="20"/>
                <w:lang w:eastAsia="sl-SI"/>
              </w:rPr>
            </w:pPr>
            <w:r w:rsidRPr="00424274">
              <w:rPr>
                <w:rFonts w:ascii="Arial" w:hAnsi="Arial"/>
                <w:sz w:val="20"/>
                <w:lang w:eastAsia="sl-SI"/>
              </w:rPr>
              <w:t>Poslovni deleži</w:t>
            </w:r>
          </w:p>
        </w:tc>
        <w:tc>
          <w:tcPr>
            <w:tcW w:w="1560" w:type="dxa"/>
            <w:tcBorders>
              <w:top w:val="nil"/>
              <w:left w:val="nil"/>
              <w:bottom w:val="single" w:sz="8" w:space="0" w:color="auto"/>
              <w:right w:val="single" w:sz="8" w:space="0" w:color="auto"/>
            </w:tcBorders>
            <w:shd w:val="clear" w:color="auto" w:fill="auto"/>
            <w:noWrap/>
            <w:vAlign w:val="center"/>
            <w:hideMark/>
          </w:tcPr>
          <w:p w14:paraId="101B8140" w14:textId="77777777" w:rsidR="00EB61F5" w:rsidRPr="00424274" w:rsidRDefault="00EB61F5" w:rsidP="00EB61F5">
            <w:pPr>
              <w:widowControl/>
              <w:jc w:val="right"/>
              <w:rPr>
                <w:rFonts w:ascii="Arial" w:hAnsi="Arial"/>
                <w:sz w:val="20"/>
                <w:lang w:eastAsia="sl-SI"/>
              </w:rPr>
            </w:pPr>
            <w:r w:rsidRPr="00424274">
              <w:rPr>
                <w:rFonts w:ascii="Arial" w:hAnsi="Arial"/>
                <w:sz w:val="20"/>
                <w:lang w:eastAsia="sl-SI"/>
              </w:rPr>
              <w:t>29.000.000</w:t>
            </w:r>
          </w:p>
        </w:tc>
        <w:tc>
          <w:tcPr>
            <w:tcW w:w="992" w:type="dxa"/>
            <w:tcBorders>
              <w:top w:val="nil"/>
              <w:left w:val="nil"/>
              <w:bottom w:val="single" w:sz="8" w:space="0" w:color="auto"/>
              <w:right w:val="single" w:sz="8" w:space="0" w:color="auto"/>
            </w:tcBorders>
            <w:shd w:val="clear" w:color="auto" w:fill="auto"/>
            <w:noWrap/>
            <w:vAlign w:val="center"/>
            <w:hideMark/>
          </w:tcPr>
          <w:p w14:paraId="0A3A2675" w14:textId="77777777" w:rsidR="00EB61F5" w:rsidRPr="00424274" w:rsidRDefault="00EB61F5" w:rsidP="00EB61F5">
            <w:pPr>
              <w:widowControl/>
              <w:jc w:val="left"/>
              <w:rPr>
                <w:rFonts w:ascii="Arial" w:hAnsi="Arial"/>
                <w:sz w:val="20"/>
                <w:lang w:eastAsia="sl-SI"/>
              </w:rPr>
            </w:pPr>
            <w:r w:rsidRPr="00424274">
              <w:rPr>
                <w:rFonts w:ascii="Arial" w:hAnsi="Arial"/>
                <w:sz w:val="20"/>
                <w:lang w:eastAsia="sl-SI"/>
              </w:rPr>
              <w:t>EUR</w:t>
            </w:r>
          </w:p>
        </w:tc>
      </w:tr>
      <w:tr w:rsidR="00EB61F5" w:rsidRPr="00424274" w14:paraId="7600E2CA" w14:textId="77777777" w:rsidTr="00472BE5">
        <w:trPr>
          <w:trHeight w:val="340"/>
        </w:trPr>
        <w:tc>
          <w:tcPr>
            <w:tcW w:w="6237" w:type="dxa"/>
            <w:vMerge w:val="restart"/>
            <w:tcBorders>
              <w:top w:val="single" w:sz="4" w:space="0" w:color="auto"/>
              <w:left w:val="single" w:sz="4" w:space="0" w:color="auto"/>
              <w:right w:val="single" w:sz="4" w:space="0" w:color="auto"/>
            </w:tcBorders>
            <w:shd w:val="clear" w:color="000000" w:fill="99FF33"/>
            <w:noWrap/>
            <w:vAlign w:val="center"/>
          </w:tcPr>
          <w:p w14:paraId="3FEB07C6" w14:textId="77777777" w:rsidR="00EB61F5" w:rsidRPr="00424274" w:rsidRDefault="00EB61F5" w:rsidP="00EB61F5">
            <w:pPr>
              <w:widowControl/>
              <w:jc w:val="left"/>
              <w:rPr>
                <w:rFonts w:ascii="Arial" w:hAnsi="Arial"/>
                <w:sz w:val="20"/>
                <w:lang w:eastAsia="sl-SI"/>
              </w:rPr>
            </w:pPr>
            <w:r w:rsidRPr="00424274">
              <w:rPr>
                <w:rFonts w:ascii="Arial" w:hAnsi="Arial"/>
                <w:sz w:val="20"/>
                <w:lang w:eastAsia="sl-SI"/>
              </w:rPr>
              <w:t>Denarna sredstva (bančni računi, gotovina)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5FEC9" w14:textId="77777777" w:rsidR="00EB61F5" w:rsidRPr="00424274" w:rsidRDefault="00EB61F5" w:rsidP="00EB61F5">
            <w:pPr>
              <w:widowControl/>
              <w:jc w:val="right"/>
              <w:rPr>
                <w:rFonts w:ascii="Arial" w:hAnsi="Arial"/>
                <w:sz w:val="20"/>
                <w:lang w:eastAsia="sl-SI"/>
              </w:rPr>
            </w:pPr>
            <w:r w:rsidRPr="00424274">
              <w:rPr>
                <w:rFonts w:ascii="Arial" w:hAnsi="Arial"/>
                <w:sz w:val="20"/>
                <w:lang w:eastAsia="sl-SI"/>
              </w:rPr>
              <w:t>4.831.118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C4647" w14:textId="77777777" w:rsidR="00EB61F5" w:rsidRPr="00424274" w:rsidRDefault="00EB61F5" w:rsidP="00EB61F5">
            <w:pPr>
              <w:jc w:val="left"/>
              <w:rPr>
                <w:rFonts w:ascii="Arial" w:hAnsi="Arial"/>
                <w:sz w:val="20"/>
                <w:lang w:eastAsia="sl-SI"/>
              </w:rPr>
            </w:pPr>
            <w:r w:rsidRPr="00424274">
              <w:rPr>
                <w:rFonts w:ascii="Arial" w:hAnsi="Arial"/>
                <w:sz w:val="20"/>
                <w:lang w:eastAsia="sl-SI"/>
              </w:rPr>
              <w:t>EUR</w:t>
            </w:r>
          </w:p>
        </w:tc>
      </w:tr>
      <w:tr w:rsidR="00EB61F5" w:rsidRPr="00424274" w14:paraId="3CFF966A" w14:textId="77777777" w:rsidTr="00472BE5">
        <w:trPr>
          <w:trHeight w:val="340"/>
        </w:trPr>
        <w:tc>
          <w:tcPr>
            <w:tcW w:w="6237" w:type="dxa"/>
            <w:vMerge/>
            <w:tcBorders>
              <w:left w:val="single" w:sz="4" w:space="0" w:color="auto"/>
              <w:bottom w:val="single" w:sz="4" w:space="0" w:color="auto"/>
              <w:right w:val="single" w:sz="4" w:space="0" w:color="auto"/>
            </w:tcBorders>
            <w:shd w:val="clear" w:color="000000" w:fill="99FF33"/>
            <w:noWrap/>
            <w:vAlign w:val="center"/>
          </w:tcPr>
          <w:p w14:paraId="1B0946C9" w14:textId="77777777" w:rsidR="00EB61F5" w:rsidRPr="00424274" w:rsidRDefault="00EB61F5" w:rsidP="00EB61F5">
            <w:pPr>
              <w:widowControl/>
              <w:jc w:val="left"/>
              <w:rPr>
                <w:rFonts w:ascii="Arial" w:hAnsi="Arial"/>
                <w:sz w:val="20"/>
                <w:lang w:eastAsia="sl-SI"/>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D59F8" w14:textId="77777777" w:rsidR="00EB61F5" w:rsidRPr="00424274" w:rsidRDefault="00EB61F5" w:rsidP="00EB61F5">
            <w:pPr>
              <w:widowControl/>
              <w:jc w:val="right"/>
              <w:rPr>
                <w:rFonts w:ascii="Arial" w:hAnsi="Arial"/>
                <w:sz w:val="20"/>
                <w:lang w:eastAsia="sl-SI"/>
              </w:rPr>
            </w:pPr>
            <w:r w:rsidRPr="00424274">
              <w:rPr>
                <w:rFonts w:ascii="Arial" w:hAnsi="Arial"/>
                <w:sz w:val="20"/>
                <w:lang w:eastAsia="sl-SI"/>
              </w:rPr>
              <w:t>5.939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16DD7" w14:textId="77777777" w:rsidR="00EB61F5" w:rsidRPr="00424274" w:rsidRDefault="00EB61F5" w:rsidP="00EB61F5">
            <w:pPr>
              <w:jc w:val="left"/>
              <w:rPr>
                <w:rFonts w:ascii="Arial" w:hAnsi="Arial"/>
                <w:sz w:val="20"/>
                <w:lang w:eastAsia="sl-SI"/>
              </w:rPr>
            </w:pPr>
            <w:r w:rsidRPr="00424274">
              <w:rPr>
                <w:rFonts w:ascii="Arial" w:hAnsi="Arial"/>
                <w:sz w:val="20"/>
                <w:lang w:eastAsia="sl-SI"/>
              </w:rPr>
              <w:t>USD</w:t>
            </w:r>
          </w:p>
        </w:tc>
      </w:tr>
      <w:tr w:rsidR="00EB61F5" w:rsidRPr="00424274" w14:paraId="39EFB92A" w14:textId="77777777" w:rsidTr="00472BE5">
        <w:trPr>
          <w:trHeight w:val="340"/>
        </w:trPr>
        <w:tc>
          <w:tcPr>
            <w:tcW w:w="6237" w:type="dxa"/>
            <w:vMerge w:val="restart"/>
            <w:tcBorders>
              <w:top w:val="single" w:sz="4" w:space="0" w:color="auto"/>
              <w:left w:val="single" w:sz="8" w:space="0" w:color="auto"/>
              <w:right w:val="single" w:sz="8" w:space="0" w:color="auto"/>
            </w:tcBorders>
            <w:shd w:val="clear" w:color="000000" w:fill="00CCFF"/>
            <w:noWrap/>
            <w:vAlign w:val="center"/>
            <w:hideMark/>
          </w:tcPr>
          <w:p w14:paraId="343A3B06" w14:textId="77777777" w:rsidR="00EB61F5" w:rsidRPr="00424274" w:rsidRDefault="00EB61F5" w:rsidP="00EB61F5">
            <w:pPr>
              <w:widowControl/>
              <w:jc w:val="left"/>
              <w:rPr>
                <w:rFonts w:ascii="Arial" w:hAnsi="Arial"/>
                <w:b/>
                <w:bCs/>
                <w:sz w:val="20"/>
                <w:lang w:eastAsia="sl-SI"/>
              </w:rPr>
            </w:pPr>
            <w:r w:rsidRPr="00424274">
              <w:rPr>
                <w:rFonts w:ascii="Arial" w:hAnsi="Arial"/>
                <w:b/>
                <w:bCs/>
                <w:sz w:val="20"/>
                <w:lang w:eastAsia="sl-SI"/>
              </w:rPr>
              <w:t>SKUPAJ</w:t>
            </w:r>
          </w:p>
        </w:tc>
        <w:tc>
          <w:tcPr>
            <w:tcW w:w="1560" w:type="dxa"/>
            <w:tcBorders>
              <w:top w:val="single" w:sz="4" w:space="0" w:color="auto"/>
              <w:left w:val="single" w:sz="8" w:space="0" w:color="auto"/>
              <w:bottom w:val="single" w:sz="4" w:space="0" w:color="auto"/>
              <w:right w:val="single" w:sz="8" w:space="0" w:color="auto"/>
            </w:tcBorders>
            <w:shd w:val="clear" w:color="000000" w:fill="00CCFF"/>
            <w:noWrap/>
            <w:vAlign w:val="center"/>
            <w:hideMark/>
          </w:tcPr>
          <w:p w14:paraId="38F718D7" w14:textId="77777777" w:rsidR="00EB61F5" w:rsidRPr="00424274" w:rsidRDefault="00EB61F5" w:rsidP="00EB61F5">
            <w:pPr>
              <w:widowControl/>
              <w:jc w:val="right"/>
              <w:rPr>
                <w:rFonts w:ascii="Arial" w:hAnsi="Arial"/>
                <w:b/>
                <w:sz w:val="20"/>
                <w:lang w:eastAsia="sl-SI"/>
              </w:rPr>
            </w:pPr>
            <w:r w:rsidRPr="00424274">
              <w:rPr>
                <w:rFonts w:ascii="Arial" w:hAnsi="Arial"/>
                <w:b/>
                <w:sz w:val="20"/>
                <w:lang w:eastAsia="sl-SI"/>
              </w:rPr>
              <w:t>33.961.118</w:t>
            </w:r>
          </w:p>
        </w:tc>
        <w:tc>
          <w:tcPr>
            <w:tcW w:w="992" w:type="dxa"/>
            <w:tcBorders>
              <w:top w:val="single" w:sz="4" w:space="0" w:color="auto"/>
              <w:left w:val="nil"/>
              <w:bottom w:val="single" w:sz="4" w:space="0" w:color="auto"/>
              <w:right w:val="single" w:sz="8" w:space="0" w:color="auto"/>
            </w:tcBorders>
            <w:shd w:val="clear" w:color="000000" w:fill="00CCFF"/>
            <w:noWrap/>
            <w:vAlign w:val="center"/>
            <w:hideMark/>
          </w:tcPr>
          <w:p w14:paraId="7A80CAC4" w14:textId="77777777" w:rsidR="00EB61F5" w:rsidRPr="00424274" w:rsidRDefault="00EB61F5" w:rsidP="00EB61F5">
            <w:pPr>
              <w:widowControl/>
              <w:jc w:val="left"/>
              <w:rPr>
                <w:rFonts w:ascii="Arial" w:hAnsi="Arial"/>
                <w:b/>
                <w:bCs/>
                <w:sz w:val="20"/>
                <w:lang w:eastAsia="sl-SI"/>
              </w:rPr>
            </w:pPr>
            <w:r w:rsidRPr="00424274">
              <w:rPr>
                <w:rFonts w:ascii="Arial" w:hAnsi="Arial"/>
                <w:b/>
                <w:bCs/>
                <w:sz w:val="20"/>
                <w:lang w:eastAsia="sl-SI"/>
              </w:rPr>
              <w:t>EUR</w:t>
            </w:r>
          </w:p>
        </w:tc>
      </w:tr>
      <w:tr w:rsidR="00EB61F5" w:rsidRPr="00424274" w14:paraId="2F11D238" w14:textId="77777777" w:rsidTr="00472BE5">
        <w:trPr>
          <w:trHeight w:val="340"/>
        </w:trPr>
        <w:tc>
          <w:tcPr>
            <w:tcW w:w="6237" w:type="dxa"/>
            <w:vMerge/>
            <w:tcBorders>
              <w:left w:val="single" w:sz="8" w:space="0" w:color="auto"/>
              <w:bottom w:val="single" w:sz="8" w:space="0" w:color="auto"/>
              <w:right w:val="single" w:sz="8" w:space="0" w:color="auto"/>
            </w:tcBorders>
            <w:shd w:val="clear" w:color="000000" w:fill="00CCFF"/>
            <w:noWrap/>
            <w:vAlign w:val="center"/>
          </w:tcPr>
          <w:p w14:paraId="3C9F52C1" w14:textId="77777777" w:rsidR="00EB61F5" w:rsidRPr="00424274" w:rsidRDefault="00EB61F5" w:rsidP="00EB61F5">
            <w:pPr>
              <w:widowControl/>
              <w:jc w:val="left"/>
              <w:rPr>
                <w:rFonts w:ascii="Arial" w:hAnsi="Arial"/>
                <w:b/>
                <w:bCs/>
                <w:sz w:val="20"/>
                <w:lang w:eastAsia="sl-SI"/>
              </w:rPr>
            </w:pPr>
          </w:p>
        </w:tc>
        <w:tc>
          <w:tcPr>
            <w:tcW w:w="1560" w:type="dxa"/>
            <w:tcBorders>
              <w:top w:val="single" w:sz="4" w:space="0" w:color="auto"/>
              <w:left w:val="single" w:sz="8" w:space="0" w:color="auto"/>
              <w:bottom w:val="single" w:sz="8" w:space="0" w:color="auto"/>
              <w:right w:val="single" w:sz="8" w:space="0" w:color="auto"/>
            </w:tcBorders>
            <w:shd w:val="clear" w:color="000000" w:fill="00CCFF"/>
            <w:noWrap/>
            <w:vAlign w:val="center"/>
          </w:tcPr>
          <w:p w14:paraId="47368F6D" w14:textId="77777777" w:rsidR="00EB61F5" w:rsidRPr="00424274" w:rsidRDefault="00EB61F5" w:rsidP="00EB61F5">
            <w:pPr>
              <w:widowControl/>
              <w:jc w:val="right"/>
              <w:rPr>
                <w:rFonts w:ascii="Arial" w:hAnsi="Arial"/>
                <w:b/>
                <w:sz w:val="20"/>
                <w:lang w:eastAsia="sl-SI"/>
              </w:rPr>
            </w:pPr>
            <w:r w:rsidRPr="00424274">
              <w:rPr>
                <w:rFonts w:ascii="Arial" w:hAnsi="Arial"/>
                <w:b/>
                <w:sz w:val="20"/>
                <w:lang w:eastAsia="sl-SI"/>
              </w:rPr>
              <w:t>5.939</w:t>
            </w:r>
          </w:p>
        </w:tc>
        <w:tc>
          <w:tcPr>
            <w:tcW w:w="992" w:type="dxa"/>
            <w:tcBorders>
              <w:top w:val="single" w:sz="4" w:space="0" w:color="auto"/>
              <w:left w:val="nil"/>
              <w:bottom w:val="single" w:sz="8" w:space="0" w:color="auto"/>
              <w:right w:val="single" w:sz="8" w:space="0" w:color="auto"/>
            </w:tcBorders>
            <w:shd w:val="clear" w:color="000000" w:fill="00CCFF"/>
            <w:noWrap/>
            <w:vAlign w:val="center"/>
          </w:tcPr>
          <w:p w14:paraId="13293639" w14:textId="77777777" w:rsidR="00EB61F5" w:rsidRPr="00424274" w:rsidRDefault="00EB61F5" w:rsidP="00EB61F5">
            <w:pPr>
              <w:widowControl/>
              <w:jc w:val="left"/>
              <w:rPr>
                <w:rFonts w:ascii="Arial" w:hAnsi="Arial"/>
                <w:b/>
                <w:bCs/>
                <w:sz w:val="20"/>
                <w:lang w:eastAsia="sl-SI"/>
              </w:rPr>
            </w:pPr>
            <w:r w:rsidRPr="00424274">
              <w:rPr>
                <w:rFonts w:ascii="Arial" w:hAnsi="Arial"/>
                <w:b/>
                <w:sz w:val="20"/>
                <w:lang w:eastAsia="sl-SI"/>
              </w:rPr>
              <w:t>USD</w:t>
            </w:r>
          </w:p>
        </w:tc>
      </w:tr>
    </w:tbl>
    <w:p w14:paraId="7D439C8B" w14:textId="77777777" w:rsidR="00C21F02" w:rsidRPr="00424274" w:rsidRDefault="00C21F02" w:rsidP="00D21F86">
      <w:pPr>
        <w:spacing w:line="276" w:lineRule="auto"/>
        <w:rPr>
          <w:rFonts w:ascii="Arial" w:hAnsi="Arial"/>
          <w:color w:val="FF0000"/>
          <w:sz w:val="20"/>
        </w:rPr>
      </w:pPr>
    </w:p>
    <w:p w14:paraId="1595E48D" w14:textId="4A540D54" w:rsidR="00C059A2" w:rsidRPr="00424274" w:rsidRDefault="00C059A2" w:rsidP="00C059A2">
      <w:pPr>
        <w:widowControl/>
        <w:spacing w:line="276" w:lineRule="auto"/>
        <w:rPr>
          <w:rFonts w:ascii="Arial" w:hAnsi="Arial"/>
          <w:sz w:val="20"/>
        </w:rPr>
      </w:pPr>
      <w:r w:rsidRPr="00424274">
        <w:rPr>
          <w:rFonts w:ascii="Arial" w:hAnsi="Arial"/>
          <w:sz w:val="20"/>
        </w:rPr>
        <w:t xml:space="preserve">Iz </w:t>
      </w:r>
      <w:r w:rsidR="00814A21">
        <w:rPr>
          <w:rFonts w:ascii="Arial" w:hAnsi="Arial"/>
          <w:sz w:val="20"/>
        </w:rPr>
        <w:t>preglednic</w:t>
      </w:r>
      <w:r w:rsidRPr="00424274">
        <w:rPr>
          <w:rFonts w:ascii="Arial" w:hAnsi="Arial"/>
          <w:sz w:val="20"/>
        </w:rPr>
        <w:t xml:space="preserve">e je razvidno, da je konec leta 2020 znašal </w:t>
      </w:r>
      <w:r w:rsidRPr="00424274">
        <w:rPr>
          <w:rFonts w:ascii="Arial" w:hAnsi="Arial"/>
          <w:b/>
          <w:bCs/>
          <w:i/>
          <w:iCs/>
          <w:sz w:val="20"/>
          <w:u w:val="single"/>
        </w:rPr>
        <w:t xml:space="preserve">znesek začasno zavarovanega premoženja </w:t>
      </w:r>
      <w:r w:rsidRPr="00424274">
        <w:rPr>
          <w:rFonts w:ascii="Arial" w:hAnsi="Arial"/>
          <w:b/>
          <w:i/>
          <w:sz w:val="20"/>
          <w:u w:val="single"/>
          <w:lang w:eastAsia="sl-SI"/>
        </w:rPr>
        <w:t>33.961.118 EU</w:t>
      </w:r>
      <w:r w:rsidRPr="00424274">
        <w:rPr>
          <w:rFonts w:ascii="Arial" w:hAnsi="Arial"/>
          <w:b/>
          <w:i/>
          <w:sz w:val="20"/>
          <w:u w:val="single"/>
        </w:rPr>
        <w:t>R in 5.939 USD</w:t>
      </w:r>
      <w:r w:rsidRPr="00424274">
        <w:rPr>
          <w:rFonts w:ascii="Arial" w:hAnsi="Arial"/>
          <w:sz w:val="20"/>
        </w:rPr>
        <w:t>. Daleč največji del tega premoženja se nanaša na začasno zavarovanje premoženja v obliki poslovnih deležev v tujih družbah, nato pa sledijo denarna sredstva na bančnih računih ali v obliki gotovine. Glede na stanje začasno zaseženega premoženja na dan 31.</w:t>
      </w:r>
      <w:r w:rsidR="00605327" w:rsidRPr="00424274">
        <w:rPr>
          <w:rFonts w:ascii="Arial" w:hAnsi="Arial"/>
          <w:sz w:val="20"/>
        </w:rPr>
        <w:t xml:space="preserve"> </w:t>
      </w:r>
      <w:r w:rsidRPr="00424274">
        <w:rPr>
          <w:rFonts w:ascii="Arial" w:hAnsi="Arial"/>
          <w:sz w:val="20"/>
        </w:rPr>
        <w:t>12.</w:t>
      </w:r>
      <w:r w:rsidR="00605327" w:rsidRPr="00424274">
        <w:rPr>
          <w:rFonts w:ascii="Arial" w:hAnsi="Arial"/>
          <w:sz w:val="20"/>
        </w:rPr>
        <w:t xml:space="preserve"> </w:t>
      </w:r>
      <w:r w:rsidRPr="00424274">
        <w:rPr>
          <w:rFonts w:ascii="Arial" w:hAnsi="Arial"/>
          <w:sz w:val="20"/>
        </w:rPr>
        <w:t>2019 ugotavljamo, da se začasni zasegi nanašajo na nekaj manj zadev, pri čemer pa je skup</w:t>
      </w:r>
      <w:r w:rsidR="008126B7">
        <w:rPr>
          <w:rFonts w:ascii="Arial" w:hAnsi="Arial"/>
          <w:sz w:val="20"/>
        </w:rPr>
        <w:t>ni</w:t>
      </w:r>
      <w:r w:rsidRPr="00424274">
        <w:rPr>
          <w:rFonts w:ascii="Arial" w:hAnsi="Arial"/>
          <w:sz w:val="20"/>
        </w:rPr>
        <w:t xml:space="preserve"> znesek ostal </w:t>
      </w:r>
      <w:r w:rsidR="008126B7">
        <w:rPr>
          <w:rFonts w:ascii="Arial" w:hAnsi="Arial"/>
          <w:sz w:val="20"/>
        </w:rPr>
        <w:t>skoraj</w:t>
      </w:r>
      <w:r w:rsidR="008126B7" w:rsidRPr="00424274">
        <w:rPr>
          <w:rFonts w:ascii="Arial" w:hAnsi="Arial"/>
          <w:sz w:val="20"/>
        </w:rPr>
        <w:t xml:space="preserve"> </w:t>
      </w:r>
      <w:r w:rsidRPr="00424274">
        <w:rPr>
          <w:rFonts w:ascii="Arial" w:hAnsi="Arial"/>
          <w:sz w:val="20"/>
        </w:rPr>
        <w:t>enak.</w:t>
      </w:r>
    </w:p>
    <w:p w14:paraId="326DA733" w14:textId="77777777" w:rsidR="00C059A2" w:rsidRPr="00424274" w:rsidRDefault="00C059A2" w:rsidP="00C059A2">
      <w:pPr>
        <w:widowControl/>
        <w:spacing w:line="276" w:lineRule="auto"/>
        <w:rPr>
          <w:rFonts w:ascii="Arial" w:hAnsi="Arial"/>
          <w:sz w:val="20"/>
        </w:rPr>
      </w:pPr>
    </w:p>
    <w:p w14:paraId="33B42F49" w14:textId="5708144C" w:rsidR="00C059A2" w:rsidRPr="00424274" w:rsidRDefault="00C059A2" w:rsidP="00C059A2">
      <w:pPr>
        <w:widowControl/>
        <w:spacing w:line="276" w:lineRule="auto"/>
        <w:rPr>
          <w:rFonts w:ascii="Arial" w:hAnsi="Arial"/>
          <w:sz w:val="20"/>
        </w:rPr>
      </w:pPr>
      <w:r w:rsidRPr="00424274">
        <w:rPr>
          <w:rFonts w:ascii="Arial" w:hAnsi="Arial"/>
          <w:sz w:val="20"/>
        </w:rPr>
        <w:lastRenderedPageBreak/>
        <w:t>Dejanskega zneska začasno zavarovanega premoženja ni mogoče podati. V nekaterih primerih se namreč odredbe sodišč o začasnem zavarovanju nanašajo tudi na nepremičnine, vrednostne papirje, poslovne deleže, katerih vrednost niha. Hkrati tožilstva in sodišča določajo znesek začasnega zavarovanja na podlagi zneska protipravno pridobljene premoženjske koristi iz predhodnega kaznivega dejanja, ki pa je lahko precej višja</w:t>
      </w:r>
      <w:r w:rsidR="008126B7">
        <w:rPr>
          <w:rFonts w:ascii="Arial" w:hAnsi="Arial"/>
          <w:sz w:val="20"/>
        </w:rPr>
        <w:t>,</w:t>
      </w:r>
      <w:r w:rsidRPr="00424274">
        <w:rPr>
          <w:rFonts w:ascii="Arial" w:hAnsi="Arial"/>
          <w:sz w:val="20"/>
        </w:rPr>
        <w:t xml:space="preserve"> kot je dejanska vrednost premičnega in nepremičnega premoženja, na kater</w:t>
      </w:r>
      <w:r w:rsidR="002110AD">
        <w:rPr>
          <w:rFonts w:ascii="Arial" w:hAnsi="Arial"/>
          <w:sz w:val="20"/>
        </w:rPr>
        <w:t>o</w:t>
      </w:r>
      <w:r w:rsidRPr="00424274">
        <w:rPr>
          <w:rFonts w:ascii="Arial" w:hAnsi="Arial"/>
          <w:sz w:val="20"/>
        </w:rPr>
        <w:t xml:space="preserve"> se ukrep nanaša</w:t>
      </w:r>
      <w:r w:rsidR="002110AD">
        <w:rPr>
          <w:rFonts w:ascii="Arial" w:hAnsi="Arial"/>
          <w:sz w:val="20"/>
        </w:rPr>
        <w:t>,</w:t>
      </w:r>
      <w:r w:rsidRPr="00424274">
        <w:rPr>
          <w:rFonts w:ascii="Arial" w:hAnsi="Arial"/>
          <w:sz w:val="20"/>
        </w:rPr>
        <w:t xml:space="preserve"> ali pa celo nižja od dejanske vrednosti začasno zavarovanega premoženja. Iz podatkov o začasnem zavarovanju</w:t>
      </w:r>
      <w:r w:rsidR="002110AD">
        <w:rPr>
          <w:rFonts w:ascii="Arial" w:hAnsi="Arial"/>
          <w:sz w:val="20"/>
        </w:rPr>
        <w:t>,</w:t>
      </w:r>
      <w:r w:rsidRPr="00424274">
        <w:rPr>
          <w:rFonts w:ascii="Arial" w:hAnsi="Arial"/>
          <w:sz w:val="20"/>
        </w:rPr>
        <w:t xml:space="preserve"> prejetih od sodišč v letu 2020</w:t>
      </w:r>
      <w:r w:rsidR="002110AD">
        <w:rPr>
          <w:rFonts w:ascii="Arial" w:hAnsi="Arial"/>
          <w:sz w:val="20"/>
        </w:rPr>
        <w:t>,</w:t>
      </w:r>
      <w:r w:rsidRPr="00424274">
        <w:rPr>
          <w:rFonts w:ascii="Arial" w:hAnsi="Arial"/>
          <w:sz w:val="20"/>
        </w:rPr>
        <w:t xml:space="preserve"> ugotavljamo, da sodišča pri zavarovanju na nepremičninah v večini primerov sploh niso navedla zneska zavarovanja.</w:t>
      </w:r>
    </w:p>
    <w:p w14:paraId="2286E29B" w14:textId="77777777" w:rsidR="00C059A2" w:rsidRPr="00424274" w:rsidRDefault="00C059A2" w:rsidP="00C059A2">
      <w:pPr>
        <w:widowControl/>
        <w:spacing w:line="276" w:lineRule="auto"/>
        <w:rPr>
          <w:rFonts w:ascii="Arial" w:hAnsi="Arial"/>
          <w:sz w:val="20"/>
        </w:rPr>
      </w:pPr>
    </w:p>
    <w:p w14:paraId="2BB01B0B" w14:textId="49D7CC10" w:rsidR="00C059A2" w:rsidRPr="00424274" w:rsidRDefault="00C059A2" w:rsidP="00C059A2">
      <w:pPr>
        <w:widowControl/>
        <w:rPr>
          <w:rFonts w:ascii="Arial" w:hAnsi="Arial"/>
          <w:sz w:val="20"/>
        </w:rPr>
      </w:pPr>
      <w:r w:rsidRPr="00424274">
        <w:rPr>
          <w:rFonts w:ascii="Arial" w:hAnsi="Arial"/>
          <w:sz w:val="20"/>
        </w:rPr>
        <w:t>Iz celoletne primerjave zneskov, ki so bili začasno zavarovani kadar</w:t>
      </w:r>
      <w:r w:rsidR="002110AD">
        <w:rPr>
          <w:rFonts w:ascii="Arial" w:hAnsi="Arial"/>
          <w:sz w:val="20"/>
        </w:rPr>
        <w:t xml:space="preserve"> </w:t>
      </w:r>
      <w:r w:rsidRPr="00424274">
        <w:rPr>
          <w:rFonts w:ascii="Arial" w:hAnsi="Arial"/>
          <w:sz w:val="20"/>
        </w:rPr>
        <w:t>koli v letu 2019 oziroma 2020</w:t>
      </w:r>
      <w:r w:rsidR="002110AD">
        <w:rPr>
          <w:rFonts w:ascii="Arial" w:hAnsi="Arial"/>
          <w:sz w:val="20"/>
        </w:rPr>
        <w:t>,</w:t>
      </w:r>
      <w:r w:rsidRPr="00424274">
        <w:rPr>
          <w:rFonts w:ascii="Arial" w:hAnsi="Arial"/>
          <w:sz w:val="20"/>
        </w:rPr>
        <w:t xml:space="preserve"> ugotavljamo, da je bilo v letu 2019 v 32 zadevah </w:t>
      </w:r>
      <w:r w:rsidR="002110AD">
        <w:rPr>
          <w:rFonts w:ascii="Arial" w:hAnsi="Arial"/>
          <w:sz w:val="20"/>
        </w:rPr>
        <w:t xml:space="preserve">premoženje zavarovano v skupni višini </w:t>
      </w:r>
      <w:r w:rsidRPr="00424274">
        <w:rPr>
          <w:rFonts w:ascii="Arial" w:hAnsi="Arial"/>
          <w:sz w:val="20"/>
        </w:rPr>
        <w:t xml:space="preserve">okoli 45.116.027 EUR in v letu 2020 v 26 zadevah premoženje v skupni višini </w:t>
      </w:r>
      <w:r w:rsidRPr="00424274">
        <w:rPr>
          <w:rFonts w:ascii="Arial" w:hAnsi="Arial"/>
          <w:bCs/>
          <w:color w:val="000000"/>
          <w:sz w:val="20"/>
          <w:lang w:eastAsia="sl-SI"/>
        </w:rPr>
        <w:t>38.099.845 EUR.</w:t>
      </w:r>
    </w:p>
    <w:p w14:paraId="327310F1" w14:textId="77777777" w:rsidR="00851C49" w:rsidRPr="00424274" w:rsidRDefault="00851C49" w:rsidP="00D21F86">
      <w:pPr>
        <w:spacing w:line="276" w:lineRule="auto"/>
        <w:rPr>
          <w:rFonts w:ascii="Arial" w:hAnsi="Arial"/>
          <w:color w:val="FF0000"/>
          <w:sz w:val="20"/>
        </w:rPr>
      </w:pPr>
    </w:p>
    <w:p w14:paraId="035DCD2A" w14:textId="75518306" w:rsidR="00851C49" w:rsidRPr="00424274" w:rsidRDefault="00292A8B" w:rsidP="006D5A5A">
      <w:pPr>
        <w:pStyle w:val="Naslov3"/>
      </w:pPr>
      <w:bookmarkStart w:id="75" w:name="_Toc113535464"/>
      <w:bookmarkStart w:id="76" w:name="_Hlk73528996"/>
      <w:r w:rsidRPr="00424274">
        <w:t xml:space="preserve">3.1.10 </w:t>
      </w:r>
      <w:r w:rsidR="00851C49" w:rsidRPr="00424274">
        <w:t>Vrednost odvzetega premoženja v zadevah s področja pranja denarja</w:t>
      </w:r>
      <w:bookmarkEnd w:id="75"/>
    </w:p>
    <w:p w14:paraId="40946F0B" w14:textId="77777777" w:rsidR="00851C49" w:rsidRPr="00424274" w:rsidRDefault="00851C49" w:rsidP="00D21F86">
      <w:pPr>
        <w:spacing w:line="276" w:lineRule="auto"/>
        <w:rPr>
          <w:rFonts w:ascii="Arial" w:hAnsi="Arial"/>
          <w:color w:val="FF0000"/>
          <w:sz w:val="20"/>
        </w:rPr>
      </w:pPr>
    </w:p>
    <w:bookmarkEnd w:id="76"/>
    <w:p w14:paraId="26602310" w14:textId="3331A60C" w:rsidR="00B218A9" w:rsidRPr="00424274" w:rsidRDefault="00B218A9" w:rsidP="00B218A9">
      <w:pPr>
        <w:spacing w:line="276" w:lineRule="auto"/>
        <w:rPr>
          <w:rFonts w:ascii="Arial" w:hAnsi="Arial"/>
          <w:sz w:val="20"/>
        </w:rPr>
      </w:pPr>
      <w:r w:rsidRPr="00424274">
        <w:rPr>
          <w:rFonts w:ascii="Arial" w:hAnsi="Arial"/>
          <w:sz w:val="20"/>
        </w:rPr>
        <w:t xml:space="preserve">Sodišča so v letu 2020 v </w:t>
      </w:r>
      <w:r w:rsidR="002110AD">
        <w:rPr>
          <w:rFonts w:ascii="Arial" w:hAnsi="Arial"/>
          <w:sz w:val="20"/>
        </w:rPr>
        <w:t>osmih</w:t>
      </w:r>
      <w:r w:rsidRPr="00424274">
        <w:rPr>
          <w:rFonts w:ascii="Arial" w:hAnsi="Arial"/>
          <w:sz w:val="20"/>
        </w:rPr>
        <w:t xml:space="preserve"> pravnomočnih sodbah zaradi storitve kaznivega dejanja pranja denarja po 245. členu KZ-1 odredila poleg zapornih kazni tudi odvzem in vrnitev premoženja, ki izvira iz kaznivih dejanj, ter hkrati izrekla tudi stranske denarne kazni. </w:t>
      </w:r>
      <w:r w:rsidR="002110AD">
        <w:rPr>
          <w:rFonts w:ascii="Arial" w:hAnsi="Arial"/>
          <w:sz w:val="20"/>
        </w:rPr>
        <w:t>Tukaj</w:t>
      </w:r>
      <w:r w:rsidRPr="00424274">
        <w:rPr>
          <w:rFonts w:ascii="Arial" w:hAnsi="Arial"/>
          <w:sz w:val="20"/>
        </w:rPr>
        <w:t xml:space="preserve"> navajamo le podatke o finančnih učinkih sodb, medtem ko </w:t>
      </w:r>
      <w:r w:rsidR="002110AD">
        <w:rPr>
          <w:rFonts w:ascii="Arial" w:hAnsi="Arial"/>
          <w:sz w:val="20"/>
        </w:rPr>
        <w:t>pre</w:t>
      </w:r>
      <w:r w:rsidRPr="00424274">
        <w:rPr>
          <w:rFonts w:ascii="Arial" w:hAnsi="Arial"/>
          <w:sz w:val="20"/>
        </w:rPr>
        <w:t>ostale podatke iz pravnomočnih sodb predstavljamo v poglavju 4.1.5.</w:t>
      </w:r>
    </w:p>
    <w:p w14:paraId="512DF1C8" w14:textId="77777777" w:rsidR="00B218A9" w:rsidRPr="00424274" w:rsidRDefault="00B218A9" w:rsidP="00B218A9">
      <w:pPr>
        <w:spacing w:line="276" w:lineRule="auto"/>
        <w:rPr>
          <w:rFonts w:ascii="Arial" w:hAnsi="Arial"/>
          <w:sz w:val="20"/>
        </w:rPr>
      </w:pPr>
    </w:p>
    <w:p w14:paraId="6AA15EBE" w14:textId="7BAA1199" w:rsidR="00B218A9" w:rsidRPr="00424274" w:rsidRDefault="00B218A9" w:rsidP="00B218A9">
      <w:pPr>
        <w:rPr>
          <w:rFonts w:ascii="Arial" w:hAnsi="Arial"/>
          <w:sz w:val="20"/>
        </w:rPr>
      </w:pPr>
      <w:r w:rsidRPr="00424274">
        <w:rPr>
          <w:rFonts w:ascii="Arial" w:hAnsi="Arial"/>
          <w:sz w:val="20"/>
        </w:rPr>
        <w:t>S sodbami</w:t>
      </w:r>
      <w:r w:rsidR="005D2315" w:rsidRPr="00424274">
        <w:rPr>
          <w:rFonts w:ascii="Arial" w:hAnsi="Arial"/>
          <w:sz w:val="20"/>
        </w:rPr>
        <w:t>,</w:t>
      </w:r>
      <w:r w:rsidRPr="00424274">
        <w:rPr>
          <w:rFonts w:ascii="Arial" w:hAnsi="Arial"/>
          <w:sz w:val="20"/>
        </w:rPr>
        <w:t xml:space="preserve"> izrečenimi v letu 2020</w:t>
      </w:r>
      <w:r w:rsidR="00F10308" w:rsidRPr="00424274">
        <w:rPr>
          <w:rFonts w:ascii="Arial" w:hAnsi="Arial"/>
          <w:sz w:val="20"/>
        </w:rPr>
        <w:t>,</w:t>
      </w:r>
      <w:r w:rsidRPr="00424274">
        <w:rPr>
          <w:rFonts w:ascii="Arial" w:hAnsi="Arial"/>
          <w:sz w:val="20"/>
        </w:rPr>
        <w:t xml:space="preserve"> je bilo odvzeto premoženje v višini </w:t>
      </w:r>
      <w:r w:rsidRPr="00424274">
        <w:rPr>
          <w:rFonts w:ascii="Arial" w:hAnsi="Arial"/>
          <w:sz w:val="20"/>
          <w:lang w:eastAsia="sl-SI"/>
        </w:rPr>
        <w:t xml:space="preserve">30.822 USD in 2.600 EUR ter odrejeno vračilo 2.498.613 EUR, hkrati pa so izrečene tudi stranske denarne kazni </w:t>
      </w:r>
      <w:r w:rsidRPr="00424274">
        <w:rPr>
          <w:rFonts w:ascii="Arial" w:hAnsi="Arial"/>
          <w:sz w:val="20"/>
        </w:rPr>
        <w:t>v skupni višini 52.150</w:t>
      </w:r>
      <w:r w:rsidRPr="00424274">
        <w:rPr>
          <w:rFonts w:ascii="Arial" w:hAnsi="Arial"/>
          <w:sz w:val="20"/>
          <w:lang w:eastAsia="sl-SI"/>
        </w:rPr>
        <w:t xml:space="preserve"> </w:t>
      </w:r>
      <w:r w:rsidRPr="00424274">
        <w:rPr>
          <w:rFonts w:ascii="Arial" w:hAnsi="Arial"/>
          <w:sz w:val="20"/>
        </w:rPr>
        <w:t>EUR.</w:t>
      </w:r>
    </w:p>
    <w:p w14:paraId="4BBC9E1A" w14:textId="77777777" w:rsidR="00B218A9" w:rsidRPr="00424274" w:rsidRDefault="00B218A9" w:rsidP="00B218A9">
      <w:pPr>
        <w:widowControl/>
        <w:spacing w:line="276" w:lineRule="auto"/>
        <w:rPr>
          <w:rFonts w:ascii="Arial" w:hAnsi="Arial"/>
          <w:sz w:val="20"/>
        </w:rPr>
      </w:pPr>
    </w:p>
    <w:p w14:paraId="1E0A27AF" w14:textId="12BBF0E8" w:rsidR="00B218A9" w:rsidRPr="00424274" w:rsidRDefault="00B218A9" w:rsidP="00B218A9">
      <w:pPr>
        <w:rPr>
          <w:rFonts w:ascii="Arial" w:hAnsi="Arial"/>
          <w:sz w:val="20"/>
          <w:lang w:eastAsia="sl-SI"/>
        </w:rPr>
      </w:pPr>
      <w:r w:rsidRPr="00424274">
        <w:rPr>
          <w:rFonts w:ascii="Arial" w:hAnsi="Arial"/>
          <w:sz w:val="20"/>
        </w:rPr>
        <w:t>Skupno so sodišča do konca leta 2020 v vseh pravnomočnih obsodilnih sodbah zaradi storitve kaznivega dejanja pranja denarja, skupaj z zadevami, ki se niso končale s pravnomočno sodbo, vendar pa je bilo v njih premoženje odvzeto na podlagi 498</w:t>
      </w:r>
      <w:r w:rsidR="00534130">
        <w:rPr>
          <w:rFonts w:ascii="Arial" w:hAnsi="Arial"/>
          <w:sz w:val="20"/>
        </w:rPr>
        <w:t>.</w:t>
      </w:r>
      <w:r w:rsidRPr="00424274">
        <w:rPr>
          <w:rFonts w:ascii="Arial" w:hAnsi="Arial"/>
          <w:sz w:val="20"/>
        </w:rPr>
        <w:t xml:space="preserve">a člena ZKP, odvzela </w:t>
      </w:r>
      <w:r w:rsidRPr="00424274">
        <w:rPr>
          <w:rFonts w:ascii="Arial" w:hAnsi="Arial"/>
          <w:color w:val="000000"/>
          <w:sz w:val="20"/>
          <w:lang w:eastAsia="sl-SI"/>
        </w:rPr>
        <w:t xml:space="preserve">5.482.321 </w:t>
      </w:r>
      <w:r w:rsidRPr="00424274">
        <w:rPr>
          <w:rFonts w:ascii="Arial" w:hAnsi="Arial"/>
          <w:sz w:val="20"/>
          <w:lang w:eastAsia="sl-SI"/>
        </w:rPr>
        <w:t xml:space="preserve">EUR, odredila vrnitev 32.004.901 EUR protipravno pridobljene koristi in izrekla za 1.255.050 EUR stranskih denarnih kazni. </w:t>
      </w:r>
    </w:p>
    <w:p w14:paraId="06A12F0F" w14:textId="77777777" w:rsidR="00B218A9" w:rsidRPr="00424274" w:rsidRDefault="00B218A9" w:rsidP="00B218A9">
      <w:pPr>
        <w:spacing w:line="276" w:lineRule="auto"/>
        <w:rPr>
          <w:rFonts w:ascii="Arial" w:hAnsi="Arial"/>
          <w:sz w:val="20"/>
        </w:rPr>
      </w:pPr>
    </w:p>
    <w:p w14:paraId="7096F4B0" w14:textId="11854A6F" w:rsidR="00B218A9" w:rsidRPr="00424274" w:rsidRDefault="00B218A9" w:rsidP="00B218A9">
      <w:pPr>
        <w:spacing w:line="276" w:lineRule="auto"/>
        <w:rPr>
          <w:rFonts w:ascii="Arial" w:hAnsi="Arial"/>
          <w:sz w:val="20"/>
        </w:rPr>
      </w:pPr>
      <w:r w:rsidRPr="00424274">
        <w:rPr>
          <w:rFonts w:ascii="Arial" w:hAnsi="Arial"/>
          <w:sz w:val="20"/>
        </w:rPr>
        <w:t xml:space="preserve">Kljub zadovoljivemu skupnemu številu sodb </w:t>
      </w:r>
      <w:r w:rsidR="00534130">
        <w:rPr>
          <w:rFonts w:ascii="Arial" w:hAnsi="Arial"/>
          <w:sz w:val="20"/>
        </w:rPr>
        <w:t>in</w:t>
      </w:r>
      <w:r w:rsidR="00534130" w:rsidRPr="00424274">
        <w:rPr>
          <w:rFonts w:ascii="Arial" w:hAnsi="Arial"/>
          <w:sz w:val="20"/>
        </w:rPr>
        <w:t xml:space="preserve"> </w:t>
      </w:r>
      <w:r w:rsidRPr="00424274">
        <w:rPr>
          <w:rFonts w:ascii="Arial" w:hAnsi="Arial"/>
          <w:sz w:val="20"/>
        </w:rPr>
        <w:t xml:space="preserve">odvzetih sredstev na </w:t>
      </w:r>
      <w:r w:rsidR="00814A21">
        <w:rPr>
          <w:rFonts w:ascii="Arial" w:hAnsi="Arial"/>
          <w:sz w:val="20"/>
        </w:rPr>
        <w:t>urad</w:t>
      </w:r>
      <w:r w:rsidRPr="00424274">
        <w:rPr>
          <w:rFonts w:ascii="Arial" w:hAnsi="Arial"/>
          <w:sz w:val="20"/>
        </w:rPr>
        <w:t xml:space="preserve">u opažamo precejšen razkorak med višino začasno zaseženih sredstev na letni ravni ter zneskom odvzetega premoženja. Hkrati ugotavljamo, da v nekaterih sodbah ni izrekov o odvzemu sredstev, </w:t>
      </w:r>
      <w:r w:rsidR="00534130">
        <w:rPr>
          <w:rFonts w:ascii="Arial" w:hAnsi="Arial"/>
          <w:sz w:val="20"/>
        </w:rPr>
        <w:t>čeprav</w:t>
      </w:r>
      <w:r w:rsidRPr="00424274">
        <w:rPr>
          <w:rFonts w:ascii="Arial" w:hAnsi="Arial"/>
          <w:sz w:val="20"/>
        </w:rPr>
        <w:t xml:space="preserve"> so bile v teh zadevah izdane odredbe o začasnem zavarovanju sredstev.</w:t>
      </w:r>
    </w:p>
    <w:p w14:paraId="6A360483" w14:textId="77777777" w:rsidR="00B218A9" w:rsidRPr="00424274" w:rsidRDefault="00B218A9" w:rsidP="00B218A9"/>
    <w:p w14:paraId="5A762E37" w14:textId="7C8E8140" w:rsidR="00851C49" w:rsidRPr="00424274" w:rsidRDefault="00292A8B" w:rsidP="006D5A5A">
      <w:pPr>
        <w:pStyle w:val="Naslov3"/>
      </w:pPr>
      <w:bookmarkStart w:id="77" w:name="_Toc113535465"/>
      <w:r w:rsidRPr="00424274">
        <w:t xml:space="preserve">3.1.11 </w:t>
      </w:r>
      <w:r w:rsidR="00851C49" w:rsidRPr="00424274">
        <w:t>Tipologija sumljivih transakcij</w:t>
      </w:r>
      <w:bookmarkEnd w:id="77"/>
    </w:p>
    <w:p w14:paraId="0FD64561" w14:textId="77777777" w:rsidR="00785F67" w:rsidRPr="00424274" w:rsidRDefault="00785F67" w:rsidP="00785F67">
      <w:pPr>
        <w:widowControl/>
        <w:ind w:right="-22"/>
        <w:rPr>
          <w:rFonts w:ascii="Arial" w:eastAsia="Arial" w:hAnsi="Arial"/>
          <w:sz w:val="20"/>
          <w:szCs w:val="22"/>
          <w:lang w:eastAsia="sl-SI"/>
        </w:rPr>
      </w:pPr>
      <w:bookmarkStart w:id="78" w:name="_Toc107306496"/>
      <w:bookmarkStart w:id="79" w:name="_Toc135206729"/>
      <w:bookmarkStart w:id="80" w:name="_Toc200524148"/>
    </w:p>
    <w:p w14:paraId="2A305B47" w14:textId="2F0DE165" w:rsidR="00785F67" w:rsidRPr="00424274" w:rsidRDefault="00785F67" w:rsidP="00100D6C">
      <w:pPr>
        <w:spacing w:line="276" w:lineRule="auto"/>
        <w:ind w:right="-22"/>
        <w:rPr>
          <w:rFonts w:ascii="Arial" w:eastAsia="Arial" w:hAnsi="Arial"/>
          <w:sz w:val="20"/>
          <w:szCs w:val="22"/>
          <w:lang w:eastAsia="sl-SI"/>
        </w:rPr>
      </w:pPr>
      <w:r w:rsidRPr="00424274">
        <w:rPr>
          <w:rFonts w:ascii="Arial" w:eastAsia="Arial" w:hAnsi="Arial"/>
          <w:sz w:val="20"/>
          <w:szCs w:val="22"/>
          <w:lang w:eastAsia="sl-SI"/>
        </w:rPr>
        <w:t>Na podlagi opravljene analize 351 obvestil o sumljivih transakcijah (zadeva</w:t>
      </w:r>
      <w:r w:rsidR="00273E0A">
        <w:rPr>
          <w:rFonts w:ascii="Arial" w:eastAsia="Arial" w:hAnsi="Arial"/>
          <w:sz w:val="20"/>
          <w:szCs w:val="22"/>
          <w:lang w:eastAsia="sl-SI"/>
        </w:rPr>
        <w:t>h</w:t>
      </w:r>
      <w:r w:rsidRPr="00424274">
        <w:rPr>
          <w:rFonts w:ascii="Arial" w:eastAsia="Arial" w:hAnsi="Arial"/>
          <w:sz w:val="20"/>
          <w:szCs w:val="22"/>
          <w:lang w:eastAsia="sl-SI"/>
        </w:rPr>
        <w:t xml:space="preserve">), ki smo jih </w:t>
      </w:r>
      <w:r w:rsidR="002110AD">
        <w:rPr>
          <w:rFonts w:ascii="Arial" w:eastAsia="Arial" w:hAnsi="Arial"/>
          <w:sz w:val="20"/>
          <w:szCs w:val="22"/>
          <w:lang w:eastAsia="sl-SI"/>
        </w:rPr>
        <w:t>poslali</w:t>
      </w:r>
      <w:r w:rsidR="002110AD" w:rsidRPr="00424274">
        <w:rPr>
          <w:rFonts w:ascii="Arial" w:eastAsia="Arial" w:hAnsi="Arial"/>
          <w:sz w:val="20"/>
          <w:szCs w:val="22"/>
          <w:lang w:eastAsia="sl-SI"/>
        </w:rPr>
        <w:t xml:space="preserve"> </w:t>
      </w:r>
      <w:r w:rsidRPr="00424274">
        <w:rPr>
          <w:rFonts w:ascii="Arial" w:eastAsia="Arial" w:hAnsi="Arial"/>
          <w:sz w:val="20"/>
          <w:szCs w:val="22"/>
          <w:lang w:eastAsia="sl-SI"/>
        </w:rPr>
        <w:t>pristojnim organom (policija/tožilstvo)</w:t>
      </w:r>
      <w:r w:rsidR="002110AD">
        <w:rPr>
          <w:rFonts w:ascii="Arial" w:eastAsia="Arial" w:hAnsi="Arial"/>
          <w:sz w:val="20"/>
          <w:szCs w:val="22"/>
          <w:lang w:eastAsia="sl-SI"/>
        </w:rPr>
        <w:t>,</w:t>
      </w:r>
      <w:r w:rsidRPr="00424274">
        <w:rPr>
          <w:rFonts w:ascii="Arial" w:eastAsia="Arial" w:hAnsi="Arial"/>
          <w:sz w:val="20"/>
          <w:szCs w:val="22"/>
          <w:lang w:eastAsia="sl-SI"/>
        </w:rPr>
        <w:t xml:space="preserve"> smo ugotovili, da se tipologija obravnavanih sumljivih transakcij v primerjavi s prejšnjim letom ni bistveno spremenila. Med pojavnimi oblikami in tehnikami pranja denarja so bile pri večini obravnavanih zadev še vedno uporabljene nekatere klasične tehnike, ki so značilne za prvo </w:t>
      </w:r>
      <w:r w:rsidRPr="00424274">
        <w:rPr>
          <w:rFonts w:ascii="Arial" w:eastAsia="Arial" w:hAnsi="Arial"/>
          <w:i/>
          <w:sz w:val="20"/>
          <w:szCs w:val="22"/>
          <w:lang w:eastAsia="sl-SI"/>
        </w:rPr>
        <w:t>(»</w:t>
      </w:r>
      <w:proofErr w:type="spellStart"/>
      <w:r w:rsidRPr="00424274">
        <w:rPr>
          <w:rFonts w:ascii="Arial" w:eastAsia="Arial" w:hAnsi="Arial"/>
          <w:i/>
          <w:sz w:val="20"/>
          <w:szCs w:val="22"/>
          <w:lang w:eastAsia="sl-SI"/>
        </w:rPr>
        <w:t>placement</w:t>
      </w:r>
      <w:proofErr w:type="spellEnd"/>
      <w:r w:rsidRPr="00424274">
        <w:rPr>
          <w:rFonts w:ascii="Arial" w:eastAsia="Arial" w:hAnsi="Arial"/>
          <w:i/>
          <w:sz w:val="20"/>
          <w:szCs w:val="22"/>
          <w:lang w:eastAsia="sl-SI"/>
        </w:rPr>
        <w:t>«)</w:t>
      </w:r>
      <w:r w:rsidRPr="00424274">
        <w:rPr>
          <w:rFonts w:ascii="Arial" w:eastAsia="Arial" w:hAnsi="Arial"/>
          <w:sz w:val="20"/>
          <w:szCs w:val="22"/>
          <w:lang w:eastAsia="sl-SI"/>
        </w:rPr>
        <w:t xml:space="preserve"> in drugo </w:t>
      </w:r>
      <w:r w:rsidRPr="00424274">
        <w:rPr>
          <w:rFonts w:ascii="Arial" w:eastAsia="Arial" w:hAnsi="Arial"/>
          <w:i/>
          <w:sz w:val="20"/>
          <w:szCs w:val="22"/>
          <w:lang w:eastAsia="sl-SI"/>
        </w:rPr>
        <w:t>(»</w:t>
      </w:r>
      <w:proofErr w:type="spellStart"/>
      <w:r w:rsidRPr="00424274">
        <w:rPr>
          <w:rFonts w:ascii="Arial" w:eastAsia="Arial" w:hAnsi="Arial"/>
          <w:i/>
          <w:sz w:val="20"/>
          <w:szCs w:val="22"/>
          <w:lang w:eastAsia="sl-SI"/>
        </w:rPr>
        <w:t>layering</w:t>
      </w:r>
      <w:proofErr w:type="spellEnd"/>
      <w:r w:rsidRPr="00424274">
        <w:rPr>
          <w:rFonts w:ascii="Arial" w:eastAsia="Arial" w:hAnsi="Arial"/>
          <w:i/>
          <w:sz w:val="20"/>
          <w:szCs w:val="22"/>
          <w:lang w:eastAsia="sl-SI"/>
        </w:rPr>
        <w:t>«)</w:t>
      </w:r>
      <w:r w:rsidRPr="00424274">
        <w:rPr>
          <w:rFonts w:ascii="Arial" w:eastAsia="Arial" w:hAnsi="Arial"/>
          <w:sz w:val="20"/>
          <w:szCs w:val="22"/>
          <w:lang w:eastAsia="sl-SI"/>
        </w:rPr>
        <w:t xml:space="preserve"> fazo pranja denarja, v nekaterih primerih pa so bile po naših ugotovitvah uporabljene vse tri faze pranja denarja. </w:t>
      </w:r>
    </w:p>
    <w:p w14:paraId="1C2A7FBF" w14:textId="77777777" w:rsidR="00785F67" w:rsidRPr="00424274" w:rsidRDefault="00785F67" w:rsidP="00785F67">
      <w:pPr>
        <w:ind w:right="-22"/>
        <w:rPr>
          <w:rFonts w:ascii="Arial" w:eastAsia="Arial" w:hAnsi="Arial"/>
          <w:sz w:val="20"/>
          <w:szCs w:val="22"/>
          <w:lang w:eastAsia="sl-SI"/>
        </w:rPr>
      </w:pPr>
    </w:p>
    <w:p w14:paraId="25738AC5" w14:textId="428CB4A9" w:rsidR="00785F67" w:rsidRPr="00424274" w:rsidRDefault="00785F67" w:rsidP="00100D6C">
      <w:pPr>
        <w:spacing w:line="276" w:lineRule="auto"/>
        <w:ind w:right="-22"/>
        <w:rPr>
          <w:rFonts w:ascii="Arial" w:eastAsia="Arial" w:hAnsi="Arial"/>
          <w:bCs/>
          <w:iCs/>
          <w:sz w:val="20"/>
          <w:szCs w:val="22"/>
          <w:lang w:eastAsia="sl-SI"/>
        </w:rPr>
      </w:pPr>
      <w:r w:rsidRPr="00424274">
        <w:rPr>
          <w:rFonts w:ascii="Arial" w:eastAsia="Arial" w:hAnsi="Arial"/>
          <w:sz w:val="20"/>
          <w:szCs w:val="22"/>
          <w:lang w:eastAsia="sl-SI"/>
        </w:rPr>
        <w:t xml:space="preserve">O določeni </w:t>
      </w:r>
      <w:r w:rsidRPr="00424274">
        <w:rPr>
          <w:rFonts w:ascii="Arial" w:eastAsia="Arial" w:hAnsi="Arial"/>
          <w:bCs/>
          <w:iCs/>
          <w:sz w:val="20"/>
          <w:szCs w:val="22"/>
          <w:lang w:eastAsia="sl-SI"/>
        </w:rPr>
        <w:t>tipologiji pranja</w:t>
      </w:r>
      <w:r w:rsidRPr="00424274">
        <w:rPr>
          <w:rFonts w:ascii="Arial" w:eastAsia="Arial" w:hAnsi="Arial"/>
          <w:sz w:val="20"/>
          <w:szCs w:val="22"/>
          <w:lang w:eastAsia="sl-SI"/>
        </w:rPr>
        <w:t xml:space="preserve"> denarja govorimo takrat, ko zaznamo vzorec ali serijo podobnih </w:t>
      </w:r>
      <w:r w:rsidRPr="00424274">
        <w:rPr>
          <w:rFonts w:ascii="Arial" w:eastAsia="Arial" w:hAnsi="Arial"/>
          <w:bCs/>
          <w:iCs/>
          <w:sz w:val="20"/>
          <w:szCs w:val="22"/>
          <w:lang w:eastAsia="sl-SI"/>
        </w:rPr>
        <w:t>postopkov (metod) prikrivanja nezakonitega izvora denarja ali drugega premoženja, ki vključujejo</w:t>
      </w:r>
      <w:r w:rsidRPr="00424274">
        <w:rPr>
          <w:rFonts w:ascii="Arial" w:eastAsia="Arial" w:hAnsi="Arial"/>
          <w:sz w:val="20"/>
          <w:szCs w:val="22"/>
          <w:lang w:eastAsia="sl-SI"/>
        </w:rPr>
        <w:t xml:space="preserve"> naslednje </w:t>
      </w:r>
      <w:r w:rsidRPr="00424274">
        <w:rPr>
          <w:rFonts w:ascii="Arial" w:eastAsia="Arial" w:hAnsi="Arial"/>
          <w:bCs/>
          <w:iCs/>
          <w:sz w:val="20"/>
          <w:szCs w:val="22"/>
          <w:lang w:eastAsia="sl-SI"/>
        </w:rPr>
        <w:t>osnovne elemente:</w:t>
      </w:r>
    </w:p>
    <w:p w14:paraId="5C9F6CE0" w14:textId="77777777" w:rsidR="00785F67" w:rsidRPr="00424274" w:rsidRDefault="00785F67" w:rsidP="00785F67">
      <w:pPr>
        <w:ind w:right="-22"/>
        <w:rPr>
          <w:rFonts w:ascii="Arial" w:eastAsia="Arial" w:hAnsi="Arial"/>
          <w:bCs/>
          <w:iCs/>
          <w:sz w:val="20"/>
          <w:szCs w:val="22"/>
          <w:lang w:eastAsia="sl-SI"/>
        </w:rPr>
      </w:pPr>
    </w:p>
    <w:p w14:paraId="6B20A7E3" w14:textId="125C9AFF" w:rsidR="00785F67" w:rsidRPr="00424274" w:rsidRDefault="00785F67" w:rsidP="00100D6C">
      <w:pPr>
        <w:widowControl/>
        <w:numPr>
          <w:ilvl w:val="0"/>
          <w:numId w:val="19"/>
        </w:numPr>
        <w:tabs>
          <w:tab w:val="left" w:pos="720"/>
        </w:tabs>
        <w:spacing w:after="200" w:line="276" w:lineRule="auto"/>
        <w:ind w:left="714" w:right="-23" w:hanging="357"/>
        <w:rPr>
          <w:rFonts w:ascii="Arial" w:eastAsia="Arial" w:hAnsi="Arial"/>
          <w:sz w:val="20"/>
          <w:szCs w:val="22"/>
          <w:lang w:eastAsia="sl-SI"/>
        </w:rPr>
      </w:pPr>
      <w:r w:rsidRPr="00424274">
        <w:rPr>
          <w:rFonts w:ascii="Arial" w:eastAsia="Arial" w:hAnsi="Arial"/>
          <w:b/>
          <w:i/>
          <w:sz w:val="20"/>
          <w:szCs w:val="22"/>
          <w:lang w:eastAsia="sl-SI"/>
        </w:rPr>
        <w:t>mehanizem pranja denarja predstavlja okolje oziroma sistem, kjer se delno ali v celoti izvajajo aktivnosti pranja denarja</w:t>
      </w:r>
      <w:r w:rsidRPr="00424274">
        <w:rPr>
          <w:rFonts w:ascii="Arial" w:eastAsia="Arial" w:hAnsi="Arial"/>
          <w:b/>
          <w:sz w:val="20"/>
          <w:szCs w:val="22"/>
          <w:lang w:eastAsia="sl-SI"/>
        </w:rPr>
        <w:t xml:space="preserve"> </w:t>
      </w:r>
      <w:r w:rsidRPr="00424274">
        <w:rPr>
          <w:rFonts w:ascii="Arial" w:eastAsia="Arial" w:hAnsi="Arial"/>
          <w:sz w:val="20"/>
          <w:szCs w:val="22"/>
          <w:lang w:eastAsia="sl-SI"/>
        </w:rPr>
        <w:t xml:space="preserve">in ga predstavljajo predvsem naslednje kategorije: finančne institucije (banke, hranilnice, borznoposredniške družbe, </w:t>
      </w:r>
      <w:proofErr w:type="spellStart"/>
      <w:r w:rsidR="002110AD">
        <w:rPr>
          <w:rFonts w:ascii="Arial" w:eastAsia="Arial" w:hAnsi="Arial"/>
          <w:sz w:val="20"/>
          <w:szCs w:val="22"/>
          <w:lang w:eastAsia="sl-SI"/>
        </w:rPr>
        <w:t>lizing</w:t>
      </w:r>
      <w:proofErr w:type="spellEnd"/>
      <w:r w:rsidR="002110AD" w:rsidRPr="00424274">
        <w:rPr>
          <w:rFonts w:ascii="Arial" w:eastAsia="Arial" w:hAnsi="Arial"/>
          <w:sz w:val="20"/>
          <w:szCs w:val="22"/>
          <w:lang w:eastAsia="sl-SI"/>
        </w:rPr>
        <w:t xml:space="preserve"> </w:t>
      </w:r>
      <w:r w:rsidRPr="00424274">
        <w:rPr>
          <w:rFonts w:ascii="Arial" w:eastAsia="Arial" w:hAnsi="Arial"/>
          <w:sz w:val="20"/>
          <w:szCs w:val="22"/>
          <w:lang w:eastAsia="sl-SI"/>
        </w:rPr>
        <w:t xml:space="preserve">hiše), notarji, odvetniki, fizične osebe, pravne osebe (domače in tuje družbe, slamnate in </w:t>
      </w:r>
      <w:proofErr w:type="spellStart"/>
      <w:r w:rsidRPr="00424274">
        <w:rPr>
          <w:rFonts w:ascii="Arial" w:eastAsia="Arial" w:hAnsi="Arial"/>
          <w:sz w:val="20"/>
          <w:szCs w:val="22"/>
          <w:lang w:eastAsia="sl-SI"/>
        </w:rPr>
        <w:t>offshore</w:t>
      </w:r>
      <w:proofErr w:type="spellEnd"/>
      <w:r w:rsidRPr="00424274">
        <w:rPr>
          <w:rFonts w:ascii="Arial" w:eastAsia="Arial" w:hAnsi="Arial"/>
          <w:sz w:val="20"/>
          <w:szCs w:val="22"/>
          <w:lang w:eastAsia="sl-SI"/>
        </w:rPr>
        <w:t xml:space="preserve"> družbe, samostojni podjetniki, društva), sistemi za prenos denarja (</w:t>
      </w:r>
      <w:proofErr w:type="spellStart"/>
      <w:r w:rsidRPr="00424274">
        <w:rPr>
          <w:rFonts w:ascii="Arial" w:eastAsia="Arial" w:hAnsi="Arial"/>
          <w:sz w:val="20"/>
          <w:szCs w:val="22"/>
          <w:lang w:eastAsia="sl-SI"/>
        </w:rPr>
        <w:t>Western</w:t>
      </w:r>
      <w:proofErr w:type="spellEnd"/>
      <w:r w:rsidRPr="00424274">
        <w:rPr>
          <w:rFonts w:ascii="Arial" w:eastAsia="Arial" w:hAnsi="Arial"/>
          <w:sz w:val="20"/>
          <w:szCs w:val="22"/>
          <w:lang w:eastAsia="sl-SI"/>
        </w:rPr>
        <w:t xml:space="preserve"> Union, </w:t>
      </w:r>
      <w:proofErr w:type="spellStart"/>
      <w:r w:rsidRPr="00424274">
        <w:rPr>
          <w:rFonts w:ascii="Arial" w:eastAsia="Arial" w:hAnsi="Arial"/>
          <w:sz w:val="20"/>
          <w:szCs w:val="22"/>
          <w:lang w:eastAsia="sl-SI"/>
        </w:rPr>
        <w:t>MoneyGram</w:t>
      </w:r>
      <w:proofErr w:type="spellEnd"/>
      <w:r w:rsidRPr="00424274">
        <w:rPr>
          <w:rFonts w:ascii="Arial" w:eastAsia="Arial" w:hAnsi="Arial"/>
          <w:sz w:val="20"/>
          <w:szCs w:val="22"/>
          <w:lang w:eastAsia="sl-SI"/>
        </w:rPr>
        <w:t xml:space="preserve">), trgovina s plemenitimi kovinami, igralnice </w:t>
      </w:r>
      <w:r w:rsidR="002110AD">
        <w:rPr>
          <w:rFonts w:ascii="Arial" w:eastAsia="Arial" w:hAnsi="Arial"/>
          <w:sz w:val="20"/>
          <w:szCs w:val="22"/>
          <w:lang w:eastAsia="sl-SI"/>
        </w:rPr>
        <w:t>oziroma</w:t>
      </w:r>
      <w:r w:rsidR="002110AD" w:rsidRPr="00424274">
        <w:rPr>
          <w:rFonts w:ascii="Arial" w:eastAsia="Arial" w:hAnsi="Arial"/>
          <w:sz w:val="20"/>
          <w:szCs w:val="22"/>
          <w:lang w:eastAsia="sl-SI"/>
        </w:rPr>
        <w:t xml:space="preserve"> </w:t>
      </w:r>
      <w:r w:rsidRPr="00424274">
        <w:rPr>
          <w:rFonts w:ascii="Arial" w:eastAsia="Arial" w:hAnsi="Arial"/>
          <w:sz w:val="20"/>
          <w:szCs w:val="22"/>
          <w:lang w:eastAsia="sl-SI"/>
        </w:rPr>
        <w:t>casinoji, menjalne platforme za virtualne valute ipd.;</w:t>
      </w:r>
    </w:p>
    <w:p w14:paraId="5ED5997D" w14:textId="4DC7DA19" w:rsidR="00785F67" w:rsidRPr="00424274" w:rsidRDefault="00785F67" w:rsidP="00100D6C">
      <w:pPr>
        <w:widowControl/>
        <w:numPr>
          <w:ilvl w:val="0"/>
          <w:numId w:val="19"/>
        </w:numPr>
        <w:tabs>
          <w:tab w:val="left" w:pos="720"/>
        </w:tabs>
        <w:spacing w:after="200" w:line="276" w:lineRule="auto"/>
        <w:ind w:left="714" w:right="-23" w:hanging="357"/>
        <w:rPr>
          <w:rFonts w:ascii="Arial" w:eastAsia="Arial" w:hAnsi="Arial"/>
          <w:sz w:val="20"/>
          <w:szCs w:val="22"/>
          <w:lang w:eastAsia="sl-SI"/>
        </w:rPr>
      </w:pPr>
      <w:r w:rsidRPr="00424274">
        <w:rPr>
          <w:rFonts w:ascii="Arial" w:eastAsia="Arial" w:hAnsi="Arial"/>
          <w:b/>
          <w:i/>
          <w:sz w:val="20"/>
          <w:szCs w:val="22"/>
          <w:lang w:eastAsia="sl-SI"/>
        </w:rPr>
        <w:t>tehnika pranja denarja je način izvajanja aktivnosti pranja denarja</w:t>
      </w:r>
      <w:r w:rsidRPr="00424274">
        <w:rPr>
          <w:rFonts w:ascii="Arial" w:eastAsia="Arial" w:hAnsi="Arial"/>
          <w:sz w:val="20"/>
          <w:szCs w:val="22"/>
          <w:lang w:eastAsia="sl-SI"/>
        </w:rPr>
        <w:t xml:space="preserve">, ki jo predstavljajo predvsem naslednje kategorije: dvigi gotovine, pologi gotovine, elektronski prenosi sredstev </w:t>
      </w:r>
      <w:r w:rsidRPr="00424274">
        <w:rPr>
          <w:rFonts w:ascii="Arial" w:eastAsia="Arial" w:hAnsi="Arial"/>
          <w:sz w:val="20"/>
          <w:szCs w:val="22"/>
          <w:lang w:eastAsia="sl-SI"/>
        </w:rPr>
        <w:lastRenderedPageBreak/>
        <w:t>med računi (»</w:t>
      </w:r>
      <w:proofErr w:type="spellStart"/>
      <w:r w:rsidRPr="00424274">
        <w:rPr>
          <w:rFonts w:ascii="Arial" w:eastAsia="Arial" w:hAnsi="Arial"/>
          <w:sz w:val="20"/>
          <w:szCs w:val="22"/>
          <w:lang w:eastAsia="sl-SI"/>
        </w:rPr>
        <w:t>wire</w:t>
      </w:r>
      <w:proofErr w:type="spellEnd"/>
      <w:r w:rsidRPr="00424274">
        <w:rPr>
          <w:rFonts w:ascii="Arial" w:eastAsia="Arial" w:hAnsi="Arial"/>
          <w:sz w:val="20"/>
          <w:szCs w:val="22"/>
          <w:lang w:eastAsia="sl-SI"/>
        </w:rPr>
        <w:t xml:space="preserve"> </w:t>
      </w:r>
      <w:proofErr w:type="spellStart"/>
      <w:r w:rsidRPr="00424274">
        <w:rPr>
          <w:rFonts w:ascii="Arial" w:eastAsia="Arial" w:hAnsi="Arial"/>
          <w:sz w:val="20"/>
          <w:szCs w:val="22"/>
          <w:lang w:eastAsia="sl-SI"/>
        </w:rPr>
        <w:t>transfers</w:t>
      </w:r>
      <w:proofErr w:type="spellEnd"/>
      <w:r w:rsidRPr="00424274">
        <w:rPr>
          <w:rFonts w:ascii="Arial" w:eastAsia="Arial" w:hAnsi="Arial"/>
          <w:sz w:val="20"/>
          <w:szCs w:val="22"/>
          <w:lang w:eastAsia="sl-SI"/>
        </w:rPr>
        <w:t>«), uporaba sistemov za prenos sredstev, prenos sredstev med državami, prenos gotovine prek državne meje, menjava valut, drobljenje zneskov, prikrivanje prek tretjih oseb, uporaba računov v tujini ipd.;</w:t>
      </w:r>
    </w:p>
    <w:p w14:paraId="747A295E" w14:textId="328DF968" w:rsidR="00785F67" w:rsidRPr="00424274" w:rsidRDefault="00785F67" w:rsidP="00A93197">
      <w:pPr>
        <w:widowControl/>
        <w:numPr>
          <w:ilvl w:val="0"/>
          <w:numId w:val="19"/>
        </w:numPr>
        <w:tabs>
          <w:tab w:val="left" w:pos="720"/>
        </w:tabs>
        <w:spacing w:after="200" w:line="276" w:lineRule="auto"/>
        <w:ind w:left="714" w:right="-23" w:hanging="357"/>
        <w:rPr>
          <w:rFonts w:ascii="Arial" w:eastAsia="Arial" w:hAnsi="Arial"/>
          <w:sz w:val="20"/>
          <w:szCs w:val="22"/>
          <w:lang w:eastAsia="sl-SI"/>
        </w:rPr>
      </w:pPr>
      <w:r w:rsidRPr="00424274">
        <w:rPr>
          <w:rFonts w:ascii="Arial" w:eastAsia="Arial" w:hAnsi="Arial"/>
          <w:b/>
          <w:i/>
          <w:sz w:val="20"/>
          <w:szCs w:val="22"/>
          <w:lang w:eastAsia="sl-SI"/>
        </w:rPr>
        <w:t>instrument pranja denarja je nosilec vrednosti, ki se uporablja za aktivnosti pranja denarja</w:t>
      </w:r>
      <w:r w:rsidRPr="00424274">
        <w:rPr>
          <w:rFonts w:ascii="Arial" w:eastAsia="Arial" w:hAnsi="Arial"/>
          <w:b/>
          <w:sz w:val="20"/>
          <w:szCs w:val="22"/>
          <w:lang w:eastAsia="sl-SI"/>
        </w:rPr>
        <w:t xml:space="preserve"> </w:t>
      </w:r>
      <w:r w:rsidRPr="00424274">
        <w:rPr>
          <w:rFonts w:ascii="Arial" w:eastAsia="Arial" w:hAnsi="Arial"/>
          <w:sz w:val="20"/>
          <w:szCs w:val="22"/>
          <w:lang w:eastAsia="sl-SI"/>
        </w:rPr>
        <w:t>in ga predstavljajo predvsem naslednje kategorije: gotovina (denar), čeki, menice, vrednostni papirji, naložbeno zlato ali plemenite kovine, nepremičnine, vozila in plovila, podjetja, virtualne valute ipd.</w:t>
      </w:r>
    </w:p>
    <w:p w14:paraId="0D91EFD1" w14:textId="2C413693" w:rsidR="00785F67" w:rsidRPr="00424274" w:rsidRDefault="00785F67" w:rsidP="00A93197">
      <w:pPr>
        <w:spacing w:line="276" w:lineRule="auto"/>
        <w:ind w:right="-22"/>
        <w:rPr>
          <w:rFonts w:ascii="Arial" w:eastAsia="Arial" w:hAnsi="Arial"/>
          <w:sz w:val="20"/>
          <w:szCs w:val="22"/>
          <w:lang w:eastAsia="sl-SI"/>
        </w:rPr>
      </w:pPr>
      <w:r w:rsidRPr="00424274">
        <w:rPr>
          <w:rFonts w:ascii="Arial" w:eastAsia="Arial" w:hAnsi="Arial"/>
          <w:sz w:val="20"/>
          <w:szCs w:val="22"/>
          <w:lang w:eastAsia="sl-SI"/>
        </w:rPr>
        <w:t xml:space="preserve">Za razumevanje predstavljenih tipologij pranja denarja </w:t>
      </w:r>
      <w:r w:rsidR="002110AD">
        <w:rPr>
          <w:rFonts w:ascii="Arial" w:eastAsia="Arial" w:hAnsi="Arial"/>
          <w:sz w:val="20"/>
          <w:szCs w:val="22"/>
          <w:lang w:eastAsia="sl-SI"/>
        </w:rPr>
        <w:t>in</w:t>
      </w:r>
      <w:r w:rsidR="002110AD" w:rsidRPr="00424274">
        <w:rPr>
          <w:rFonts w:ascii="Arial" w:eastAsia="Arial" w:hAnsi="Arial"/>
          <w:sz w:val="20"/>
          <w:szCs w:val="22"/>
          <w:lang w:eastAsia="sl-SI"/>
        </w:rPr>
        <w:t xml:space="preserve"> </w:t>
      </w:r>
      <w:r w:rsidRPr="00424274">
        <w:rPr>
          <w:rFonts w:ascii="Arial" w:eastAsia="Arial" w:hAnsi="Arial"/>
          <w:sz w:val="20"/>
          <w:szCs w:val="22"/>
          <w:lang w:eastAsia="sl-SI"/>
        </w:rPr>
        <w:t xml:space="preserve">z njimi povezanih osnovnih elementov je </w:t>
      </w:r>
      <w:r w:rsidR="008126B7">
        <w:rPr>
          <w:rFonts w:ascii="Arial" w:eastAsia="Arial" w:hAnsi="Arial"/>
          <w:sz w:val="20"/>
          <w:szCs w:val="22"/>
          <w:lang w:eastAsia="sl-SI"/>
        </w:rPr>
        <w:t>treba</w:t>
      </w:r>
      <w:r w:rsidR="008126B7" w:rsidRPr="00424274">
        <w:rPr>
          <w:rFonts w:ascii="Arial" w:eastAsia="Arial" w:hAnsi="Arial"/>
          <w:sz w:val="20"/>
          <w:szCs w:val="22"/>
          <w:lang w:eastAsia="sl-SI"/>
        </w:rPr>
        <w:t xml:space="preserve"> </w:t>
      </w:r>
      <w:r w:rsidRPr="00424274">
        <w:rPr>
          <w:rFonts w:ascii="Arial" w:eastAsia="Arial" w:hAnsi="Arial"/>
          <w:sz w:val="20"/>
          <w:szCs w:val="22"/>
          <w:lang w:eastAsia="sl-SI"/>
        </w:rPr>
        <w:t>poudariti, da se lahko v posamezni zadevi pojavlja več osnovnih elementov tipologije, zato seštevek le</w:t>
      </w:r>
      <w:r w:rsidR="002110AD">
        <w:rPr>
          <w:rFonts w:ascii="Arial" w:eastAsia="Arial" w:hAnsi="Arial"/>
          <w:sz w:val="20"/>
          <w:szCs w:val="22"/>
          <w:lang w:eastAsia="sl-SI"/>
        </w:rPr>
        <w:t>-</w:t>
      </w:r>
      <w:r w:rsidRPr="00424274">
        <w:rPr>
          <w:rFonts w:ascii="Arial" w:eastAsia="Arial" w:hAnsi="Arial"/>
          <w:sz w:val="20"/>
          <w:szCs w:val="22"/>
          <w:lang w:eastAsia="sl-SI"/>
        </w:rPr>
        <w:t xml:space="preserve">teh ne predstavlja tudi skupnega števila zadev, saj je v posamezni zadevi lahko ugotovljenih več osnovnih elementov tipologije. Glede na prisotnost posameznih osnovnih elementov tipologij pranja denarja v letu 2020 smo ugotovili naslednje: </w:t>
      </w:r>
    </w:p>
    <w:p w14:paraId="32A9D15C" w14:textId="77777777" w:rsidR="00785F67" w:rsidRPr="00424274" w:rsidRDefault="00785F67" w:rsidP="00785F67">
      <w:pPr>
        <w:rPr>
          <w:rFonts w:ascii="Arial" w:eastAsia="Arial" w:hAnsi="Arial"/>
          <w:i/>
          <w:sz w:val="20"/>
          <w:szCs w:val="22"/>
          <w:lang w:eastAsia="sl-SI"/>
        </w:rPr>
      </w:pPr>
    </w:p>
    <w:p w14:paraId="37D1853F" w14:textId="4A1F7BBD" w:rsidR="00785F67" w:rsidRPr="00424274" w:rsidRDefault="00785F67" w:rsidP="00785F67">
      <w:pPr>
        <w:rPr>
          <w:rFonts w:ascii="Arial" w:eastAsia="Arial" w:hAnsi="Arial"/>
          <w:sz w:val="20"/>
          <w:szCs w:val="22"/>
          <w:lang w:eastAsia="sl-SI"/>
        </w:rPr>
      </w:pPr>
      <w:r w:rsidRPr="00424274">
        <w:rPr>
          <w:rFonts w:ascii="Arial" w:eastAsia="Arial" w:hAnsi="Arial"/>
          <w:sz w:val="20"/>
          <w:szCs w:val="22"/>
          <w:lang w:eastAsia="sl-SI"/>
        </w:rPr>
        <w:t>Naj</w:t>
      </w:r>
      <w:r w:rsidR="00397140">
        <w:rPr>
          <w:rFonts w:ascii="Arial" w:eastAsia="Arial" w:hAnsi="Arial"/>
          <w:sz w:val="20"/>
          <w:szCs w:val="22"/>
          <w:lang w:eastAsia="sl-SI"/>
        </w:rPr>
        <w:t>pogosteje</w:t>
      </w:r>
      <w:r w:rsidRPr="00424274">
        <w:rPr>
          <w:rFonts w:ascii="Arial" w:eastAsia="Arial" w:hAnsi="Arial"/>
          <w:sz w:val="20"/>
          <w:szCs w:val="22"/>
          <w:lang w:eastAsia="sl-SI"/>
        </w:rPr>
        <w:t xml:space="preserve"> uporabljeni </w:t>
      </w:r>
      <w:r w:rsidRPr="00424274">
        <w:rPr>
          <w:rFonts w:ascii="Arial" w:eastAsia="Arial" w:hAnsi="Arial"/>
          <w:b/>
          <w:i/>
          <w:sz w:val="20"/>
          <w:szCs w:val="22"/>
          <w:u w:val="single"/>
          <w:lang w:eastAsia="sl-SI"/>
        </w:rPr>
        <w:t>mehanizmi</w:t>
      </w:r>
      <w:r w:rsidRPr="00424274">
        <w:rPr>
          <w:rFonts w:ascii="Arial" w:eastAsia="Arial" w:hAnsi="Arial"/>
          <w:b/>
          <w:i/>
          <w:sz w:val="20"/>
          <w:szCs w:val="22"/>
          <w:lang w:eastAsia="sl-SI"/>
        </w:rPr>
        <w:t xml:space="preserve"> pranja denarja</w:t>
      </w:r>
      <w:r w:rsidRPr="00424274">
        <w:rPr>
          <w:rFonts w:ascii="Arial" w:eastAsia="Arial" w:hAnsi="Arial"/>
          <w:sz w:val="20"/>
          <w:szCs w:val="22"/>
          <w:lang w:eastAsia="sl-SI"/>
        </w:rPr>
        <w:t xml:space="preserve"> v letu 2020 so:</w:t>
      </w:r>
    </w:p>
    <w:p w14:paraId="7BF19F05" w14:textId="4A6E7752" w:rsidR="00785F67" w:rsidRPr="00424274" w:rsidRDefault="00785F67" w:rsidP="00A93197">
      <w:pPr>
        <w:widowControl/>
        <w:numPr>
          <w:ilvl w:val="0"/>
          <w:numId w:val="20"/>
        </w:numPr>
        <w:tabs>
          <w:tab w:val="left" w:pos="720"/>
        </w:tabs>
        <w:spacing w:before="80" w:after="200" w:line="276" w:lineRule="auto"/>
        <w:ind w:left="714" w:hanging="357"/>
        <w:rPr>
          <w:rFonts w:ascii="Arial" w:eastAsia="Arial" w:hAnsi="Arial"/>
          <w:sz w:val="20"/>
          <w:szCs w:val="22"/>
          <w:lang w:eastAsia="sl-SI"/>
        </w:rPr>
      </w:pPr>
      <w:r w:rsidRPr="00424274">
        <w:rPr>
          <w:rFonts w:ascii="Arial" w:eastAsia="Arial" w:hAnsi="Arial"/>
          <w:b/>
          <w:i/>
          <w:sz w:val="20"/>
          <w:szCs w:val="22"/>
          <w:lang w:eastAsia="sl-SI"/>
        </w:rPr>
        <w:t>finančne institucije</w:t>
      </w:r>
      <w:r w:rsidRPr="00424274">
        <w:rPr>
          <w:rFonts w:ascii="Arial" w:eastAsia="Arial" w:hAnsi="Arial"/>
          <w:sz w:val="20"/>
          <w:szCs w:val="22"/>
          <w:lang w:eastAsia="sl-SI"/>
        </w:rPr>
        <w:t xml:space="preserve"> (banke in hranilnice): ugotovili smo, da je bil v 285 zadevah uporabljen finančni (bančni) sistem. Med storitvami finančnih (bančnih) institucij oziroma finančnega sistema so bili večinoma uporabljeni </w:t>
      </w:r>
      <w:r w:rsidRPr="00424274">
        <w:rPr>
          <w:rFonts w:ascii="Arial" w:eastAsia="Arial" w:hAnsi="Arial"/>
          <w:sz w:val="20"/>
          <w:szCs w:val="22"/>
          <w:u w:val="single"/>
          <w:lang w:eastAsia="sl-SI"/>
        </w:rPr>
        <w:t>računi družb in fizičnih oseb pri bankah,</w:t>
      </w:r>
      <w:r w:rsidRPr="00424274">
        <w:rPr>
          <w:rFonts w:ascii="Arial" w:eastAsia="Arial" w:hAnsi="Arial"/>
          <w:sz w:val="20"/>
          <w:szCs w:val="22"/>
          <w:lang w:eastAsia="sl-SI"/>
        </w:rPr>
        <w:t xml:space="preserve"> od tega so bili v najmanj 120 zadevah uporabljeni računi v tujini, kar pomeni, da so tuje pravne ali fizične osebe uporabljale račune v Sloveniji ali pa so slovenske pravne in fizične osebe uporabljale račune v tujini;</w:t>
      </w:r>
    </w:p>
    <w:p w14:paraId="7F6E7A8C" w14:textId="0AE45544" w:rsidR="00785F67" w:rsidRPr="00424274" w:rsidRDefault="00785F67" w:rsidP="00A93197">
      <w:pPr>
        <w:widowControl/>
        <w:numPr>
          <w:ilvl w:val="0"/>
          <w:numId w:val="20"/>
        </w:numPr>
        <w:tabs>
          <w:tab w:val="left" w:pos="720"/>
        </w:tabs>
        <w:spacing w:before="80" w:after="200" w:line="276" w:lineRule="auto"/>
        <w:ind w:left="714" w:hanging="357"/>
        <w:rPr>
          <w:rFonts w:ascii="Arial" w:eastAsia="Arial" w:hAnsi="Arial"/>
          <w:sz w:val="20"/>
          <w:szCs w:val="22"/>
          <w:lang w:eastAsia="sl-SI"/>
        </w:rPr>
      </w:pPr>
      <w:r w:rsidRPr="00424274">
        <w:rPr>
          <w:rFonts w:ascii="Arial" w:eastAsia="Arial" w:hAnsi="Arial"/>
          <w:b/>
          <w:i/>
          <w:sz w:val="20"/>
          <w:szCs w:val="22"/>
          <w:lang w:eastAsia="sl-SI"/>
        </w:rPr>
        <w:t>fizične osebe</w:t>
      </w:r>
      <w:r w:rsidRPr="00424274">
        <w:rPr>
          <w:rFonts w:ascii="Arial" w:eastAsia="Arial" w:hAnsi="Arial"/>
          <w:sz w:val="20"/>
          <w:szCs w:val="22"/>
          <w:lang w:eastAsia="sl-SI"/>
        </w:rPr>
        <w:t xml:space="preserve"> so bile uporabljene v 209 zadevah. Način uporabe je bil različen, bodisi kot lastno pranje (</w:t>
      </w:r>
      <w:r w:rsidRPr="00424274">
        <w:rPr>
          <w:rFonts w:ascii="Arial" w:eastAsia="Arial" w:hAnsi="Arial"/>
          <w:i/>
          <w:sz w:val="20"/>
          <w:szCs w:val="22"/>
          <w:lang w:eastAsia="sl-SI"/>
        </w:rPr>
        <w:t>angl. »</w:t>
      </w:r>
      <w:proofErr w:type="spellStart"/>
      <w:r w:rsidRPr="00424274">
        <w:rPr>
          <w:rFonts w:ascii="Arial" w:eastAsia="Arial" w:hAnsi="Arial"/>
          <w:i/>
          <w:sz w:val="20"/>
          <w:szCs w:val="22"/>
          <w:lang w:eastAsia="sl-SI"/>
        </w:rPr>
        <w:t>self</w:t>
      </w:r>
      <w:proofErr w:type="spellEnd"/>
      <w:r w:rsidRPr="00424274">
        <w:rPr>
          <w:rFonts w:ascii="Arial" w:eastAsia="Arial" w:hAnsi="Arial"/>
          <w:i/>
          <w:sz w:val="20"/>
          <w:szCs w:val="22"/>
          <w:lang w:eastAsia="sl-SI"/>
        </w:rPr>
        <w:t xml:space="preserve"> </w:t>
      </w:r>
      <w:proofErr w:type="spellStart"/>
      <w:r w:rsidRPr="00424274">
        <w:rPr>
          <w:rFonts w:ascii="Arial" w:eastAsia="Arial" w:hAnsi="Arial"/>
          <w:i/>
          <w:sz w:val="20"/>
          <w:szCs w:val="22"/>
          <w:lang w:eastAsia="sl-SI"/>
        </w:rPr>
        <w:t>laundering</w:t>
      </w:r>
      <w:proofErr w:type="spellEnd"/>
      <w:r w:rsidRPr="00424274">
        <w:rPr>
          <w:rFonts w:ascii="Arial" w:eastAsia="Arial" w:hAnsi="Arial"/>
          <w:i/>
          <w:sz w:val="20"/>
          <w:szCs w:val="22"/>
          <w:lang w:eastAsia="sl-SI"/>
        </w:rPr>
        <w:t>«</w:t>
      </w:r>
      <w:r w:rsidRPr="00424274">
        <w:rPr>
          <w:rFonts w:ascii="Arial" w:eastAsia="Arial" w:hAnsi="Arial"/>
          <w:sz w:val="20"/>
          <w:szCs w:val="22"/>
          <w:lang w:eastAsia="sl-SI"/>
        </w:rPr>
        <w:t xml:space="preserve">), kadar fizična oseba izvrši tako predhodno kaznivo dejanje kakor tudi kaznivo dejanje pranja denarja, bodisi uporaba fizičnih oseb kot pooblaščencev ali kot tretjih oseb, prek katerih so se izvrševale aktivnosti pranja denarja; </w:t>
      </w:r>
    </w:p>
    <w:p w14:paraId="4C605740" w14:textId="6500B366" w:rsidR="00785F67" w:rsidRPr="00424274" w:rsidRDefault="00785F67" w:rsidP="00A93197">
      <w:pPr>
        <w:widowControl/>
        <w:numPr>
          <w:ilvl w:val="0"/>
          <w:numId w:val="20"/>
        </w:numPr>
        <w:tabs>
          <w:tab w:val="left" w:pos="720"/>
        </w:tabs>
        <w:spacing w:before="80" w:after="200" w:line="276" w:lineRule="auto"/>
        <w:ind w:left="714" w:hanging="357"/>
        <w:rPr>
          <w:rFonts w:ascii="Arial" w:eastAsia="Arial" w:hAnsi="Arial"/>
          <w:sz w:val="20"/>
          <w:szCs w:val="22"/>
          <w:lang w:eastAsia="sl-SI"/>
        </w:rPr>
      </w:pPr>
      <w:r w:rsidRPr="00424274">
        <w:rPr>
          <w:rFonts w:ascii="Arial" w:eastAsia="Arial" w:hAnsi="Arial"/>
          <w:b/>
          <w:i/>
          <w:sz w:val="20"/>
          <w:szCs w:val="22"/>
          <w:lang w:eastAsia="sl-SI"/>
        </w:rPr>
        <w:t xml:space="preserve">pravne osebe </w:t>
      </w:r>
      <w:r w:rsidRPr="00424274">
        <w:rPr>
          <w:rFonts w:ascii="Arial" w:eastAsia="Arial" w:hAnsi="Arial"/>
          <w:sz w:val="20"/>
          <w:szCs w:val="22"/>
          <w:lang w:eastAsia="sl-SI"/>
        </w:rPr>
        <w:t xml:space="preserve">so bile uporabljene v 189 zadevah, od tega so bile v najmanj 56 zadevah uporabljene slamnate družbe </w:t>
      </w:r>
      <w:r w:rsidR="002110AD">
        <w:rPr>
          <w:rFonts w:ascii="Arial" w:eastAsia="Arial" w:hAnsi="Arial"/>
          <w:sz w:val="20"/>
          <w:szCs w:val="22"/>
          <w:lang w:eastAsia="sl-SI"/>
        </w:rPr>
        <w:t>in</w:t>
      </w:r>
      <w:r w:rsidR="002110AD" w:rsidRPr="00424274">
        <w:rPr>
          <w:rFonts w:ascii="Arial" w:eastAsia="Arial" w:hAnsi="Arial"/>
          <w:sz w:val="20"/>
          <w:szCs w:val="22"/>
          <w:lang w:eastAsia="sl-SI"/>
        </w:rPr>
        <w:t xml:space="preserve"> </w:t>
      </w:r>
      <w:r w:rsidRPr="00424274">
        <w:rPr>
          <w:rFonts w:ascii="Arial" w:eastAsia="Arial" w:hAnsi="Arial"/>
          <w:sz w:val="20"/>
          <w:szCs w:val="22"/>
          <w:lang w:eastAsia="sl-SI"/>
        </w:rPr>
        <w:t xml:space="preserve">v najmanj </w:t>
      </w:r>
      <w:r w:rsidR="002110AD">
        <w:rPr>
          <w:rFonts w:ascii="Arial" w:eastAsia="Arial" w:hAnsi="Arial"/>
          <w:sz w:val="20"/>
          <w:szCs w:val="22"/>
          <w:lang w:eastAsia="sl-SI"/>
        </w:rPr>
        <w:t>štirih</w:t>
      </w:r>
      <w:r w:rsidRPr="00424274">
        <w:rPr>
          <w:rFonts w:ascii="Arial" w:eastAsia="Arial" w:hAnsi="Arial"/>
          <w:sz w:val="20"/>
          <w:szCs w:val="22"/>
          <w:lang w:eastAsia="sl-SI"/>
        </w:rPr>
        <w:t xml:space="preserve"> zadevah </w:t>
      </w:r>
      <w:proofErr w:type="spellStart"/>
      <w:r w:rsidRPr="00424274">
        <w:rPr>
          <w:rFonts w:ascii="Arial" w:eastAsia="Arial" w:hAnsi="Arial"/>
          <w:sz w:val="20"/>
          <w:szCs w:val="22"/>
          <w:lang w:eastAsia="sl-SI"/>
        </w:rPr>
        <w:t>offshore</w:t>
      </w:r>
      <w:proofErr w:type="spellEnd"/>
      <w:r w:rsidRPr="00424274">
        <w:rPr>
          <w:rFonts w:ascii="Arial" w:eastAsia="Arial" w:hAnsi="Arial"/>
          <w:sz w:val="20"/>
          <w:szCs w:val="22"/>
          <w:lang w:eastAsia="sl-SI"/>
        </w:rPr>
        <w:t xml:space="preserve"> družbe;</w:t>
      </w:r>
    </w:p>
    <w:p w14:paraId="27001EF9" w14:textId="77777777" w:rsidR="00785F67" w:rsidRPr="00424274" w:rsidRDefault="00785F67" w:rsidP="00A93197">
      <w:pPr>
        <w:widowControl/>
        <w:numPr>
          <w:ilvl w:val="0"/>
          <w:numId w:val="20"/>
        </w:numPr>
        <w:tabs>
          <w:tab w:val="left" w:pos="720"/>
        </w:tabs>
        <w:spacing w:before="80" w:after="200" w:line="276" w:lineRule="auto"/>
        <w:ind w:left="714" w:hanging="357"/>
        <w:rPr>
          <w:rFonts w:ascii="Arial" w:eastAsia="Arial" w:hAnsi="Arial"/>
          <w:sz w:val="20"/>
          <w:szCs w:val="22"/>
          <w:lang w:eastAsia="sl-SI"/>
        </w:rPr>
      </w:pPr>
      <w:r w:rsidRPr="00424274">
        <w:rPr>
          <w:rFonts w:ascii="Arial" w:eastAsia="Arial" w:hAnsi="Arial"/>
          <w:b/>
          <w:i/>
          <w:sz w:val="20"/>
          <w:szCs w:val="22"/>
          <w:lang w:eastAsia="sl-SI"/>
        </w:rPr>
        <w:t>sistemi za prenos sredstev (</w:t>
      </w:r>
      <w:proofErr w:type="spellStart"/>
      <w:r w:rsidRPr="00424274">
        <w:rPr>
          <w:rFonts w:ascii="Arial" w:eastAsia="Arial" w:hAnsi="Arial"/>
          <w:b/>
          <w:i/>
          <w:sz w:val="20"/>
          <w:szCs w:val="22"/>
          <w:lang w:eastAsia="sl-SI"/>
        </w:rPr>
        <w:t>MoneyGram</w:t>
      </w:r>
      <w:proofErr w:type="spellEnd"/>
      <w:r w:rsidRPr="00424274">
        <w:rPr>
          <w:rFonts w:ascii="Arial" w:eastAsia="Arial" w:hAnsi="Arial"/>
          <w:b/>
          <w:i/>
          <w:sz w:val="20"/>
          <w:szCs w:val="22"/>
          <w:lang w:eastAsia="sl-SI"/>
        </w:rPr>
        <w:t xml:space="preserve"> in </w:t>
      </w:r>
      <w:proofErr w:type="spellStart"/>
      <w:r w:rsidRPr="00424274">
        <w:rPr>
          <w:rFonts w:ascii="Arial" w:eastAsia="Arial" w:hAnsi="Arial"/>
          <w:b/>
          <w:i/>
          <w:sz w:val="20"/>
          <w:szCs w:val="22"/>
          <w:lang w:eastAsia="sl-SI"/>
        </w:rPr>
        <w:t>Western</w:t>
      </w:r>
      <w:proofErr w:type="spellEnd"/>
      <w:r w:rsidRPr="00424274">
        <w:rPr>
          <w:rFonts w:ascii="Arial" w:eastAsia="Arial" w:hAnsi="Arial"/>
          <w:b/>
          <w:i/>
          <w:sz w:val="20"/>
          <w:szCs w:val="22"/>
          <w:lang w:eastAsia="sl-SI"/>
        </w:rPr>
        <w:t xml:space="preserve"> Union) </w:t>
      </w:r>
      <w:r w:rsidRPr="00424274">
        <w:rPr>
          <w:rFonts w:ascii="Arial" w:eastAsia="Arial" w:hAnsi="Arial"/>
          <w:sz w:val="20"/>
          <w:szCs w:val="22"/>
          <w:lang w:eastAsia="sl-SI"/>
        </w:rPr>
        <w:t>so bili uporabljeni v 15 zadevah;</w:t>
      </w:r>
    </w:p>
    <w:p w14:paraId="4AB0FF70" w14:textId="79E18602" w:rsidR="00785F67" w:rsidRPr="00424274" w:rsidRDefault="00785F67" w:rsidP="00785F67">
      <w:pPr>
        <w:widowControl/>
        <w:numPr>
          <w:ilvl w:val="0"/>
          <w:numId w:val="20"/>
        </w:numPr>
        <w:tabs>
          <w:tab w:val="left" w:pos="720"/>
        </w:tabs>
        <w:spacing w:before="80" w:after="200" w:line="276" w:lineRule="auto"/>
        <w:ind w:left="714" w:hanging="357"/>
        <w:jc w:val="left"/>
        <w:rPr>
          <w:rFonts w:ascii="Arial" w:eastAsia="Arial" w:hAnsi="Arial"/>
          <w:sz w:val="20"/>
          <w:szCs w:val="22"/>
          <w:lang w:eastAsia="sl-SI"/>
        </w:rPr>
      </w:pPr>
      <w:r w:rsidRPr="00424274">
        <w:rPr>
          <w:rFonts w:ascii="Arial" w:eastAsia="Arial" w:hAnsi="Arial"/>
          <w:b/>
          <w:i/>
          <w:sz w:val="20"/>
          <w:szCs w:val="22"/>
          <w:lang w:eastAsia="sl-SI"/>
        </w:rPr>
        <w:t xml:space="preserve">igralnice </w:t>
      </w:r>
      <w:r w:rsidR="00210B00">
        <w:rPr>
          <w:rFonts w:ascii="Arial" w:eastAsia="Arial" w:hAnsi="Arial"/>
          <w:b/>
          <w:i/>
          <w:sz w:val="20"/>
          <w:szCs w:val="22"/>
          <w:lang w:eastAsia="sl-SI"/>
        </w:rPr>
        <w:t>oziroma</w:t>
      </w:r>
      <w:r w:rsidRPr="00424274">
        <w:rPr>
          <w:rFonts w:ascii="Arial" w:eastAsia="Arial" w:hAnsi="Arial"/>
          <w:b/>
          <w:i/>
          <w:sz w:val="20"/>
          <w:szCs w:val="22"/>
          <w:lang w:eastAsia="sl-SI"/>
        </w:rPr>
        <w:t xml:space="preserve"> casinoji</w:t>
      </w:r>
      <w:r w:rsidRPr="00424274">
        <w:rPr>
          <w:rFonts w:ascii="Arial" w:eastAsia="Arial" w:hAnsi="Arial"/>
          <w:sz w:val="20"/>
          <w:szCs w:val="22"/>
          <w:lang w:eastAsia="sl-SI"/>
        </w:rPr>
        <w:t xml:space="preserve"> </w:t>
      </w:r>
      <w:r w:rsidR="002110AD">
        <w:rPr>
          <w:rFonts w:ascii="Arial" w:eastAsia="Arial" w:hAnsi="Arial"/>
          <w:sz w:val="20"/>
          <w:szCs w:val="22"/>
          <w:lang w:eastAsia="sl-SI"/>
        </w:rPr>
        <w:t xml:space="preserve">so bili </w:t>
      </w:r>
      <w:r w:rsidRPr="00424274">
        <w:rPr>
          <w:rFonts w:ascii="Arial" w:eastAsia="Arial" w:hAnsi="Arial"/>
          <w:sz w:val="20"/>
          <w:szCs w:val="22"/>
          <w:lang w:eastAsia="sl-SI"/>
        </w:rPr>
        <w:t>kot mehanizem pranja denarja uporabljen</w:t>
      </w:r>
      <w:r w:rsidR="002110AD">
        <w:rPr>
          <w:rFonts w:ascii="Arial" w:eastAsia="Arial" w:hAnsi="Arial"/>
          <w:sz w:val="20"/>
          <w:szCs w:val="22"/>
          <w:lang w:eastAsia="sl-SI"/>
        </w:rPr>
        <w:t>i</w:t>
      </w:r>
      <w:r w:rsidRPr="00424274">
        <w:rPr>
          <w:rFonts w:ascii="Arial" w:eastAsia="Arial" w:hAnsi="Arial"/>
          <w:sz w:val="20"/>
          <w:szCs w:val="22"/>
          <w:lang w:eastAsia="sl-SI"/>
        </w:rPr>
        <w:t xml:space="preserve"> v </w:t>
      </w:r>
      <w:r w:rsidR="002110AD">
        <w:rPr>
          <w:rFonts w:ascii="Arial" w:eastAsia="Arial" w:hAnsi="Arial"/>
          <w:sz w:val="20"/>
          <w:szCs w:val="22"/>
          <w:lang w:eastAsia="sl-SI"/>
        </w:rPr>
        <w:t>šestih</w:t>
      </w:r>
      <w:r w:rsidRPr="00424274">
        <w:rPr>
          <w:rFonts w:ascii="Arial" w:eastAsia="Arial" w:hAnsi="Arial"/>
          <w:sz w:val="20"/>
          <w:szCs w:val="22"/>
          <w:lang w:eastAsia="sl-SI"/>
        </w:rPr>
        <w:t xml:space="preserve"> zadevah</w:t>
      </w:r>
      <w:r w:rsidR="002110AD">
        <w:rPr>
          <w:rFonts w:ascii="Arial" w:eastAsia="Arial" w:hAnsi="Arial"/>
          <w:sz w:val="20"/>
          <w:szCs w:val="22"/>
          <w:lang w:eastAsia="sl-SI"/>
        </w:rPr>
        <w:t>;</w:t>
      </w:r>
    </w:p>
    <w:p w14:paraId="03444262" w14:textId="5BDEF66F" w:rsidR="00785F67" w:rsidRPr="00424274" w:rsidRDefault="00785F67" w:rsidP="00A93197">
      <w:pPr>
        <w:widowControl/>
        <w:numPr>
          <w:ilvl w:val="0"/>
          <w:numId w:val="20"/>
        </w:numPr>
        <w:tabs>
          <w:tab w:val="left" w:pos="720"/>
        </w:tabs>
        <w:spacing w:before="80" w:after="200" w:line="276" w:lineRule="auto"/>
        <w:ind w:left="714" w:hanging="357"/>
        <w:rPr>
          <w:rFonts w:ascii="Arial" w:eastAsia="Arial" w:hAnsi="Arial"/>
          <w:sz w:val="20"/>
          <w:szCs w:val="22"/>
          <w:lang w:eastAsia="sl-SI"/>
        </w:rPr>
      </w:pPr>
      <w:r w:rsidRPr="00424274">
        <w:rPr>
          <w:rFonts w:ascii="Arial" w:eastAsia="Arial" w:hAnsi="Arial"/>
          <w:sz w:val="20"/>
          <w:szCs w:val="22"/>
          <w:lang w:eastAsia="sl-SI"/>
        </w:rPr>
        <w:t xml:space="preserve">v preostalih zadevah smo zaznali posamezne uporabe dejavnosti trgovine s plemenitimi kovinami (naložbeno zlato), menjalnih platform za virtualne valute, bankomatov </w:t>
      </w:r>
      <w:r w:rsidR="002110AD">
        <w:rPr>
          <w:rFonts w:ascii="Arial" w:eastAsia="Arial" w:hAnsi="Arial"/>
          <w:sz w:val="20"/>
          <w:szCs w:val="22"/>
          <w:lang w:eastAsia="sl-SI"/>
        </w:rPr>
        <w:t>in</w:t>
      </w:r>
      <w:r w:rsidR="002110AD" w:rsidRPr="00424274">
        <w:rPr>
          <w:rFonts w:ascii="Arial" w:eastAsia="Arial" w:hAnsi="Arial"/>
          <w:sz w:val="20"/>
          <w:szCs w:val="22"/>
          <w:lang w:eastAsia="sl-SI"/>
        </w:rPr>
        <w:t xml:space="preserve"> </w:t>
      </w:r>
      <w:r w:rsidRPr="00424274">
        <w:rPr>
          <w:rFonts w:ascii="Arial" w:eastAsia="Arial" w:hAnsi="Arial"/>
          <w:sz w:val="20"/>
          <w:szCs w:val="22"/>
          <w:lang w:eastAsia="sl-SI"/>
        </w:rPr>
        <w:t>uporabo sefov.</w:t>
      </w:r>
    </w:p>
    <w:p w14:paraId="6CB36325" w14:textId="1C3D562D" w:rsidR="00785F67" w:rsidRPr="00424274" w:rsidRDefault="00785F67" w:rsidP="00785F67">
      <w:pPr>
        <w:spacing w:before="240" w:after="240"/>
        <w:ind w:right="-23"/>
        <w:rPr>
          <w:rFonts w:ascii="Arial" w:eastAsia="Arial" w:hAnsi="Arial"/>
          <w:sz w:val="20"/>
          <w:szCs w:val="22"/>
          <w:lang w:eastAsia="sl-SI"/>
        </w:rPr>
      </w:pPr>
      <w:r w:rsidRPr="00424274">
        <w:rPr>
          <w:rFonts w:ascii="Arial" w:eastAsia="Arial" w:hAnsi="Arial"/>
          <w:sz w:val="20"/>
          <w:szCs w:val="22"/>
          <w:lang w:eastAsia="sl-SI"/>
        </w:rPr>
        <w:t xml:space="preserve">V letu 2020 se med najpogosteje zaznanimi </w:t>
      </w:r>
      <w:r w:rsidRPr="00424274">
        <w:rPr>
          <w:rFonts w:ascii="Arial" w:eastAsia="Arial" w:hAnsi="Arial"/>
          <w:b/>
          <w:i/>
          <w:sz w:val="20"/>
          <w:szCs w:val="22"/>
          <w:u w:val="single"/>
          <w:lang w:eastAsia="sl-SI"/>
        </w:rPr>
        <w:t>tehnikami</w:t>
      </w:r>
      <w:r w:rsidRPr="00424274">
        <w:rPr>
          <w:rFonts w:ascii="Arial" w:eastAsia="Arial" w:hAnsi="Arial"/>
          <w:sz w:val="20"/>
          <w:szCs w:val="22"/>
          <w:lang w:eastAsia="sl-SI"/>
        </w:rPr>
        <w:t xml:space="preserve"> pranja denarja pojavljajo naslednje (ugotovljene v več kot eni zadevi):</w:t>
      </w:r>
    </w:p>
    <w:p w14:paraId="38EF6F77" w14:textId="0D7D86CA" w:rsidR="00785F67" w:rsidRPr="00424274" w:rsidRDefault="00785F67" w:rsidP="00785F67">
      <w:pPr>
        <w:widowControl/>
        <w:numPr>
          <w:ilvl w:val="0"/>
          <w:numId w:val="21"/>
        </w:numPr>
        <w:tabs>
          <w:tab w:val="left" w:pos="720"/>
        </w:tabs>
        <w:spacing w:after="200" w:line="276" w:lineRule="auto"/>
        <w:ind w:left="714" w:right="-23" w:hanging="357"/>
        <w:jc w:val="left"/>
        <w:rPr>
          <w:rFonts w:ascii="Arial" w:eastAsia="Arial" w:hAnsi="Arial"/>
          <w:sz w:val="20"/>
          <w:szCs w:val="22"/>
          <w:lang w:eastAsia="sl-SI"/>
        </w:rPr>
      </w:pPr>
      <w:r w:rsidRPr="00424274">
        <w:rPr>
          <w:rFonts w:ascii="Arial" w:eastAsia="Arial" w:hAnsi="Arial"/>
          <w:b/>
          <w:i/>
          <w:sz w:val="20"/>
          <w:szCs w:val="22"/>
          <w:lang w:eastAsia="sl-SI"/>
        </w:rPr>
        <w:t>prenos sredstev med državami</w:t>
      </w:r>
      <w:r w:rsidRPr="00424274">
        <w:rPr>
          <w:rFonts w:ascii="Arial" w:eastAsia="Arial" w:hAnsi="Arial"/>
          <w:b/>
          <w:sz w:val="20"/>
          <w:szCs w:val="22"/>
          <w:lang w:eastAsia="sl-SI"/>
        </w:rPr>
        <w:t xml:space="preserve"> </w:t>
      </w:r>
      <w:r w:rsidRPr="00424274">
        <w:rPr>
          <w:rFonts w:ascii="Arial" w:eastAsia="Arial" w:hAnsi="Arial"/>
          <w:sz w:val="20"/>
          <w:szCs w:val="22"/>
          <w:lang w:eastAsia="sl-SI"/>
        </w:rPr>
        <w:t>(ugotovljeno v približno 72</w:t>
      </w:r>
      <w:r w:rsidR="00E94E1E">
        <w:rPr>
          <w:rFonts w:ascii="Arial" w:eastAsia="Arial" w:hAnsi="Arial"/>
          <w:sz w:val="20"/>
          <w:szCs w:val="22"/>
          <w:lang w:eastAsia="sl-SI"/>
        </w:rPr>
        <w:t xml:space="preserve"> </w:t>
      </w:r>
      <w:r w:rsidRPr="00424274">
        <w:rPr>
          <w:rFonts w:ascii="Arial" w:eastAsia="Arial" w:hAnsi="Arial"/>
          <w:sz w:val="20"/>
          <w:szCs w:val="22"/>
          <w:lang w:eastAsia="sl-SI"/>
        </w:rPr>
        <w:t>% zadev),</w:t>
      </w:r>
    </w:p>
    <w:p w14:paraId="5493FDB9" w14:textId="23A8BA44" w:rsidR="00785F67" w:rsidRPr="00424274" w:rsidRDefault="00785F67" w:rsidP="00785F67">
      <w:pPr>
        <w:widowControl/>
        <w:numPr>
          <w:ilvl w:val="0"/>
          <w:numId w:val="21"/>
        </w:numPr>
        <w:tabs>
          <w:tab w:val="left" w:pos="720"/>
        </w:tabs>
        <w:spacing w:after="200" w:line="276" w:lineRule="auto"/>
        <w:ind w:left="714" w:right="-23" w:hanging="357"/>
        <w:jc w:val="left"/>
        <w:rPr>
          <w:rFonts w:ascii="Arial" w:eastAsia="Arial" w:hAnsi="Arial"/>
          <w:sz w:val="20"/>
          <w:szCs w:val="22"/>
          <w:lang w:eastAsia="sl-SI"/>
        </w:rPr>
      </w:pPr>
      <w:r w:rsidRPr="00424274">
        <w:rPr>
          <w:rFonts w:ascii="Arial" w:eastAsia="Arial" w:hAnsi="Arial"/>
          <w:b/>
          <w:i/>
          <w:sz w:val="20"/>
          <w:szCs w:val="22"/>
          <w:lang w:eastAsia="sl-SI"/>
        </w:rPr>
        <w:t>prenos sredstev med računi</w:t>
      </w:r>
      <w:r w:rsidRPr="00424274">
        <w:rPr>
          <w:rFonts w:ascii="Arial" w:eastAsia="Arial" w:hAnsi="Arial"/>
          <w:sz w:val="20"/>
          <w:szCs w:val="22"/>
          <w:lang w:eastAsia="sl-SI"/>
        </w:rPr>
        <w:t xml:space="preserve"> (ugotovljeno v približno 61</w:t>
      </w:r>
      <w:r w:rsidR="00E94E1E">
        <w:rPr>
          <w:rFonts w:ascii="Arial" w:eastAsia="Arial" w:hAnsi="Arial"/>
          <w:sz w:val="20"/>
          <w:szCs w:val="22"/>
          <w:lang w:eastAsia="sl-SI"/>
        </w:rPr>
        <w:t> </w:t>
      </w:r>
      <w:r w:rsidRPr="00424274">
        <w:rPr>
          <w:rFonts w:ascii="Arial" w:eastAsia="Arial" w:hAnsi="Arial"/>
          <w:sz w:val="20"/>
          <w:szCs w:val="22"/>
          <w:lang w:eastAsia="sl-SI"/>
        </w:rPr>
        <w:t>% zadev),</w:t>
      </w:r>
    </w:p>
    <w:p w14:paraId="4C7985B6" w14:textId="781FAFF8" w:rsidR="00785F67" w:rsidRPr="00424274" w:rsidRDefault="00785F67" w:rsidP="00785F67">
      <w:pPr>
        <w:widowControl/>
        <w:numPr>
          <w:ilvl w:val="0"/>
          <w:numId w:val="21"/>
        </w:numPr>
        <w:tabs>
          <w:tab w:val="left" w:pos="720"/>
        </w:tabs>
        <w:spacing w:after="200" w:line="276" w:lineRule="auto"/>
        <w:ind w:left="714" w:right="-23" w:hanging="357"/>
        <w:jc w:val="left"/>
        <w:rPr>
          <w:rFonts w:ascii="Arial" w:eastAsia="Arial" w:hAnsi="Arial"/>
          <w:sz w:val="20"/>
          <w:szCs w:val="22"/>
          <w:lang w:eastAsia="sl-SI"/>
        </w:rPr>
      </w:pPr>
      <w:r w:rsidRPr="00424274">
        <w:rPr>
          <w:rFonts w:ascii="Arial" w:eastAsia="Arial" w:hAnsi="Arial"/>
          <w:b/>
          <w:i/>
          <w:sz w:val="20"/>
          <w:szCs w:val="22"/>
          <w:lang w:eastAsia="sl-SI"/>
        </w:rPr>
        <w:t>dvigi gotovine z računov</w:t>
      </w:r>
      <w:r w:rsidRPr="00424274">
        <w:rPr>
          <w:rFonts w:ascii="Arial" w:eastAsia="Arial" w:hAnsi="Arial"/>
          <w:sz w:val="20"/>
          <w:szCs w:val="22"/>
          <w:lang w:eastAsia="sl-SI"/>
        </w:rPr>
        <w:t xml:space="preserve"> (ugotovljeno v približno 32</w:t>
      </w:r>
      <w:r w:rsidR="00E94E1E">
        <w:rPr>
          <w:rFonts w:ascii="Arial" w:eastAsia="Arial" w:hAnsi="Arial"/>
          <w:sz w:val="20"/>
          <w:szCs w:val="22"/>
          <w:lang w:eastAsia="sl-SI"/>
        </w:rPr>
        <w:t> </w:t>
      </w:r>
      <w:r w:rsidRPr="00424274">
        <w:rPr>
          <w:rFonts w:ascii="Arial" w:eastAsia="Arial" w:hAnsi="Arial"/>
          <w:sz w:val="20"/>
          <w:szCs w:val="22"/>
          <w:lang w:eastAsia="sl-SI"/>
        </w:rPr>
        <w:t>% zadev),</w:t>
      </w:r>
    </w:p>
    <w:p w14:paraId="6D0B7959" w14:textId="72AEC310" w:rsidR="00785F67" w:rsidRPr="00424274" w:rsidRDefault="00785F67" w:rsidP="00785F67">
      <w:pPr>
        <w:widowControl/>
        <w:numPr>
          <w:ilvl w:val="0"/>
          <w:numId w:val="21"/>
        </w:numPr>
        <w:tabs>
          <w:tab w:val="left" w:pos="720"/>
        </w:tabs>
        <w:spacing w:after="200" w:line="276" w:lineRule="auto"/>
        <w:ind w:left="714" w:right="-23" w:hanging="357"/>
        <w:jc w:val="left"/>
        <w:rPr>
          <w:rFonts w:ascii="Arial" w:eastAsia="Arial" w:hAnsi="Arial"/>
          <w:sz w:val="20"/>
          <w:szCs w:val="22"/>
          <w:lang w:eastAsia="sl-SI"/>
        </w:rPr>
      </w:pPr>
      <w:r w:rsidRPr="00424274">
        <w:rPr>
          <w:rFonts w:ascii="Arial" w:eastAsia="Arial" w:hAnsi="Arial"/>
          <w:b/>
          <w:i/>
          <w:sz w:val="20"/>
          <w:szCs w:val="22"/>
          <w:lang w:eastAsia="sl-SI"/>
        </w:rPr>
        <w:t xml:space="preserve">prenosi sredstev prek državne meje </w:t>
      </w:r>
      <w:r w:rsidRPr="00424274">
        <w:rPr>
          <w:rFonts w:ascii="Arial" w:eastAsia="Arial" w:hAnsi="Arial"/>
          <w:sz w:val="20"/>
          <w:szCs w:val="22"/>
          <w:lang w:eastAsia="sl-SI"/>
        </w:rPr>
        <w:t>(ugotovljeno v približno 17</w:t>
      </w:r>
      <w:r w:rsidR="00E94E1E">
        <w:rPr>
          <w:rFonts w:ascii="Arial" w:eastAsia="Arial" w:hAnsi="Arial"/>
          <w:sz w:val="20"/>
          <w:szCs w:val="22"/>
          <w:lang w:eastAsia="sl-SI"/>
        </w:rPr>
        <w:t> </w:t>
      </w:r>
      <w:r w:rsidRPr="00424274">
        <w:rPr>
          <w:rFonts w:ascii="Arial" w:eastAsia="Arial" w:hAnsi="Arial"/>
          <w:sz w:val="20"/>
          <w:szCs w:val="22"/>
          <w:lang w:eastAsia="sl-SI"/>
        </w:rPr>
        <w:t>% zadev),</w:t>
      </w:r>
    </w:p>
    <w:p w14:paraId="6C3B2A30" w14:textId="785D8269" w:rsidR="00785F67" w:rsidRPr="00424274" w:rsidRDefault="00785F67" w:rsidP="00785F67">
      <w:pPr>
        <w:widowControl/>
        <w:numPr>
          <w:ilvl w:val="0"/>
          <w:numId w:val="21"/>
        </w:numPr>
        <w:tabs>
          <w:tab w:val="left" w:pos="720"/>
        </w:tabs>
        <w:spacing w:after="200" w:line="276" w:lineRule="auto"/>
        <w:ind w:left="714" w:right="-23" w:hanging="357"/>
        <w:jc w:val="left"/>
        <w:rPr>
          <w:rFonts w:ascii="Arial" w:eastAsia="Arial" w:hAnsi="Arial"/>
          <w:sz w:val="20"/>
          <w:szCs w:val="22"/>
          <w:lang w:eastAsia="sl-SI"/>
        </w:rPr>
      </w:pPr>
      <w:r w:rsidRPr="00424274">
        <w:rPr>
          <w:rFonts w:ascii="Arial" w:eastAsia="Arial" w:hAnsi="Arial"/>
          <w:b/>
          <w:i/>
          <w:sz w:val="20"/>
          <w:szCs w:val="22"/>
          <w:lang w:eastAsia="sl-SI"/>
        </w:rPr>
        <w:t>pologi gotovine</w:t>
      </w:r>
      <w:r w:rsidRPr="00424274">
        <w:rPr>
          <w:rFonts w:ascii="Arial" w:eastAsia="Arial" w:hAnsi="Arial"/>
          <w:b/>
          <w:sz w:val="20"/>
          <w:szCs w:val="22"/>
          <w:lang w:eastAsia="sl-SI"/>
        </w:rPr>
        <w:t xml:space="preserve"> </w:t>
      </w:r>
      <w:r w:rsidRPr="00424274">
        <w:rPr>
          <w:rFonts w:ascii="Arial" w:eastAsia="Arial" w:hAnsi="Arial"/>
          <w:sz w:val="20"/>
          <w:szCs w:val="22"/>
          <w:lang w:eastAsia="sl-SI"/>
        </w:rPr>
        <w:t>(ugotovljeno v približno 14</w:t>
      </w:r>
      <w:r w:rsidR="00E94E1E">
        <w:rPr>
          <w:rFonts w:ascii="Arial" w:eastAsia="Arial" w:hAnsi="Arial"/>
          <w:sz w:val="20"/>
          <w:szCs w:val="22"/>
          <w:lang w:eastAsia="sl-SI"/>
        </w:rPr>
        <w:t> </w:t>
      </w:r>
      <w:r w:rsidRPr="00424274">
        <w:rPr>
          <w:rFonts w:ascii="Arial" w:eastAsia="Arial" w:hAnsi="Arial"/>
          <w:sz w:val="20"/>
          <w:szCs w:val="22"/>
          <w:lang w:eastAsia="sl-SI"/>
        </w:rPr>
        <w:t>% zadev),</w:t>
      </w:r>
    </w:p>
    <w:p w14:paraId="34CE7224" w14:textId="3660F0E1" w:rsidR="00785F67" w:rsidRPr="00424274" w:rsidRDefault="00785F67" w:rsidP="00785F67">
      <w:pPr>
        <w:widowControl/>
        <w:numPr>
          <w:ilvl w:val="0"/>
          <w:numId w:val="21"/>
        </w:numPr>
        <w:tabs>
          <w:tab w:val="left" w:pos="720"/>
        </w:tabs>
        <w:spacing w:after="200" w:line="276" w:lineRule="auto"/>
        <w:ind w:left="714" w:right="-23" w:hanging="357"/>
        <w:jc w:val="left"/>
        <w:rPr>
          <w:rFonts w:ascii="Arial" w:eastAsia="Arial" w:hAnsi="Arial"/>
          <w:sz w:val="20"/>
          <w:szCs w:val="22"/>
          <w:lang w:eastAsia="sl-SI"/>
        </w:rPr>
      </w:pPr>
      <w:r w:rsidRPr="00424274">
        <w:rPr>
          <w:rFonts w:ascii="Arial" w:eastAsia="Arial" w:hAnsi="Arial"/>
          <w:b/>
          <w:i/>
          <w:sz w:val="20"/>
          <w:szCs w:val="22"/>
          <w:lang w:eastAsia="sl-SI"/>
        </w:rPr>
        <w:t xml:space="preserve">lažni prikazi namena transakcij </w:t>
      </w:r>
      <w:r w:rsidRPr="00424274">
        <w:rPr>
          <w:rFonts w:ascii="Arial" w:eastAsia="Arial" w:hAnsi="Arial"/>
          <w:sz w:val="20"/>
          <w:szCs w:val="22"/>
          <w:lang w:eastAsia="sl-SI"/>
        </w:rPr>
        <w:t>(ugotovljeno v približno 10</w:t>
      </w:r>
      <w:r w:rsidR="00E94E1E">
        <w:rPr>
          <w:rFonts w:ascii="Arial" w:eastAsia="Arial" w:hAnsi="Arial"/>
          <w:sz w:val="20"/>
          <w:szCs w:val="22"/>
          <w:lang w:eastAsia="sl-SI"/>
        </w:rPr>
        <w:t> </w:t>
      </w:r>
      <w:r w:rsidRPr="00424274">
        <w:rPr>
          <w:rFonts w:ascii="Arial" w:eastAsia="Arial" w:hAnsi="Arial"/>
          <w:sz w:val="20"/>
          <w:szCs w:val="22"/>
          <w:lang w:eastAsia="sl-SI"/>
        </w:rPr>
        <w:t>% zadev),</w:t>
      </w:r>
    </w:p>
    <w:p w14:paraId="6EFDAEE9" w14:textId="4005AF98" w:rsidR="00785F67" w:rsidRPr="00424274" w:rsidRDefault="00785F67" w:rsidP="00785F67">
      <w:pPr>
        <w:widowControl/>
        <w:numPr>
          <w:ilvl w:val="0"/>
          <w:numId w:val="21"/>
        </w:numPr>
        <w:tabs>
          <w:tab w:val="left" w:pos="720"/>
        </w:tabs>
        <w:spacing w:after="200" w:line="276" w:lineRule="auto"/>
        <w:ind w:left="714" w:right="-23" w:hanging="357"/>
        <w:jc w:val="left"/>
        <w:rPr>
          <w:rFonts w:ascii="Arial" w:eastAsia="Arial" w:hAnsi="Arial"/>
          <w:sz w:val="20"/>
          <w:szCs w:val="22"/>
          <w:lang w:eastAsia="sl-SI"/>
        </w:rPr>
      </w:pPr>
      <w:r w:rsidRPr="00424274">
        <w:rPr>
          <w:rFonts w:ascii="Arial" w:eastAsia="Arial" w:hAnsi="Arial"/>
          <w:b/>
          <w:i/>
          <w:sz w:val="20"/>
          <w:szCs w:val="22"/>
          <w:lang w:eastAsia="sl-SI"/>
        </w:rPr>
        <w:t xml:space="preserve">uporaba sredstev za gospodarsko poslovanje </w:t>
      </w:r>
      <w:r w:rsidRPr="00424274">
        <w:rPr>
          <w:rFonts w:ascii="Arial" w:eastAsia="Arial" w:hAnsi="Arial"/>
          <w:sz w:val="20"/>
          <w:szCs w:val="22"/>
          <w:lang w:eastAsia="sl-SI"/>
        </w:rPr>
        <w:t>(ugotovljeno v približno 8</w:t>
      </w:r>
      <w:r w:rsidR="00E94E1E">
        <w:rPr>
          <w:rFonts w:ascii="Arial" w:eastAsia="Arial" w:hAnsi="Arial"/>
          <w:sz w:val="20"/>
          <w:szCs w:val="22"/>
          <w:lang w:eastAsia="sl-SI"/>
        </w:rPr>
        <w:t> </w:t>
      </w:r>
      <w:r w:rsidRPr="00424274">
        <w:rPr>
          <w:rFonts w:ascii="Arial" w:eastAsia="Arial" w:hAnsi="Arial"/>
          <w:sz w:val="20"/>
          <w:szCs w:val="22"/>
          <w:lang w:eastAsia="sl-SI"/>
        </w:rPr>
        <w:t>% zadev),</w:t>
      </w:r>
    </w:p>
    <w:p w14:paraId="152C06B3" w14:textId="357E3453" w:rsidR="00785F67" w:rsidRPr="00424274" w:rsidRDefault="00785F67" w:rsidP="00785F67">
      <w:pPr>
        <w:widowControl/>
        <w:numPr>
          <w:ilvl w:val="0"/>
          <w:numId w:val="21"/>
        </w:numPr>
        <w:tabs>
          <w:tab w:val="left" w:pos="720"/>
        </w:tabs>
        <w:spacing w:after="200" w:line="276" w:lineRule="auto"/>
        <w:ind w:left="714" w:right="-23" w:hanging="357"/>
        <w:jc w:val="left"/>
        <w:rPr>
          <w:rFonts w:ascii="Arial" w:eastAsia="Arial" w:hAnsi="Arial"/>
          <w:sz w:val="20"/>
          <w:szCs w:val="22"/>
          <w:lang w:eastAsia="sl-SI"/>
        </w:rPr>
      </w:pPr>
      <w:r w:rsidRPr="00424274">
        <w:rPr>
          <w:rFonts w:ascii="Arial" w:eastAsia="Arial" w:hAnsi="Arial"/>
          <w:b/>
          <w:i/>
          <w:sz w:val="20"/>
          <w:szCs w:val="22"/>
          <w:lang w:eastAsia="sl-SI"/>
        </w:rPr>
        <w:t xml:space="preserve">uporaba </w:t>
      </w:r>
      <w:r w:rsidR="002110AD">
        <w:rPr>
          <w:rFonts w:ascii="Arial" w:eastAsia="Arial" w:hAnsi="Arial"/>
          <w:b/>
          <w:i/>
          <w:sz w:val="20"/>
          <w:szCs w:val="22"/>
          <w:lang w:eastAsia="sl-SI"/>
        </w:rPr>
        <w:t>navideznih</w:t>
      </w:r>
      <w:r w:rsidR="002110AD" w:rsidRPr="00424274">
        <w:rPr>
          <w:rFonts w:ascii="Arial" w:eastAsia="Arial" w:hAnsi="Arial"/>
          <w:b/>
          <w:i/>
          <w:sz w:val="20"/>
          <w:szCs w:val="22"/>
          <w:lang w:eastAsia="sl-SI"/>
        </w:rPr>
        <w:t xml:space="preserve"> </w:t>
      </w:r>
      <w:r w:rsidRPr="00424274">
        <w:rPr>
          <w:rFonts w:ascii="Arial" w:eastAsia="Arial" w:hAnsi="Arial"/>
          <w:b/>
          <w:i/>
          <w:sz w:val="20"/>
          <w:szCs w:val="22"/>
          <w:lang w:eastAsia="sl-SI"/>
        </w:rPr>
        <w:t>pogodb</w:t>
      </w:r>
      <w:r w:rsidRPr="00424274">
        <w:rPr>
          <w:rFonts w:ascii="Arial" w:eastAsia="Arial" w:hAnsi="Arial"/>
          <w:sz w:val="20"/>
          <w:szCs w:val="22"/>
          <w:lang w:eastAsia="sl-SI"/>
        </w:rPr>
        <w:t xml:space="preserve"> (ugotovljeno v približno 7</w:t>
      </w:r>
      <w:r w:rsidR="00E94E1E">
        <w:rPr>
          <w:rFonts w:ascii="Arial" w:eastAsia="Arial" w:hAnsi="Arial"/>
          <w:sz w:val="20"/>
          <w:szCs w:val="22"/>
          <w:lang w:eastAsia="sl-SI"/>
        </w:rPr>
        <w:t> </w:t>
      </w:r>
      <w:r w:rsidRPr="00424274">
        <w:rPr>
          <w:rFonts w:ascii="Arial" w:eastAsia="Arial" w:hAnsi="Arial"/>
          <w:sz w:val="20"/>
          <w:szCs w:val="22"/>
          <w:lang w:eastAsia="sl-SI"/>
        </w:rPr>
        <w:t>% zadev),</w:t>
      </w:r>
    </w:p>
    <w:p w14:paraId="5509C3CA" w14:textId="49AC8851" w:rsidR="00785F67" w:rsidRPr="00424274" w:rsidRDefault="00785F67" w:rsidP="00785F67">
      <w:pPr>
        <w:widowControl/>
        <w:numPr>
          <w:ilvl w:val="0"/>
          <w:numId w:val="21"/>
        </w:numPr>
        <w:tabs>
          <w:tab w:val="left" w:pos="720"/>
        </w:tabs>
        <w:spacing w:after="200" w:line="276" w:lineRule="auto"/>
        <w:ind w:left="714" w:right="-23" w:hanging="357"/>
        <w:jc w:val="left"/>
        <w:rPr>
          <w:rFonts w:ascii="Arial" w:eastAsia="Arial" w:hAnsi="Arial"/>
          <w:sz w:val="20"/>
          <w:szCs w:val="22"/>
          <w:lang w:eastAsia="sl-SI"/>
        </w:rPr>
      </w:pPr>
      <w:r w:rsidRPr="00424274">
        <w:rPr>
          <w:rFonts w:ascii="Arial" w:eastAsia="Arial" w:hAnsi="Arial"/>
          <w:b/>
          <w:i/>
          <w:sz w:val="20"/>
          <w:szCs w:val="22"/>
          <w:lang w:eastAsia="sl-SI"/>
        </w:rPr>
        <w:t>investiranje v nepremičnine</w:t>
      </w:r>
      <w:r w:rsidRPr="00424274">
        <w:rPr>
          <w:rFonts w:ascii="Arial" w:eastAsia="Arial" w:hAnsi="Arial"/>
          <w:b/>
          <w:sz w:val="20"/>
          <w:szCs w:val="22"/>
          <w:lang w:eastAsia="sl-SI"/>
        </w:rPr>
        <w:t xml:space="preserve"> </w:t>
      </w:r>
      <w:r w:rsidRPr="00424274">
        <w:rPr>
          <w:rFonts w:ascii="Arial" w:eastAsia="Arial" w:hAnsi="Arial"/>
          <w:sz w:val="20"/>
          <w:szCs w:val="22"/>
          <w:lang w:eastAsia="sl-SI"/>
        </w:rPr>
        <w:t>(ugotovljeno v približno 4</w:t>
      </w:r>
      <w:r w:rsidR="00E94E1E">
        <w:rPr>
          <w:rFonts w:ascii="Arial" w:eastAsia="Arial" w:hAnsi="Arial"/>
          <w:sz w:val="20"/>
          <w:szCs w:val="22"/>
          <w:lang w:eastAsia="sl-SI"/>
        </w:rPr>
        <w:t> </w:t>
      </w:r>
      <w:r w:rsidRPr="00424274">
        <w:rPr>
          <w:rFonts w:ascii="Arial" w:eastAsia="Arial" w:hAnsi="Arial"/>
          <w:sz w:val="20"/>
          <w:szCs w:val="22"/>
          <w:lang w:eastAsia="sl-SI"/>
        </w:rPr>
        <w:t>% zadev),</w:t>
      </w:r>
    </w:p>
    <w:p w14:paraId="72A8F026" w14:textId="7AF672D3" w:rsidR="00785F67" w:rsidRPr="00424274" w:rsidRDefault="00785F67" w:rsidP="00D541AB">
      <w:pPr>
        <w:pStyle w:val="Odstavekseznama"/>
        <w:numPr>
          <w:ilvl w:val="0"/>
          <w:numId w:val="21"/>
        </w:numPr>
        <w:tabs>
          <w:tab w:val="left" w:pos="720"/>
        </w:tabs>
        <w:spacing w:after="200" w:line="276" w:lineRule="auto"/>
        <w:ind w:right="-23"/>
        <w:rPr>
          <w:rFonts w:ascii="Arial" w:eastAsia="Arial" w:hAnsi="Arial"/>
          <w:sz w:val="20"/>
          <w:szCs w:val="22"/>
          <w:lang w:val="sl-SI" w:eastAsia="sl-SI"/>
        </w:rPr>
      </w:pPr>
      <w:r w:rsidRPr="00424274">
        <w:rPr>
          <w:rFonts w:ascii="Arial" w:eastAsia="Arial" w:hAnsi="Arial"/>
          <w:b/>
          <w:i/>
          <w:sz w:val="20"/>
          <w:szCs w:val="22"/>
          <w:lang w:val="sl-SI" w:eastAsia="sl-SI"/>
        </w:rPr>
        <w:lastRenderedPageBreak/>
        <w:t>uporaba sistemov za prenos denarja (</w:t>
      </w:r>
      <w:proofErr w:type="spellStart"/>
      <w:r w:rsidRPr="00424274">
        <w:rPr>
          <w:rFonts w:ascii="Arial" w:eastAsia="Arial" w:hAnsi="Arial"/>
          <w:b/>
          <w:i/>
          <w:sz w:val="20"/>
          <w:szCs w:val="22"/>
          <w:lang w:val="sl-SI" w:eastAsia="sl-SI"/>
        </w:rPr>
        <w:t>MoneyGram</w:t>
      </w:r>
      <w:proofErr w:type="spellEnd"/>
      <w:r w:rsidRPr="00424274">
        <w:rPr>
          <w:rFonts w:ascii="Arial" w:eastAsia="Arial" w:hAnsi="Arial"/>
          <w:b/>
          <w:i/>
          <w:sz w:val="20"/>
          <w:szCs w:val="22"/>
          <w:lang w:val="sl-SI" w:eastAsia="sl-SI"/>
        </w:rPr>
        <w:t xml:space="preserve">, </w:t>
      </w:r>
      <w:proofErr w:type="spellStart"/>
      <w:r w:rsidRPr="00424274">
        <w:rPr>
          <w:rFonts w:ascii="Arial" w:eastAsia="Arial" w:hAnsi="Arial"/>
          <w:b/>
          <w:i/>
          <w:sz w:val="20"/>
          <w:szCs w:val="22"/>
          <w:lang w:val="sl-SI" w:eastAsia="sl-SI"/>
        </w:rPr>
        <w:t>Western</w:t>
      </w:r>
      <w:proofErr w:type="spellEnd"/>
      <w:r w:rsidRPr="00424274">
        <w:rPr>
          <w:rFonts w:ascii="Arial" w:eastAsia="Arial" w:hAnsi="Arial"/>
          <w:b/>
          <w:i/>
          <w:sz w:val="20"/>
          <w:szCs w:val="22"/>
          <w:lang w:val="sl-SI" w:eastAsia="sl-SI"/>
        </w:rPr>
        <w:t xml:space="preserve"> Union)</w:t>
      </w:r>
      <w:r w:rsidRPr="00424274">
        <w:rPr>
          <w:rFonts w:ascii="Arial" w:eastAsia="Arial" w:hAnsi="Arial"/>
          <w:b/>
          <w:sz w:val="20"/>
          <w:szCs w:val="22"/>
          <w:lang w:val="sl-SI" w:eastAsia="sl-SI"/>
        </w:rPr>
        <w:t xml:space="preserve"> </w:t>
      </w:r>
      <w:r w:rsidRPr="00424274">
        <w:rPr>
          <w:rFonts w:ascii="Arial" w:eastAsia="Arial" w:hAnsi="Arial"/>
          <w:sz w:val="20"/>
          <w:szCs w:val="22"/>
          <w:lang w:val="sl-SI" w:eastAsia="sl-SI"/>
        </w:rPr>
        <w:t>(ugotovljeno v približno 4</w:t>
      </w:r>
      <w:r w:rsidR="00E94E1E">
        <w:rPr>
          <w:rFonts w:ascii="Arial" w:eastAsia="Arial" w:hAnsi="Arial"/>
          <w:sz w:val="20"/>
          <w:szCs w:val="22"/>
          <w:lang w:val="sl-SI" w:eastAsia="sl-SI"/>
        </w:rPr>
        <w:t> </w:t>
      </w:r>
      <w:r w:rsidRPr="00424274">
        <w:rPr>
          <w:rFonts w:ascii="Arial" w:eastAsia="Arial" w:hAnsi="Arial"/>
          <w:sz w:val="20"/>
          <w:szCs w:val="22"/>
          <w:lang w:val="sl-SI" w:eastAsia="sl-SI"/>
        </w:rPr>
        <w:t>% zadev),</w:t>
      </w:r>
    </w:p>
    <w:p w14:paraId="5611E4DA" w14:textId="5B9FFBF7" w:rsidR="00785F67" w:rsidRPr="00424274" w:rsidRDefault="00785F67" w:rsidP="00785F67">
      <w:pPr>
        <w:widowControl/>
        <w:numPr>
          <w:ilvl w:val="0"/>
          <w:numId w:val="21"/>
        </w:numPr>
        <w:tabs>
          <w:tab w:val="left" w:pos="720"/>
        </w:tabs>
        <w:spacing w:after="200" w:line="276" w:lineRule="auto"/>
        <w:ind w:left="714" w:right="-23" w:hanging="357"/>
        <w:jc w:val="left"/>
        <w:rPr>
          <w:rFonts w:ascii="Arial" w:eastAsia="Arial" w:hAnsi="Arial"/>
          <w:sz w:val="20"/>
          <w:szCs w:val="22"/>
          <w:lang w:eastAsia="sl-SI"/>
        </w:rPr>
      </w:pPr>
      <w:r w:rsidRPr="00424274">
        <w:rPr>
          <w:rFonts w:ascii="Arial" w:eastAsia="Arial" w:hAnsi="Arial"/>
          <w:b/>
          <w:i/>
          <w:sz w:val="20"/>
          <w:szCs w:val="22"/>
          <w:lang w:eastAsia="sl-SI"/>
        </w:rPr>
        <w:t>dvigi gotovine na bankomatih v tujini</w:t>
      </w:r>
      <w:r w:rsidRPr="00424274">
        <w:rPr>
          <w:rFonts w:ascii="Arial" w:eastAsia="Arial" w:hAnsi="Arial"/>
          <w:sz w:val="20"/>
          <w:szCs w:val="22"/>
          <w:lang w:eastAsia="sl-SI"/>
        </w:rPr>
        <w:t xml:space="preserve"> (ugotovljeno v približno 4</w:t>
      </w:r>
      <w:r w:rsidR="00E94E1E">
        <w:rPr>
          <w:rFonts w:ascii="Arial" w:eastAsia="Arial" w:hAnsi="Arial"/>
          <w:sz w:val="20"/>
          <w:szCs w:val="22"/>
          <w:lang w:eastAsia="sl-SI"/>
        </w:rPr>
        <w:t> </w:t>
      </w:r>
      <w:r w:rsidRPr="00424274">
        <w:rPr>
          <w:rFonts w:ascii="Arial" w:eastAsia="Arial" w:hAnsi="Arial"/>
          <w:sz w:val="20"/>
          <w:szCs w:val="22"/>
          <w:lang w:eastAsia="sl-SI"/>
        </w:rPr>
        <w:t>% zadev),</w:t>
      </w:r>
    </w:p>
    <w:p w14:paraId="07857390" w14:textId="2392218D" w:rsidR="00785F67" w:rsidRPr="00424274" w:rsidRDefault="00785F67" w:rsidP="00785F67">
      <w:pPr>
        <w:widowControl/>
        <w:numPr>
          <w:ilvl w:val="0"/>
          <w:numId w:val="21"/>
        </w:numPr>
        <w:tabs>
          <w:tab w:val="left" w:pos="720"/>
        </w:tabs>
        <w:spacing w:after="200" w:line="276" w:lineRule="auto"/>
        <w:ind w:left="714" w:right="-23" w:hanging="357"/>
        <w:jc w:val="left"/>
        <w:rPr>
          <w:rFonts w:ascii="Arial" w:eastAsia="Arial" w:hAnsi="Arial"/>
          <w:sz w:val="20"/>
          <w:szCs w:val="22"/>
          <w:lang w:eastAsia="sl-SI"/>
        </w:rPr>
      </w:pPr>
      <w:r w:rsidRPr="00424274">
        <w:rPr>
          <w:rFonts w:ascii="Arial" w:eastAsia="Arial" w:hAnsi="Arial"/>
          <w:b/>
          <w:i/>
          <w:sz w:val="20"/>
          <w:szCs w:val="22"/>
          <w:lang w:eastAsia="sl-SI"/>
        </w:rPr>
        <w:t>ustvarjanje lažnih obveznosti</w:t>
      </w:r>
      <w:r w:rsidRPr="00424274">
        <w:rPr>
          <w:rFonts w:ascii="Arial" w:eastAsia="Arial" w:hAnsi="Arial"/>
          <w:b/>
          <w:sz w:val="20"/>
          <w:szCs w:val="22"/>
          <w:lang w:eastAsia="sl-SI"/>
        </w:rPr>
        <w:t xml:space="preserve"> </w:t>
      </w:r>
      <w:r w:rsidRPr="00424274">
        <w:rPr>
          <w:rFonts w:ascii="Arial" w:eastAsia="Arial" w:hAnsi="Arial"/>
          <w:sz w:val="20"/>
          <w:szCs w:val="22"/>
          <w:lang w:eastAsia="sl-SI"/>
        </w:rPr>
        <w:t>(ugotovljeno v približno 2</w:t>
      </w:r>
      <w:r w:rsidR="00E94E1E">
        <w:rPr>
          <w:rFonts w:ascii="Arial" w:eastAsia="Arial" w:hAnsi="Arial"/>
          <w:sz w:val="20"/>
          <w:szCs w:val="22"/>
          <w:lang w:eastAsia="sl-SI"/>
        </w:rPr>
        <w:t> </w:t>
      </w:r>
      <w:r w:rsidRPr="00424274">
        <w:rPr>
          <w:rFonts w:ascii="Arial" w:eastAsia="Arial" w:hAnsi="Arial"/>
          <w:sz w:val="20"/>
          <w:szCs w:val="22"/>
          <w:lang w:eastAsia="sl-SI"/>
        </w:rPr>
        <w:t>% zadev),</w:t>
      </w:r>
    </w:p>
    <w:p w14:paraId="25AF1229" w14:textId="381DEA80" w:rsidR="00785F67" w:rsidRPr="00424274" w:rsidRDefault="00785F67" w:rsidP="00785F67">
      <w:pPr>
        <w:widowControl/>
        <w:numPr>
          <w:ilvl w:val="0"/>
          <w:numId w:val="21"/>
        </w:numPr>
        <w:tabs>
          <w:tab w:val="left" w:pos="720"/>
        </w:tabs>
        <w:spacing w:after="200" w:line="276" w:lineRule="auto"/>
        <w:ind w:left="714" w:right="-23" w:hanging="357"/>
        <w:jc w:val="left"/>
        <w:rPr>
          <w:rFonts w:ascii="Arial" w:eastAsia="Arial" w:hAnsi="Arial"/>
          <w:sz w:val="20"/>
          <w:szCs w:val="22"/>
          <w:lang w:eastAsia="sl-SI"/>
        </w:rPr>
      </w:pPr>
      <w:r w:rsidRPr="00424274">
        <w:rPr>
          <w:rFonts w:ascii="Arial" w:eastAsia="Arial" w:hAnsi="Arial"/>
          <w:b/>
          <w:i/>
          <w:sz w:val="20"/>
          <w:szCs w:val="22"/>
          <w:lang w:eastAsia="sl-SI"/>
        </w:rPr>
        <w:t xml:space="preserve">investiranje v virtualne valute </w:t>
      </w:r>
      <w:r w:rsidRPr="00424274">
        <w:rPr>
          <w:rFonts w:ascii="Arial" w:eastAsia="Arial" w:hAnsi="Arial"/>
          <w:sz w:val="20"/>
          <w:szCs w:val="22"/>
          <w:lang w:eastAsia="sl-SI"/>
        </w:rPr>
        <w:t>(ugotovljeno v približno 2</w:t>
      </w:r>
      <w:r w:rsidR="00E94E1E">
        <w:rPr>
          <w:rFonts w:ascii="Arial" w:eastAsia="Arial" w:hAnsi="Arial"/>
          <w:sz w:val="20"/>
          <w:szCs w:val="22"/>
          <w:lang w:eastAsia="sl-SI"/>
        </w:rPr>
        <w:t> </w:t>
      </w:r>
      <w:r w:rsidRPr="00424274">
        <w:rPr>
          <w:rFonts w:ascii="Arial" w:eastAsia="Arial" w:hAnsi="Arial"/>
          <w:sz w:val="20"/>
          <w:szCs w:val="22"/>
          <w:lang w:eastAsia="sl-SI"/>
        </w:rPr>
        <w:t>% zadev),</w:t>
      </w:r>
    </w:p>
    <w:p w14:paraId="4858873C" w14:textId="4173321E" w:rsidR="00785F67" w:rsidRPr="00424274" w:rsidRDefault="00785F67" w:rsidP="00785F67">
      <w:pPr>
        <w:widowControl/>
        <w:numPr>
          <w:ilvl w:val="0"/>
          <w:numId w:val="21"/>
        </w:numPr>
        <w:tabs>
          <w:tab w:val="left" w:pos="720"/>
        </w:tabs>
        <w:spacing w:after="200" w:line="276" w:lineRule="auto"/>
        <w:ind w:left="714" w:right="-23" w:hanging="357"/>
        <w:jc w:val="left"/>
        <w:rPr>
          <w:rFonts w:ascii="Arial" w:eastAsia="Arial" w:hAnsi="Arial"/>
          <w:sz w:val="20"/>
          <w:szCs w:val="22"/>
          <w:lang w:eastAsia="sl-SI"/>
        </w:rPr>
      </w:pPr>
      <w:r w:rsidRPr="00424274">
        <w:rPr>
          <w:rFonts w:ascii="Arial" w:eastAsia="Arial" w:hAnsi="Arial"/>
          <w:b/>
          <w:i/>
          <w:sz w:val="20"/>
          <w:szCs w:val="22"/>
          <w:lang w:eastAsia="sl-SI"/>
        </w:rPr>
        <w:t xml:space="preserve">drobljenje zneskov in izmikanje identifikaciji </w:t>
      </w:r>
      <w:r w:rsidRPr="00424274">
        <w:rPr>
          <w:rFonts w:ascii="Arial" w:eastAsia="Arial" w:hAnsi="Arial"/>
          <w:sz w:val="20"/>
          <w:szCs w:val="22"/>
          <w:lang w:eastAsia="sl-SI"/>
        </w:rPr>
        <w:t>(ugotovljeno v približno 2</w:t>
      </w:r>
      <w:r w:rsidR="002110AD">
        <w:rPr>
          <w:rFonts w:ascii="Arial" w:eastAsia="Arial" w:hAnsi="Arial"/>
          <w:sz w:val="20"/>
          <w:szCs w:val="22"/>
          <w:lang w:eastAsia="sl-SI"/>
        </w:rPr>
        <w:t> </w:t>
      </w:r>
      <w:r w:rsidRPr="00424274">
        <w:rPr>
          <w:rFonts w:ascii="Arial" w:eastAsia="Arial" w:hAnsi="Arial"/>
          <w:sz w:val="20"/>
          <w:szCs w:val="22"/>
          <w:lang w:eastAsia="sl-SI"/>
        </w:rPr>
        <w:t>% zadev)</w:t>
      </w:r>
      <w:r w:rsidR="00B54224">
        <w:rPr>
          <w:rFonts w:ascii="Arial" w:eastAsia="Arial" w:hAnsi="Arial"/>
          <w:sz w:val="20"/>
          <w:szCs w:val="22"/>
          <w:lang w:eastAsia="sl-SI"/>
        </w:rPr>
        <w:t>,</w:t>
      </w:r>
    </w:p>
    <w:p w14:paraId="0748E88F" w14:textId="2B154D92" w:rsidR="00785F67" w:rsidRPr="00424274" w:rsidRDefault="00785F67" w:rsidP="00785F67">
      <w:pPr>
        <w:widowControl/>
        <w:numPr>
          <w:ilvl w:val="0"/>
          <w:numId w:val="21"/>
        </w:numPr>
        <w:tabs>
          <w:tab w:val="left" w:pos="720"/>
        </w:tabs>
        <w:spacing w:after="200" w:line="276" w:lineRule="auto"/>
        <w:ind w:left="714" w:right="-23" w:hanging="357"/>
        <w:jc w:val="left"/>
        <w:rPr>
          <w:rFonts w:ascii="Arial" w:eastAsia="Arial" w:hAnsi="Arial"/>
          <w:b/>
          <w:i/>
          <w:sz w:val="20"/>
          <w:szCs w:val="22"/>
          <w:lang w:eastAsia="sl-SI"/>
        </w:rPr>
      </w:pPr>
      <w:r w:rsidRPr="00424274">
        <w:rPr>
          <w:rFonts w:ascii="Arial" w:eastAsia="Arial" w:hAnsi="Arial"/>
          <w:b/>
          <w:i/>
          <w:sz w:val="20"/>
          <w:szCs w:val="22"/>
          <w:lang w:eastAsia="sl-SI"/>
        </w:rPr>
        <w:t xml:space="preserve">uporaba denarnih mul </w:t>
      </w:r>
      <w:r w:rsidR="00210B00">
        <w:rPr>
          <w:rFonts w:ascii="Arial" w:eastAsia="Arial" w:hAnsi="Arial"/>
          <w:b/>
          <w:i/>
          <w:sz w:val="20"/>
          <w:szCs w:val="22"/>
          <w:lang w:eastAsia="sl-SI"/>
        </w:rPr>
        <w:t>oziroma</w:t>
      </w:r>
      <w:r w:rsidRPr="00424274">
        <w:rPr>
          <w:rFonts w:ascii="Arial" w:eastAsia="Arial" w:hAnsi="Arial"/>
          <w:b/>
          <w:i/>
          <w:sz w:val="20"/>
          <w:szCs w:val="22"/>
          <w:lang w:eastAsia="sl-SI"/>
        </w:rPr>
        <w:t xml:space="preserve"> »</w:t>
      </w:r>
      <w:proofErr w:type="spellStart"/>
      <w:r w:rsidRPr="00424274">
        <w:rPr>
          <w:rFonts w:ascii="Arial" w:eastAsia="Arial" w:hAnsi="Arial"/>
          <w:b/>
          <w:i/>
          <w:sz w:val="20"/>
          <w:szCs w:val="22"/>
          <w:lang w:eastAsia="sl-SI"/>
        </w:rPr>
        <w:t>cash</w:t>
      </w:r>
      <w:proofErr w:type="spellEnd"/>
      <w:r w:rsidRPr="00424274">
        <w:rPr>
          <w:rFonts w:ascii="Arial" w:eastAsia="Arial" w:hAnsi="Arial"/>
          <w:b/>
          <w:i/>
          <w:sz w:val="20"/>
          <w:szCs w:val="22"/>
          <w:lang w:eastAsia="sl-SI"/>
        </w:rPr>
        <w:t xml:space="preserve"> kurirjev« </w:t>
      </w:r>
      <w:r w:rsidRPr="00424274">
        <w:rPr>
          <w:rFonts w:ascii="Arial" w:eastAsia="Arial" w:hAnsi="Arial"/>
          <w:i/>
          <w:sz w:val="20"/>
          <w:szCs w:val="22"/>
          <w:lang w:eastAsia="sl-SI"/>
        </w:rPr>
        <w:t>(ugotovljeno v približno 2</w:t>
      </w:r>
      <w:r w:rsidR="00E94E1E">
        <w:rPr>
          <w:rFonts w:ascii="Arial" w:eastAsia="Arial" w:hAnsi="Arial"/>
          <w:i/>
          <w:sz w:val="20"/>
          <w:szCs w:val="22"/>
          <w:lang w:eastAsia="sl-SI"/>
        </w:rPr>
        <w:t> </w:t>
      </w:r>
      <w:r w:rsidRPr="00424274">
        <w:rPr>
          <w:rFonts w:ascii="Arial" w:eastAsia="Arial" w:hAnsi="Arial"/>
          <w:i/>
          <w:sz w:val="20"/>
          <w:szCs w:val="22"/>
          <w:lang w:eastAsia="sl-SI"/>
        </w:rPr>
        <w:t>% zadev)</w:t>
      </w:r>
      <w:r w:rsidR="00B54224">
        <w:rPr>
          <w:rFonts w:ascii="Arial" w:eastAsia="Arial" w:hAnsi="Arial"/>
          <w:i/>
          <w:sz w:val="20"/>
          <w:szCs w:val="22"/>
          <w:lang w:eastAsia="sl-SI"/>
        </w:rPr>
        <w:t>.</w:t>
      </w:r>
    </w:p>
    <w:p w14:paraId="2BB88338" w14:textId="77777777" w:rsidR="00785F67" w:rsidRPr="00424274" w:rsidRDefault="00785F67" w:rsidP="00785F67">
      <w:pPr>
        <w:tabs>
          <w:tab w:val="left" w:pos="720"/>
        </w:tabs>
        <w:ind w:right="-23"/>
        <w:rPr>
          <w:rFonts w:ascii="Arial" w:eastAsia="Arial" w:hAnsi="Arial"/>
          <w:sz w:val="20"/>
          <w:szCs w:val="22"/>
          <w:lang w:eastAsia="sl-SI"/>
        </w:rPr>
      </w:pPr>
    </w:p>
    <w:p w14:paraId="608EC0CD" w14:textId="6B4D9F0C" w:rsidR="00785F67" w:rsidRPr="00424274" w:rsidRDefault="00785F67" w:rsidP="00785F67">
      <w:pPr>
        <w:ind w:right="-23"/>
        <w:rPr>
          <w:rFonts w:ascii="Arial" w:eastAsia="Arial" w:hAnsi="Arial"/>
          <w:sz w:val="20"/>
          <w:szCs w:val="22"/>
          <w:lang w:eastAsia="sl-SI"/>
        </w:rPr>
      </w:pPr>
      <w:r w:rsidRPr="00424274">
        <w:rPr>
          <w:rFonts w:ascii="Arial" w:eastAsia="Arial" w:hAnsi="Arial"/>
          <w:sz w:val="20"/>
          <w:szCs w:val="22"/>
          <w:lang w:eastAsia="sl-SI"/>
        </w:rPr>
        <w:t xml:space="preserve">Največkrat uporabljene tehnike pranja denarja v letu 2020 predstavljamo v nadaljevanju tudi grafično v </w:t>
      </w:r>
      <w:r w:rsidR="002110AD">
        <w:rPr>
          <w:rFonts w:ascii="Arial" w:eastAsia="Arial" w:hAnsi="Arial"/>
          <w:sz w:val="20"/>
          <w:szCs w:val="22"/>
          <w:lang w:eastAsia="sl-SI"/>
        </w:rPr>
        <w:t>g</w:t>
      </w:r>
      <w:r w:rsidRPr="00424274">
        <w:rPr>
          <w:rFonts w:ascii="Arial" w:eastAsia="Arial" w:hAnsi="Arial"/>
          <w:sz w:val="20"/>
          <w:szCs w:val="22"/>
          <w:lang w:eastAsia="sl-SI"/>
        </w:rPr>
        <w:t>rafu 4.</w:t>
      </w:r>
    </w:p>
    <w:p w14:paraId="16D24E06" w14:textId="47F336F7" w:rsidR="003340D2" w:rsidRPr="00424274" w:rsidRDefault="003340D2" w:rsidP="00D21F86">
      <w:pPr>
        <w:spacing w:line="276" w:lineRule="auto"/>
        <w:ind w:right="-23"/>
        <w:rPr>
          <w:rFonts w:ascii="Arial" w:eastAsia="Arial" w:hAnsi="Arial"/>
          <w:b/>
          <w:i/>
          <w:color w:val="FF0000"/>
          <w:sz w:val="20"/>
        </w:rPr>
      </w:pPr>
    </w:p>
    <w:p w14:paraId="58907905" w14:textId="397FA61C" w:rsidR="007E3A38" w:rsidRPr="00424274" w:rsidRDefault="007E3A38" w:rsidP="00D21F86">
      <w:pPr>
        <w:spacing w:line="276" w:lineRule="auto"/>
        <w:ind w:right="-23"/>
        <w:rPr>
          <w:rFonts w:ascii="Arial" w:eastAsia="Arial" w:hAnsi="Arial"/>
          <w:b/>
          <w:i/>
          <w:color w:val="FF0000"/>
          <w:sz w:val="20"/>
        </w:rPr>
      </w:pPr>
    </w:p>
    <w:p w14:paraId="71144C39" w14:textId="5F3C050A" w:rsidR="007E3A38" w:rsidRPr="00424274" w:rsidRDefault="007E3A38" w:rsidP="00D21F86">
      <w:pPr>
        <w:spacing w:line="276" w:lineRule="auto"/>
        <w:ind w:right="-23"/>
        <w:rPr>
          <w:rFonts w:ascii="Arial" w:eastAsia="Arial" w:hAnsi="Arial"/>
          <w:b/>
          <w:i/>
          <w:color w:val="FF0000"/>
          <w:sz w:val="20"/>
        </w:rPr>
      </w:pPr>
      <w:r w:rsidRPr="00424274">
        <w:rPr>
          <w:rFonts w:ascii="Arial" w:eastAsia="Arial" w:hAnsi="Arial"/>
          <w:noProof/>
          <w:sz w:val="20"/>
          <w:lang w:eastAsia="sl-SI"/>
        </w:rPr>
        <w:drawing>
          <wp:inline distT="0" distB="0" distL="0" distR="0" wp14:anchorId="1C9A3530" wp14:editId="50F29856">
            <wp:extent cx="5746750" cy="4036657"/>
            <wp:effectExtent l="0" t="0" r="6350" b="25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547EF1D5" w14:textId="77777777" w:rsidR="003340D2" w:rsidRPr="00424274" w:rsidRDefault="003340D2" w:rsidP="00D21F86">
      <w:pPr>
        <w:spacing w:line="276" w:lineRule="auto"/>
        <w:ind w:right="-23"/>
        <w:rPr>
          <w:rFonts w:ascii="Arial" w:eastAsia="Arial" w:hAnsi="Arial"/>
          <w:color w:val="FF0000"/>
          <w:sz w:val="20"/>
        </w:rPr>
      </w:pPr>
    </w:p>
    <w:p w14:paraId="0A4BDB49" w14:textId="77777777" w:rsidR="009028D9" w:rsidRPr="00424274" w:rsidRDefault="009028D9" w:rsidP="009028D9">
      <w:pPr>
        <w:ind w:right="-23"/>
        <w:rPr>
          <w:rFonts w:ascii="Arial" w:eastAsia="Arial" w:hAnsi="Arial"/>
          <w:sz w:val="20"/>
          <w:szCs w:val="22"/>
          <w:lang w:eastAsia="sl-SI"/>
        </w:rPr>
      </w:pPr>
    </w:p>
    <w:p w14:paraId="1B284667" w14:textId="1BDB745E" w:rsidR="009028D9" w:rsidRPr="00424274" w:rsidRDefault="009028D9" w:rsidP="00A646D7">
      <w:pPr>
        <w:spacing w:line="276" w:lineRule="auto"/>
        <w:ind w:right="-22"/>
        <w:rPr>
          <w:rFonts w:ascii="Arial" w:eastAsia="Arial" w:hAnsi="Arial"/>
          <w:b/>
          <w:i/>
          <w:sz w:val="20"/>
          <w:szCs w:val="22"/>
          <w:lang w:eastAsia="sl-SI"/>
        </w:rPr>
      </w:pPr>
      <w:r w:rsidRPr="00424274">
        <w:rPr>
          <w:rFonts w:ascii="Arial" w:eastAsia="Arial" w:hAnsi="Arial"/>
          <w:sz w:val="20"/>
          <w:szCs w:val="22"/>
          <w:lang w:eastAsia="sl-SI"/>
        </w:rPr>
        <w:t>Poleg zgoraj navedenih tehnik pranja denarja smo v posameznih zadevah ugotovili še nekatere druge tehnike pranja denarja, kot so:</w:t>
      </w:r>
      <w:r w:rsidRPr="00424274">
        <w:rPr>
          <w:rFonts w:ascii="Arial" w:eastAsia="Arial" w:hAnsi="Arial"/>
          <w:b/>
          <w:i/>
          <w:sz w:val="20"/>
          <w:szCs w:val="22"/>
          <w:lang w:eastAsia="sl-SI"/>
        </w:rPr>
        <w:t xml:space="preserve"> investiranje v zlato, investiranje v vrednostne papirje, investiranje v plovilo, uporaba pooblaščencev in prikrivanje prek tretjih oseb, uporaba mobilnih denarnic, uporaba sefa, dvigi gotovine na bankomatih, menjava apoenov, uporaba predplačniških kartic</w:t>
      </w:r>
      <w:r w:rsidR="00082E7E" w:rsidRPr="00424274">
        <w:rPr>
          <w:rFonts w:ascii="Arial" w:eastAsia="Arial" w:hAnsi="Arial"/>
          <w:b/>
          <w:i/>
          <w:sz w:val="20"/>
          <w:szCs w:val="22"/>
          <w:lang w:eastAsia="sl-SI"/>
        </w:rPr>
        <w:t>.</w:t>
      </w:r>
      <w:r w:rsidRPr="00424274">
        <w:rPr>
          <w:rFonts w:ascii="Arial" w:eastAsia="Arial" w:hAnsi="Arial"/>
          <w:b/>
          <w:i/>
          <w:sz w:val="20"/>
          <w:szCs w:val="22"/>
          <w:lang w:eastAsia="sl-SI"/>
        </w:rPr>
        <w:t xml:space="preserve"> </w:t>
      </w:r>
    </w:p>
    <w:p w14:paraId="7321B0CF" w14:textId="77777777" w:rsidR="009028D9" w:rsidRPr="00424274" w:rsidRDefault="009028D9" w:rsidP="00A646D7">
      <w:pPr>
        <w:spacing w:line="276" w:lineRule="auto"/>
        <w:ind w:right="-22"/>
        <w:rPr>
          <w:rFonts w:ascii="Arial" w:eastAsia="Arial" w:hAnsi="Arial"/>
          <w:sz w:val="20"/>
          <w:szCs w:val="22"/>
          <w:lang w:eastAsia="sl-SI"/>
        </w:rPr>
      </w:pPr>
    </w:p>
    <w:p w14:paraId="6E88FBC5" w14:textId="4D0BE7EE" w:rsidR="009028D9" w:rsidRPr="00424274" w:rsidRDefault="009028D9" w:rsidP="00A646D7">
      <w:pPr>
        <w:spacing w:line="276" w:lineRule="auto"/>
        <w:ind w:right="-22"/>
        <w:rPr>
          <w:rFonts w:ascii="Arial" w:eastAsia="Arial" w:hAnsi="Arial"/>
          <w:b/>
          <w:i/>
          <w:sz w:val="20"/>
          <w:szCs w:val="22"/>
          <w:lang w:eastAsia="sl-SI"/>
        </w:rPr>
      </w:pPr>
      <w:r w:rsidRPr="00424274">
        <w:rPr>
          <w:rFonts w:ascii="Arial" w:eastAsia="Arial" w:hAnsi="Arial"/>
          <w:sz w:val="20"/>
          <w:szCs w:val="22"/>
          <w:lang w:eastAsia="sl-SI"/>
        </w:rPr>
        <w:t>Kot največkrat uporabljen</w:t>
      </w:r>
      <w:r w:rsidR="00E94E1E">
        <w:rPr>
          <w:rFonts w:ascii="Arial" w:eastAsia="Arial" w:hAnsi="Arial"/>
          <w:sz w:val="20"/>
          <w:szCs w:val="22"/>
          <w:lang w:eastAsia="sl-SI"/>
        </w:rPr>
        <w:t>i</w:t>
      </w:r>
      <w:r w:rsidRPr="00424274">
        <w:rPr>
          <w:rFonts w:ascii="Arial" w:eastAsia="Arial" w:hAnsi="Arial"/>
          <w:sz w:val="20"/>
          <w:szCs w:val="22"/>
          <w:lang w:eastAsia="sl-SI"/>
        </w:rPr>
        <w:t xml:space="preserve"> </w:t>
      </w:r>
      <w:r w:rsidRPr="00424274">
        <w:rPr>
          <w:rFonts w:ascii="Arial" w:eastAsia="Arial" w:hAnsi="Arial"/>
          <w:b/>
          <w:i/>
          <w:sz w:val="20"/>
          <w:szCs w:val="22"/>
          <w:u w:val="single"/>
          <w:lang w:eastAsia="sl-SI"/>
        </w:rPr>
        <w:t>instrument</w:t>
      </w:r>
      <w:r w:rsidRPr="00424274">
        <w:rPr>
          <w:rFonts w:ascii="Arial" w:eastAsia="Arial" w:hAnsi="Arial"/>
          <w:sz w:val="20"/>
          <w:szCs w:val="22"/>
          <w:lang w:eastAsia="sl-SI"/>
        </w:rPr>
        <w:t xml:space="preserve"> pranja denarja, ki ga zasledimo pri skoraj vseh obravnavanih zadevah sumov pranja denarja v letu 2020, se ponovno pojavlja </w:t>
      </w:r>
      <w:r w:rsidRPr="00424274">
        <w:rPr>
          <w:rFonts w:ascii="Arial" w:eastAsia="Arial" w:hAnsi="Arial"/>
          <w:b/>
          <w:i/>
          <w:sz w:val="20"/>
          <w:szCs w:val="22"/>
          <w:lang w:eastAsia="sl-SI"/>
        </w:rPr>
        <w:t>denar</w:t>
      </w:r>
      <w:r w:rsidRPr="00424274">
        <w:rPr>
          <w:rFonts w:ascii="Arial" w:eastAsia="Arial" w:hAnsi="Arial"/>
          <w:i/>
          <w:sz w:val="20"/>
          <w:szCs w:val="22"/>
          <w:lang w:eastAsia="sl-SI"/>
        </w:rPr>
        <w:t>.</w:t>
      </w:r>
      <w:r w:rsidRPr="00424274">
        <w:rPr>
          <w:rFonts w:ascii="Arial" w:eastAsia="Arial" w:hAnsi="Arial"/>
          <w:sz w:val="20"/>
          <w:szCs w:val="22"/>
          <w:lang w:eastAsia="sl-SI"/>
        </w:rPr>
        <w:t xml:space="preserve"> Poleg denarja smo v posameznih zadevah zaznali še uporabo </w:t>
      </w:r>
      <w:r w:rsidRPr="00424274">
        <w:rPr>
          <w:rFonts w:ascii="Arial" w:eastAsia="Arial" w:hAnsi="Arial"/>
          <w:b/>
          <w:i/>
          <w:sz w:val="20"/>
          <w:szCs w:val="22"/>
          <w:lang w:eastAsia="sl-SI"/>
        </w:rPr>
        <w:t xml:space="preserve">podjetij, vozil, plovil, vrednostnih papirjev, posojil, nepremičnin </w:t>
      </w:r>
      <w:r w:rsidR="00E94E1E">
        <w:rPr>
          <w:rFonts w:ascii="Arial" w:eastAsia="Arial" w:hAnsi="Arial"/>
          <w:b/>
          <w:i/>
          <w:sz w:val="20"/>
          <w:szCs w:val="22"/>
          <w:lang w:eastAsia="sl-SI"/>
        </w:rPr>
        <w:t>in</w:t>
      </w:r>
      <w:r w:rsidR="00E94E1E" w:rsidRPr="00424274">
        <w:rPr>
          <w:rFonts w:ascii="Arial" w:eastAsia="Arial" w:hAnsi="Arial"/>
          <w:b/>
          <w:i/>
          <w:sz w:val="20"/>
          <w:szCs w:val="22"/>
          <w:lang w:eastAsia="sl-SI"/>
        </w:rPr>
        <w:t xml:space="preserve"> </w:t>
      </w:r>
      <w:r w:rsidRPr="00424274">
        <w:rPr>
          <w:rFonts w:ascii="Arial" w:eastAsia="Arial" w:hAnsi="Arial"/>
          <w:b/>
          <w:i/>
          <w:sz w:val="20"/>
          <w:szCs w:val="22"/>
          <w:lang w:eastAsia="sl-SI"/>
        </w:rPr>
        <w:t>naložbenega</w:t>
      </w:r>
      <w:r w:rsidRPr="00424274">
        <w:rPr>
          <w:rFonts w:ascii="Arial" w:eastAsia="Arial" w:hAnsi="Arial"/>
          <w:sz w:val="20"/>
          <w:szCs w:val="22"/>
          <w:lang w:eastAsia="sl-SI"/>
        </w:rPr>
        <w:t xml:space="preserve"> </w:t>
      </w:r>
      <w:r w:rsidRPr="00424274">
        <w:rPr>
          <w:rFonts w:ascii="Arial" w:eastAsia="Arial" w:hAnsi="Arial"/>
          <w:b/>
          <w:i/>
          <w:sz w:val="20"/>
          <w:szCs w:val="22"/>
          <w:lang w:eastAsia="sl-SI"/>
        </w:rPr>
        <w:t>zlata oziroma zlatih palic.</w:t>
      </w:r>
    </w:p>
    <w:p w14:paraId="182F971A" w14:textId="77777777" w:rsidR="009028D9" w:rsidRPr="00424274" w:rsidRDefault="009028D9" w:rsidP="00A646D7">
      <w:pPr>
        <w:spacing w:line="276" w:lineRule="auto"/>
        <w:ind w:right="-22"/>
        <w:rPr>
          <w:rFonts w:ascii="Arial" w:eastAsia="Arial" w:hAnsi="Arial"/>
          <w:sz w:val="20"/>
          <w:szCs w:val="22"/>
          <w:lang w:eastAsia="sl-SI"/>
        </w:rPr>
      </w:pPr>
    </w:p>
    <w:p w14:paraId="74C46E86" w14:textId="4D063122" w:rsidR="009028D9" w:rsidRPr="00424274" w:rsidRDefault="009028D9" w:rsidP="00A646D7">
      <w:pPr>
        <w:spacing w:line="276" w:lineRule="auto"/>
        <w:ind w:right="-22"/>
        <w:rPr>
          <w:rFonts w:ascii="Arial" w:eastAsia="Arial" w:hAnsi="Arial"/>
          <w:sz w:val="20"/>
          <w:szCs w:val="22"/>
          <w:lang w:eastAsia="sl-SI"/>
        </w:rPr>
      </w:pPr>
      <w:r w:rsidRPr="00424274">
        <w:rPr>
          <w:rFonts w:ascii="Arial" w:eastAsia="Arial" w:hAnsi="Arial"/>
          <w:sz w:val="20"/>
          <w:szCs w:val="22"/>
          <w:lang w:eastAsia="sl-SI"/>
        </w:rPr>
        <w:t>Kot že omenjeno</w:t>
      </w:r>
      <w:r w:rsidR="00E00D16">
        <w:rPr>
          <w:rFonts w:ascii="Arial" w:eastAsia="Arial" w:hAnsi="Arial"/>
          <w:sz w:val="20"/>
          <w:szCs w:val="22"/>
          <w:lang w:eastAsia="sl-SI"/>
        </w:rPr>
        <w:t>,</w:t>
      </w:r>
      <w:r w:rsidRPr="00424274">
        <w:rPr>
          <w:rFonts w:ascii="Arial" w:eastAsia="Arial" w:hAnsi="Arial"/>
          <w:sz w:val="20"/>
          <w:szCs w:val="22"/>
          <w:lang w:eastAsia="sl-SI"/>
        </w:rPr>
        <w:t xml:space="preserve"> je bila analiza navedenih tipologij izdelana na podlagi ugotovitev </w:t>
      </w:r>
      <w:r w:rsidR="00814A21">
        <w:rPr>
          <w:rFonts w:ascii="Arial" w:eastAsia="Arial" w:hAnsi="Arial"/>
          <w:sz w:val="20"/>
          <w:szCs w:val="22"/>
          <w:lang w:eastAsia="sl-SI"/>
        </w:rPr>
        <w:t>urad</w:t>
      </w:r>
      <w:r w:rsidRPr="00424274">
        <w:rPr>
          <w:rFonts w:ascii="Arial" w:eastAsia="Arial" w:hAnsi="Arial"/>
          <w:sz w:val="20"/>
          <w:szCs w:val="22"/>
          <w:lang w:eastAsia="sl-SI"/>
        </w:rPr>
        <w:t xml:space="preserve">a v zadevah, ki smo jih zaradi nekaterih razlogov za sum pranja denarja </w:t>
      </w:r>
      <w:r w:rsidR="00E00D16">
        <w:rPr>
          <w:rFonts w:ascii="Arial" w:eastAsia="Arial" w:hAnsi="Arial"/>
          <w:sz w:val="20"/>
          <w:szCs w:val="22"/>
          <w:lang w:eastAsia="sl-SI"/>
        </w:rPr>
        <w:t>poslali</w:t>
      </w:r>
      <w:r w:rsidR="00E00D16" w:rsidRPr="00424274">
        <w:rPr>
          <w:rFonts w:ascii="Arial" w:eastAsia="Arial" w:hAnsi="Arial"/>
          <w:sz w:val="20"/>
          <w:szCs w:val="22"/>
          <w:lang w:eastAsia="sl-SI"/>
        </w:rPr>
        <w:t xml:space="preserve"> </w:t>
      </w:r>
      <w:r w:rsidRPr="00424274">
        <w:rPr>
          <w:rFonts w:ascii="Arial" w:eastAsia="Arial" w:hAnsi="Arial"/>
          <w:sz w:val="20"/>
          <w:szCs w:val="22"/>
          <w:lang w:eastAsia="sl-SI"/>
        </w:rPr>
        <w:t xml:space="preserve">v nadaljnjo obravnavo policiji/tožilstvu, kar pa ne pomeni, da policija je ali bo v zadevi potrdila sume </w:t>
      </w:r>
      <w:r w:rsidR="00814A21">
        <w:rPr>
          <w:rFonts w:ascii="Arial" w:eastAsia="Arial" w:hAnsi="Arial"/>
          <w:sz w:val="20"/>
          <w:szCs w:val="22"/>
          <w:lang w:eastAsia="sl-SI"/>
        </w:rPr>
        <w:t>urad</w:t>
      </w:r>
      <w:r w:rsidRPr="00424274">
        <w:rPr>
          <w:rFonts w:ascii="Arial" w:eastAsia="Arial" w:hAnsi="Arial"/>
          <w:sz w:val="20"/>
          <w:szCs w:val="22"/>
          <w:lang w:eastAsia="sl-SI"/>
        </w:rPr>
        <w:t>a in na tožilstvo podala kazensko ovadbo za</w:t>
      </w:r>
      <w:r w:rsidR="00537BB1">
        <w:rPr>
          <w:rFonts w:ascii="Arial" w:eastAsia="Arial" w:hAnsi="Arial"/>
          <w:sz w:val="20"/>
          <w:szCs w:val="22"/>
          <w:lang w:eastAsia="sl-SI"/>
        </w:rPr>
        <w:t>radi</w:t>
      </w:r>
      <w:r w:rsidRPr="00424274">
        <w:rPr>
          <w:rFonts w:ascii="Arial" w:eastAsia="Arial" w:hAnsi="Arial"/>
          <w:sz w:val="20"/>
          <w:szCs w:val="22"/>
          <w:lang w:eastAsia="sl-SI"/>
        </w:rPr>
        <w:t xml:space="preserve"> pranj</w:t>
      </w:r>
      <w:r w:rsidR="00537BB1">
        <w:rPr>
          <w:rFonts w:ascii="Arial" w:eastAsia="Arial" w:hAnsi="Arial"/>
          <w:sz w:val="20"/>
          <w:szCs w:val="22"/>
          <w:lang w:eastAsia="sl-SI"/>
        </w:rPr>
        <w:t>a</w:t>
      </w:r>
      <w:r w:rsidRPr="00424274">
        <w:rPr>
          <w:rFonts w:ascii="Arial" w:eastAsia="Arial" w:hAnsi="Arial"/>
          <w:sz w:val="20"/>
          <w:szCs w:val="22"/>
          <w:lang w:eastAsia="sl-SI"/>
        </w:rPr>
        <w:t xml:space="preserve"> denarja. Upoštevati je treba, da lahko kriminalistična preiskava, ki jo izvede </w:t>
      </w:r>
      <w:r w:rsidRPr="00424274">
        <w:rPr>
          <w:rFonts w:ascii="Arial" w:eastAsia="Arial" w:hAnsi="Arial"/>
          <w:sz w:val="20"/>
          <w:szCs w:val="22"/>
          <w:lang w:eastAsia="sl-SI"/>
        </w:rPr>
        <w:lastRenderedPageBreak/>
        <w:t xml:space="preserve">policija, tudi ovrže razloge za sum </w:t>
      </w:r>
      <w:r w:rsidR="00814A21">
        <w:rPr>
          <w:rFonts w:ascii="Arial" w:eastAsia="Arial" w:hAnsi="Arial"/>
          <w:sz w:val="20"/>
          <w:szCs w:val="22"/>
          <w:lang w:eastAsia="sl-SI"/>
        </w:rPr>
        <w:t>urad</w:t>
      </w:r>
      <w:r w:rsidRPr="00424274">
        <w:rPr>
          <w:rFonts w:ascii="Arial" w:eastAsia="Arial" w:hAnsi="Arial"/>
          <w:sz w:val="20"/>
          <w:szCs w:val="22"/>
          <w:lang w:eastAsia="sl-SI"/>
        </w:rPr>
        <w:t xml:space="preserve">a. Ugotavljamo tudi, da se v posamezni zadevi običajno pojavlja več različnih tehnik oziroma različne kombinacije zgoraj naštetih tehnik pranja denarja, ki jih pogosto uporabljajo med seboj povezane pravne in fizične osebe. </w:t>
      </w:r>
    </w:p>
    <w:p w14:paraId="2ED0FFB8" w14:textId="77777777" w:rsidR="009028D9" w:rsidRPr="00424274" w:rsidRDefault="009028D9" w:rsidP="00A646D7">
      <w:pPr>
        <w:spacing w:line="276" w:lineRule="auto"/>
        <w:ind w:right="-22"/>
        <w:rPr>
          <w:rFonts w:ascii="Arial" w:eastAsia="Arial" w:hAnsi="Arial"/>
          <w:sz w:val="20"/>
          <w:szCs w:val="22"/>
          <w:lang w:eastAsia="sl-SI"/>
        </w:rPr>
      </w:pPr>
    </w:p>
    <w:p w14:paraId="22EF0532" w14:textId="0197B561" w:rsidR="009028D9" w:rsidRPr="00424274" w:rsidRDefault="009028D9" w:rsidP="00A646D7">
      <w:pPr>
        <w:spacing w:line="276" w:lineRule="auto"/>
        <w:ind w:right="-22"/>
        <w:rPr>
          <w:rFonts w:ascii="Arial" w:eastAsia="Arial" w:hAnsi="Arial"/>
          <w:b/>
          <w:i/>
          <w:sz w:val="20"/>
          <w:szCs w:val="22"/>
          <w:lang w:eastAsia="sl-SI"/>
        </w:rPr>
      </w:pPr>
      <w:r w:rsidRPr="00424274">
        <w:rPr>
          <w:rFonts w:ascii="Arial" w:eastAsia="Arial" w:hAnsi="Arial"/>
          <w:b/>
          <w:sz w:val="20"/>
          <w:szCs w:val="22"/>
          <w:lang w:eastAsia="sl-SI"/>
        </w:rPr>
        <w:t>Skupne značilnosti</w:t>
      </w:r>
      <w:r w:rsidRPr="00424274">
        <w:rPr>
          <w:rFonts w:ascii="Arial" w:eastAsia="Arial" w:hAnsi="Arial"/>
          <w:sz w:val="20"/>
          <w:szCs w:val="22"/>
          <w:lang w:eastAsia="sl-SI"/>
        </w:rPr>
        <w:t xml:space="preserve"> obravnavanih sumljivih transakcij (</w:t>
      </w:r>
      <w:r w:rsidRPr="00424274">
        <w:rPr>
          <w:rFonts w:ascii="Arial" w:eastAsia="Arial" w:hAnsi="Arial"/>
          <w:b/>
          <w:sz w:val="20"/>
          <w:szCs w:val="22"/>
          <w:lang w:eastAsia="sl-SI"/>
        </w:rPr>
        <w:t>tipologije</w:t>
      </w:r>
      <w:r w:rsidRPr="00424274">
        <w:rPr>
          <w:rFonts w:ascii="Arial" w:eastAsia="Arial" w:hAnsi="Arial"/>
          <w:sz w:val="20"/>
          <w:szCs w:val="22"/>
          <w:lang w:eastAsia="sl-SI"/>
        </w:rPr>
        <w:t xml:space="preserve">), ki so bile z našimi 351 obvestili o sumljivih transakcijah leta 2020 </w:t>
      </w:r>
      <w:r w:rsidR="00361F5F">
        <w:rPr>
          <w:rFonts w:ascii="Arial" w:eastAsia="Arial" w:hAnsi="Arial"/>
          <w:sz w:val="20"/>
          <w:szCs w:val="22"/>
          <w:lang w:eastAsia="sl-SI"/>
        </w:rPr>
        <w:t>poslane</w:t>
      </w:r>
      <w:r w:rsidRPr="00424274">
        <w:rPr>
          <w:rFonts w:ascii="Arial" w:eastAsia="Arial" w:hAnsi="Arial"/>
          <w:sz w:val="20"/>
          <w:szCs w:val="22"/>
          <w:lang w:eastAsia="sl-SI"/>
        </w:rPr>
        <w:t xml:space="preserve"> policiji/tožilstvu, lahko razvrstimo po naslednjih področjih</w:t>
      </w:r>
      <w:r w:rsidRPr="00424274">
        <w:rPr>
          <w:rFonts w:ascii="Arial" w:eastAsia="Arial" w:hAnsi="Arial"/>
          <w:b/>
          <w:i/>
          <w:sz w:val="20"/>
          <w:szCs w:val="22"/>
          <w:lang w:eastAsia="sl-SI"/>
        </w:rPr>
        <w:t>:</w:t>
      </w:r>
    </w:p>
    <w:p w14:paraId="46A7105A" w14:textId="63A05073" w:rsidR="009028D9" w:rsidRPr="00424274" w:rsidRDefault="009028D9" w:rsidP="00A646D7">
      <w:pPr>
        <w:widowControl/>
        <w:numPr>
          <w:ilvl w:val="0"/>
          <w:numId w:val="22"/>
        </w:numPr>
        <w:tabs>
          <w:tab w:val="left" w:pos="720"/>
        </w:tabs>
        <w:spacing w:after="200" w:line="276" w:lineRule="auto"/>
        <w:ind w:left="714" w:right="-23" w:hanging="357"/>
        <w:jc w:val="left"/>
        <w:rPr>
          <w:rFonts w:ascii="Arial" w:eastAsia="Arial" w:hAnsi="Arial"/>
          <w:bCs/>
          <w:i/>
          <w:sz w:val="20"/>
          <w:szCs w:val="22"/>
          <w:lang w:eastAsia="sl-SI"/>
        </w:rPr>
      </w:pPr>
      <w:r w:rsidRPr="00424274">
        <w:rPr>
          <w:rFonts w:ascii="Arial" w:eastAsia="Arial" w:hAnsi="Arial"/>
          <w:b/>
          <w:i/>
          <w:sz w:val="20"/>
          <w:szCs w:val="22"/>
          <w:lang w:eastAsia="sl-SI"/>
        </w:rPr>
        <w:t>zloraba/uporaba bančnih računov pravnih oseb</w:t>
      </w:r>
      <w:r w:rsidRPr="00424274">
        <w:rPr>
          <w:rFonts w:ascii="Arial" w:eastAsia="Arial" w:hAnsi="Arial"/>
          <w:bCs/>
          <w:i/>
          <w:sz w:val="20"/>
          <w:szCs w:val="22"/>
          <w:lang w:eastAsia="sl-SI"/>
        </w:rPr>
        <w:t xml:space="preserve"> (ugotovljeno v približno 54</w:t>
      </w:r>
      <w:r w:rsidR="002110AD">
        <w:rPr>
          <w:rFonts w:ascii="Arial" w:eastAsia="Arial" w:hAnsi="Arial"/>
          <w:bCs/>
          <w:i/>
          <w:sz w:val="20"/>
          <w:szCs w:val="22"/>
          <w:lang w:eastAsia="sl-SI"/>
        </w:rPr>
        <w:t xml:space="preserve"> </w:t>
      </w:r>
      <w:r w:rsidRPr="00424274">
        <w:rPr>
          <w:rFonts w:ascii="Arial" w:eastAsia="Arial" w:hAnsi="Arial"/>
          <w:bCs/>
          <w:i/>
          <w:sz w:val="20"/>
          <w:szCs w:val="22"/>
          <w:lang w:eastAsia="sl-SI"/>
        </w:rPr>
        <w:t xml:space="preserve">% vseh zadev), od tega: </w:t>
      </w:r>
    </w:p>
    <w:p w14:paraId="122B2796" w14:textId="0E6A0953" w:rsidR="009028D9" w:rsidRPr="00424274" w:rsidRDefault="009028D9" w:rsidP="00A646D7">
      <w:pPr>
        <w:widowControl/>
        <w:numPr>
          <w:ilvl w:val="0"/>
          <w:numId w:val="22"/>
        </w:numPr>
        <w:tabs>
          <w:tab w:val="left" w:pos="720"/>
        </w:tabs>
        <w:spacing w:after="200" w:line="276" w:lineRule="auto"/>
        <w:ind w:left="714" w:right="-23" w:hanging="357"/>
        <w:jc w:val="left"/>
        <w:rPr>
          <w:rFonts w:ascii="Arial" w:eastAsia="Arial" w:hAnsi="Arial"/>
          <w:bCs/>
          <w:i/>
          <w:sz w:val="20"/>
          <w:szCs w:val="22"/>
          <w:lang w:eastAsia="sl-SI"/>
        </w:rPr>
      </w:pPr>
      <w:r w:rsidRPr="00424274">
        <w:rPr>
          <w:rFonts w:ascii="Arial" w:eastAsia="Arial" w:hAnsi="Arial"/>
          <w:b/>
          <w:i/>
          <w:sz w:val="20"/>
          <w:szCs w:val="22"/>
          <w:lang w:eastAsia="sl-SI"/>
        </w:rPr>
        <w:t>zloraba/uporaba računov slamnatih družb</w:t>
      </w:r>
      <w:r w:rsidRPr="00424274">
        <w:rPr>
          <w:rFonts w:ascii="Arial" w:eastAsia="Arial" w:hAnsi="Arial"/>
          <w:bCs/>
          <w:i/>
          <w:sz w:val="20"/>
          <w:szCs w:val="22"/>
          <w:lang w:eastAsia="sl-SI"/>
        </w:rPr>
        <w:t xml:space="preserve"> (ugotovljeno v približno 16</w:t>
      </w:r>
      <w:r w:rsidR="002110AD">
        <w:rPr>
          <w:rFonts w:ascii="Arial" w:eastAsia="Arial" w:hAnsi="Arial"/>
          <w:bCs/>
          <w:i/>
          <w:sz w:val="20"/>
          <w:szCs w:val="22"/>
          <w:lang w:eastAsia="sl-SI"/>
        </w:rPr>
        <w:t xml:space="preserve"> </w:t>
      </w:r>
      <w:r w:rsidRPr="00424274">
        <w:rPr>
          <w:rFonts w:ascii="Arial" w:eastAsia="Arial" w:hAnsi="Arial"/>
          <w:bCs/>
          <w:i/>
          <w:sz w:val="20"/>
          <w:szCs w:val="22"/>
          <w:lang w:eastAsia="sl-SI"/>
        </w:rPr>
        <w:t>% vseh zadev),</w:t>
      </w:r>
    </w:p>
    <w:p w14:paraId="1C9A65A2" w14:textId="3415FD6A" w:rsidR="009028D9" w:rsidRPr="00424274" w:rsidRDefault="009028D9" w:rsidP="00A646D7">
      <w:pPr>
        <w:widowControl/>
        <w:numPr>
          <w:ilvl w:val="0"/>
          <w:numId w:val="22"/>
        </w:numPr>
        <w:tabs>
          <w:tab w:val="left" w:pos="720"/>
        </w:tabs>
        <w:spacing w:after="200" w:line="276" w:lineRule="auto"/>
        <w:ind w:left="714" w:right="-23" w:hanging="357"/>
        <w:jc w:val="left"/>
        <w:rPr>
          <w:rFonts w:ascii="Arial" w:eastAsia="Arial" w:hAnsi="Arial"/>
          <w:bCs/>
          <w:i/>
          <w:sz w:val="20"/>
          <w:szCs w:val="22"/>
          <w:lang w:eastAsia="sl-SI"/>
        </w:rPr>
      </w:pPr>
      <w:r w:rsidRPr="00424274">
        <w:rPr>
          <w:rFonts w:ascii="Arial" w:eastAsia="Arial" w:hAnsi="Arial"/>
          <w:b/>
          <w:i/>
          <w:sz w:val="20"/>
          <w:szCs w:val="22"/>
          <w:lang w:eastAsia="sl-SI"/>
        </w:rPr>
        <w:t xml:space="preserve">zloraba/uporaba računov </w:t>
      </w:r>
      <w:proofErr w:type="spellStart"/>
      <w:r w:rsidRPr="00424274">
        <w:rPr>
          <w:rFonts w:ascii="Arial" w:eastAsia="Arial" w:hAnsi="Arial"/>
          <w:b/>
          <w:i/>
          <w:sz w:val="20"/>
          <w:szCs w:val="22"/>
          <w:lang w:eastAsia="sl-SI"/>
        </w:rPr>
        <w:t>offshore</w:t>
      </w:r>
      <w:proofErr w:type="spellEnd"/>
      <w:r w:rsidRPr="00424274">
        <w:rPr>
          <w:rFonts w:ascii="Arial" w:eastAsia="Arial" w:hAnsi="Arial"/>
          <w:b/>
          <w:i/>
          <w:sz w:val="20"/>
          <w:szCs w:val="22"/>
          <w:lang w:eastAsia="sl-SI"/>
        </w:rPr>
        <w:t xml:space="preserve"> družb</w:t>
      </w:r>
      <w:r w:rsidRPr="00424274">
        <w:rPr>
          <w:rFonts w:ascii="Arial" w:eastAsia="Arial" w:hAnsi="Arial"/>
          <w:bCs/>
          <w:i/>
          <w:sz w:val="20"/>
          <w:szCs w:val="22"/>
          <w:lang w:eastAsia="sl-SI"/>
        </w:rPr>
        <w:t xml:space="preserve"> (ugotovljeno v približno 2</w:t>
      </w:r>
      <w:r w:rsidR="002110AD">
        <w:rPr>
          <w:rFonts w:ascii="Arial" w:eastAsia="Arial" w:hAnsi="Arial"/>
          <w:bCs/>
          <w:i/>
          <w:sz w:val="20"/>
          <w:szCs w:val="22"/>
          <w:lang w:eastAsia="sl-SI"/>
        </w:rPr>
        <w:t xml:space="preserve"> </w:t>
      </w:r>
      <w:r w:rsidRPr="00424274">
        <w:rPr>
          <w:rFonts w:ascii="Arial" w:eastAsia="Arial" w:hAnsi="Arial"/>
          <w:bCs/>
          <w:i/>
          <w:sz w:val="20"/>
          <w:szCs w:val="22"/>
          <w:lang w:eastAsia="sl-SI"/>
        </w:rPr>
        <w:t xml:space="preserve">% vseh zadev), </w:t>
      </w:r>
    </w:p>
    <w:p w14:paraId="6A39BDE8" w14:textId="4CCF883C" w:rsidR="009028D9" w:rsidRPr="00424274" w:rsidRDefault="009028D9" w:rsidP="00A646D7">
      <w:pPr>
        <w:widowControl/>
        <w:numPr>
          <w:ilvl w:val="0"/>
          <w:numId w:val="22"/>
        </w:numPr>
        <w:tabs>
          <w:tab w:val="left" w:pos="720"/>
        </w:tabs>
        <w:spacing w:after="200" w:line="276" w:lineRule="auto"/>
        <w:ind w:left="714" w:right="-23" w:hanging="357"/>
        <w:jc w:val="left"/>
        <w:rPr>
          <w:rFonts w:ascii="Arial" w:eastAsia="Arial" w:hAnsi="Arial"/>
          <w:bCs/>
          <w:sz w:val="20"/>
          <w:szCs w:val="22"/>
          <w:lang w:eastAsia="sl-SI"/>
        </w:rPr>
      </w:pPr>
      <w:r w:rsidRPr="00424274">
        <w:rPr>
          <w:rFonts w:ascii="Arial" w:eastAsia="Arial" w:hAnsi="Arial"/>
          <w:b/>
          <w:i/>
          <w:sz w:val="20"/>
          <w:szCs w:val="22"/>
          <w:lang w:eastAsia="sl-SI"/>
        </w:rPr>
        <w:t>zloraba/uporaba bančnih računov fizičnih oseb</w:t>
      </w:r>
      <w:r w:rsidRPr="00424274">
        <w:rPr>
          <w:rFonts w:ascii="Arial" w:eastAsia="Arial" w:hAnsi="Arial"/>
          <w:bCs/>
          <w:sz w:val="20"/>
          <w:szCs w:val="22"/>
          <w:lang w:eastAsia="sl-SI"/>
        </w:rPr>
        <w:t xml:space="preserve"> (ugotovljeno v približno 50</w:t>
      </w:r>
      <w:r w:rsidR="002110AD">
        <w:rPr>
          <w:rFonts w:ascii="Arial" w:eastAsia="Arial" w:hAnsi="Arial"/>
          <w:bCs/>
          <w:sz w:val="20"/>
          <w:szCs w:val="22"/>
          <w:lang w:eastAsia="sl-SI"/>
        </w:rPr>
        <w:t xml:space="preserve"> </w:t>
      </w:r>
      <w:r w:rsidRPr="00424274">
        <w:rPr>
          <w:rFonts w:ascii="Arial" w:eastAsia="Arial" w:hAnsi="Arial"/>
          <w:bCs/>
          <w:sz w:val="20"/>
          <w:szCs w:val="22"/>
          <w:lang w:eastAsia="sl-SI"/>
        </w:rPr>
        <w:t>% vseh zadev),</w:t>
      </w:r>
    </w:p>
    <w:p w14:paraId="4437671D" w14:textId="64574449" w:rsidR="009028D9" w:rsidRPr="00424274" w:rsidRDefault="009028D9" w:rsidP="000A43E5">
      <w:pPr>
        <w:widowControl/>
        <w:numPr>
          <w:ilvl w:val="0"/>
          <w:numId w:val="22"/>
        </w:numPr>
        <w:tabs>
          <w:tab w:val="left" w:pos="720"/>
        </w:tabs>
        <w:spacing w:after="200" w:line="276" w:lineRule="auto"/>
        <w:ind w:left="284" w:right="-23"/>
        <w:jc w:val="left"/>
        <w:rPr>
          <w:rFonts w:ascii="Arial" w:eastAsia="Arial" w:hAnsi="Arial"/>
          <w:bCs/>
          <w:sz w:val="20"/>
          <w:szCs w:val="22"/>
          <w:lang w:eastAsia="sl-SI"/>
        </w:rPr>
      </w:pPr>
      <w:r w:rsidRPr="00424274">
        <w:rPr>
          <w:rFonts w:ascii="Arial" w:eastAsia="Arial" w:hAnsi="Arial"/>
          <w:b/>
          <w:i/>
          <w:sz w:val="20"/>
          <w:szCs w:val="22"/>
          <w:lang w:eastAsia="sl-SI"/>
        </w:rPr>
        <w:t>zloraba/uporaba računov slamnatih družb in fizičnih oseb</w:t>
      </w:r>
      <w:r w:rsidRPr="00424274">
        <w:rPr>
          <w:rFonts w:ascii="Arial" w:eastAsia="Arial" w:hAnsi="Arial"/>
          <w:b/>
          <w:sz w:val="20"/>
          <w:szCs w:val="22"/>
          <w:lang w:eastAsia="sl-SI"/>
        </w:rPr>
        <w:t xml:space="preserve"> </w:t>
      </w:r>
      <w:r w:rsidRPr="00424274">
        <w:rPr>
          <w:rFonts w:ascii="Arial" w:eastAsia="Arial" w:hAnsi="Arial"/>
          <w:b/>
          <w:i/>
          <w:sz w:val="20"/>
          <w:szCs w:val="22"/>
          <w:lang w:eastAsia="sl-SI"/>
        </w:rPr>
        <w:t>v povezavi s sredstvi in družbami iz sosednjih držav</w:t>
      </w:r>
      <w:r w:rsidRPr="00424274">
        <w:rPr>
          <w:rFonts w:ascii="Arial" w:eastAsia="Arial" w:hAnsi="Arial"/>
          <w:b/>
          <w:sz w:val="20"/>
          <w:szCs w:val="22"/>
          <w:lang w:eastAsia="sl-SI"/>
        </w:rPr>
        <w:t xml:space="preserve"> </w:t>
      </w:r>
      <w:r w:rsidRPr="00424274">
        <w:rPr>
          <w:rFonts w:ascii="Arial" w:eastAsia="Arial" w:hAnsi="Arial"/>
          <w:bCs/>
          <w:sz w:val="20"/>
          <w:szCs w:val="22"/>
          <w:lang w:eastAsia="sl-SI"/>
        </w:rPr>
        <w:t>(ugotovljeno v približno 16</w:t>
      </w:r>
      <w:r w:rsidR="002110AD">
        <w:rPr>
          <w:rFonts w:ascii="Arial" w:eastAsia="Arial" w:hAnsi="Arial"/>
          <w:bCs/>
          <w:sz w:val="20"/>
          <w:szCs w:val="22"/>
          <w:lang w:eastAsia="sl-SI"/>
        </w:rPr>
        <w:t xml:space="preserve"> </w:t>
      </w:r>
      <w:r w:rsidRPr="00424274">
        <w:rPr>
          <w:rFonts w:ascii="Arial" w:eastAsia="Arial" w:hAnsi="Arial"/>
          <w:bCs/>
          <w:sz w:val="20"/>
          <w:szCs w:val="22"/>
          <w:lang w:eastAsia="sl-SI"/>
        </w:rPr>
        <w:t>% vseh zadev),</w:t>
      </w:r>
    </w:p>
    <w:p w14:paraId="1C7BAAB7" w14:textId="4FDE35B4" w:rsidR="009028D9" w:rsidRPr="00424274" w:rsidRDefault="009028D9" w:rsidP="00A646D7">
      <w:pPr>
        <w:widowControl/>
        <w:numPr>
          <w:ilvl w:val="0"/>
          <w:numId w:val="22"/>
        </w:numPr>
        <w:tabs>
          <w:tab w:val="left" w:pos="720"/>
        </w:tabs>
        <w:spacing w:after="200" w:line="276" w:lineRule="auto"/>
        <w:ind w:left="714" w:right="-22" w:hanging="357"/>
        <w:jc w:val="left"/>
        <w:rPr>
          <w:rFonts w:ascii="Arial" w:eastAsia="Arial" w:hAnsi="Arial"/>
          <w:bCs/>
          <w:sz w:val="20"/>
          <w:szCs w:val="22"/>
          <w:lang w:eastAsia="sl-SI"/>
        </w:rPr>
      </w:pPr>
      <w:r w:rsidRPr="00424274">
        <w:rPr>
          <w:rFonts w:ascii="Arial" w:eastAsia="Arial" w:hAnsi="Arial"/>
          <w:b/>
          <w:i/>
          <w:sz w:val="20"/>
          <w:szCs w:val="22"/>
          <w:lang w:eastAsia="sl-SI"/>
        </w:rPr>
        <w:t>goljufije in tatvine</w:t>
      </w:r>
      <w:r w:rsidR="002110AD">
        <w:rPr>
          <w:rFonts w:ascii="Arial" w:eastAsia="Arial" w:hAnsi="Arial"/>
          <w:b/>
          <w:i/>
          <w:sz w:val="20"/>
          <w:szCs w:val="22"/>
          <w:lang w:eastAsia="sl-SI"/>
        </w:rPr>
        <w:t>,</w:t>
      </w:r>
      <w:r w:rsidRPr="00424274">
        <w:rPr>
          <w:rFonts w:ascii="Arial" w:eastAsia="Arial" w:hAnsi="Arial"/>
          <w:b/>
          <w:i/>
          <w:sz w:val="20"/>
          <w:szCs w:val="22"/>
          <w:lang w:eastAsia="sl-SI"/>
        </w:rPr>
        <w:t xml:space="preserve"> povezane tudi z zlorabo internetnega bančništva ali elektronske pošte</w:t>
      </w:r>
      <w:r w:rsidRPr="00424274">
        <w:rPr>
          <w:rFonts w:ascii="Arial" w:eastAsia="Arial" w:hAnsi="Arial"/>
          <w:bCs/>
          <w:i/>
          <w:sz w:val="20"/>
          <w:szCs w:val="22"/>
          <w:lang w:eastAsia="sl-SI"/>
        </w:rPr>
        <w:t xml:space="preserve"> </w:t>
      </w:r>
      <w:r w:rsidRPr="00424274">
        <w:rPr>
          <w:rFonts w:ascii="Arial" w:eastAsia="Arial" w:hAnsi="Arial"/>
          <w:bCs/>
          <w:sz w:val="20"/>
          <w:szCs w:val="22"/>
          <w:lang w:eastAsia="sl-SI"/>
        </w:rPr>
        <w:t>(ugotovljeno v približno 21 % vseh zadev),</w:t>
      </w:r>
    </w:p>
    <w:p w14:paraId="4F50E687" w14:textId="547BFA56" w:rsidR="009028D9" w:rsidRPr="00424274" w:rsidRDefault="009028D9" w:rsidP="00A646D7">
      <w:pPr>
        <w:widowControl/>
        <w:numPr>
          <w:ilvl w:val="0"/>
          <w:numId w:val="22"/>
        </w:numPr>
        <w:tabs>
          <w:tab w:val="left" w:pos="720"/>
        </w:tabs>
        <w:spacing w:after="200" w:line="276" w:lineRule="auto"/>
        <w:ind w:left="714" w:right="-22" w:hanging="357"/>
        <w:jc w:val="left"/>
        <w:rPr>
          <w:rFonts w:ascii="Arial" w:eastAsia="Arial" w:hAnsi="Arial"/>
          <w:bCs/>
          <w:sz w:val="20"/>
          <w:szCs w:val="22"/>
          <w:lang w:eastAsia="sl-SI"/>
        </w:rPr>
      </w:pPr>
      <w:r w:rsidRPr="00424274">
        <w:rPr>
          <w:rFonts w:ascii="Arial" w:eastAsia="Arial" w:hAnsi="Arial"/>
          <w:b/>
          <w:i/>
          <w:sz w:val="20"/>
          <w:szCs w:val="22"/>
          <w:lang w:eastAsia="sl-SI"/>
        </w:rPr>
        <w:t>uporaba sistemov za prenos sredstev/denarja</w:t>
      </w:r>
      <w:r w:rsidRPr="00424274">
        <w:rPr>
          <w:rFonts w:ascii="Arial" w:eastAsia="Arial" w:hAnsi="Arial"/>
          <w:bCs/>
          <w:i/>
          <w:sz w:val="20"/>
          <w:szCs w:val="22"/>
          <w:lang w:eastAsia="sl-SI"/>
        </w:rPr>
        <w:t xml:space="preserve"> </w:t>
      </w:r>
      <w:r w:rsidRPr="00424274">
        <w:rPr>
          <w:rFonts w:ascii="Arial" w:eastAsia="Arial" w:hAnsi="Arial"/>
          <w:bCs/>
          <w:sz w:val="20"/>
          <w:szCs w:val="22"/>
          <w:lang w:eastAsia="sl-SI"/>
        </w:rPr>
        <w:t>(ugotovljeno v približno 4</w:t>
      </w:r>
      <w:r w:rsidR="002110AD">
        <w:rPr>
          <w:rFonts w:ascii="Arial" w:eastAsia="Arial" w:hAnsi="Arial"/>
          <w:bCs/>
          <w:sz w:val="20"/>
          <w:szCs w:val="22"/>
          <w:lang w:eastAsia="sl-SI"/>
        </w:rPr>
        <w:t xml:space="preserve"> </w:t>
      </w:r>
      <w:r w:rsidRPr="00424274">
        <w:rPr>
          <w:rFonts w:ascii="Arial" w:eastAsia="Arial" w:hAnsi="Arial"/>
          <w:bCs/>
          <w:sz w:val="20"/>
          <w:szCs w:val="22"/>
          <w:lang w:eastAsia="sl-SI"/>
        </w:rPr>
        <w:t>% vseh zadev),</w:t>
      </w:r>
    </w:p>
    <w:p w14:paraId="78BA1290" w14:textId="4AA7A7AC" w:rsidR="009028D9" w:rsidRPr="00424274" w:rsidRDefault="009028D9" w:rsidP="00A646D7">
      <w:pPr>
        <w:widowControl/>
        <w:numPr>
          <w:ilvl w:val="0"/>
          <w:numId w:val="22"/>
        </w:numPr>
        <w:tabs>
          <w:tab w:val="left" w:pos="720"/>
        </w:tabs>
        <w:spacing w:after="200" w:line="276" w:lineRule="auto"/>
        <w:ind w:left="714" w:right="-22" w:hanging="357"/>
        <w:jc w:val="left"/>
        <w:rPr>
          <w:rFonts w:ascii="Arial" w:eastAsia="Arial" w:hAnsi="Arial"/>
          <w:sz w:val="20"/>
          <w:szCs w:val="22"/>
          <w:lang w:eastAsia="sl-SI"/>
        </w:rPr>
      </w:pPr>
      <w:r w:rsidRPr="00424274">
        <w:rPr>
          <w:rFonts w:ascii="Arial" w:eastAsia="Arial" w:hAnsi="Arial"/>
          <w:b/>
          <w:i/>
          <w:sz w:val="20"/>
          <w:szCs w:val="22"/>
          <w:lang w:eastAsia="sl-SI"/>
        </w:rPr>
        <w:t>drobljenje zneskov in izmikanje identifikaciji</w:t>
      </w:r>
      <w:r w:rsidRPr="00424274">
        <w:rPr>
          <w:rFonts w:ascii="Arial" w:eastAsia="Arial" w:hAnsi="Arial"/>
          <w:bCs/>
          <w:i/>
          <w:sz w:val="20"/>
          <w:szCs w:val="22"/>
          <w:lang w:eastAsia="sl-SI"/>
        </w:rPr>
        <w:t xml:space="preserve"> </w:t>
      </w:r>
      <w:r w:rsidRPr="00424274">
        <w:rPr>
          <w:rFonts w:ascii="Arial" w:eastAsia="Arial" w:hAnsi="Arial"/>
          <w:bCs/>
          <w:sz w:val="20"/>
          <w:szCs w:val="22"/>
          <w:lang w:eastAsia="sl-SI"/>
        </w:rPr>
        <w:t>(ugotovljeno v</w:t>
      </w:r>
      <w:r w:rsidRPr="00424274">
        <w:rPr>
          <w:rFonts w:ascii="Arial" w:eastAsia="Arial" w:hAnsi="Arial"/>
          <w:sz w:val="20"/>
          <w:szCs w:val="22"/>
          <w:lang w:eastAsia="sl-SI"/>
        </w:rPr>
        <w:t xml:space="preserve"> približno 2</w:t>
      </w:r>
      <w:r w:rsidR="002110AD">
        <w:rPr>
          <w:rFonts w:ascii="Arial" w:eastAsia="Arial" w:hAnsi="Arial"/>
          <w:sz w:val="20"/>
          <w:szCs w:val="22"/>
          <w:lang w:eastAsia="sl-SI"/>
        </w:rPr>
        <w:t xml:space="preserve"> </w:t>
      </w:r>
      <w:r w:rsidRPr="00424274">
        <w:rPr>
          <w:rFonts w:ascii="Arial" w:eastAsia="Arial" w:hAnsi="Arial"/>
          <w:sz w:val="20"/>
          <w:szCs w:val="22"/>
          <w:lang w:eastAsia="sl-SI"/>
        </w:rPr>
        <w:t>% vseh zadev)</w:t>
      </w:r>
      <w:r w:rsidR="002110AD">
        <w:rPr>
          <w:rFonts w:ascii="Arial" w:eastAsia="Arial" w:hAnsi="Arial"/>
          <w:sz w:val="20"/>
          <w:szCs w:val="22"/>
          <w:lang w:eastAsia="sl-SI"/>
        </w:rPr>
        <w:t>.</w:t>
      </w:r>
    </w:p>
    <w:p w14:paraId="156729E8" w14:textId="75387BDD" w:rsidR="009028D9" w:rsidRPr="00424274" w:rsidRDefault="009028D9" w:rsidP="00A646D7">
      <w:pPr>
        <w:spacing w:line="276" w:lineRule="auto"/>
        <w:ind w:right="-22"/>
        <w:rPr>
          <w:rFonts w:ascii="Arial" w:eastAsia="Arial" w:hAnsi="Arial"/>
          <w:sz w:val="20"/>
          <w:szCs w:val="22"/>
          <w:lang w:eastAsia="sl-SI"/>
        </w:rPr>
      </w:pPr>
      <w:r w:rsidRPr="00424274">
        <w:rPr>
          <w:rFonts w:ascii="Arial" w:eastAsia="Arial" w:hAnsi="Arial"/>
          <w:sz w:val="20"/>
          <w:szCs w:val="22"/>
          <w:lang w:eastAsia="sl-SI"/>
        </w:rPr>
        <w:t xml:space="preserve">Podrobne značilnosti zgoraj navedenih ugotovljenih tipologij smo že opisali v prejšnjih letnih poročilih o delu </w:t>
      </w:r>
      <w:r w:rsidR="00814A21">
        <w:rPr>
          <w:rFonts w:ascii="Arial" w:eastAsia="Arial" w:hAnsi="Arial"/>
          <w:sz w:val="20"/>
          <w:szCs w:val="22"/>
          <w:lang w:eastAsia="sl-SI"/>
        </w:rPr>
        <w:t>urad</w:t>
      </w:r>
      <w:r w:rsidRPr="00424274">
        <w:rPr>
          <w:rFonts w:ascii="Arial" w:eastAsia="Arial" w:hAnsi="Arial"/>
          <w:sz w:val="20"/>
          <w:szCs w:val="22"/>
          <w:lang w:eastAsia="sl-SI"/>
        </w:rPr>
        <w:t>a</w:t>
      </w:r>
      <w:r w:rsidR="002110AD">
        <w:rPr>
          <w:rFonts w:ascii="Arial" w:eastAsia="Arial" w:hAnsi="Arial"/>
          <w:sz w:val="20"/>
          <w:szCs w:val="22"/>
          <w:lang w:eastAsia="sl-SI"/>
        </w:rPr>
        <w:t>,</w:t>
      </w:r>
      <w:r w:rsidRPr="00424274">
        <w:rPr>
          <w:rFonts w:ascii="Arial" w:eastAsia="Arial" w:hAnsi="Arial"/>
          <w:sz w:val="20"/>
          <w:szCs w:val="22"/>
          <w:lang w:eastAsia="sl-SI"/>
        </w:rPr>
        <w:t xml:space="preserve"> prav tako </w:t>
      </w:r>
      <w:r w:rsidR="002110AD">
        <w:rPr>
          <w:rFonts w:ascii="Arial" w:eastAsia="Arial" w:hAnsi="Arial"/>
          <w:sz w:val="20"/>
          <w:szCs w:val="22"/>
          <w:lang w:eastAsia="sl-SI"/>
        </w:rPr>
        <w:t xml:space="preserve">je </w:t>
      </w:r>
      <w:r w:rsidRPr="00424274">
        <w:rPr>
          <w:rFonts w:ascii="Arial" w:eastAsia="Arial" w:hAnsi="Arial"/>
          <w:sz w:val="20"/>
          <w:szCs w:val="22"/>
          <w:lang w:eastAsia="sl-SI"/>
        </w:rPr>
        <w:t xml:space="preserve">njihova obrazložitev </w:t>
      </w:r>
      <w:r w:rsidR="002110AD">
        <w:rPr>
          <w:rFonts w:ascii="Arial" w:eastAsia="Arial" w:hAnsi="Arial"/>
          <w:sz w:val="20"/>
          <w:szCs w:val="22"/>
          <w:lang w:eastAsia="sl-SI"/>
        </w:rPr>
        <w:t>objavljena</w:t>
      </w:r>
      <w:r w:rsidR="002110AD" w:rsidRPr="00424274">
        <w:rPr>
          <w:rFonts w:ascii="Arial" w:eastAsia="Arial" w:hAnsi="Arial"/>
          <w:sz w:val="20"/>
          <w:szCs w:val="22"/>
          <w:lang w:eastAsia="sl-SI"/>
        </w:rPr>
        <w:t xml:space="preserve"> </w:t>
      </w:r>
      <w:r w:rsidRPr="00424274">
        <w:rPr>
          <w:rFonts w:ascii="Arial" w:eastAsia="Arial" w:hAnsi="Arial"/>
          <w:sz w:val="20"/>
          <w:szCs w:val="22"/>
          <w:lang w:eastAsia="sl-SI"/>
        </w:rPr>
        <w:t xml:space="preserve">na spletni strani </w:t>
      </w:r>
      <w:r w:rsidR="00814A21">
        <w:rPr>
          <w:rFonts w:ascii="Arial" w:eastAsia="Arial" w:hAnsi="Arial"/>
          <w:sz w:val="20"/>
          <w:szCs w:val="22"/>
          <w:lang w:eastAsia="sl-SI"/>
        </w:rPr>
        <w:t>urad</w:t>
      </w:r>
      <w:r w:rsidRPr="00424274">
        <w:rPr>
          <w:rFonts w:ascii="Arial" w:eastAsia="Arial" w:hAnsi="Arial"/>
          <w:sz w:val="20"/>
          <w:szCs w:val="22"/>
          <w:lang w:eastAsia="sl-SI"/>
        </w:rPr>
        <w:t>a. Ugotavljamo namreč, da se glavne značilnosti tipologij bistveno ne spreminjajo, spreminja se samo pogostost zaznave posamezne tipologije.</w:t>
      </w:r>
    </w:p>
    <w:p w14:paraId="350595B6" w14:textId="77777777" w:rsidR="00B54398" w:rsidRPr="00424274" w:rsidRDefault="00B54398" w:rsidP="00D21F86">
      <w:pPr>
        <w:spacing w:line="276" w:lineRule="auto"/>
        <w:ind w:right="-22"/>
        <w:rPr>
          <w:rFonts w:ascii="Arial" w:eastAsia="Arial" w:hAnsi="Arial"/>
          <w:b/>
          <w:sz w:val="20"/>
        </w:rPr>
      </w:pPr>
    </w:p>
    <w:p w14:paraId="324D4501" w14:textId="77777777" w:rsidR="00851C49" w:rsidRPr="00424274" w:rsidRDefault="00851C49" w:rsidP="00D21F86">
      <w:pPr>
        <w:spacing w:line="276" w:lineRule="auto"/>
        <w:rPr>
          <w:rFonts w:ascii="Arial" w:hAnsi="Arial"/>
          <w:sz w:val="20"/>
        </w:rPr>
      </w:pPr>
    </w:p>
    <w:p w14:paraId="595D01B1" w14:textId="77777777" w:rsidR="00851C49" w:rsidRPr="00424274" w:rsidRDefault="00851C49">
      <w:pPr>
        <w:pStyle w:val="Naslov2"/>
      </w:pPr>
      <w:bookmarkStart w:id="81" w:name="_Toc113535466"/>
      <w:r w:rsidRPr="00424274">
        <w:t xml:space="preserve">ŠTEVILO DRUGIH ZADEV, ODSTOPLJENIH V </w:t>
      </w:r>
      <w:bookmarkEnd w:id="78"/>
      <w:bookmarkEnd w:id="79"/>
      <w:r w:rsidRPr="00424274">
        <w:t>OBRAVNAVO PRISTOJNIM ORGANOM</w:t>
      </w:r>
      <w:bookmarkEnd w:id="80"/>
      <w:bookmarkEnd w:id="81"/>
    </w:p>
    <w:p w14:paraId="6016C455" w14:textId="77777777" w:rsidR="00851C49" w:rsidRPr="00424274" w:rsidRDefault="00851C49" w:rsidP="00D21F86">
      <w:pPr>
        <w:spacing w:line="276" w:lineRule="auto"/>
        <w:ind w:right="-22"/>
        <w:rPr>
          <w:rFonts w:ascii="Arial" w:hAnsi="Arial"/>
          <w:sz w:val="20"/>
        </w:rPr>
      </w:pPr>
    </w:p>
    <w:p w14:paraId="640191B1" w14:textId="09002475" w:rsidR="004E3784" w:rsidRPr="00424274" w:rsidRDefault="004E3784" w:rsidP="004E3784">
      <w:pPr>
        <w:widowControl/>
        <w:spacing w:line="276" w:lineRule="auto"/>
        <w:ind w:right="-23"/>
        <w:rPr>
          <w:rFonts w:ascii="Arial" w:hAnsi="Arial"/>
          <w:sz w:val="20"/>
        </w:rPr>
      </w:pPr>
      <w:r w:rsidRPr="00424274">
        <w:rPr>
          <w:rFonts w:ascii="Arial" w:hAnsi="Arial"/>
          <w:sz w:val="20"/>
        </w:rPr>
        <w:t xml:space="preserve">V zgornjih poglavjih smo navedli in analizirali zadeve, ki sodijo v pristojnost </w:t>
      </w:r>
      <w:r w:rsidR="00814A21">
        <w:rPr>
          <w:rFonts w:ascii="Arial" w:hAnsi="Arial"/>
          <w:sz w:val="20"/>
        </w:rPr>
        <w:t>urad</w:t>
      </w:r>
      <w:r w:rsidRPr="00424274">
        <w:rPr>
          <w:rFonts w:ascii="Arial" w:hAnsi="Arial"/>
          <w:sz w:val="20"/>
        </w:rPr>
        <w:t xml:space="preserve">a. Poleg zadev, povezanih s sumom pranja denarja, smo v </w:t>
      </w:r>
      <w:r w:rsidR="00814A21">
        <w:rPr>
          <w:rFonts w:ascii="Arial" w:hAnsi="Arial"/>
          <w:sz w:val="20"/>
        </w:rPr>
        <w:t>urad</w:t>
      </w:r>
      <w:r w:rsidRPr="00424274">
        <w:rPr>
          <w:rFonts w:ascii="Arial" w:hAnsi="Arial"/>
          <w:sz w:val="20"/>
        </w:rPr>
        <w:t xml:space="preserve">u leta 2020 prejeli tudi 26 prijav sumov storitve različnih kaznivih dejanj, ki jih niso </w:t>
      </w:r>
      <w:r w:rsidR="002110AD">
        <w:rPr>
          <w:rFonts w:ascii="Arial" w:hAnsi="Arial"/>
          <w:sz w:val="20"/>
        </w:rPr>
        <w:t>poslali</w:t>
      </w:r>
      <w:r w:rsidR="002110AD" w:rsidRPr="00424274">
        <w:rPr>
          <w:rFonts w:ascii="Arial" w:hAnsi="Arial"/>
          <w:sz w:val="20"/>
        </w:rPr>
        <w:t xml:space="preserve"> </w:t>
      </w:r>
      <w:r w:rsidRPr="00424274">
        <w:rPr>
          <w:rFonts w:ascii="Arial" w:hAnsi="Arial"/>
          <w:sz w:val="20"/>
        </w:rPr>
        <w:t xml:space="preserve">zavezanci in za katere </w:t>
      </w:r>
      <w:r w:rsidR="00814A21">
        <w:rPr>
          <w:rFonts w:ascii="Arial" w:hAnsi="Arial"/>
          <w:sz w:val="20"/>
        </w:rPr>
        <w:t>urad</w:t>
      </w:r>
      <w:r w:rsidRPr="00424274">
        <w:rPr>
          <w:rFonts w:ascii="Arial" w:hAnsi="Arial"/>
          <w:sz w:val="20"/>
        </w:rPr>
        <w:t xml:space="preserve"> ni pristojen, hkrati pa iz njih niso izhajali razlogi za sum storitve kaznivega dejanja pranja denarja po 245. členu KZ-1. Vse te prijave smo na podlagi 145. člena Zakona o kazenskem postopku odstopili v nadaljnjo obravnavo UKP MNZ in/ali drugim pristojnim organom.</w:t>
      </w:r>
    </w:p>
    <w:p w14:paraId="2B3F1815" w14:textId="6EF4476E" w:rsidR="004E3784" w:rsidRDefault="004E3784" w:rsidP="004E3784">
      <w:pPr>
        <w:widowControl/>
        <w:spacing w:line="276" w:lineRule="auto"/>
        <w:jc w:val="left"/>
        <w:rPr>
          <w:rFonts w:ascii="Arial" w:hAnsi="Arial"/>
          <w:sz w:val="20"/>
        </w:rPr>
      </w:pPr>
    </w:p>
    <w:p w14:paraId="2C652BBE" w14:textId="404BD757" w:rsidR="00B805B8" w:rsidRDefault="00B805B8" w:rsidP="004E3784">
      <w:pPr>
        <w:widowControl/>
        <w:spacing w:line="276" w:lineRule="auto"/>
        <w:jc w:val="left"/>
        <w:rPr>
          <w:rFonts w:ascii="Arial" w:hAnsi="Arial"/>
          <w:sz w:val="20"/>
        </w:rPr>
      </w:pPr>
    </w:p>
    <w:p w14:paraId="3890EABD" w14:textId="77777777" w:rsidR="00B805B8" w:rsidRPr="00424274" w:rsidRDefault="00B805B8" w:rsidP="004E3784">
      <w:pPr>
        <w:widowControl/>
        <w:spacing w:line="276" w:lineRule="auto"/>
        <w:jc w:val="left"/>
        <w:rPr>
          <w:rFonts w:ascii="Arial" w:hAnsi="Arial"/>
          <w:sz w:val="20"/>
        </w:rPr>
      </w:pPr>
    </w:p>
    <w:p w14:paraId="4BAD20C5" w14:textId="77777777" w:rsidR="00851C49" w:rsidRPr="00424274" w:rsidRDefault="00851C49" w:rsidP="00D21F86">
      <w:pPr>
        <w:pStyle w:val="Naslov1"/>
        <w:numPr>
          <w:ilvl w:val="0"/>
          <w:numId w:val="6"/>
        </w:numPr>
        <w:spacing w:line="276" w:lineRule="auto"/>
        <w:rPr>
          <w:rFonts w:ascii="Arial" w:hAnsi="Arial"/>
          <w:sz w:val="20"/>
        </w:rPr>
      </w:pPr>
      <w:bookmarkStart w:id="82" w:name="_Toc113535467"/>
      <w:r w:rsidRPr="00424274">
        <w:rPr>
          <w:rFonts w:ascii="Arial" w:hAnsi="Arial"/>
          <w:sz w:val="20"/>
        </w:rPr>
        <w:t>SODELOVANJE Z DRUGIMI DRŽAVNIMI ORGANI PRI ODKRIVANJU, PREISKOVANJU IN PREGONU PRANJA DENARJA</w:t>
      </w:r>
      <w:bookmarkEnd w:id="82"/>
    </w:p>
    <w:p w14:paraId="4BCEF883" w14:textId="77777777" w:rsidR="00851C49" w:rsidRPr="00424274" w:rsidRDefault="00851C49" w:rsidP="005537CE">
      <w:pPr>
        <w:pStyle w:val="Telobesedila"/>
        <w:spacing w:line="276" w:lineRule="auto"/>
        <w:ind w:right="-22"/>
        <w:rPr>
          <w:rFonts w:ascii="Arial" w:hAnsi="Arial"/>
          <w:sz w:val="20"/>
        </w:rPr>
      </w:pPr>
    </w:p>
    <w:p w14:paraId="54B04588" w14:textId="78A32D3C" w:rsidR="004C2B54" w:rsidRPr="00424274" w:rsidRDefault="004C2B54" w:rsidP="004C2B54">
      <w:pPr>
        <w:widowControl/>
        <w:spacing w:line="276" w:lineRule="auto"/>
        <w:ind w:right="-22"/>
        <w:rPr>
          <w:rFonts w:ascii="Arial" w:hAnsi="Arial"/>
          <w:sz w:val="20"/>
        </w:rPr>
      </w:pPr>
      <w:r w:rsidRPr="00424274">
        <w:rPr>
          <w:rFonts w:ascii="Arial" w:hAnsi="Arial"/>
          <w:sz w:val="20"/>
        </w:rPr>
        <w:t xml:space="preserve">V </w:t>
      </w:r>
      <w:r w:rsidR="00814A21">
        <w:rPr>
          <w:rFonts w:ascii="Arial" w:hAnsi="Arial"/>
          <w:sz w:val="20"/>
        </w:rPr>
        <w:t>urad</w:t>
      </w:r>
      <w:r w:rsidRPr="00424274">
        <w:rPr>
          <w:rFonts w:ascii="Arial" w:hAnsi="Arial"/>
          <w:sz w:val="20"/>
        </w:rPr>
        <w:t>u smo v obravnavanem obdobju pri odkrivanju in preiskovanju kaznivih dejanj pranja denarja aktivno sodelovali predvsem z UKP MNZ (</w:t>
      </w:r>
      <w:r w:rsidR="004728ED">
        <w:rPr>
          <w:rFonts w:ascii="Arial" w:hAnsi="Arial"/>
          <w:sz w:val="20"/>
        </w:rPr>
        <w:t>p</w:t>
      </w:r>
      <w:r w:rsidRPr="00424274">
        <w:rPr>
          <w:rFonts w:ascii="Arial" w:hAnsi="Arial"/>
          <w:sz w:val="20"/>
        </w:rPr>
        <w:t xml:space="preserve">olicijo), Specializiranim državnim tožilstvom, FURS in SOVO. V konkretnih zadevah smo sodelovali tudi s kriminalisti iz več policijskih uprav ter celo policijskih postaj in drugimi državnimi tožilci. Sodelovanje z navedenimi državnimi organi je potekalo na ravni predstojnikov in na operativni ravni med pooblaščenimi predstavniki organov. </w:t>
      </w:r>
    </w:p>
    <w:p w14:paraId="096854A4" w14:textId="77777777" w:rsidR="004C2B54" w:rsidRPr="00424274" w:rsidRDefault="004C2B54" w:rsidP="004C2B54">
      <w:pPr>
        <w:widowControl/>
        <w:spacing w:line="276" w:lineRule="auto"/>
        <w:ind w:right="-22"/>
        <w:rPr>
          <w:rFonts w:ascii="Arial" w:hAnsi="Arial"/>
          <w:sz w:val="20"/>
          <w:highlight w:val="yellow"/>
        </w:rPr>
      </w:pPr>
    </w:p>
    <w:p w14:paraId="0283D014" w14:textId="1D219822" w:rsidR="004C2B54" w:rsidRPr="00424274" w:rsidRDefault="004C2B54" w:rsidP="004C2B54">
      <w:pPr>
        <w:widowControl/>
        <w:spacing w:line="276" w:lineRule="auto"/>
        <w:ind w:right="-22"/>
        <w:rPr>
          <w:rFonts w:ascii="Arial" w:hAnsi="Arial"/>
          <w:sz w:val="20"/>
        </w:rPr>
      </w:pPr>
      <w:r w:rsidRPr="00424274">
        <w:rPr>
          <w:rFonts w:ascii="Arial" w:hAnsi="Arial"/>
          <w:sz w:val="20"/>
        </w:rPr>
        <w:t xml:space="preserve">Urad je v letu 2020 izdal </w:t>
      </w:r>
      <w:r w:rsidR="002110AD">
        <w:rPr>
          <w:rFonts w:ascii="Arial" w:hAnsi="Arial"/>
          <w:sz w:val="20"/>
        </w:rPr>
        <w:t>šest</w:t>
      </w:r>
      <w:r w:rsidRPr="00424274">
        <w:rPr>
          <w:rFonts w:ascii="Arial" w:hAnsi="Arial"/>
          <w:sz w:val="20"/>
        </w:rPr>
        <w:t xml:space="preserve"> soglasij za sodelovanje v specializiranih preiskovalnih skupinah, ki so bile </w:t>
      </w:r>
      <w:r w:rsidR="002110AD">
        <w:rPr>
          <w:rFonts w:ascii="Arial" w:hAnsi="Arial"/>
          <w:sz w:val="20"/>
        </w:rPr>
        <w:t>poz</w:t>
      </w:r>
      <w:r w:rsidRPr="00424274">
        <w:rPr>
          <w:rFonts w:ascii="Arial" w:hAnsi="Arial"/>
          <w:sz w:val="20"/>
        </w:rPr>
        <w:t xml:space="preserve">neje tudi ustanovljene. V vseh primerih se je sodelovanje v teh skupinah nanašalo na finančno preiskovalno skupino v okviru Zakona o odvzemu premoženja nezakonitega izvora (ZOPNI). Do konca leta 2020 je </w:t>
      </w:r>
      <w:r w:rsidR="00814A21">
        <w:rPr>
          <w:rFonts w:ascii="Arial" w:hAnsi="Arial"/>
          <w:sz w:val="20"/>
        </w:rPr>
        <w:t>urad</w:t>
      </w:r>
      <w:r w:rsidRPr="00424274">
        <w:rPr>
          <w:rFonts w:ascii="Arial" w:hAnsi="Arial"/>
          <w:sz w:val="20"/>
        </w:rPr>
        <w:t xml:space="preserve"> skupno sodeloval v 69 specializiranih skupinah, od katerih jih je bilo 51 ustanovljenih v skladu z ZOPNI. Sodelovanje s </w:t>
      </w:r>
      <w:r w:rsidR="004728ED">
        <w:rPr>
          <w:rFonts w:ascii="Arial" w:hAnsi="Arial"/>
          <w:sz w:val="20"/>
        </w:rPr>
        <w:t>p</w:t>
      </w:r>
      <w:r w:rsidRPr="00424274">
        <w:rPr>
          <w:rFonts w:ascii="Arial" w:hAnsi="Arial"/>
          <w:sz w:val="20"/>
        </w:rPr>
        <w:t xml:space="preserve">olicijo lahko na splošno ocenimo kot dobro, saj je potekalo tako na </w:t>
      </w:r>
      <w:r w:rsidRPr="00424274">
        <w:rPr>
          <w:rFonts w:ascii="Arial" w:hAnsi="Arial"/>
          <w:sz w:val="20"/>
        </w:rPr>
        <w:lastRenderedPageBreak/>
        <w:t>ravni konkretnih zadev kot tudi na ravni medsebojnega usposabljanja in skupnega usposabljanja zavezancev po ZPPDFT-1.</w:t>
      </w:r>
    </w:p>
    <w:p w14:paraId="15D24119" w14:textId="77777777" w:rsidR="004C2B54" w:rsidRPr="00424274" w:rsidRDefault="004C2B54" w:rsidP="004C2B54">
      <w:pPr>
        <w:widowControl/>
        <w:spacing w:line="276" w:lineRule="auto"/>
        <w:ind w:right="-22"/>
        <w:rPr>
          <w:rFonts w:ascii="Arial" w:hAnsi="Arial"/>
          <w:sz w:val="20"/>
          <w:highlight w:val="yellow"/>
        </w:rPr>
      </w:pPr>
    </w:p>
    <w:p w14:paraId="3E18078B" w14:textId="2843AC3E" w:rsidR="004C2B54" w:rsidRPr="00424274" w:rsidRDefault="004C2B54" w:rsidP="004C2B54">
      <w:pPr>
        <w:widowControl/>
        <w:spacing w:line="276" w:lineRule="auto"/>
        <w:ind w:right="-22"/>
        <w:rPr>
          <w:rFonts w:ascii="Arial" w:hAnsi="Arial"/>
          <w:b/>
          <w:sz w:val="20"/>
          <w:u w:val="single"/>
        </w:rPr>
      </w:pPr>
      <w:r w:rsidRPr="00424274">
        <w:rPr>
          <w:rFonts w:ascii="Arial" w:hAnsi="Arial"/>
          <w:sz w:val="20"/>
        </w:rPr>
        <w:t xml:space="preserve">Iz </w:t>
      </w:r>
      <w:r w:rsidR="002110AD">
        <w:rPr>
          <w:rFonts w:ascii="Arial" w:hAnsi="Arial"/>
          <w:sz w:val="20"/>
        </w:rPr>
        <w:t xml:space="preserve">podatkov, </w:t>
      </w:r>
      <w:r w:rsidRPr="00424274">
        <w:rPr>
          <w:rFonts w:ascii="Arial" w:hAnsi="Arial"/>
          <w:sz w:val="20"/>
        </w:rPr>
        <w:t xml:space="preserve">prejetih podatkov </w:t>
      </w:r>
      <w:r w:rsidR="002110AD">
        <w:rPr>
          <w:rFonts w:ascii="Arial" w:hAnsi="Arial"/>
          <w:sz w:val="20"/>
        </w:rPr>
        <w:t>od</w:t>
      </w:r>
      <w:r w:rsidRPr="00424274">
        <w:rPr>
          <w:rFonts w:ascii="Arial" w:hAnsi="Arial"/>
          <w:sz w:val="20"/>
        </w:rPr>
        <w:t xml:space="preserve"> </w:t>
      </w:r>
      <w:r w:rsidR="004728ED">
        <w:rPr>
          <w:rFonts w:ascii="Arial" w:hAnsi="Arial"/>
          <w:sz w:val="20"/>
        </w:rPr>
        <w:t>p</w:t>
      </w:r>
      <w:r w:rsidRPr="00424274">
        <w:rPr>
          <w:rFonts w:ascii="Arial" w:hAnsi="Arial"/>
          <w:sz w:val="20"/>
        </w:rPr>
        <w:t>olicije in tožilstva</w:t>
      </w:r>
      <w:r w:rsidR="002110AD">
        <w:rPr>
          <w:rFonts w:ascii="Arial" w:hAnsi="Arial"/>
          <w:sz w:val="20"/>
        </w:rPr>
        <w:t>,</w:t>
      </w:r>
      <w:r w:rsidRPr="00424274">
        <w:rPr>
          <w:rFonts w:ascii="Arial" w:hAnsi="Arial"/>
          <w:sz w:val="20"/>
        </w:rPr>
        <w:t xml:space="preserve"> izhaja, da je </w:t>
      </w:r>
      <w:r w:rsidR="004728ED">
        <w:rPr>
          <w:rFonts w:ascii="Arial" w:hAnsi="Arial"/>
          <w:sz w:val="20"/>
        </w:rPr>
        <w:t>p</w:t>
      </w:r>
      <w:r w:rsidRPr="00424274">
        <w:rPr>
          <w:rFonts w:ascii="Arial" w:hAnsi="Arial"/>
          <w:sz w:val="20"/>
        </w:rPr>
        <w:t xml:space="preserve">olicija v letu 2020 podala 26 kazenskih ovadb zaradi utemeljenega suma storitve kaznivega dejanja pranja denarja, medtem ko je tožilstvo v letu 2020 brez podane ovadbe </w:t>
      </w:r>
      <w:r w:rsidR="004728ED">
        <w:rPr>
          <w:rFonts w:ascii="Arial" w:hAnsi="Arial"/>
          <w:sz w:val="20"/>
        </w:rPr>
        <w:t>p</w:t>
      </w:r>
      <w:r w:rsidRPr="00424274">
        <w:rPr>
          <w:rFonts w:ascii="Arial" w:hAnsi="Arial"/>
          <w:sz w:val="20"/>
        </w:rPr>
        <w:t xml:space="preserve">olicije </w:t>
      </w:r>
      <w:r w:rsidR="002110AD">
        <w:rPr>
          <w:rFonts w:ascii="Arial" w:hAnsi="Arial"/>
          <w:sz w:val="20"/>
        </w:rPr>
        <w:t>za</w:t>
      </w:r>
      <w:r w:rsidRPr="00424274">
        <w:rPr>
          <w:rFonts w:ascii="Arial" w:hAnsi="Arial"/>
          <w:sz w:val="20"/>
        </w:rPr>
        <w:t xml:space="preserve">čelo </w:t>
      </w:r>
      <w:r w:rsidR="002110AD">
        <w:rPr>
          <w:rFonts w:ascii="Arial" w:hAnsi="Arial"/>
          <w:sz w:val="20"/>
        </w:rPr>
        <w:t>pet</w:t>
      </w:r>
      <w:r w:rsidRPr="00424274">
        <w:rPr>
          <w:rFonts w:ascii="Arial" w:hAnsi="Arial"/>
          <w:sz w:val="20"/>
        </w:rPr>
        <w:t xml:space="preserve"> predkazenskih ali kazenskih postopkov</w:t>
      </w:r>
      <w:r w:rsidR="002110AD">
        <w:rPr>
          <w:rFonts w:ascii="Arial" w:hAnsi="Arial"/>
          <w:sz w:val="20"/>
        </w:rPr>
        <w:t>,</w:t>
      </w:r>
      <w:r w:rsidRPr="00424274">
        <w:rPr>
          <w:rFonts w:ascii="Arial" w:hAnsi="Arial"/>
          <w:sz w:val="20"/>
        </w:rPr>
        <w:t xml:space="preserve"> povezanih s sumi storitve kaznivega dejanja pranja denarja. V letu 2020 so se tako </w:t>
      </w:r>
      <w:r w:rsidR="002110AD">
        <w:rPr>
          <w:rFonts w:ascii="Arial" w:hAnsi="Arial"/>
          <w:sz w:val="20"/>
        </w:rPr>
        <w:t>za</w:t>
      </w:r>
      <w:r w:rsidRPr="00424274">
        <w:rPr>
          <w:rFonts w:ascii="Arial" w:hAnsi="Arial"/>
          <w:sz w:val="20"/>
        </w:rPr>
        <w:t>čeli postopki v 31 zadevah, v katerih so se v predkazenskem ali kazenskem postopku obravnavali sumi storitve kaznivega dejanja pranja denarja po 245. členu KZ-1</w:t>
      </w:r>
      <w:r w:rsidR="00E25794" w:rsidRPr="00424274">
        <w:rPr>
          <w:rFonts w:ascii="Arial" w:hAnsi="Arial"/>
          <w:b/>
          <w:sz w:val="20"/>
        </w:rPr>
        <w:t>.</w:t>
      </w:r>
    </w:p>
    <w:p w14:paraId="3AE63776" w14:textId="77777777" w:rsidR="004C2B54" w:rsidRPr="00424274" w:rsidRDefault="004C2B54" w:rsidP="004C2B54">
      <w:pPr>
        <w:widowControl/>
        <w:spacing w:line="276" w:lineRule="auto"/>
        <w:ind w:right="-22"/>
        <w:rPr>
          <w:rFonts w:ascii="Arial" w:hAnsi="Arial"/>
          <w:sz w:val="20"/>
        </w:rPr>
      </w:pPr>
    </w:p>
    <w:p w14:paraId="2CEA8D26" w14:textId="3DE1FC0B" w:rsidR="004C2B54" w:rsidRPr="00424274" w:rsidRDefault="004C2B54" w:rsidP="004C2B54">
      <w:pPr>
        <w:widowControl/>
        <w:spacing w:line="276" w:lineRule="auto"/>
        <w:ind w:right="-22"/>
        <w:rPr>
          <w:rFonts w:ascii="Arial" w:hAnsi="Arial"/>
          <w:b/>
          <w:i/>
          <w:sz w:val="20"/>
          <w:u w:val="single"/>
        </w:rPr>
      </w:pPr>
      <w:r w:rsidRPr="00424274">
        <w:rPr>
          <w:rFonts w:ascii="Arial" w:hAnsi="Arial"/>
          <w:b/>
          <w:i/>
          <w:sz w:val="20"/>
          <w:u w:val="single"/>
        </w:rPr>
        <w:t xml:space="preserve">Tako so bili v Sloveniji v obdobju 1995–2020 zaradi utemeljenih sumov storitve kaznivega dejanja pranja denarja </w:t>
      </w:r>
      <w:r w:rsidR="002110AD">
        <w:rPr>
          <w:rFonts w:ascii="Arial" w:hAnsi="Arial"/>
          <w:b/>
          <w:i/>
          <w:sz w:val="20"/>
          <w:u w:val="single"/>
        </w:rPr>
        <w:t>za</w:t>
      </w:r>
      <w:r w:rsidRPr="00424274">
        <w:rPr>
          <w:rFonts w:ascii="Arial" w:hAnsi="Arial"/>
          <w:b/>
          <w:i/>
          <w:sz w:val="20"/>
          <w:u w:val="single"/>
        </w:rPr>
        <w:t xml:space="preserve">četi predkazenski ali kazenski postopki v 667 zadevah. </w:t>
      </w:r>
    </w:p>
    <w:p w14:paraId="3D35B822" w14:textId="77777777" w:rsidR="004C2B54" w:rsidRPr="00424274" w:rsidRDefault="004C2B54" w:rsidP="004C2B54">
      <w:pPr>
        <w:widowControl/>
        <w:spacing w:line="276" w:lineRule="auto"/>
        <w:ind w:right="-22"/>
        <w:rPr>
          <w:rFonts w:ascii="Arial" w:hAnsi="Arial"/>
          <w:iCs/>
          <w:sz w:val="20"/>
        </w:rPr>
      </w:pPr>
    </w:p>
    <w:p w14:paraId="50E5B536" w14:textId="358C851D" w:rsidR="004C2B54" w:rsidRPr="00424274" w:rsidRDefault="004C2B54" w:rsidP="004C2B54">
      <w:pPr>
        <w:widowControl/>
        <w:spacing w:line="276" w:lineRule="auto"/>
        <w:ind w:right="-22"/>
        <w:rPr>
          <w:rFonts w:ascii="Arial" w:hAnsi="Arial"/>
          <w:sz w:val="20"/>
        </w:rPr>
      </w:pPr>
      <w:r w:rsidRPr="00424274">
        <w:rPr>
          <w:rFonts w:ascii="Arial" w:hAnsi="Arial"/>
          <w:sz w:val="20"/>
        </w:rPr>
        <w:t>V nadaljevanju podajamo podrobnejšo oceno delovanja tistega dela boja proti pranju denarja, ki se nanaša na policijo, državno tožilstvo in pravosodje, medtem ko smo sodelovanje s FURS že navedli v poglavju 3.1.</w:t>
      </w:r>
      <w:r w:rsidR="002200E1" w:rsidRPr="00424274">
        <w:rPr>
          <w:rFonts w:ascii="Arial" w:hAnsi="Arial"/>
          <w:sz w:val="20"/>
        </w:rPr>
        <w:t>7.</w:t>
      </w:r>
    </w:p>
    <w:p w14:paraId="5845C7ED" w14:textId="77777777" w:rsidR="005537CE" w:rsidRPr="00424274" w:rsidRDefault="005537CE" w:rsidP="005537CE">
      <w:pPr>
        <w:spacing w:line="276" w:lineRule="auto"/>
        <w:rPr>
          <w:rFonts w:ascii="Arial" w:hAnsi="Arial"/>
          <w:sz w:val="20"/>
        </w:rPr>
      </w:pPr>
    </w:p>
    <w:p w14:paraId="0813BC32" w14:textId="77777777" w:rsidR="0074252F" w:rsidRPr="00424274" w:rsidRDefault="0074252F" w:rsidP="00D21F86">
      <w:pPr>
        <w:spacing w:line="276" w:lineRule="auto"/>
        <w:rPr>
          <w:rFonts w:ascii="Arial" w:hAnsi="Arial"/>
          <w:sz w:val="20"/>
        </w:rPr>
      </w:pPr>
    </w:p>
    <w:p w14:paraId="78278F9F" w14:textId="77777777" w:rsidR="00851C49" w:rsidRPr="00424274" w:rsidRDefault="00851C49">
      <w:pPr>
        <w:pStyle w:val="Naslov2"/>
      </w:pPr>
      <w:bookmarkStart w:id="83" w:name="_Toc113535468"/>
      <w:r w:rsidRPr="00424274">
        <w:t xml:space="preserve">KAZNIVA DEJANJA IN IZVAJANJE </w:t>
      </w:r>
      <w:r w:rsidR="00894976" w:rsidRPr="00424274">
        <w:t>121</w:t>
      </w:r>
      <w:r w:rsidRPr="00424274">
        <w:t xml:space="preserve">. </w:t>
      </w:r>
      <w:r w:rsidR="00C6388F" w:rsidRPr="00424274">
        <w:t>ČLEN</w:t>
      </w:r>
      <w:r w:rsidR="00E81F12" w:rsidRPr="00424274">
        <w:t>A</w:t>
      </w:r>
      <w:r w:rsidRPr="00424274">
        <w:t xml:space="preserve"> ZPPDFT</w:t>
      </w:r>
      <w:r w:rsidR="00894976" w:rsidRPr="00424274">
        <w:t>-1</w:t>
      </w:r>
      <w:bookmarkEnd w:id="83"/>
    </w:p>
    <w:p w14:paraId="20BDAF37" w14:textId="77777777" w:rsidR="00851C49" w:rsidRPr="00424274" w:rsidRDefault="00851C49" w:rsidP="00D21F86">
      <w:pPr>
        <w:pStyle w:val="Telobesedila2"/>
        <w:widowControl/>
        <w:tabs>
          <w:tab w:val="clear" w:pos="-689"/>
          <w:tab w:val="clear" w:pos="31"/>
          <w:tab w:val="clear" w:pos="751"/>
          <w:tab w:val="clear" w:pos="1471"/>
          <w:tab w:val="clear" w:pos="2191"/>
          <w:tab w:val="clear" w:pos="2911"/>
          <w:tab w:val="clear" w:pos="3631"/>
          <w:tab w:val="clear" w:pos="4351"/>
          <w:tab w:val="clear" w:pos="4531"/>
          <w:tab w:val="clear" w:pos="5071"/>
          <w:tab w:val="clear" w:pos="5791"/>
          <w:tab w:val="clear" w:pos="6511"/>
          <w:tab w:val="clear" w:pos="7231"/>
          <w:tab w:val="clear" w:pos="7951"/>
          <w:tab w:val="clear" w:pos="8671"/>
          <w:tab w:val="clear" w:pos="9391"/>
          <w:tab w:val="clear" w:pos="10111"/>
          <w:tab w:val="clear" w:pos="10831"/>
          <w:tab w:val="clear" w:pos="11551"/>
          <w:tab w:val="left" w:pos="-787"/>
          <w:tab w:val="left" w:pos="0"/>
          <w:tab w:val="left" w:pos="720"/>
          <w:tab w:val="left" w:pos="1440"/>
          <w:tab w:val="left" w:pos="2160"/>
          <w:tab w:val="left" w:pos="2880"/>
          <w:tab w:val="left" w:pos="3600"/>
          <w:tab w:val="left" w:pos="4320"/>
          <w:tab w:val="left" w:pos="4500"/>
        </w:tabs>
        <w:snapToGrid w:val="0"/>
        <w:spacing w:line="276" w:lineRule="auto"/>
        <w:ind w:right="-22"/>
        <w:rPr>
          <w:rFonts w:ascii="Arial" w:hAnsi="Arial"/>
          <w:sz w:val="20"/>
        </w:rPr>
      </w:pPr>
    </w:p>
    <w:p w14:paraId="67447AD9" w14:textId="623E94E2" w:rsidR="00305939" w:rsidRPr="00424274" w:rsidRDefault="00305939" w:rsidP="00305939">
      <w:pPr>
        <w:pStyle w:val="Telobesedila2"/>
        <w:widowControl/>
        <w:tabs>
          <w:tab w:val="clear" w:pos="-689"/>
          <w:tab w:val="clear" w:pos="31"/>
          <w:tab w:val="clear" w:pos="751"/>
          <w:tab w:val="clear" w:pos="1471"/>
          <w:tab w:val="clear" w:pos="2191"/>
          <w:tab w:val="clear" w:pos="2911"/>
          <w:tab w:val="clear" w:pos="3631"/>
          <w:tab w:val="clear" w:pos="4351"/>
          <w:tab w:val="clear" w:pos="4531"/>
          <w:tab w:val="clear" w:pos="5071"/>
          <w:tab w:val="clear" w:pos="5791"/>
          <w:tab w:val="clear" w:pos="6511"/>
          <w:tab w:val="clear" w:pos="7231"/>
          <w:tab w:val="clear" w:pos="7951"/>
          <w:tab w:val="clear" w:pos="8671"/>
          <w:tab w:val="clear" w:pos="9391"/>
          <w:tab w:val="clear" w:pos="10111"/>
          <w:tab w:val="clear" w:pos="10831"/>
          <w:tab w:val="clear" w:pos="11551"/>
          <w:tab w:val="left" w:pos="-787"/>
          <w:tab w:val="left" w:pos="0"/>
          <w:tab w:val="left" w:pos="720"/>
          <w:tab w:val="left" w:pos="1440"/>
          <w:tab w:val="left" w:pos="2160"/>
          <w:tab w:val="left" w:pos="2880"/>
          <w:tab w:val="left" w:pos="3600"/>
          <w:tab w:val="left" w:pos="4320"/>
          <w:tab w:val="left" w:pos="4500"/>
        </w:tabs>
        <w:snapToGrid w:val="0"/>
        <w:spacing w:line="276" w:lineRule="auto"/>
        <w:ind w:right="-22"/>
        <w:rPr>
          <w:rFonts w:ascii="Arial" w:hAnsi="Arial"/>
          <w:sz w:val="20"/>
        </w:rPr>
      </w:pPr>
      <w:r w:rsidRPr="00424274">
        <w:rPr>
          <w:rFonts w:ascii="Arial" w:hAnsi="Arial"/>
          <w:sz w:val="20"/>
        </w:rPr>
        <w:t xml:space="preserve">Zakon o preprečevanju pranja denarja in financiranja terorizma v 121. členu določa, da </w:t>
      </w:r>
      <w:r w:rsidR="002110AD">
        <w:rPr>
          <w:rFonts w:ascii="Arial" w:hAnsi="Arial"/>
          <w:sz w:val="20"/>
        </w:rPr>
        <w:t>morajo</w:t>
      </w:r>
      <w:r w:rsidRPr="00424274">
        <w:rPr>
          <w:rFonts w:ascii="Arial" w:hAnsi="Arial"/>
          <w:sz w:val="20"/>
        </w:rPr>
        <w:t xml:space="preserve"> zaradi centralizacije in analize vseh podatkov s področja pranja denarja sodišča, državna tožilstva in drugi državni organi </w:t>
      </w:r>
      <w:r w:rsidR="00814A21">
        <w:rPr>
          <w:rFonts w:ascii="Arial" w:hAnsi="Arial"/>
          <w:sz w:val="20"/>
        </w:rPr>
        <w:t>urad</w:t>
      </w:r>
      <w:r w:rsidRPr="00424274">
        <w:rPr>
          <w:rFonts w:ascii="Arial" w:hAnsi="Arial"/>
          <w:sz w:val="20"/>
        </w:rPr>
        <w:t xml:space="preserve">u </w:t>
      </w:r>
      <w:r w:rsidR="00151209">
        <w:rPr>
          <w:rFonts w:ascii="Arial" w:hAnsi="Arial"/>
          <w:sz w:val="20"/>
        </w:rPr>
        <w:t>sporočati</w:t>
      </w:r>
      <w:r w:rsidRPr="00424274">
        <w:rPr>
          <w:rFonts w:ascii="Arial" w:hAnsi="Arial"/>
          <w:sz w:val="20"/>
        </w:rPr>
        <w:t xml:space="preserve"> podatke o kaznivih dejanjih pranja denarja in kršitev ZPPDFT-1. Državni organi </w:t>
      </w:r>
      <w:r w:rsidR="002110AD">
        <w:rPr>
          <w:rFonts w:ascii="Arial" w:hAnsi="Arial"/>
          <w:sz w:val="20"/>
        </w:rPr>
        <w:t>morajo</w:t>
      </w:r>
      <w:r w:rsidRPr="00424274">
        <w:rPr>
          <w:rFonts w:ascii="Arial" w:hAnsi="Arial"/>
          <w:sz w:val="20"/>
        </w:rPr>
        <w:t xml:space="preserve"> na podlagi tega člena </w:t>
      </w:r>
      <w:r w:rsidR="00814A21">
        <w:rPr>
          <w:rFonts w:ascii="Arial" w:hAnsi="Arial"/>
          <w:sz w:val="20"/>
        </w:rPr>
        <w:t>urad</w:t>
      </w:r>
      <w:r w:rsidRPr="00424274">
        <w:rPr>
          <w:rFonts w:ascii="Arial" w:hAnsi="Arial"/>
          <w:sz w:val="20"/>
        </w:rPr>
        <w:t xml:space="preserve">u določene podatke </w:t>
      </w:r>
      <w:r w:rsidR="00151209">
        <w:rPr>
          <w:rFonts w:ascii="Arial" w:hAnsi="Arial"/>
          <w:sz w:val="20"/>
        </w:rPr>
        <w:t>sporočati</w:t>
      </w:r>
      <w:r w:rsidR="002110AD">
        <w:rPr>
          <w:rFonts w:ascii="Arial" w:hAnsi="Arial"/>
          <w:sz w:val="20"/>
        </w:rPr>
        <w:t xml:space="preserve"> sproti</w:t>
      </w:r>
      <w:r w:rsidRPr="00424274">
        <w:rPr>
          <w:rFonts w:ascii="Arial" w:hAnsi="Arial"/>
          <w:sz w:val="20"/>
        </w:rPr>
        <w:t xml:space="preserve"> in enkrat letno </w:t>
      </w:r>
      <w:r w:rsidR="00814A21">
        <w:rPr>
          <w:rFonts w:ascii="Arial" w:hAnsi="Arial"/>
          <w:sz w:val="20"/>
        </w:rPr>
        <w:t>urad</w:t>
      </w:r>
      <w:r w:rsidRPr="00424274">
        <w:rPr>
          <w:rFonts w:ascii="Arial" w:hAnsi="Arial"/>
          <w:sz w:val="20"/>
        </w:rPr>
        <w:t xml:space="preserve"> obvestiti o ugotovitvah v zvezi s prejetimi obvestili in informacijami, državna tožilstva in sodišča pa o osebah in postopkih, zoper katere teče predkazenski ali kazenski postopek ali postopek o prekršku.</w:t>
      </w:r>
    </w:p>
    <w:p w14:paraId="4929BCF6" w14:textId="77777777" w:rsidR="00305939" w:rsidRPr="00424274" w:rsidRDefault="00305939" w:rsidP="00305939">
      <w:pPr>
        <w:pStyle w:val="Telobesedila"/>
        <w:spacing w:line="276" w:lineRule="auto"/>
        <w:ind w:right="-22"/>
        <w:rPr>
          <w:rFonts w:ascii="Arial" w:hAnsi="Arial"/>
          <w:b/>
          <w:i/>
          <w:sz w:val="20"/>
        </w:rPr>
      </w:pPr>
    </w:p>
    <w:p w14:paraId="6142F2F2" w14:textId="2829AEBA" w:rsidR="00305939" w:rsidRPr="00424274" w:rsidRDefault="00305939" w:rsidP="00305939">
      <w:pPr>
        <w:pStyle w:val="Telobesedila"/>
        <w:spacing w:line="276" w:lineRule="auto"/>
        <w:ind w:right="-22"/>
        <w:rPr>
          <w:rFonts w:ascii="Arial" w:hAnsi="Arial"/>
          <w:b/>
          <w:i/>
          <w:sz w:val="20"/>
        </w:rPr>
      </w:pPr>
      <w:r w:rsidRPr="00424274">
        <w:rPr>
          <w:rFonts w:ascii="Arial" w:hAnsi="Arial"/>
          <w:b/>
          <w:i/>
          <w:sz w:val="20"/>
        </w:rPr>
        <w:t xml:space="preserve">Kot smo že navedli, sta </w:t>
      </w:r>
      <w:r w:rsidR="004728ED">
        <w:rPr>
          <w:rFonts w:ascii="Arial" w:hAnsi="Arial"/>
          <w:b/>
          <w:i/>
          <w:sz w:val="20"/>
        </w:rPr>
        <w:t>p</w:t>
      </w:r>
      <w:r w:rsidRPr="00424274">
        <w:rPr>
          <w:rFonts w:ascii="Arial" w:hAnsi="Arial"/>
          <w:b/>
          <w:i/>
          <w:sz w:val="20"/>
        </w:rPr>
        <w:t xml:space="preserve">olicija in tožilstvo v okviru svojih pooblastil v letu 2020 podala kazenske ovadbe ali </w:t>
      </w:r>
      <w:r w:rsidR="002110AD">
        <w:rPr>
          <w:rFonts w:ascii="Arial" w:hAnsi="Arial"/>
          <w:b/>
          <w:i/>
          <w:sz w:val="20"/>
        </w:rPr>
        <w:t>za</w:t>
      </w:r>
      <w:r w:rsidRPr="00424274">
        <w:rPr>
          <w:rFonts w:ascii="Arial" w:hAnsi="Arial"/>
          <w:b/>
          <w:i/>
          <w:sz w:val="20"/>
        </w:rPr>
        <w:t>čela kazenski postop</w:t>
      </w:r>
      <w:r w:rsidR="002110AD">
        <w:rPr>
          <w:rFonts w:ascii="Arial" w:hAnsi="Arial"/>
          <w:b/>
          <w:i/>
          <w:sz w:val="20"/>
        </w:rPr>
        <w:t>e</w:t>
      </w:r>
      <w:r w:rsidRPr="00424274">
        <w:rPr>
          <w:rFonts w:ascii="Arial" w:hAnsi="Arial"/>
          <w:b/>
          <w:i/>
          <w:sz w:val="20"/>
        </w:rPr>
        <w:t xml:space="preserve">k </w:t>
      </w:r>
      <w:r w:rsidRPr="00424274">
        <w:rPr>
          <w:rFonts w:ascii="Arial" w:hAnsi="Arial"/>
          <w:b/>
          <w:i/>
          <w:sz w:val="20"/>
          <w:u w:val="single"/>
        </w:rPr>
        <w:t>v 31 zadevah.</w:t>
      </w:r>
      <w:r w:rsidRPr="00424274">
        <w:rPr>
          <w:rFonts w:ascii="Arial" w:hAnsi="Arial"/>
          <w:b/>
          <w:i/>
          <w:sz w:val="20"/>
        </w:rPr>
        <w:t xml:space="preserve"> V teh postopkih, ki se nanašajo na sume storitve kaznivega dejanja pranja denarja, je bilo obravnavanih</w:t>
      </w:r>
      <w:r w:rsidRPr="00424274">
        <w:rPr>
          <w:rFonts w:ascii="Arial" w:hAnsi="Arial"/>
          <w:b/>
          <w:i/>
          <w:sz w:val="20"/>
          <w:u w:val="single"/>
        </w:rPr>
        <w:t xml:space="preserve"> 49 fizičnih in 20 pravni</w:t>
      </w:r>
      <w:r w:rsidR="000645F3" w:rsidRPr="00424274">
        <w:rPr>
          <w:rFonts w:ascii="Arial" w:hAnsi="Arial"/>
          <w:b/>
          <w:i/>
          <w:sz w:val="20"/>
          <w:u w:val="single"/>
        </w:rPr>
        <w:t>h</w:t>
      </w:r>
      <w:r w:rsidRPr="00424274">
        <w:rPr>
          <w:rFonts w:ascii="Arial" w:hAnsi="Arial"/>
          <w:b/>
          <w:i/>
          <w:sz w:val="20"/>
          <w:u w:val="single"/>
        </w:rPr>
        <w:t xml:space="preserve"> oseb.</w:t>
      </w:r>
      <w:r w:rsidRPr="00424274">
        <w:rPr>
          <w:rFonts w:ascii="Arial" w:hAnsi="Arial"/>
          <w:b/>
          <w:i/>
          <w:sz w:val="20"/>
        </w:rPr>
        <w:t xml:space="preserve"> </w:t>
      </w:r>
    </w:p>
    <w:p w14:paraId="606F15FD" w14:textId="77777777" w:rsidR="00305939" w:rsidRPr="00424274" w:rsidRDefault="00305939" w:rsidP="00305939">
      <w:pPr>
        <w:pStyle w:val="Telobesedila"/>
        <w:spacing w:line="276" w:lineRule="auto"/>
        <w:ind w:right="-22"/>
        <w:rPr>
          <w:rFonts w:ascii="Arial" w:hAnsi="Arial"/>
          <w:iCs/>
          <w:sz w:val="20"/>
        </w:rPr>
      </w:pPr>
    </w:p>
    <w:p w14:paraId="20AB7037" w14:textId="6BF957AB" w:rsidR="00305939" w:rsidRPr="00424274" w:rsidRDefault="00305939" w:rsidP="00305939">
      <w:pPr>
        <w:pStyle w:val="Telobesedila"/>
        <w:spacing w:line="276" w:lineRule="auto"/>
        <w:ind w:right="-22"/>
        <w:rPr>
          <w:rFonts w:ascii="Arial" w:hAnsi="Arial"/>
          <w:iCs/>
          <w:sz w:val="20"/>
        </w:rPr>
      </w:pPr>
      <w:r w:rsidRPr="00424274">
        <w:rPr>
          <w:rFonts w:ascii="Arial" w:hAnsi="Arial"/>
          <w:iCs/>
          <w:sz w:val="20"/>
        </w:rPr>
        <w:t xml:space="preserve">V letu 2020 </w:t>
      </w:r>
      <w:r w:rsidR="002110AD">
        <w:rPr>
          <w:rFonts w:ascii="Arial" w:hAnsi="Arial"/>
          <w:iCs/>
          <w:sz w:val="20"/>
        </w:rPr>
        <w:t xml:space="preserve">se </w:t>
      </w:r>
      <w:r w:rsidRPr="00424274">
        <w:rPr>
          <w:rFonts w:ascii="Arial" w:hAnsi="Arial"/>
          <w:iCs/>
          <w:sz w:val="20"/>
        </w:rPr>
        <w:t xml:space="preserve">je število na novo uvedenih predkazenskih in kazenskih postopkov glede na prejšnje leto </w:t>
      </w:r>
      <w:r w:rsidR="002110AD">
        <w:rPr>
          <w:rFonts w:ascii="Arial" w:hAnsi="Arial"/>
          <w:iCs/>
          <w:sz w:val="20"/>
        </w:rPr>
        <w:t>spet</w:t>
      </w:r>
      <w:r w:rsidR="002110AD" w:rsidRPr="00424274">
        <w:rPr>
          <w:rFonts w:ascii="Arial" w:hAnsi="Arial"/>
          <w:iCs/>
          <w:sz w:val="20"/>
        </w:rPr>
        <w:t xml:space="preserve"> </w:t>
      </w:r>
      <w:r w:rsidRPr="00424274">
        <w:rPr>
          <w:rFonts w:ascii="Arial" w:hAnsi="Arial"/>
          <w:iCs/>
          <w:sz w:val="20"/>
        </w:rPr>
        <w:t xml:space="preserve">zmanjšalo </w:t>
      </w:r>
      <w:r w:rsidR="002110AD">
        <w:rPr>
          <w:rFonts w:ascii="Arial" w:hAnsi="Arial"/>
          <w:iCs/>
          <w:sz w:val="20"/>
        </w:rPr>
        <w:t>s</w:t>
      </w:r>
      <w:r w:rsidRPr="00424274">
        <w:rPr>
          <w:rFonts w:ascii="Arial" w:hAnsi="Arial"/>
          <w:iCs/>
          <w:sz w:val="20"/>
        </w:rPr>
        <w:t xml:space="preserve"> 53 na 31 postopkov, kar je polovica povprečnega števila novih postopkov iz obdobj</w:t>
      </w:r>
      <w:r w:rsidR="002110AD">
        <w:rPr>
          <w:rFonts w:ascii="Arial" w:hAnsi="Arial"/>
          <w:iCs/>
          <w:sz w:val="20"/>
        </w:rPr>
        <w:t>a</w:t>
      </w:r>
      <w:r w:rsidRPr="00424274">
        <w:rPr>
          <w:rFonts w:ascii="Arial" w:hAnsi="Arial"/>
          <w:iCs/>
          <w:sz w:val="20"/>
        </w:rPr>
        <w:t xml:space="preserve"> 2010</w:t>
      </w:r>
      <w:r w:rsidR="002110AD">
        <w:rPr>
          <w:rFonts w:ascii="Arial" w:hAnsi="Arial"/>
          <w:iCs/>
          <w:sz w:val="20"/>
        </w:rPr>
        <w:t>–</w:t>
      </w:r>
      <w:r w:rsidRPr="00424274">
        <w:rPr>
          <w:rFonts w:ascii="Arial" w:hAnsi="Arial"/>
          <w:iCs/>
          <w:sz w:val="20"/>
        </w:rPr>
        <w:t>2015, ko je povprečno število novih postopkov znašalo skoraj 60 novih zadev.</w:t>
      </w:r>
    </w:p>
    <w:p w14:paraId="6BFCB7A2" w14:textId="77777777" w:rsidR="00305939" w:rsidRPr="00424274" w:rsidRDefault="00305939" w:rsidP="00305939">
      <w:pPr>
        <w:pStyle w:val="Telobesedila2"/>
        <w:tabs>
          <w:tab w:val="clear" w:pos="-689"/>
          <w:tab w:val="clear" w:pos="31"/>
          <w:tab w:val="clear" w:pos="751"/>
          <w:tab w:val="clear" w:pos="1471"/>
          <w:tab w:val="clear" w:pos="2191"/>
          <w:tab w:val="clear" w:pos="2911"/>
          <w:tab w:val="clear" w:pos="3631"/>
          <w:tab w:val="clear" w:pos="4351"/>
          <w:tab w:val="left" w:pos="-787"/>
          <w:tab w:val="left" w:pos="0"/>
          <w:tab w:val="left" w:pos="720"/>
          <w:tab w:val="left" w:pos="1440"/>
          <w:tab w:val="left" w:pos="2160"/>
          <w:tab w:val="left" w:pos="2880"/>
          <w:tab w:val="left" w:pos="3600"/>
          <w:tab w:val="left" w:pos="4320"/>
          <w:tab w:val="left" w:pos="4500"/>
        </w:tabs>
        <w:spacing w:line="276" w:lineRule="auto"/>
        <w:ind w:right="-22"/>
        <w:rPr>
          <w:rFonts w:ascii="Arial" w:hAnsi="Arial"/>
          <w:iCs/>
          <w:sz w:val="20"/>
        </w:rPr>
      </w:pPr>
    </w:p>
    <w:p w14:paraId="591DB0E5" w14:textId="4A4BBC49" w:rsidR="00305939" w:rsidRPr="00424274" w:rsidRDefault="00305939" w:rsidP="00305939">
      <w:pPr>
        <w:pStyle w:val="Telobesedila2"/>
        <w:tabs>
          <w:tab w:val="clear" w:pos="-689"/>
          <w:tab w:val="clear" w:pos="31"/>
          <w:tab w:val="clear" w:pos="751"/>
          <w:tab w:val="clear" w:pos="1471"/>
          <w:tab w:val="clear" w:pos="2191"/>
          <w:tab w:val="clear" w:pos="2911"/>
          <w:tab w:val="clear" w:pos="3631"/>
          <w:tab w:val="clear" w:pos="4351"/>
          <w:tab w:val="left" w:pos="-787"/>
          <w:tab w:val="left" w:pos="0"/>
          <w:tab w:val="left" w:pos="720"/>
          <w:tab w:val="left" w:pos="1440"/>
          <w:tab w:val="left" w:pos="2160"/>
          <w:tab w:val="left" w:pos="2880"/>
          <w:tab w:val="left" w:pos="3600"/>
          <w:tab w:val="left" w:pos="4320"/>
          <w:tab w:val="left" w:pos="4500"/>
        </w:tabs>
        <w:spacing w:line="276" w:lineRule="auto"/>
        <w:ind w:right="-22"/>
        <w:rPr>
          <w:rFonts w:ascii="Arial" w:hAnsi="Arial"/>
          <w:b/>
          <w:i/>
          <w:iCs/>
          <w:sz w:val="20"/>
        </w:rPr>
      </w:pPr>
      <w:r w:rsidRPr="00424274">
        <w:rPr>
          <w:rFonts w:ascii="Arial" w:hAnsi="Arial"/>
          <w:b/>
          <w:i/>
          <w:iCs/>
          <w:sz w:val="20"/>
        </w:rPr>
        <w:t xml:space="preserve">Ugotovimo lahko, da sta se v zadnjih osmih letih </w:t>
      </w:r>
      <w:r w:rsidR="002110AD">
        <w:rPr>
          <w:rFonts w:ascii="Arial" w:hAnsi="Arial"/>
          <w:b/>
          <w:i/>
          <w:iCs/>
          <w:sz w:val="20"/>
        </w:rPr>
        <w:t>za</w:t>
      </w:r>
      <w:r w:rsidRPr="00424274">
        <w:rPr>
          <w:rFonts w:ascii="Arial" w:hAnsi="Arial"/>
          <w:b/>
          <w:i/>
          <w:iCs/>
          <w:sz w:val="20"/>
        </w:rPr>
        <w:t xml:space="preserve">čela 402 postopka v zvezi s pranjem denarja, kar je več kot polovica od vseh 636 postopkov za kaznivo dejanje pranja denarja od leta 1995 </w:t>
      </w:r>
      <w:r w:rsidR="002110AD">
        <w:rPr>
          <w:rFonts w:ascii="Arial" w:hAnsi="Arial"/>
          <w:b/>
          <w:i/>
          <w:iCs/>
          <w:sz w:val="20"/>
        </w:rPr>
        <w:t>naprej</w:t>
      </w:r>
      <w:r w:rsidRPr="00424274">
        <w:rPr>
          <w:rFonts w:ascii="Arial" w:hAnsi="Arial"/>
          <w:b/>
          <w:i/>
          <w:iCs/>
          <w:sz w:val="20"/>
        </w:rPr>
        <w:t>.</w:t>
      </w:r>
    </w:p>
    <w:p w14:paraId="63182285" w14:textId="77777777" w:rsidR="00305939" w:rsidRPr="00424274" w:rsidRDefault="00305939" w:rsidP="00305939">
      <w:pPr>
        <w:pStyle w:val="Telobesedila"/>
        <w:spacing w:line="276" w:lineRule="auto"/>
        <w:ind w:right="-22"/>
        <w:rPr>
          <w:rFonts w:ascii="Arial" w:hAnsi="Arial"/>
          <w:sz w:val="20"/>
        </w:rPr>
      </w:pPr>
    </w:p>
    <w:p w14:paraId="2FF146A6" w14:textId="51820BBD" w:rsidR="00305939" w:rsidRPr="00424274" w:rsidRDefault="00305939" w:rsidP="00305939">
      <w:pPr>
        <w:pStyle w:val="Telobesedila"/>
        <w:spacing w:line="276" w:lineRule="auto"/>
        <w:ind w:right="-22"/>
        <w:rPr>
          <w:rFonts w:ascii="Arial" w:hAnsi="Arial"/>
          <w:sz w:val="20"/>
        </w:rPr>
      </w:pPr>
      <w:r w:rsidRPr="00424274">
        <w:rPr>
          <w:rFonts w:ascii="Arial" w:hAnsi="Arial"/>
          <w:sz w:val="20"/>
        </w:rPr>
        <w:t xml:space="preserve">V nadaljevanju ločeno </w:t>
      </w:r>
      <w:r w:rsidR="00151209">
        <w:rPr>
          <w:rFonts w:ascii="Arial" w:hAnsi="Arial"/>
          <w:sz w:val="20"/>
        </w:rPr>
        <w:t>predstavljamo</w:t>
      </w:r>
      <w:r w:rsidR="00151209" w:rsidRPr="00424274">
        <w:rPr>
          <w:rFonts w:ascii="Arial" w:hAnsi="Arial"/>
          <w:sz w:val="20"/>
        </w:rPr>
        <w:t xml:space="preserve"> </w:t>
      </w:r>
      <w:r w:rsidRPr="00424274">
        <w:rPr>
          <w:rFonts w:ascii="Arial" w:hAnsi="Arial"/>
          <w:sz w:val="20"/>
        </w:rPr>
        <w:t xml:space="preserve">podatke o vloženih kazenskih ovadbah </w:t>
      </w:r>
      <w:r w:rsidR="004728ED">
        <w:rPr>
          <w:rFonts w:ascii="Arial" w:hAnsi="Arial"/>
          <w:sz w:val="20"/>
        </w:rPr>
        <w:t>p</w:t>
      </w:r>
      <w:r w:rsidRPr="00424274">
        <w:rPr>
          <w:rFonts w:ascii="Arial" w:hAnsi="Arial"/>
          <w:sz w:val="20"/>
        </w:rPr>
        <w:t xml:space="preserve">olicije in samostojno začetih postopkih tožilstva ter pojasnjujemo sodelovanje </w:t>
      </w:r>
      <w:r w:rsidR="00814A21">
        <w:rPr>
          <w:rFonts w:ascii="Arial" w:hAnsi="Arial"/>
          <w:sz w:val="20"/>
        </w:rPr>
        <w:t>urad</w:t>
      </w:r>
      <w:r w:rsidRPr="00424274">
        <w:rPr>
          <w:rFonts w:ascii="Arial" w:hAnsi="Arial"/>
          <w:sz w:val="20"/>
        </w:rPr>
        <w:t>a v teh zadevah.</w:t>
      </w:r>
    </w:p>
    <w:p w14:paraId="5F20BD26" w14:textId="05092090" w:rsidR="00851C49" w:rsidRPr="00424274" w:rsidRDefault="00292A8B" w:rsidP="006D5A5A">
      <w:pPr>
        <w:pStyle w:val="Naslov3"/>
      </w:pPr>
      <w:bookmarkStart w:id="84" w:name="_Toc113535469"/>
      <w:r w:rsidRPr="00424274">
        <w:t xml:space="preserve">4.1.1 </w:t>
      </w:r>
      <w:r w:rsidR="00851C49" w:rsidRPr="00424274">
        <w:t xml:space="preserve">Statistični podatki </w:t>
      </w:r>
      <w:r w:rsidR="004728ED">
        <w:t>p</w:t>
      </w:r>
      <w:r w:rsidR="00851C49" w:rsidRPr="00424274">
        <w:t>olicije o kaznivih dejanjih pranja denarja</w:t>
      </w:r>
      <w:bookmarkEnd w:id="84"/>
    </w:p>
    <w:p w14:paraId="06053A7E" w14:textId="77777777" w:rsidR="00851C49" w:rsidRPr="00424274" w:rsidRDefault="00851C49" w:rsidP="004845A0">
      <w:pPr>
        <w:pStyle w:val="Telobesedila"/>
        <w:spacing w:line="276" w:lineRule="auto"/>
        <w:ind w:right="-22"/>
        <w:rPr>
          <w:rFonts w:ascii="Arial" w:hAnsi="Arial"/>
          <w:sz w:val="20"/>
        </w:rPr>
      </w:pPr>
    </w:p>
    <w:p w14:paraId="3A4D4A20" w14:textId="10081172" w:rsidR="00B0453B" w:rsidRPr="00424274" w:rsidRDefault="00B0453B" w:rsidP="00B0453B">
      <w:pPr>
        <w:widowControl/>
        <w:spacing w:line="276" w:lineRule="auto"/>
        <w:ind w:right="-22"/>
        <w:rPr>
          <w:rFonts w:ascii="Arial" w:hAnsi="Arial"/>
          <w:sz w:val="20"/>
        </w:rPr>
      </w:pPr>
      <w:r w:rsidRPr="00424274">
        <w:rPr>
          <w:rFonts w:ascii="Arial" w:hAnsi="Arial"/>
          <w:sz w:val="20"/>
        </w:rPr>
        <w:t xml:space="preserve">Na podlagi podatkov o podanih kazenskih ovadbah, ki jih mora </w:t>
      </w:r>
      <w:r w:rsidR="004728ED">
        <w:rPr>
          <w:rFonts w:ascii="Arial" w:hAnsi="Arial"/>
          <w:sz w:val="20"/>
        </w:rPr>
        <w:t>p</w:t>
      </w:r>
      <w:r w:rsidRPr="00424274">
        <w:rPr>
          <w:rFonts w:ascii="Arial" w:hAnsi="Arial"/>
          <w:sz w:val="20"/>
        </w:rPr>
        <w:t xml:space="preserve">olicija </w:t>
      </w:r>
      <w:r w:rsidR="00151209">
        <w:rPr>
          <w:rFonts w:ascii="Arial" w:hAnsi="Arial"/>
          <w:sz w:val="20"/>
        </w:rPr>
        <w:t>sproti</w:t>
      </w:r>
      <w:r w:rsidR="00151209" w:rsidRPr="00424274">
        <w:rPr>
          <w:rFonts w:ascii="Arial" w:hAnsi="Arial"/>
          <w:sz w:val="20"/>
        </w:rPr>
        <w:t xml:space="preserve"> </w:t>
      </w:r>
      <w:r w:rsidR="00151209">
        <w:rPr>
          <w:rFonts w:ascii="Arial" w:hAnsi="Arial"/>
          <w:sz w:val="20"/>
        </w:rPr>
        <w:t>sporočati</w:t>
      </w:r>
      <w:r w:rsidR="00151209" w:rsidRPr="00424274">
        <w:rPr>
          <w:rFonts w:ascii="Arial" w:hAnsi="Arial"/>
          <w:sz w:val="20"/>
        </w:rPr>
        <w:t xml:space="preserve"> </w:t>
      </w:r>
      <w:r w:rsidR="00814A21">
        <w:rPr>
          <w:rFonts w:ascii="Arial" w:hAnsi="Arial"/>
          <w:sz w:val="20"/>
        </w:rPr>
        <w:t>urad</w:t>
      </w:r>
      <w:r w:rsidRPr="00424274">
        <w:rPr>
          <w:rFonts w:ascii="Arial" w:hAnsi="Arial"/>
          <w:sz w:val="20"/>
        </w:rPr>
        <w:t xml:space="preserve">u, ugotavljamo, da je </w:t>
      </w:r>
      <w:r w:rsidR="004728ED">
        <w:rPr>
          <w:rFonts w:ascii="Arial" w:hAnsi="Arial"/>
          <w:sz w:val="20"/>
        </w:rPr>
        <w:t>p</w:t>
      </w:r>
      <w:r w:rsidRPr="00424274">
        <w:rPr>
          <w:rFonts w:ascii="Arial" w:hAnsi="Arial"/>
          <w:sz w:val="20"/>
        </w:rPr>
        <w:t xml:space="preserve">olicija v letu 2020 podala 26 kazenskih ovadb za kaznivo dejanje pranja denarja, od katerih je 23 vsebovalo podatke, ki jih je </w:t>
      </w:r>
      <w:r w:rsidR="004728ED">
        <w:rPr>
          <w:rFonts w:ascii="Arial" w:hAnsi="Arial"/>
          <w:sz w:val="20"/>
        </w:rPr>
        <w:t>p</w:t>
      </w:r>
      <w:r w:rsidRPr="00424274">
        <w:rPr>
          <w:rFonts w:ascii="Arial" w:hAnsi="Arial"/>
          <w:sz w:val="20"/>
        </w:rPr>
        <w:t xml:space="preserve">oliciji v svojih izdelkih </w:t>
      </w:r>
      <w:r w:rsidR="00151209">
        <w:rPr>
          <w:rFonts w:ascii="Arial" w:hAnsi="Arial"/>
          <w:sz w:val="20"/>
        </w:rPr>
        <w:t>sporočil</w:t>
      </w:r>
      <w:r w:rsidR="00151209" w:rsidRPr="00424274">
        <w:rPr>
          <w:rFonts w:ascii="Arial" w:hAnsi="Arial"/>
          <w:sz w:val="20"/>
        </w:rPr>
        <w:t xml:space="preserve"> </w:t>
      </w:r>
      <w:r w:rsidR="00814A21">
        <w:rPr>
          <w:rFonts w:ascii="Arial" w:hAnsi="Arial"/>
          <w:sz w:val="20"/>
        </w:rPr>
        <w:t>urad</w:t>
      </w:r>
      <w:r w:rsidRPr="00424274">
        <w:rPr>
          <w:rFonts w:ascii="Arial" w:hAnsi="Arial"/>
          <w:sz w:val="20"/>
        </w:rPr>
        <w:t>.</w:t>
      </w:r>
    </w:p>
    <w:p w14:paraId="42218DAF" w14:textId="77777777" w:rsidR="00B0453B" w:rsidRPr="00424274" w:rsidRDefault="00B0453B" w:rsidP="00B0453B">
      <w:pPr>
        <w:widowControl/>
        <w:spacing w:line="276" w:lineRule="auto"/>
        <w:ind w:right="-22"/>
        <w:rPr>
          <w:rFonts w:ascii="Arial" w:hAnsi="Arial"/>
          <w:sz w:val="20"/>
          <w:highlight w:val="yellow"/>
        </w:rPr>
      </w:pPr>
    </w:p>
    <w:p w14:paraId="27D17E08" w14:textId="2B1A0932" w:rsidR="00005CBE" w:rsidRPr="00424274" w:rsidRDefault="00B0453B" w:rsidP="00292A8B">
      <w:pPr>
        <w:widowControl/>
        <w:spacing w:line="276" w:lineRule="auto"/>
        <w:ind w:right="-22"/>
        <w:rPr>
          <w:rFonts w:ascii="Arial" w:hAnsi="Arial"/>
          <w:sz w:val="20"/>
        </w:rPr>
      </w:pPr>
      <w:r w:rsidRPr="00424274">
        <w:rPr>
          <w:rFonts w:ascii="Arial" w:hAnsi="Arial"/>
          <w:sz w:val="20"/>
        </w:rPr>
        <w:t xml:space="preserve">V obdobju 2010–2020 je </w:t>
      </w:r>
      <w:r w:rsidR="004728ED">
        <w:rPr>
          <w:rFonts w:ascii="Arial" w:hAnsi="Arial"/>
          <w:sz w:val="20"/>
        </w:rPr>
        <w:t>p</w:t>
      </w:r>
      <w:r w:rsidRPr="00424274">
        <w:rPr>
          <w:rFonts w:ascii="Arial" w:hAnsi="Arial"/>
          <w:sz w:val="20"/>
        </w:rPr>
        <w:t xml:space="preserve">olicija skupno podala </w:t>
      </w:r>
      <w:r w:rsidRPr="00424274">
        <w:rPr>
          <w:rFonts w:ascii="Arial" w:hAnsi="Arial"/>
          <w:b/>
          <w:i/>
          <w:sz w:val="20"/>
        </w:rPr>
        <w:t>461 kazenskih ovadb</w:t>
      </w:r>
      <w:r w:rsidRPr="00424274">
        <w:rPr>
          <w:rFonts w:ascii="Arial" w:hAnsi="Arial"/>
          <w:sz w:val="20"/>
        </w:rPr>
        <w:t xml:space="preserve"> zaradi utemeljenega suma storitve kaznivega dejanja pranja denarja, kar je 83,06 % vseh začetih postopkov (555) po kaznivem dejanju pranja denarja v tem obdobju. Preostale postopke je </w:t>
      </w:r>
      <w:r w:rsidR="00151209">
        <w:rPr>
          <w:rFonts w:ascii="Arial" w:hAnsi="Arial"/>
          <w:sz w:val="20"/>
        </w:rPr>
        <w:t>za</w:t>
      </w:r>
      <w:r w:rsidRPr="00424274">
        <w:rPr>
          <w:rFonts w:ascii="Arial" w:hAnsi="Arial"/>
          <w:sz w:val="20"/>
        </w:rPr>
        <w:t xml:space="preserve">čelo tožilstvo samostojno oziroma so nastali z izločitvami oseb iz kazenskih postopkov. Število podanih kazenskih ovadb </w:t>
      </w:r>
      <w:r w:rsidR="004728ED">
        <w:rPr>
          <w:rFonts w:ascii="Arial" w:hAnsi="Arial"/>
          <w:sz w:val="20"/>
        </w:rPr>
        <w:t>p</w:t>
      </w:r>
      <w:r w:rsidRPr="00424274">
        <w:rPr>
          <w:rFonts w:ascii="Arial" w:hAnsi="Arial"/>
          <w:sz w:val="20"/>
        </w:rPr>
        <w:t>olicije zaradi utemeljenih razlogov za sum storitve kaznivega dejanja pranja denarja v posameznem letu za obdobje 2010–2020 prikazujemo v naslednjem grafu.</w:t>
      </w:r>
    </w:p>
    <w:p w14:paraId="7151E04D" w14:textId="50BE32CB" w:rsidR="00005CBE" w:rsidRPr="00424274" w:rsidRDefault="00005CBE" w:rsidP="00D21F86">
      <w:pPr>
        <w:pStyle w:val="Telobesedila"/>
        <w:spacing w:line="276" w:lineRule="auto"/>
        <w:ind w:right="-22"/>
        <w:rPr>
          <w:rFonts w:ascii="Arial" w:hAnsi="Arial"/>
          <w:sz w:val="20"/>
        </w:rPr>
      </w:pPr>
    </w:p>
    <w:p w14:paraId="2BAF68B1" w14:textId="05096C63" w:rsidR="00452895" w:rsidRDefault="00452895" w:rsidP="00D21F86">
      <w:pPr>
        <w:pStyle w:val="Telobesedila"/>
        <w:spacing w:line="276" w:lineRule="auto"/>
        <w:ind w:right="-22"/>
        <w:rPr>
          <w:rFonts w:ascii="Arial" w:hAnsi="Arial"/>
          <w:sz w:val="20"/>
        </w:rPr>
      </w:pPr>
    </w:p>
    <w:p w14:paraId="558FCF41" w14:textId="77777777" w:rsidR="004A4DB6" w:rsidRPr="00424274" w:rsidRDefault="004A4DB6" w:rsidP="00D21F86">
      <w:pPr>
        <w:pStyle w:val="Telobesedila"/>
        <w:spacing w:line="276" w:lineRule="auto"/>
        <w:ind w:right="-22"/>
        <w:rPr>
          <w:rFonts w:ascii="Arial" w:hAnsi="Arial"/>
          <w:sz w:val="20"/>
        </w:rPr>
      </w:pPr>
    </w:p>
    <w:p w14:paraId="3590D9B5" w14:textId="77777777" w:rsidR="00452895" w:rsidRPr="00424274" w:rsidRDefault="00452895" w:rsidP="00D21F86">
      <w:pPr>
        <w:pStyle w:val="Telobesedila"/>
        <w:spacing w:line="276" w:lineRule="auto"/>
        <w:ind w:right="-22"/>
        <w:rPr>
          <w:rFonts w:ascii="Arial" w:hAnsi="Arial"/>
          <w:sz w:val="20"/>
        </w:rPr>
      </w:pPr>
    </w:p>
    <w:p w14:paraId="6E2876F3" w14:textId="07EB9CB9" w:rsidR="00552439" w:rsidRPr="00424274" w:rsidRDefault="00552439" w:rsidP="00552439">
      <w:pPr>
        <w:widowControl/>
        <w:spacing w:line="276" w:lineRule="auto"/>
        <w:ind w:left="851" w:right="-22" w:hanging="851"/>
        <w:rPr>
          <w:rFonts w:ascii="Arial" w:hAnsi="Arial"/>
          <w:b/>
          <w:i/>
          <w:sz w:val="20"/>
        </w:rPr>
      </w:pPr>
      <w:r w:rsidRPr="00424274">
        <w:rPr>
          <w:rFonts w:ascii="Arial" w:hAnsi="Arial"/>
          <w:b/>
          <w:i/>
          <w:sz w:val="20"/>
        </w:rPr>
        <w:t xml:space="preserve">Graf 5: </w:t>
      </w:r>
      <w:r w:rsidRPr="00424274">
        <w:rPr>
          <w:rFonts w:ascii="Arial" w:hAnsi="Arial"/>
          <w:b/>
          <w:i/>
          <w:sz w:val="20"/>
        </w:rPr>
        <w:tab/>
        <w:t xml:space="preserve">Število podanih kazenskih ovadb </w:t>
      </w:r>
      <w:r w:rsidR="004728ED">
        <w:rPr>
          <w:rFonts w:ascii="Arial" w:hAnsi="Arial"/>
          <w:b/>
          <w:i/>
          <w:sz w:val="20"/>
        </w:rPr>
        <w:t>p</w:t>
      </w:r>
      <w:r w:rsidRPr="00424274">
        <w:rPr>
          <w:rFonts w:ascii="Arial" w:hAnsi="Arial"/>
          <w:b/>
          <w:i/>
          <w:sz w:val="20"/>
        </w:rPr>
        <w:t>olicije za kaznivo dejanje pranja denarja v obdobju 2010–2020</w:t>
      </w:r>
    </w:p>
    <w:p w14:paraId="4124B665" w14:textId="38762027" w:rsidR="00FB7FF2" w:rsidRPr="00424274" w:rsidRDefault="00FB7FF2" w:rsidP="00552439">
      <w:pPr>
        <w:widowControl/>
        <w:spacing w:line="276" w:lineRule="auto"/>
        <w:ind w:left="851" w:right="-22" w:hanging="851"/>
        <w:rPr>
          <w:rFonts w:ascii="Arial" w:hAnsi="Arial"/>
          <w:b/>
          <w:i/>
          <w:sz w:val="20"/>
        </w:rPr>
      </w:pPr>
    </w:p>
    <w:p w14:paraId="26BC3B61" w14:textId="5EF3B122" w:rsidR="00FB7FF2" w:rsidRPr="00424274" w:rsidRDefault="00FB7FF2" w:rsidP="00552439">
      <w:pPr>
        <w:widowControl/>
        <w:spacing w:line="276" w:lineRule="auto"/>
        <w:ind w:left="851" w:right="-22" w:hanging="851"/>
        <w:rPr>
          <w:rFonts w:ascii="Arial" w:hAnsi="Arial"/>
          <w:b/>
          <w:i/>
          <w:sz w:val="20"/>
        </w:rPr>
      </w:pPr>
    </w:p>
    <w:p w14:paraId="45DF6075" w14:textId="77777777" w:rsidR="00FB7FF2" w:rsidRPr="00424274" w:rsidRDefault="00FB7FF2" w:rsidP="00552439">
      <w:pPr>
        <w:widowControl/>
        <w:spacing w:line="276" w:lineRule="auto"/>
        <w:ind w:left="851" w:right="-22" w:hanging="851"/>
        <w:rPr>
          <w:rFonts w:ascii="Arial" w:hAnsi="Arial"/>
          <w:b/>
          <w:i/>
          <w:sz w:val="20"/>
        </w:rPr>
      </w:pPr>
    </w:p>
    <w:p w14:paraId="6AA97F76" w14:textId="695F28EF" w:rsidR="00FB7FF2" w:rsidRPr="00424274" w:rsidRDefault="00FB7FF2" w:rsidP="00552439">
      <w:pPr>
        <w:widowControl/>
        <w:spacing w:line="276" w:lineRule="auto"/>
        <w:ind w:left="851" w:right="-22" w:hanging="851"/>
        <w:rPr>
          <w:rFonts w:ascii="Arial" w:hAnsi="Arial"/>
          <w:b/>
          <w:i/>
          <w:sz w:val="20"/>
        </w:rPr>
      </w:pPr>
      <w:r w:rsidRPr="00424274">
        <w:rPr>
          <w:noProof/>
          <w:lang w:eastAsia="sl-SI"/>
        </w:rPr>
        <w:drawing>
          <wp:inline distT="0" distB="0" distL="0" distR="0" wp14:anchorId="02B25309" wp14:editId="62DC801A">
            <wp:extent cx="5746750" cy="3406140"/>
            <wp:effectExtent l="0" t="0" r="6350" b="3810"/>
            <wp:docPr id="1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311B9846" w14:textId="77777777" w:rsidR="00CF225F" w:rsidRPr="00424274" w:rsidRDefault="00CF225F" w:rsidP="00D21F86">
      <w:pPr>
        <w:pStyle w:val="Telobesedila"/>
        <w:spacing w:line="276" w:lineRule="auto"/>
        <w:ind w:right="-22"/>
        <w:rPr>
          <w:rFonts w:ascii="Arial" w:hAnsi="Arial"/>
          <w:sz w:val="20"/>
        </w:rPr>
      </w:pPr>
    </w:p>
    <w:p w14:paraId="312B5A40" w14:textId="09D0A32D" w:rsidR="005F6E3F" w:rsidRPr="00424274" w:rsidRDefault="005F6E3F" w:rsidP="005F6E3F">
      <w:pPr>
        <w:pStyle w:val="Telobesedila"/>
        <w:spacing w:line="276" w:lineRule="auto"/>
        <w:ind w:right="-22"/>
        <w:rPr>
          <w:rFonts w:ascii="Arial" w:hAnsi="Arial"/>
          <w:sz w:val="20"/>
        </w:rPr>
      </w:pPr>
      <w:r w:rsidRPr="00424274">
        <w:rPr>
          <w:rFonts w:ascii="Arial" w:hAnsi="Arial"/>
          <w:sz w:val="20"/>
        </w:rPr>
        <w:t xml:space="preserve">Policija je v letu 2020 podala skupno 26 kazenskih ovadb zaradi utemeljenih sumov storitve kaznivega dejanja pranja denarja, kar je pod povprečjem zadnjih šestih let. Iz grafa je razvidno, da je v prejšnjih letih približno 60 % vseh podanih kazenskih ovadb zaradi utemeljenih sumov storitve kaznivega dejanja pranja denarja temeljilo na obvestilih </w:t>
      </w:r>
      <w:r w:rsidR="00814A21">
        <w:rPr>
          <w:rFonts w:ascii="Arial" w:hAnsi="Arial"/>
          <w:sz w:val="20"/>
        </w:rPr>
        <w:t>urad</w:t>
      </w:r>
      <w:r w:rsidRPr="00424274">
        <w:rPr>
          <w:rFonts w:ascii="Arial" w:hAnsi="Arial"/>
          <w:sz w:val="20"/>
        </w:rPr>
        <w:t xml:space="preserve">a. Pri tem ugotavljamo, da razmerje močno odstopa samo v letih 2018 in 2020, ko je bilo tudi podanih najmanj kazenskih ovadb v zadnjih desetih letih in je delež obvestil </w:t>
      </w:r>
      <w:r w:rsidR="00814A21">
        <w:rPr>
          <w:rFonts w:ascii="Arial" w:hAnsi="Arial"/>
          <w:sz w:val="20"/>
        </w:rPr>
        <w:t>urad</w:t>
      </w:r>
      <w:r w:rsidRPr="00424274">
        <w:rPr>
          <w:rFonts w:ascii="Arial" w:hAnsi="Arial"/>
          <w:sz w:val="20"/>
        </w:rPr>
        <w:t>a znašal kar 87 %.</w:t>
      </w:r>
    </w:p>
    <w:p w14:paraId="3D95104D" w14:textId="664BE91C" w:rsidR="00851C49" w:rsidRPr="00424274" w:rsidRDefault="00292A8B" w:rsidP="006D5A5A">
      <w:pPr>
        <w:pStyle w:val="Naslov3"/>
      </w:pPr>
      <w:bookmarkStart w:id="85" w:name="_Toc113535470"/>
      <w:r w:rsidRPr="00424274">
        <w:t xml:space="preserve">4.1.2 </w:t>
      </w:r>
      <w:r w:rsidR="00851C49" w:rsidRPr="00424274">
        <w:t>Statistični podatki tožilstev o kaznivih dejanjih pranja denarja</w:t>
      </w:r>
      <w:bookmarkEnd w:id="85"/>
    </w:p>
    <w:p w14:paraId="1A9F3670" w14:textId="77777777" w:rsidR="00B07DAD" w:rsidRPr="00424274" w:rsidRDefault="00B07DAD" w:rsidP="00D21F86">
      <w:pPr>
        <w:spacing w:line="276" w:lineRule="auto"/>
        <w:rPr>
          <w:rFonts w:ascii="Arial" w:hAnsi="Arial"/>
          <w:sz w:val="20"/>
        </w:rPr>
      </w:pPr>
    </w:p>
    <w:p w14:paraId="1A949B2A" w14:textId="3AD27661" w:rsidR="000832EF" w:rsidRPr="00424274" w:rsidRDefault="000832EF" w:rsidP="000832EF">
      <w:pPr>
        <w:tabs>
          <w:tab w:val="left" w:pos="-1049"/>
          <w:tab w:val="left" w:pos="-787"/>
          <w:tab w:val="left" w:pos="0"/>
          <w:tab w:val="left" w:pos="720"/>
          <w:tab w:val="left" w:pos="1440"/>
          <w:tab w:val="left" w:pos="2160"/>
          <w:tab w:val="left" w:pos="2880"/>
          <w:tab w:val="left" w:pos="3600"/>
          <w:tab w:val="left" w:pos="4320"/>
          <w:tab w:val="left" w:pos="4500"/>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right="-22"/>
        <w:rPr>
          <w:rFonts w:ascii="Arial" w:hAnsi="Arial"/>
          <w:sz w:val="20"/>
        </w:rPr>
      </w:pPr>
      <w:r w:rsidRPr="00424274">
        <w:rPr>
          <w:rFonts w:ascii="Arial" w:hAnsi="Arial"/>
          <w:sz w:val="20"/>
        </w:rPr>
        <w:t xml:space="preserve">Tožilstvo v predkazenskem postopku pri odkrivanju kaznivih dejanj usmerja delo </w:t>
      </w:r>
      <w:r w:rsidR="004728ED">
        <w:rPr>
          <w:rFonts w:ascii="Arial" w:hAnsi="Arial"/>
          <w:sz w:val="20"/>
        </w:rPr>
        <w:t>p</w:t>
      </w:r>
      <w:r w:rsidRPr="00424274">
        <w:rPr>
          <w:rFonts w:ascii="Arial" w:hAnsi="Arial"/>
          <w:sz w:val="20"/>
        </w:rPr>
        <w:t xml:space="preserve">olicije, kot organ pregona pa na podlagi kazenskih ovadb </w:t>
      </w:r>
      <w:r w:rsidR="004728ED">
        <w:rPr>
          <w:rFonts w:ascii="Arial" w:hAnsi="Arial"/>
          <w:sz w:val="20"/>
        </w:rPr>
        <w:t>p</w:t>
      </w:r>
      <w:r w:rsidRPr="00424274">
        <w:rPr>
          <w:rFonts w:ascii="Arial" w:hAnsi="Arial"/>
          <w:sz w:val="20"/>
        </w:rPr>
        <w:t xml:space="preserve">olicije preiskovalnemu sodniku predlaga uvedbo sodne preiskave ali pa zoper osumljence vlaga </w:t>
      </w:r>
      <w:r w:rsidR="00151209">
        <w:rPr>
          <w:rFonts w:ascii="Arial" w:hAnsi="Arial"/>
          <w:sz w:val="20"/>
        </w:rPr>
        <w:t>neposredne</w:t>
      </w:r>
      <w:r w:rsidR="00151209" w:rsidRPr="00424274">
        <w:rPr>
          <w:rFonts w:ascii="Arial" w:hAnsi="Arial"/>
          <w:sz w:val="20"/>
        </w:rPr>
        <w:t xml:space="preserve"> </w:t>
      </w:r>
      <w:r w:rsidRPr="00424274">
        <w:rPr>
          <w:rFonts w:ascii="Arial" w:hAnsi="Arial"/>
          <w:sz w:val="20"/>
        </w:rPr>
        <w:t>obtožnice. Tožilstvo tako sodeluje v vseh fazah predkazenskega in kazenskega postopka, kot je razvidno iz točke 4.1.4, v kateri opisujemo faze postopkov v zadevah</w:t>
      </w:r>
      <w:r w:rsidR="00151209">
        <w:rPr>
          <w:rFonts w:ascii="Arial" w:hAnsi="Arial"/>
          <w:sz w:val="20"/>
        </w:rPr>
        <w:t>,</w:t>
      </w:r>
      <w:r w:rsidRPr="00424274">
        <w:rPr>
          <w:rFonts w:ascii="Arial" w:hAnsi="Arial"/>
          <w:sz w:val="20"/>
        </w:rPr>
        <w:t xml:space="preserve"> povezanih s kaznivim dejanjem pranja denarja. V nadaljevanju navajamo le podatke, ko so tožilstva sama začela postopek brez predhodne kazenske ovadbe </w:t>
      </w:r>
      <w:r w:rsidR="004728ED">
        <w:rPr>
          <w:rFonts w:ascii="Arial" w:hAnsi="Arial"/>
          <w:sz w:val="20"/>
        </w:rPr>
        <w:t>p</w:t>
      </w:r>
      <w:r w:rsidRPr="00424274">
        <w:rPr>
          <w:rFonts w:ascii="Arial" w:hAnsi="Arial"/>
          <w:sz w:val="20"/>
        </w:rPr>
        <w:t>olicije za</w:t>
      </w:r>
      <w:r w:rsidR="00537BB1">
        <w:rPr>
          <w:rFonts w:ascii="Arial" w:hAnsi="Arial"/>
          <w:sz w:val="20"/>
        </w:rPr>
        <w:t>radi</w:t>
      </w:r>
      <w:r w:rsidRPr="00424274">
        <w:rPr>
          <w:rFonts w:ascii="Arial" w:hAnsi="Arial"/>
          <w:sz w:val="20"/>
        </w:rPr>
        <w:t xml:space="preserve"> pranj</w:t>
      </w:r>
      <w:r w:rsidR="00537BB1">
        <w:rPr>
          <w:rFonts w:ascii="Arial" w:hAnsi="Arial"/>
          <w:sz w:val="20"/>
        </w:rPr>
        <w:t>a</w:t>
      </w:r>
      <w:r w:rsidRPr="00424274">
        <w:rPr>
          <w:rFonts w:ascii="Arial" w:hAnsi="Arial"/>
          <w:sz w:val="20"/>
        </w:rPr>
        <w:t xml:space="preserve"> denarja.</w:t>
      </w:r>
    </w:p>
    <w:p w14:paraId="521154ED" w14:textId="77777777" w:rsidR="000832EF" w:rsidRPr="00424274" w:rsidRDefault="000832EF" w:rsidP="000832EF">
      <w:pPr>
        <w:tabs>
          <w:tab w:val="left" w:pos="-1049"/>
          <w:tab w:val="left" w:pos="-787"/>
          <w:tab w:val="left" w:pos="0"/>
          <w:tab w:val="left" w:pos="720"/>
          <w:tab w:val="left" w:pos="1440"/>
          <w:tab w:val="left" w:pos="2160"/>
          <w:tab w:val="left" w:pos="2880"/>
          <w:tab w:val="left" w:pos="3600"/>
          <w:tab w:val="left" w:pos="4320"/>
          <w:tab w:val="left" w:pos="4500"/>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right="-22"/>
        <w:rPr>
          <w:rFonts w:ascii="Arial" w:hAnsi="Arial"/>
          <w:sz w:val="20"/>
          <w:highlight w:val="yellow"/>
        </w:rPr>
      </w:pPr>
    </w:p>
    <w:p w14:paraId="7DF3EA8D" w14:textId="37B1D0DD" w:rsidR="000832EF" w:rsidRPr="00424274" w:rsidRDefault="000832EF" w:rsidP="000832EF">
      <w:pPr>
        <w:tabs>
          <w:tab w:val="left" w:pos="-1049"/>
          <w:tab w:val="left" w:pos="-787"/>
          <w:tab w:val="left" w:pos="0"/>
          <w:tab w:val="left" w:pos="720"/>
          <w:tab w:val="left" w:pos="1440"/>
          <w:tab w:val="left" w:pos="2160"/>
          <w:tab w:val="left" w:pos="2880"/>
          <w:tab w:val="left" w:pos="3600"/>
          <w:tab w:val="left" w:pos="4320"/>
          <w:tab w:val="left" w:pos="4500"/>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right="-22"/>
        <w:rPr>
          <w:rFonts w:ascii="Arial" w:hAnsi="Arial"/>
          <w:sz w:val="20"/>
        </w:rPr>
      </w:pPr>
      <w:r w:rsidRPr="00424274">
        <w:rPr>
          <w:rFonts w:ascii="Arial" w:hAnsi="Arial"/>
          <w:sz w:val="20"/>
        </w:rPr>
        <w:t>Iz podatkov tožilstva</w:t>
      </w:r>
      <w:r w:rsidR="00814A21">
        <w:rPr>
          <w:rFonts w:ascii="Arial" w:hAnsi="Arial"/>
          <w:sz w:val="20"/>
        </w:rPr>
        <w:t>, poslanih</w:t>
      </w:r>
      <w:r w:rsidRPr="00424274">
        <w:rPr>
          <w:rFonts w:ascii="Arial" w:hAnsi="Arial"/>
          <w:sz w:val="20"/>
        </w:rPr>
        <w:t xml:space="preserve"> </w:t>
      </w:r>
      <w:r w:rsidR="00814A21">
        <w:rPr>
          <w:rFonts w:ascii="Arial" w:hAnsi="Arial"/>
          <w:sz w:val="20"/>
        </w:rPr>
        <w:t>u</w:t>
      </w:r>
      <w:r w:rsidRPr="00424274">
        <w:rPr>
          <w:rFonts w:ascii="Arial" w:hAnsi="Arial"/>
          <w:sz w:val="20"/>
        </w:rPr>
        <w:t>radu</w:t>
      </w:r>
      <w:r w:rsidR="00814A21">
        <w:rPr>
          <w:rFonts w:ascii="Arial" w:hAnsi="Arial"/>
          <w:sz w:val="20"/>
        </w:rPr>
        <w:t>,</w:t>
      </w:r>
      <w:r w:rsidRPr="00424274">
        <w:rPr>
          <w:rFonts w:ascii="Arial" w:hAnsi="Arial"/>
          <w:sz w:val="20"/>
        </w:rPr>
        <w:t xml:space="preserve"> je razvidno, da so tožilstva v letu 2020 sama, brez predhodne kazenske ovadbe </w:t>
      </w:r>
      <w:r w:rsidR="004728ED">
        <w:rPr>
          <w:rFonts w:ascii="Arial" w:hAnsi="Arial"/>
          <w:sz w:val="20"/>
        </w:rPr>
        <w:t>p</w:t>
      </w:r>
      <w:r w:rsidRPr="00424274">
        <w:rPr>
          <w:rFonts w:ascii="Arial" w:hAnsi="Arial"/>
          <w:sz w:val="20"/>
        </w:rPr>
        <w:t xml:space="preserve">olicije, </w:t>
      </w:r>
      <w:r w:rsidR="00814A21">
        <w:rPr>
          <w:rFonts w:ascii="Arial" w:hAnsi="Arial"/>
          <w:sz w:val="20"/>
        </w:rPr>
        <w:t>za</w:t>
      </w:r>
      <w:r w:rsidRPr="00424274">
        <w:rPr>
          <w:rFonts w:ascii="Arial" w:hAnsi="Arial"/>
          <w:sz w:val="20"/>
        </w:rPr>
        <w:t xml:space="preserve">čela </w:t>
      </w:r>
      <w:r w:rsidR="00814A21">
        <w:rPr>
          <w:rFonts w:ascii="Arial" w:hAnsi="Arial"/>
          <w:sz w:val="20"/>
        </w:rPr>
        <w:t>pet</w:t>
      </w:r>
      <w:r w:rsidRPr="00424274">
        <w:rPr>
          <w:rFonts w:ascii="Arial" w:hAnsi="Arial"/>
          <w:sz w:val="20"/>
        </w:rPr>
        <w:t xml:space="preserve"> novih predkazenskih ali kazenskih postopkov. Tožilstva so v obdobju 2010</w:t>
      </w:r>
      <w:r w:rsidR="00814A21">
        <w:rPr>
          <w:rFonts w:ascii="Arial" w:hAnsi="Arial"/>
          <w:sz w:val="20"/>
        </w:rPr>
        <w:t>–</w:t>
      </w:r>
      <w:r w:rsidRPr="00424274">
        <w:rPr>
          <w:rFonts w:ascii="Arial" w:hAnsi="Arial"/>
          <w:sz w:val="20"/>
        </w:rPr>
        <w:t xml:space="preserve">2020 brez predhodne ovadbe </w:t>
      </w:r>
      <w:r w:rsidR="004728ED">
        <w:rPr>
          <w:rFonts w:ascii="Arial" w:hAnsi="Arial"/>
          <w:sz w:val="20"/>
        </w:rPr>
        <w:t>p</w:t>
      </w:r>
      <w:r w:rsidRPr="00424274">
        <w:rPr>
          <w:rFonts w:ascii="Arial" w:hAnsi="Arial"/>
          <w:sz w:val="20"/>
        </w:rPr>
        <w:t xml:space="preserve">olicije sama začela postopke v </w:t>
      </w:r>
      <w:r w:rsidRPr="00424274">
        <w:rPr>
          <w:rFonts w:ascii="Arial" w:hAnsi="Arial"/>
          <w:b/>
          <w:i/>
          <w:sz w:val="20"/>
        </w:rPr>
        <w:t>100 zadevah</w:t>
      </w:r>
      <w:r w:rsidRPr="00424274">
        <w:rPr>
          <w:rFonts w:ascii="Arial" w:hAnsi="Arial"/>
          <w:sz w:val="20"/>
        </w:rPr>
        <w:t xml:space="preserve"> (od tega 27 na podlagi obvestil ali informacij </w:t>
      </w:r>
      <w:r w:rsidR="00814A21">
        <w:rPr>
          <w:rFonts w:ascii="Arial" w:hAnsi="Arial"/>
          <w:sz w:val="20"/>
        </w:rPr>
        <w:t>urad</w:t>
      </w:r>
      <w:r w:rsidRPr="00424274">
        <w:rPr>
          <w:rFonts w:ascii="Arial" w:hAnsi="Arial"/>
          <w:sz w:val="20"/>
        </w:rPr>
        <w:t>a), kar prikazujemo po posameznih letih v naslednjem grafu.</w:t>
      </w:r>
    </w:p>
    <w:p w14:paraId="3423BD6D" w14:textId="50897AFC" w:rsidR="009426E5" w:rsidRPr="00424274" w:rsidRDefault="009426E5" w:rsidP="00D21F86">
      <w:pPr>
        <w:pStyle w:val="Telobesedila2"/>
        <w:tabs>
          <w:tab w:val="clear" w:pos="-689"/>
          <w:tab w:val="clear" w:pos="31"/>
          <w:tab w:val="clear" w:pos="751"/>
          <w:tab w:val="clear" w:pos="1471"/>
          <w:tab w:val="clear" w:pos="2191"/>
          <w:tab w:val="clear" w:pos="2911"/>
          <w:tab w:val="clear" w:pos="3631"/>
          <w:tab w:val="clear" w:pos="4351"/>
          <w:tab w:val="left" w:pos="-787"/>
          <w:tab w:val="left" w:pos="720"/>
          <w:tab w:val="left" w:pos="1440"/>
          <w:tab w:val="left" w:pos="2160"/>
          <w:tab w:val="left" w:pos="2880"/>
          <w:tab w:val="left" w:pos="3600"/>
          <w:tab w:val="left" w:pos="4320"/>
          <w:tab w:val="left" w:pos="4500"/>
        </w:tabs>
        <w:spacing w:line="276" w:lineRule="auto"/>
        <w:ind w:right="-22"/>
        <w:rPr>
          <w:rFonts w:ascii="Arial" w:hAnsi="Arial"/>
          <w:bCs/>
          <w:sz w:val="20"/>
        </w:rPr>
      </w:pPr>
    </w:p>
    <w:p w14:paraId="453FF920" w14:textId="424529D3" w:rsidR="00B23C0F" w:rsidRPr="00424274" w:rsidRDefault="00B23C0F" w:rsidP="00D21F86">
      <w:pPr>
        <w:pStyle w:val="Telobesedila2"/>
        <w:tabs>
          <w:tab w:val="clear" w:pos="-689"/>
          <w:tab w:val="clear" w:pos="31"/>
          <w:tab w:val="clear" w:pos="751"/>
          <w:tab w:val="clear" w:pos="1471"/>
          <w:tab w:val="clear" w:pos="2191"/>
          <w:tab w:val="clear" w:pos="2911"/>
          <w:tab w:val="clear" w:pos="3631"/>
          <w:tab w:val="clear" w:pos="4351"/>
          <w:tab w:val="left" w:pos="-787"/>
          <w:tab w:val="left" w:pos="720"/>
          <w:tab w:val="left" w:pos="1440"/>
          <w:tab w:val="left" w:pos="2160"/>
          <w:tab w:val="left" w:pos="2880"/>
          <w:tab w:val="left" w:pos="3600"/>
          <w:tab w:val="left" w:pos="4320"/>
          <w:tab w:val="left" w:pos="4500"/>
        </w:tabs>
        <w:spacing w:line="276" w:lineRule="auto"/>
        <w:ind w:right="-22"/>
        <w:rPr>
          <w:rFonts w:ascii="Arial" w:hAnsi="Arial"/>
          <w:bCs/>
          <w:sz w:val="20"/>
        </w:rPr>
      </w:pPr>
    </w:p>
    <w:p w14:paraId="72625E63" w14:textId="42CBFAE5" w:rsidR="00B23C0F" w:rsidRPr="00424274" w:rsidRDefault="00B23C0F" w:rsidP="00D21F86">
      <w:pPr>
        <w:pStyle w:val="Telobesedila2"/>
        <w:tabs>
          <w:tab w:val="clear" w:pos="-689"/>
          <w:tab w:val="clear" w:pos="31"/>
          <w:tab w:val="clear" w:pos="751"/>
          <w:tab w:val="clear" w:pos="1471"/>
          <w:tab w:val="clear" w:pos="2191"/>
          <w:tab w:val="clear" w:pos="2911"/>
          <w:tab w:val="clear" w:pos="3631"/>
          <w:tab w:val="clear" w:pos="4351"/>
          <w:tab w:val="left" w:pos="-787"/>
          <w:tab w:val="left" w:pos="720"/>
          <w:tab w:val="left" w:pos="1440"/>
          <w:tab w:val="left" w:pos="2160"/>
          <w:tab w:val="left" w:pos="2880"/>
          <w:tab w:val="left" w:pos="3600"/>
          <w:tab w:val="left" w:pos="4320"/>
          <w:tab w:val="left" w:pos="4500"/>
        </w:tabs>
        <w:spacing w:line="276" w:lineRule="auto"/>
        <w:ind w:right="-22"/>
        <w:rPr>
          <w:rFonts w:ascii="Arial" w:hAnsi="Arial"/>
          <w:bCs/>
          <w:sz w:val="20"/>
        </w:rPr>
      </w:pPr>
    </w:p>
    <w:p w14:paraId="2664F1A5" w14:textId="0997013D" w:rsidR="00B23C0F" w:rsidRPr="00424274" w:rsidRDefault="00B23C0F" w:rsidP="00D21F86">
      <w:pPr>
        <w:pStyle w:val="Telobesedila2"/>
        <w:tabs>
          <w:tab w:val="clear" w:pos="-689"/>
          <w:tab w:val="clear" w:pos="31"/>
          <w:tab w:val="clear" w:pos="751"/>
          <w:tab w:val="clear" w:pos="1471"/>
          <w:tab w:val="clear" w:pos="2191"/>
          <w:tab w:val="clear" w:pos="2911"/>
          <w:tab w:val="clear" w:pos="3631"/>
          <w:tab w:val="clear" w:pos="4351"/>
          <w:tab w:val="left" w:pos="-787"/>
          <w:tab w:val="left" w:pos="720"/>
          <w:tab w:val="left" w:pos="1440"/>
          <w:tab w:val="left" w:pos="2160"/>
          <w:tab w:val="left" w:pos="2880"/>
          <w:tab w:val="left" w:pos="3600"/>
          <w:tab w:val="left" w:pos="4320"/>
          <w:tab w:val="left" w:pos="4500"/>
        </w:tabs>
        <w:spacing w:line="276" w:lineRule="auto"/>
        <w:ind w:right="-22"/>
        <w:rPr>
          <w:rFonts w:ascii="Arial" w:hAnsi="Arial"/>
          <w:bCs/>
          <w:sz w:val="20"/>
        </w:rPr>
      </w:pPr>
    </w:p>
    <w:p w14:paraId="40E0C49D" w14:textId="09E39F85" w:rsidR="00B23C0F" w:rsidRPr="00424274" w:rsidRDefault="00B23C0F" w:rsidP="00D21F86">
      <w:pPr>
        <w:pStyle w:val="Telobesedila2"/>
        <w:tabs>
          <w:tab w:val="clear" w:pos="-689"/>
          <w:tab w:val="clear" w:pos="31"/>
          <w:tab w:val="clear" w:pos="751"/>
          <w:tab w:val="clear" w:pos="1471"/>
          <w:tab w:val="clear" w:pos="2191"/>
          <w:tab w:val="clear" w:pos="2911"/>
          <w:tab w:val="clear" w:pos="3631"/>
          <w:tab w:val="clear" w:pos="4351"/>
          <w:tab w:val="left" w:pos="-787"/>
          <w:tab w:val="left" w:pos="720"/>
          <w:tab w:val="left" w:pos="1440"/>
          <w:tab w:val="left" w:pos="2160"/>
          <w:tab w:val="left" w:pos="2880"/>
          <w:tab w:val="left" w:pos="3600"/>
          <w:tab w:val="left" w:pos="4320"/>
          <w:tab w:val="left" w:pos="4500"/>
        </w:tabs>
        <w:spacing w:line="276" w:lineRule="auto"/>
        <w:ind w:right="-22"/>
        <w:rPr>
          <w:rFonts w:ascii="Arial" w:hAnsi="Arial"/>
          <w:bCs/>
          <w:sz w:val="20"/>
        </w:rPr>
      </w:pPr>
    </w:p>
    <w:p w14:paraId="7C6B54AE" w14:textId="3C9C8D39" w:rsidR="00B23C0F" w:rsidRPr="00424274" w:rsidRDefault="00B23C0F" w:rsidP="00D21F86">
      <w:pPr>
        <w:pStyle w:val="Telobesedila2"/>
        <w:tabs>
          <w:tab w:val="clear" w:pos="-689"/>
          <w:tab w:val="clear" w:pos="31"/>
          <w:tab w:val="clear" w:pos="751"/>
          <w:tab w:val="clear" w:pos="1471"/>
          <w:tab w:val="clear" w:pos="2191"/>
          <w:tab w:val="clear" w:pos="2911"/>
          <w:tab w:val="clear" w:pos="3631"/>
          <w:tab w:val="clear" w:pos="4351"/>
          <w:tab w:val="left" w:pos="-787"/>
          <w:tab w:val="left" w:pos="720"/>
          <w:tab w:val="left" w:pos="1440"/>
          <w:tab w:val="left" w:pos="2160"/>
          <w:tab w:val="left" w:pos="2880"/>
          <w:tab w:val="left" w:pos="3600"/>
          <w:tab w:val="left" w:pos="4320"/>
          <w:tab w:val="left" w:pos="4500"/>
        </w:tabs>
        <w:spacing w:line="276" w:lineRule="auto"/>
        <w:ind w:right="-22"/>
        <w:rPr>
          <w:rFonts w:ascii="Arial" w:hAnsi="Arial"/>
          <w:bCs/>
          <w:sz w:val="20"/>
        </w:rPr>
      </w:pPr>
    </w:p>
    <w:p w14:paraId="4DA0CEFC" w14:textId="77777777" w:rsidR="00B23C0F" w:rsidRPr="00424274" w:rsidRDefault="00B23C0F" w:rsidP="00D21F86">
      <w:pPr>
        <w:pStyle w:val="Telobesedila2"/>
        <w:tabs>
          <w:tab w:val="clear" w:pos="-689"/>
          <w:tab w:val="clear" w:pos="31"/>
          <w:tab w:val="clear" w:pos="751"/>
          <w:tab w:val="clear" w:pos="1471"/>
          <w:tab w:val="clear" w:pos="2191"/>
          <w:tab w:val="clear" w:pos="2911"/>
          <w:tab w:val="clear" w:pos="3631"/>
          <w:tab w:val="clear" w:pos="4351"/>
          <w:tab w:val="left" w:pos="-787"/>
          <w:tab w:val="left" w:pos="720"/>
          <w:tab w:val="left" w:pos="1440"/>
          <w:tab w:val="left" w:pos="2160"/>
          <w:tab w:val="left" w:pos="2880"/>
          <w:tab w:val="left" w:pos="3600"/>
          <w:tab w:val="left" w:pos="4320"/>
          <w:tab w:val="left" w:pos="4500"/>
        </w:tabs>
        <w:spacing w:line="276" w:lineRule="auto"/>
        <w:ind w:right="-22"/>
        <w:rPr>
          <w:rFonts w:ascii="Arial" w:hAnsi="Arial"/>
          <w:bCs/>
          <w:sz w:val="20"/>
        </w:rPr>
      </w:pPr>
    </w:p>
    <w:p w14:paraId="048234F5" w14:textId="7EE55197" w:rsidR="008129D5" w:rsidRPr="00424274" w:rsidRDefault="008129D5" w:rsidP="008129D5">
      <w:pPr>
        <w:tabs>
          <w:tab w:val="left" w:pos="-1049"/>
          <w:tab w:val="left" w:pos="-787"/>
          <w:tab w:val="left" w:pos="720"/>
          <w:tab w:val="left" w:pos="1440"/>
          <w:tab w:val="left" w:pos="2160"/>
          <w:tab w:val="left" w:pos="2880"/>
          <w:tab w:val="left" w:pos="3600"/>
          <w:tab w:val="left" w:pos="4320"/>
          <w:tab w:val="left" w:pos="4500"/>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left="851" w:right="-22" w:hanging="851"/>
        <w:rPr>
          <w:rFonts w:ascii="Arial" w:hAnsi="Arial"/>
          <w:b/>
          <w:bCs/>
          <w:i/>
          <w:sz w:val="20"/>
        </w:rPr>
      </w:pPr>
      <w:r w:rsidRPr="00424274">
        <w:rPr>
          <w:rFonts w:ascii="Arial" w:hAnsi="Arial"/>
          <w:b/>
          <w:bCs/>
          <w:i/>
          <w:sz w:val="20"/>
        </w:rPr>
        <w:lastRenderedPageBreak/>
        <w:t xml:space="preserve">Graf 6: </w:t>
      </w:r>
      <w:r w:rsidRPr="00424274">
        <w:rPr>
          <w:rFonts w:ascii="Arial" w:hAnsi="Arial"/>
          <w:b/>
          <w:bCs/>
          <w:i/>
          <w:sz w:val="20"/>
        </w:rPr>
        <w:tab/>
      </w:r>
      <w:r w:rsidRPr="00424274">
        <w:rPr>
          <w:rFonts w:ascii="Arial" w:hAnsi="Arial"/>
          <w:b/>
          <w:bCs/>
          <w:i/>
          <w:sz w:val="20"/>
        </w:rPr>
        <w:tab/>
        <w:t xml:space="preserve">Število samostojno začetih postopkov tožilstva za kaznivo dejanje pranja denarja (brez predhodno podane kazenske ovadbe </w:t>
      </w:r>
      <w:r w:rsidR="004728ED">
        <w:rPr>
          <w:rFonts w:ascii="Arial" w:hAnsi="Arial"/>
          <w:b/>
          <w:bCs/>
          <w:i/>
          <w:sz w:val="20"/>
        </w:rPr>
        <w:t>p</w:t>
      </w:r>
      <w:r w:rsidRPr="00424274">
        <w:rPr>
          <w:rFonts w:ascii="Arial" w:hAnsi="Arial"/>
          <w:b/>
          <w:bCs/>
          <w:i/>
          <w:sz w:val="20"/>
        </w:rPr>
        <w:t>olicije za</w:t>
      </w:r>
      <w:r w:rsidR="00537BB1">
        <w:rPr>
          <w:rFonts w:ascii="Arial" w:hAnsi="Arial"/>
          <w:b/>
          <w:bCs/>
          <w:i/>
          <w:sz w:val="20"/>
        </w:rPr>
        <w:t>radi</w:t>
      </w:r>
      <w:r w:rsidRPr="00424274">
        <w:rPr>
          <w:rFonts w:ascii="Arial" w:hAnsi="Arial"/>
          <w:b/>
          <w:bCs/>
          <w:i/>
          <w:sz w:val="20"/>
        </w:rPr>
        <w:t xml:space="preserve"> pranj</w:t>
      </w:r>
      <w:r w:rsidR="00537BB1">
        <w:rPr>
          <w:rFonts w:ascii="Arial" w:hAnsi="Arial"/>
          <w:b/>
          <w:bCs/>
          <w:i/>
          <w:sz w:val="20"/>
        </w:rPr>
        <w:t>a</w:t>
      </w:r>
      <w:r w:rsidRPr="00424274">
        <w:rPr>
          <w:rFonts w:ascii="Arial" w:hAnsi="Arial"/>
          <w:b/>
          <w:bCs/>
          <w:i/>
          <w:sz w:val="20"/>
        </w:rPr>
        <w:t xml:space="preserve"> denarja) v obdobju 2010–2020</w:t>
      </w:r>
    </w:p>
    <w:p w14:paraId="7B2AA5E5" w14:textId="2E2B2A31" w:rsidR="00DD6FF0" w:rsidRPr="00424274" w:rsidRDefault="00DD6FF0" w:rsidP="00292A8B">
      <w:pPr>
        <w:tabs>
          <w:tab w:val="left" w:pos="-1049"/>
          <w:tab w:val="left" w:pos="-787"/>
          <w:tab w:val="left" w:pos="720"/>
          <w:tab w:val="left" w:pos="1440"/>
          <w:tab w:val="left" w:pos="2160"/>
          <w:tab w:val="left" w:pos="2880"/>
          <w:tab w:val="left" w:pos="3600"/>
          <w:tab w:val="left" w:pos="4320"/>
          <w:tab w:val="left" w:pos="4500"/>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right="-22"/>
        <w:rPr>
          <w:rFonts w:ascii="Arial" w:hAnsi="Arial"/>
          <w:b/>
          <w:bCs/>
          <w:i/>
          <w:sz w:val="20"/>
        </w:rPr>
      </w:pPr>
    </w:p>
    <w:p w14:paraId="48FE7823" w14:textId="52F21DC9" w:rsidR="00DD6FF0" w:rsidRPr="00424274" w:rsidRDefault="00DD6FF0" w:rsidP="008129D5">
      <w:pPr>
        <w:tabs>
          <w:tab w:val="left" w:pos="-1049"/>
          <w:tab w:val="left" w:pos="-787"/>
          <w:tab w:val="left" w:pos="720"/>
          <w:tab w:val="left" w:pos="1440"/>
          <w:tab w:val="left" w:pos="2160"/>
          <w:tab w:val="left" w:pos="2880"/>
          <w:tab w:val="left" w:pos="3600"/>
          <w:tab w:val="left" w:pos="4320"/>
          <w:tab w:val="left" w:pos="4500"/>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left="851" w:right="-22" w:hanging="851"/>
        <w:rPr>
          <w:rFonts w:ascii="Arial" w:hAnsi="Arial"/>
          <w:b/>
          <w:bCs/>
          <w:i/>
          <w:sz w:val="20"/>
        </w:rPr>
      </w:pPr>
    </w:p>
    <w:p w14:paraId="2D6D8083" w14:textId="5CE7E8EC" w:rsidR="00DD6FF0" w:rsidRPr="00424274" w:rsidRDefault="00DD6FF0" w:rsidP="008129D5">
      <w:pPr>
        <w:tabs>
          <w:tab w:val="left" w:pos="-1049"/>
          <w:tab w:val="left" w:pos="-787"/>
          <w:tab w:val="left" w:pos="720"/>
          <w:tab w:val="left" w:pos="1440"/>
          <w:tab w:val="left" w:pos="2160"/>
          <w:tab w:val="left" w:pos="2880"/>
          <w:tab w:val="left" w:pos="3600"/>
          <w:tab w:val="left" w:pos="4320"/>
          <w:tab w:val="left" w:pos="4500"/>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left="851" w:right="-22" w:hanging="851"/>
        <w:rPr>
          <w:rFonts w:ascii="Arial" w:hAnsi="Arial"/>
          <w:b/>
          <w:bCs/>
          <w:i/>
          <w:sz w:val="20"/>
        </w:rPr>
      </w:pPr>
      <w:r w:rsidRPr="00424274">
        <w:rPr>
          <w:noProof/>
          <w:lang w:eastAsia="sl-SI"/>
        </w:rPr>
        <w:drawing>
          <wp:inline distT="0" distB="0" distL="0" distR="0" wp14:anchorId="47DF7C93" wp14:editId="64AC4053">
            <wp:extent cx="5746750" cy="3001645"/>
            <wp:effectExtent l="0" t="0" r="6350" b="825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54DA3E14" w14:textId="538C69F8" w:rsidR="00DD6FF0" w:rsidRPr="00424274" w:rsidRDefault="00DD6FF0" w:rsidP="008129D5">
      <w:pPr>
        <w:tabs>
          <w:tab w:val="left" w:pos="-1049"/>
          <w:tab w:val="left" w:pos="-787"/>
          <w:tab w:val="left" w:pos="720"/>
          <w:tab w:val="left" w:pos="1440"/>
          <w:tab w:val="left" w:pos="2160"/>
          <w:tab w:val="left" w:pos="2880"/>
          <w:tab w:val="left" w:pos="3600"/>
          <w:tab w:val="left" w:pos="4320"/>
          <w:tab w:val="left" w:pos="4500"/>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left="851" w:right="-22" w:hanging="851"/>
        <w:rPr>
          <w:rFonts w:ascii="Arial" w:hAnsi="Arial"/>
          <w:b/>
          <w:bCs/>
          <w:i/>
          <w:sz w:val="20"/>
        </w:rPr>
      </w:pPr>
    </w:p>
    <w:p w14:paraId="07E5452A" w14:textId="77777777" w:rsidR="004845A0" w:rsidRPr="00424274" w:rsidRDefault="004845A0" w:rsidP="00D21F86">
      <w:pPr>
        <w:pStyle w:val="Telobesedila2"/>
        <w:tabs>
          <w:tab w:val="clear" w:pos="-689"/>
          <w:tab w:val="clear" w:pos="31"/>
          <w:tab w:val="clear" w:pos="751"/>
          <w:tab w:val="clear" w:pos="1471"/>
          <w:tab w:val="clear" w:pos="2191"/>
          <w:tab w:val="clear" w:pos="2911"/>
          <w:tab w:val="clear" w:pos="3631"/>
          <w:tab w:val="clear" w:pos="4351"/>
          <w:tab w:val="left" w:pos="-787"/>
          <w:tab w:val="left" w:pos="0"/>
          <w:tab w:val="left" w:pos="720"/>
          <w:tab w:val="left" w:pos="1440"/>
          <w:tab w:val="left" w:pos="2160"/>
          <w:tab w:val="left" w:pos="2880"/>
          <w:tab w:val="left" w:pos="3600"/>
          <w:tab w:val="left" w:pos="4320"/>
          <w:tab w:val="left" w:pos="4500"/>
        </w:tabs>
        <w:spacing w:line="276" w:lineRule="auto"/>
        <w:ind w:right="-22"/>
        <w:rPr>
          <w:rFonts w:ascii="Arial" w:hAnsi="Arial"/>
          <w:iCs/>
          <w:sz w:val="20"/>
        </w:rPr>
      </w:pPr>
    </w:p>
    <w:p w14:paraId="3FECE9E1" w14:textId="295A8410" w:rsidR="005B37D4" w:rsidRPr="00424274" w:rsidRDefault="005B37D4" w:rsidP="005B37D4">
      <w:pPr>
        <w:pStyle w:val="Telobesedila2"/>
        <w:tabs>
          <w:tab w:val="clear" w:pos="-689"/>
          <w:tab w:val="clear" w:pos="31"/>
          <w:tab w:val="clear" w:pos="751"/>
          <w:tab w:val="clear" w:pos="1471"/>
          <w:tab w:val="clear" w:pos="2191"/>
          <w:tab w:val="clear" w:pos="2911"/>
          <w:tab w:val="clear" w:pos="3631"/>
          <w:tab w:val="clear" w:pos="4351"/>
          <w:tab w:val="left" w:pos="-787"/>
          <w:tab w:val="left" w:pos="0"/>
          <w:tab w:val="left" w:pos="720"/>
          <w:tab w:val="left" w:pos="1440"/>
          <w:tab w:val="left" w:pos="2160"/>
          <w:tab w:val="left" w:pos="2880"/>
          <w:tab w:val="left" w:pos="3600"/>
          <w:tab w:val="left" w:pos="4320"/>
          <w:tab w:val="left" w:pos="4500"/>
        </w:tabs>
        <w:spacing w:line="276" w:lineRule="auto"/>
        <w:ind w:right="-22"/>
        <w:rPr>
          <w:rFonts w:ascii="Arial" w:hAnsi="Arial"/>
          <w:iCs/>
          <w:sz w:val="20"/>
        </w:rPr>
      </w:pPr>
      <w:r w:rsidRPr="00424274">
        <w:rPr>
          <w:rFonts w:ascii="Arial" w:hAnsi="Arial"/>
          <w:iCs/>
          <w:sz w:val="20"/>
        </w:rPr>
        <w:t>Tožilstvo je v obdobju 2010</w:t>
      </w:r>
      <w:r w:rsidR="00151209">
        <w:rPr>
          <w:rFonts w:ascii="Arial" w:hAnsi="Arial"/>
          <w:iCs/>
          <w:sz w:val="20"/>
        </w:rPr>
        <w:t>–</w:t>
      </w:r>
      <w:r w:rsidRPr="00424274">
        <w:rPr>
          <w:rFonts w:ascii="Arial" w:hAnsi="Arial"/>
          <w:iCs/>
          <w:sz w:val="20"/>
        </w:rPr>
        <w:t xml:space="preserve">2016 </w:t>
      </w:r>
      <w:r w:rsidR="00151209">
        <w:rPr>
          <w:rFonts w:ascii="Arial" w:hAnsi="Arial"/>
          <w:iCs/>
          <w:sz w:val="20"/>
        </w:rPr>
        <w:t>samostojno za</w:t>
      </w:r>
      <w:r w:rsidRPr="00424274">
        <w:rPr>
          <w:rFonts w:ascii="Arial" w:hAnsi="Arial"/>
          <w:iCs/>
          <w:sz w:val="20"/>
        </w:rPr>
        <w:t>čelo pregon kaznivega dejanja pranja denarja po 245. členu KZ-1</w:t>
      </w:r>
      <w:r w:rsidR="009C7BF9" w:rsidRPr="00424274">
        <w:rPr>
          <w:rFonts w:ascii="Arial" w:hAnsi="Arial"/>
          <w:iCs/>
          <w:sz w:val="20"/>
        </w:rPr>
        <w:t xml:space="preserve"> </w:t>
      </w:r>
      <w:r w:rsidRPr="00424274">
        <w:rPr>
          <w:rFonts w:ascii="Arial" w:hAnsi="Arial"/>
          <w:iCs/>
          <w:sz w:val="20"/>
        </w:rPr>
        <w:t>v povprečno v 12 zadevah letno, medtem ko je v obdobju 2017</w:t>
      </w:r>
      <w:r w:rsidR="00151209">
        <w:rPr>
          <w:rFonts w:ascii="Arial" w:hAnsi="Arial"/>
          <w:iCs/>
          <w:sz w:val="20"/>
        </w:rPr>
        <w:t>–</w:t>
      </w:r>
      <w:r w:rsidRPr="00424274">
        <w:rPr>
          <w:rFonts w:ascii="Arial" w:hAnsi="Arial"/>
          <w:iCs/>
          <w:sz w:val="20"/>
        </w:rPr>
        <w:t xml:space="preserve">2020 zaznati občuten padec, saj </w:t>
      </w:r>
      <w:r w:rsidR="00151209">
        <w:rPr>
          <w:rFonts w:ascii="Arial" w:hAnsi="Arial"/>
          <w:iCs/>
          <w:sz w:val="20"/>
        </w:rPr>
        <w:t>je</w:t>
      </w:r>
      <w:r w:rsidR="00151209" w:rsidRPr="00424274">
        <w:rPr>
          <w:rFonts w:ascii="Arial" w:hAnsi="Arial"/>
          <w:iCs/>
          <w:sz w:val="20"/>
        </w:rPr>
        <w:t xml:space="preserve"> </w:t>
      </w:r>
      <w:r w:rsidR="00151209">
        <w:rPr>
          <w:rFonts w:ascii="Arial" w:hAnsi="Arial"/>
          <w:iCs/>
          <w:sz w:val="20"/>
        </w:rPr>
        <w:t xml:space="preserve">v </w:t>
      </w:r>
      <w:r w:rsidRPr="00424274">
        <w:rPr>
          <w:rFonts w:ascii="Arial" w:hAnsi="Arial"/>
          <w:iCs/>
          <w:sz w:val="20"/>
        </w:rPr>
        <w:t xml:space="preserve">tem obdobju </w:t>
      </w:r>
      <w:r w:rsidR="00151209">
        <w:rPr>
          <w:rFonts w:ascii="Arial" w:hAnsi="Arial"/>
          <w:iCs/>
          <w:sz w:val="20"/>
        </w:rPr>
        <w:t>za</w:t>
      </w:r>
      <w:r w:rsidRPr="00424274">
        <w:rPr>
          <w:rFonts w:ascii="Arial" w:hAnsi="Arial"/>
          <w:iCs/>
          <w:sz w:val="20"/>
        </w:rPr>
        <w:t>čel</w:t>
      </w:r>
      <w:r w:rsidR="00151209">
        <w:rPr>
          <w:rFonts w:ascii="Arial" w:hAnsi="Arial"/>
          <w:iCs/>
          <w:sz w:val="20"/>
        </w:rPr>
        <w:t>o</w:t>
      </w:r>
      <w:r w:rsidRPr="00424274">
        <w:rPr>
          <w:rFonts w:ascii="Arial" w:hAnsi="Arial"/>
          <w:iCs/>
          <w:sz w:val="20"/>
        </w:rPr>
        <w:t xml:space="preserve"> postopke v povprečno 3,75 zadev</w:t>
      </w:r>
      <w:r w:rsidR="00151209">
        <w:rPr>
          <w:rFonts w:ascii="Arial" w:hAnsi="Arial"/>
          <w:iCs/>
          <w:sz w:val="20"/>
        </w:rPr>
        <w:t>i</w:t>
      </w:r>
      <w:r w:rsidRPr="00424274">
        <w:rPr>
          <w:rFonts w:ascii="Arial" w:hAnsi="Arial"/>
          <w:iCs/>
          <w:sz w:val="20"/>
        </w:rPr>
        <w:t xml:space="preserve">. Kot bomo predstavili </w:t>
      </w:r>
      <w:r w:rsidR="00151209">
        <w:rPr>
          <w:rFonts w:ascii="Arial" w:hAnsi="Arial"/>
          <w:iCs/>
          <w:sz w:val="20"/>
        </w:rPr>
        <w:t>poz</w:t>
      </w:r>
      <w:r w:rsidRPr="00424274">
        <w:rPr>
          <w:rFonts w:ascii="Arial" w:hAnsi="Arial"/>
          <w:iCs/>
          <w:sz w:val="20"/>
        </w:rPr>
        <w:t>neje v poglavju 4.1.4.</w:t>
      </w:r>
      <w:r w:rsidR="00837E8B" w:rsidRPr="00424274">
        <w:rPr>
          <w:rFonts w:ascii="Arial" w:hAnsi="Arial"/>
          <w:iCs/>
          <w:sz w:val="20"/>
        </w:rPr>
        <w:t>,</w:t>
      </w:r>
      <w:r w:rsidRPr="00424274">
        <w:rPr>
          <w:rFonts w:ascii="Arial" w:hAnsi="Arial"/>
          <w:iCs/>
          <w:sz w:val="20"/>
        </w:rPr>
        <w:t xml:space="preserve"> tožilstvo kljub navedenemu ni zmanjšalo števila odločitev o nadaljevanju pregona v drugih fazah kazenskih postopkov.</w:t>
      </w:r>
    </w:p>
    <w:p w14:paraId="35A3265D" w14:textId="5C1846A7" w:rsidR="00851C49" w:rsidRPr="00424274" w:rsidRDefault="00292A8B" w:rsidP="006D5A5A">
      <w:pPr>
        <w:pStyle w:val="Naslov3"/>
      </w:pPr>
      <w:bookmarkStart w:id="86" w:name="_Toc113535471"/>
      <w:r w:rsidRPr="00424274">
        <w:t xml:space="preserve">4.1.3 </w:t>
      </w:r>
      <w:r w:rsidR="00851C49" w:rsidRPr="00424274">
        <w:t>Kazenske ovadbe in postopki</w:t>
      </w:r>
      <w:r w:rsidR="008126B7">
        <w:t>,</w:t>
      </w:r>
      <w:r w:rsidR="00851C49" w:rsidRPr="00424274">
        <w:t xml:space="preserve"> povezani s pranjem denarja</w:t>
      </w:r>
      <w:r w:rsidR="00656FBD">
        <w:t>,</w:t>
      </w:r>
      <w:r w:rsidR="00851C49" w:rsidRPr="00424274">
        <w:t xml:space="preserve"> </w:t>
      </w:r>
      <w:r w:rsidR="007C687A" w:rsidRPr="00424274">
        <w:t xml:space="preserve">glede na </w:t>
      </w:r>
      <w:r w:rsidR="00656FBD">
        <w:t>izvor</w:t>
      </w:r>
      <w:r w:rsidR="00656FBD" w:rsidRPr="00424274">
        <w:t xml:space="preserve"> </w:t>
      </w:r>
      <w:r w:rsidR="007C687A" w:rsidRPr="00424274">
        <w:t>začetnega podatka</w:t>
      </w:r>
      <w:bookmarkEnd w:id="86"/>
      <w:r w:rsidR="00FD2D1E">
        <w:t xml:space="preserve"> </w:t>
      </w:r>
    </w:p>
    <w:p w14:paraId="4F039E85" w14:textId="77777777" w:rsidR="007C687A" w:rsidRPr="00424274" w:rsidRDefault="007C687A" w:rsidP="00D21F86">
      <w:pPr>
        <w:spacing w:line="276" w:lineRule="auto"/>
      </w:pPr>
    </w:p>
    <w:p w14:paraId="053886D2" w14:textId="50A4DDE6" w:rsidR="003D696B" w:rsidRPr="00424274" w:rsidRDefault="003D696B" w:rsidP="003D696B">
      <w:pPr>
        <w:tabs>
          <w:tab w:val="left" w:pos="-1049"/>
          <w:tab w:val="left" w:pos="-787"/>
          <w:tab w:val="left" w:pos="0"/>
          <w:tab w:val="left" w:pos="720"/>
          <w:tab w:val="left" w:pos="1440"/>
          <w:tab w:val="left" w:pos="2160"/>
          <w:tab w:val="left" w:pos="2880"/>
          <w:tab w:val="left" w:pos="3600"/>
          <w:tab w:val="left" w:pos="4320"/>
          <w:tab w:val="left" w:pos="4500"/>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right="-22"/>
        <w:rPr>
          <w:rFonts w:ascii="Arial" w:hAnsi="Arial"/>
          <w:iCs/>
          <w:sz w:val="20"/>
        </w:rPr>
      </w:pPr>
      <w:r w:rsidRPr="00424274">
        <w:rPr>
          <w:rFonts w:ascii="Arial" w:hAnsi="Arial"/>
          <w:iCs/>
          <w:sz w:val="20"/>
        </w:rPr>
        <w:t>V skladu z ZKP je za odkrivanje kaznivih dejanj, med kater</w:t>
      </w:r>
      <w:r w:rsidR="00151209">
        <w:rPr>
          <w:rFonts w:ascii="Arial" w:hAnsi="Arial"/>
          <w:iCs/>
          <w:sz w:val="20"/>
        </w:rPr>
        <w:t>imi</w:t>
      </w:r>
      <w:r w:rsidRPr="00424274">
        <w:rPr>
          <w:rFonts w:ascii="Arial" w:hAnsi="Arial"/>
          <w:iCs/>
          <w:sz w:val="20"/>
        </w:rPr>
        <w:t xml:space="preserve"> </w:t>
      </w:r>
      <w:r w:rsidR="00151209">
        <w:rPr>
          <w:rFonts w:ascii="Arial" w:hAnsi="Arial"/>
          <w:iCs/>
          <w:sz w:val="20"/>
        </w:rPr>
        <w:t>je</w:t>
      </w:r>
      <w:r w:rsidR="00151209" w:rsidRPr="00424274">
        <w:rPr>
          <w:rFonts w:ascii="Arial" w:hAnsi="Arial"/>
          <w:iCs/>
          <w:sz w:val="20"/>
        </w:rPr>
        <w:t xml:space="preserve"> </w:t>
      </w:r>
      <w:r w:rsidRPr="00424274">
        <w:rPr>
          <w:rFonts w:ascii="Arial" w:hAnsi="Arial"/>
          <w:iCs/>
          <w:sz w:val="20"/>
        </w:rPr>
        <w:t xml:space="preserve">tudi kaznivo dejanje pranja denarja, pristojna </w:t>
      </w:r>
      <w:r w:rsidR="004728ED">
        <w:rPr>
          <w:rFonts w:ascii="Arial" w:hAnsi="Arial"/>
          <w:iCs/>
          <w:sz w:val="20"/>
        </w:rPr>
        <w:t>p</w:t>
      </w:r>
      <w:r w:rsidRPr="00424274">
        <w:rPr>
          <w:rFonts w:ascii="Arial" w:hAnsi="Arial"/>
          <w:iCs/>
          <w:sz w:val="20"/>
        </w:rPr>
        <w:t xml:space="preserve">olicija, medtem ko je tožilstvo pristojno za pregon kaznivih dejanj. Kaznivo dejanje pranja denarja je bilo v Sloveniji prvič opredeljeno v Kazenskem zakoniku iz leta 1995. Istega leta je </w:t>
      </w:r>
      <w:r w:rsidR="00151209">
        <w:rPr>
          <w:rFonts w:ascii="Arial" w:hAnsi="Arial"/>
          <w:iCs/>
          <w:sz w:val="20"/>
        </w:rPr>
        <w:t>za</w:t>
      </w:r>
      <w:r w:rsidRPr="00424274">
        <w:rPr>
          <w:rFonts w:ascii="Arial" w:hAnsi="Arial"/>
          <w:iCs/>
          <w:sz w:val="20"/>
        </w:rPr>
        <w:t xml:space="preserve">čel veljati tudi prvi Zakon o preprečevanju pranja denarja. Zakon je v skladu z mednarodnimi standardi v Sloveniji uveljavil sistem boja proti pranju denarja, ki je določeno vlogo pri odkrivanju pranja denarja namenil tudi zavezancem (finančnim in nefinančnim institucijam), in sicer predvsem kot obveznost sporočanja sumljivih transakcij </w:t>
      </w:r>
      <w:r w:rsidR="00814A21">
        <w:rPr>
          <w:rFonts w:ascii="Arial" w:hAnsi="Arial"/>
          <w:iCs/>
          <w:sz w:val="20"/>
        </w:rPr>
        <w:t>urad</w:t>
      </w:r>
      <w:r w:rsidRPr="00424274">
        <w:rPr>
          <w:rFonts w:ascii="Arial" w:hAnsi="Arial"/>
          <w:iCs/>
          <w:sz w:val="20"/>
        </w:rPr>
        <w:t xml:space="preserve">u. S tem se je obveznost zaznavanja razlogov za sum pranja denarja prenesla tudi na zavezance in </w:t>
      </w:r>
      <w:r w:rsidR="00814A21">
        <w:rPr>
          <w:rFonts w:ascii="Arial" w:hAnsi="Arial"/>
          <w:iCs/>
          <w:sz w:val="20"/>
        </w:rPr>
        <w:t>urad</w:t>
      </w:r>
      <w:r w:rsidRPr="00424274">
        <w:rPr>
          <w:rFonts w:ascii="Arial" w:hAnsi="Arial"/>
          <w:iCs/>
          <w:sz w:val="20"/>
        </w:rPr>
        <w:t xml:space="preserve">. To pomeni, da je za učinkovito odkrivanje, preiskovanje in pregon kaznivih dejanj pranja denarja pomembno dobro sodelovanje zavezancev in </w:t>
      </w:r>
      <w:r w:rsidR="00814A21">
        <w:rPr>
          <w:rFonts w:ascii="Arial" w:hAnsi="Arial"/>
          <w:iCs/>
          <w:sz w:val="20"/>
        </w:rPr>
        <w:t>urad</w:t>
      </w:r>
      <w:r w:rsidRPr="00424274">
        <w:rPr>
          <w:rFonts w:ascii="Arial" w:hAnsi="Arial"/>
          <w:iCs/>
          <w:sz w:val="20"/>
        </w:rPr>
        <w:t xml:space="preserve">a na eni strani ter </w:t>
      </w:r>
      <w:r w:rsidR="00814A21">
        <w:rPr>
          <w:rFonts w:ascii="Arial" w:hAnsi="Arial"/>
          <w:iCs/>
          <w:sz w:val="20"/>
        </w:rPr>
        <w:t>urad</w:t>
      </w:r>
      <w:r w:rsidRPr="00424274">
        <w:rPr>
          <w:rFonts w:ascii="Arial" w:hAnsi="Arial"/>
          <w:iCs/>
          <w:sz w:val="20"/>
        </w:rPr>
        <w:t xml:space="preserve">a, </w:t>
      </w:r>
      <w:r w:rsidR="004728ED">
        <w:rPr>
          <w:rFonts w:ascii="Arial" w:hAnsi="Arial"/>
          <w:iCs/>
          <w:sz w:val="20"/>
        </w:rPr>
        <w:t>p</w:t>
      </w:r>
      <w:r w:rsidRPr="00424274">
        <w:rPr>
          <w:rFonts w:ascii="Arial" w:hAnsi="Arial"/>
          <w:iCs/>
          <w:sz w:val="20"/>
        </w:rPr>
        <w:t xml:space="preserve">olicije in tožilstva na drugi strani. V nadaljevanju zato </w:t>
      </w:r>
      <w:r w:rsidR="00151209">
        <w:rPr>
          <w:rFonts w:ascii="Arial" w:hAnsi="Arial"/>
          <w:iCs/>
          <w:sz w:val="20"/>
        </w:rPr>
        <w:t>podajamo</w:t>
      </w:r>
      <w:r w:rsidR="00151209" w:rsidRPr="00424274">
        <w:rPr>
          <w:rFonts w:ascii="Arial" w:hAnsi="Arial"/>
          <w:iCs/>
          <w:sz w:val="20"/>
        </w:rPr>
        <w:t xml:space="preserve"> </w:t>
      </w:r>
      <w:r w:rsidRPr="00424274">
        <w:rPr>
          <w:rFonts w:ascii="Arial" w:hAnsi="Arial"/>
          <w:iCs/>
          <w:sz w:val="20"/>
        </w:rPr>
        <w:t xml:space="preserve">statistične podatke o številu in deležu zadev, pri katerih je s svojimi obvestili sodeloval tudi </w:t>
      </w:r>
      <w:r w:rsidR="00814A21">
        <w:rPr>
          <w:rFonts w:ascii="Arial" w:hAnsi="Arial"/>
          <w:iCs/>
          <w:sz w:val="20"/>
        </w:rPr>
        <w:t>urad</w:t>
      </w:r>
      <w:r w:rsidRPr="00424274">
        <w:rPr>
          <w:rFonts w:ascii="Arial" w:hAnsi="Arial"/>
          <w:iCs/>
          <w:sz w:val="20"/>
        </w:rPr>
        <w:t xml:space="preserve"> kot posrednik med zavezanci po ZPPDFT-1 ter organi odkrivanja in pregona (</w:t>
      </w:r>
      <w:r w:rsidR="004728ED">
        <w:rPr>
          <w:rFonts w:ascii="Arial" w:hAnsi="Arial"/>
          <w:iCs/>
          <w:sz w:val="20"/>
        </w:rPr>
        <w:t>p</w:t>
      </w:r>
      <w:r w:rsidRPr="00424274">
        <w:rPr>
          <w:rFonts w:ascii="Arial" w:hAnsi="Arial"/>
          <w:iCs/>
          <w:sz w:val="20"/>
        </w:rPr>
        <w:t xml:space="preserve">olicija, tožilstvo). V </w:t>
      </w:r>
      <w:r w:rsidR="00151209">
        <w:rPr>
          <w:rFonts w:ascii="Arial" w:hAnsi="Arial"/>
          <w:iCs/>
          <w:sz w:val="20"/>
        </w:rPr>
        <w:t>p</w:t>
      </w:r>
      <w:r w:rsidR="00814A21">
        <w:rPr>
          <w:rFonts w:ascii="Arial" w:hAnsi="Arial"/>
          <w:iCs/>
          <w:sz w:val="20"/>
        </w:rPr>
        <w:t>reglednici</w:t>
      </w:r>
      <w:r w:rsidRPr="00424274">
        <w:rPr>
          <w:rFonts w:ascii="Arial" w:hAnsi="Arial"/>
          <w:iCs/>
          <w:sz w:val="20"/>
        </w:rPr>
        <w:t xml:space="preserve"> 10 prikazujemo število vseh začetih predkazenskih ali kazenskih postopkov v letu 20</w:t>
      </w:r>
      <w:r w:rsidR="00622FB9" w:rsidRPr="00424274">
        <w:rPr>
          <w:rFonts w:ascii="Arial" w:hAnsi="Arial"/>
          <w:iCs/>
          <w:sz w:val="20"/>
        </w:rPr>
        <w:t>20</w:t>
      </w:r>
      <w:r w:rsidRPr="00424274">
        <w:rPr>
          <w:rFonts w:ascii="Arial" w:hAnsi="Arial"/>
          <w:iCs/>
          <w:sz w:val="20"/>
        </w:rPr>
        <w:t xml:space="preserve"> zaradi utemeljenih razlogov za sum storitve kaznivega dejanja pranja denarja glede na izvor začetnega podatka o razlogih za sum pranja denarja, ki je sprožil preiskovanje </w:t>
      </w:r>
      <w:r w:rsidR="004728ED">
        <w:rPr>
          <w:rFonts w:ascii="Arial" w:hAnsi="Arial"/>
          <w:iCs/>
          <w:sz w:val="20"/>
        </w:rPr>
        <w:t>p</w:t>
      </w:r>
      <w:r w:rsidRPr="00424274">
        <w:rPr>
          <w:rFonts w:ascii="Arial" w:hAnsi="Arial"/>
          <w:iCs/>
          <w:sz w:val="20"/>
        </w:rPr>
        <w:t xml:space="preserve">olicije in pregon tožilstva </w:t>
      </w:r>
      <w:r w:rsidR="00151209">
        <w:rPr>
          <w:rFonts w:ascii="Arial" w:hAnsi="Arial"/>
          <w:iCs/>
          <w:sz w:val="20"/>
        </w:rPr>
        <w:t>za</w:t>
      </w:r>
      <w:r w:rsidRPr="00424274">
        <w:rPr>
          <w:rFonts w:ascii="Arial" w:hAnsi="Arial"/>
          <w:iCs/>
          <w:sz w:val="20"/>
        </w:rPr>
        <w:t xml:space="preserve"> dokazovanj</w:t>
      </w:r>
      <w:r w:rsidR="00151209">
        <w:rPr>
          <w:rFonts w:ascii="Arial" w:hAnsi="Arial"/>
          <w:iCs/>
          <w:sz w:val="20"/>
        </w:rPr>
        <w:t>e</w:t>
      </w:r>
      <w:r w:rsidRPr="00424274">
        <w:rPr>
          <w:rFonts w:ascii="Arial" w:hAnsi="Arial"/>
          <w:iCs/>
          <w:sz w:val="20"/>
        </w:rPr>
        <w:t xml:space="preserve"> storitve kaznivega dejanja pranja denarja po 245. členu KZ-1.</w:t>
      </w:r>
    </w:p>
    <w:p w14:paraId="09AE1EBD" w14:textId="77DDE265" w:rsidR="00B04A5C" w:rsidRPr="00424274" w:rsidRDefault="00B04A5C" w:rsidP="003D696B">
      <w:pPr>
        <w:tabs>
          <w:tab w:val="left" w:pos="-1049"/>
          <w:tab w:val="left" w:pos="-787"/>
          <w:tab w:val="left" w:pos="0"/>
          <w:tab w:val="left" w:pos="720"/>
          <w:tab w:val="left" w:pos="1440"/>
          <w:tab w:val="left" w:pos="2160"/>
          <w:tab w:val="left" w:pos="2880"/>
          <w:tab w:val="left" w:pos="3600"/>
          <w:tab w:val="left" w:pos="4320"/>
          <w:tab w:val="left" w:pos="4500"/>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right="-22"/>
        <w:rPr>
          <w:rFonts w:ascii="Arial" w:hAnsi="Arial"/>
          <w:iCs/>
          <w:sz w:val="20"/>
        </w:rPr>
      </w:pPr>
    </w:p>
    <w:p w14:paraId="16433432" w14:textId="2B3621EE" w:rsidR="00B04A5C" w:rsidRPr="00424274" w:rsidRDefault="00B04A5C" w:rsidP="003D696B">
      <w:pPr>
        <w:tabs>
          <w:tab w:val="left" w:pos="-1049"/>
          <w:tab w:val="left" w:pos="-787"/>
          <w:tab w:val="left" w:pos="0"/>
          <w:tab w:val="left" w:pos="720"/>
          <w:tab w:val="left" w:pos="1440"/>
          <w:tab w:val="left" w:pos="2160"/>
          <w:tab w:val="left" w:pos="2880"/>
          <w:tab w:val="left" w:pos="3600"/>
          <w:tab w:val="left" w:pos="4320"/>
          <w:tab w:val="left" w:pos="4500"/>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right="-22"/>
        <w:rPr>
          <w:rFonts w:ascii="Arial" w:hAnsi="Arial"/>
          <w:iCs/>
          <w:sz w:val="20"/>
        </w:rPr>
      </w:pPr>
    </w:p>
    <w:p w14:paraId="56C0710A" w14:textId="66B13F04" w:rsidR="00B04A5C" w:rsidRPr="00424274" w:rsidRDefault="00B04A5C" w:rsidP="003D696B">
      <w:pPr>
        <w:tabs>
          <w:tab w:val="left" w:pos="-1049"/>
          <w:tab w:val="left" w:pos="-787"/>
          <w:tab w:val="left" w:pos="0"/>
          <w:tab w:val="left" w:pos="720"/>
          <w:tab w:val="left" w:pos="1440"/>
          <w:tab w:val="left" w:pos="2160"/>
          <w:tab w:val="left" w:pos="2880"/>
          <w:tab w:val="left" w:pos="3600"/>
          <w:tab w:val="left" w:pos="4320"/>
          <w:tab w:val="left" w:pos="4500"/>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right="-22"/>
        <w:rPr>
          <w:rFonts w:ascii="Arial" w:hAnsi="Arial"/>
          <w:iCs/>
          <w:sz w:val="20"/>
        </w:rPr>
      </w:pPr>
    </w:p>
    <w:p w14:paraId="38CB7A69" w14:textId="7123DA0B" w:rsidR="00AA7ECF" w:rsidRPr="00424274" w:rsidRDefault="00AA7ECF" w:rsidP="003D696B">
      <w:pPr>
        <w:tabs>
          <w:tab w:val="left" w:pos="-1049"/>
          <w:tab w:val="left" w:pos="-787"/>
          <w:tab w:val="left" w:pos="0"/>
          <w:tab w:val="left" w:pos="720"/>
          <w:tab w:val="left" w:pos="1440"/>
          <w:tab w:val="left" w:pos="2160"/>
          <w:tab w:val="left" w:pos="2880"/>
          <w:tab w:val="left" w:pos="3600"/>
          <w:tab w:val="left" w:pos="4320"/>
          <w:tab w:val="left" w:pos="4500"/>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right="-22"/>
        <w:rPr>
          <w:rFonts w:ascii="Arial" w:hAnsi="Arial"/>
          <w:iCs/>
          <w:sz w:val="20"/>
        </w:rPr>
      </w:pPr>
    </w:p>
    <w:p w14:paraId="0770D847" w14:textId="77777777" w:rsidR="00AA7ECF" w:rsidRPr="00424274" w:rsidRDefault="00AA7ECF" w:rsidP="003D696B">
      <w:pPr>
        <w:tabs>
          <w:tab w:val="left" w:pos="-1049"/>
          <w:tab w:val="left" w:pos="-787"/>
          <w:tab w:val="left" w:pos="0"/>
          <w:tab w:val="left" w:pos="720"/>
          <w:tab w:val="left" w:pos="1440"/>
          <w:tab w:val="left" w:pos="2160"/>
          <w:tab w:val="left" w:pos="2880"/>
          <w:tab w:val="left" w:pos="3600"/>
          <w:tab w:val="left" w:pos="4320"/>
          <w:tab w:val="left" w:pos="4500"/>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right="-22"/>
        <w:rPr>
          <w:rFonts w:ascii="Arial" w:hAnsi="Arial"/>
          <w:iCs/>
          <w:sz w:val="20"/>
        </w:rPr>
      </w:pPr>
    </w:p>
    <w:p w14:paraId="1233290F" w14:textId="77777777" w:rsidR="00B04A5C" w:rsidRPr="00424274" w:rsidRDefault="00B04A5C" w:rsidP="003D696B">
      <w:pPr>
        <w:tabs>
          <w:tab w:val="left" w:pos="-1049"/>
          <w:tab w:val="left" w:pos="-787"/>
          <w:tab w:val="left" w:pos="0"/>
          <w:tab w:val="left" w:pos="720"/>
          <w:tab w:val="left" w:pos="1440"/>
          <w:tab w:val="left" w:pos="2160"/>
          <w:tab w:val="left" w:pos="2880"/>
          <w:tab w:val="left" w:pos="3600"/>
          <w:tab w:val="left" w:pos="4320"/>
          <w:tab w:val="left" w:pos="4500"/>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right="-22"/>
        <w:rPr>
          <w:rFonts w:ascii="Arial" w:hAnsi="Arial"/>
          <w:iCs/>
          <w:sz w:val="20"/>
        </w:rPr>
      </w:pPr>
    </w:p>
    <w:p w14:paraId="4E1DA76C" w14:textId="174E1586" w:rsidR="00892392" w:rsidRPr="001E3EE6" w:rsidRDefault="00814A21" w:rsidP="00892392">
      <w:pPr>
        <w:tabs>
          <w:tab w:val="left" w:pos="-1049"/>
          <w:tab w:val="left" w:pos="-787"/>
          <w:tab w:val="left" w:pos="720"/>
          <w:tab w:val="left" w:pos="1134"/>
          <w:tab w:val="left" w:pos="1440"/>
          <w:tab w:val="left" w:pos="2160"/>
          <w:tab w:val="left" w:pos="2880"/>
          <w:tab w:val="left" w:pos="3600"/>
          <w:tab w:val="left" w:pos="4320"/>
          <w:tab w:val="left" w:pos="4500"/>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left="1134" w:right="-22" w:hanging="1134"/>
        <w:rPr>
          <w:rFonts w:ascii="Arial" w:hAnsi="Arial"/>
          <w:b/>
          <w:i/>
          <w:sz w:val="20"/>
        </w:rPr>
      </w:pPr>
      <w:r>
        <w:rPr>
          <w:rFonts w:ascii="Arial" w:hAnsi="Arial"/>
          <w:b/>
          <w:i/>
          <w:iCs/>
          <w:sz w:val="20"/>
        </w:rPr>
        <w:t>Preglednica</w:t>
      </w:r>
      <w:r w:rsidR="00892392" w:rsidRPr="00424274">
        <w:rPr>
          <w:rFonts w:ascii="Arial" w:hAnsi="Arial"/>
          <w:b/>
          <w:i/>
          <w:iCs/>
          <w:sz w:val="20"/>
        </w:rPr>
        <w:t xml:space="preserve"> 10: </w:t>
      </w:r>
      <w:r w:rsidR="00892392" w:rsidRPr="001E3EE6">
        <w:rPr>
          <w:rFonts w:ascii="Arial" w:hAnsi="Arial"/>
          <w:b/>
          <w:i/>
          <w:sz w:val="20"/>
        </w:rPr>
        <w:t xml:space="preserve">Število vseh začetih postopkov zaradi utemeljenih sumov storitve kaznivega </w:t>
      </w:r>
      <w:r w:rsidR="00892392" w:rsidRPr="001E3EE6">
        <w:rPr>
          <w:rFonts w:ascii="Arial" w:hAnsi="Arial"/>
          <w:b/>
          <w:i/>
          <w:sz w:val="20"/>
        </w:rPr>
        <w:lastRenderedPageBreak/>
        <w:t>dejanja pranja denarja v letu 20</w:t>
      </w:r>
      <w:r w:rsidR="00905425" w:rsidRPr="001E3EE6">
        <w:rPr>
          <w:rFonts w:ascii="Arial" w:hAnsi="Arial"/>
          <w:b/>
          <w:i/>
          <w:sz w:val="20"/>
        </w:rPr>
        <w:t>20</w:t>
      </w:r>
      <w:r w:rsidR="00892392" w:rsidRPr="001E3EE6">
        <w:rPr>
          <w:rFonts w:ascii="Arial" w:hAnsi="Arial"/>
          <w:b/>
          <w:i/>
          <w:sz w:val="20"/>
        </w:rPr>
        <w:t xml:space="preserve"> glede na </w:t>
      </w:r>
      <w:r w:rsidR="00656FBD" w:rsidRPr="001E3EE6">
        <w:rPr>
          <w:rFonts w:ascii="Arial" w:hAnsi="Arial"/>
          <w:b/>
          <w:i/>
          <w:sz w:val="20"/>
        </w:rPr>
        <w:t xml:space="preserve">izvor </w:t>
      </w:r>
      <w:r w:rsidR="00892392" w:rsidRPr="001E3EE6">
        <w:rPr>
          <w:rFonts w:ascii="Arial" w:hAnsi="Arial"/>
          <w:b/>
          <w:i/>
          <w:sz w:val="20"/>
        </w:rPr>
        <w:t>podatkov (zaznave razlogov za sum)</w:t>
      </w:r>
    </w:p>
    <w:p w14:paraId="6AB5D9CE" w14:textId="5D71ABA5" w:rsidR="00283370" w:rsidRPr="00424274" w:rsidRDefault="00283370" w:rsidP="00892392">
      <w:pPr>
        <w:tabs>
          <w:tab w:val="left" w:pos="-1049"/>
          <w:tab w:val="left" w:pos="-787"/>
          <w:tab w:val="left" w:pos="720"/>
          <w:tab w:val="left" w:pos="1134"/>
          <w:tab w:val="left" w:pos="1440"/>
          <w:tab w:val="left" w:pos="2160"/>
          <w:tab w:val="left" w:pos="2880"/>
          <w:tab w:val="left" w:pos="3600"/>
          <w:tab w:val="left" w:pos="4320"/>
          <w:tab w:val="left" w:pos="4500"/>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left="1134" w:right="-22" w:hanging="1134"/>
        <w:rPr>
          <w:rFonts w:ascii="Arial" w:hAnsi="Arial"/>
          <w:b/>
          <w:i/>
          <w:iCs/>
          <w:sz w:val="20"/>
        </w:rPr>
      </w:pPr>
    </w:p>
    <w:p w14:paraId="6CD2C3C9" w14:textId="6CADF6F8" w:rsidR="00283370" w:rsidRPr="00424274" w:rsidRDefault="00283370" w:rsidP="00892392">
      <w:pPr>
        <w:tabs>
          <w:tab w:val="left" w:pos="-1049"/>
          <w:tab w:val="left" w:pos="-787"/>
          <w:tab w:val="left" w:pos="720"/>
          <w:tab w:val="left" w:pos="1134"/>
          <w:tab w:val="left" w:pos="1440"/>
          <w:tab w:val="left" w:pos="2160"/>
          <w:tab w:val="left" w:pos="2880"/>
          <w:tab w:val="left" w:pos="3600"/>
          <w:tab w:val="left" w:pos="4320"/>
          <w:tab w:val="left" w:pos="4500"/>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left="1134" w:right="-22" w:hanging="1134"/>
        <w:rPr>
          <w:rFonts w:ascii="Arial" w:hAnsi="Arial"/>
          <w:b/>
          <w:i/>
          <w:iCs/>
          <w:sz w:val="20"/>
        </w:rPr>
      </w:pPr>
    </w:p>
    <w:tbl>
      <w:tblPr>
        <w:tblW w:w="7528" w:type="dxa"/>
        <w:tblInd w:w="55" w:type="dxa"/>
        <w:tblCellMar>
          <w:left w:w="70" w:type="dxa"/>
          <w:right w:w="70" w:type="dxa"/>
        </w:tblCellMar>
        <w:tblLook w:val="04A0" w:firstRow="1" w:lastRow="0" w:firstColumn="1" w:lastColumn="0" w:noHBand="0" w:noVBand="1"/>
      </w:tblPr>
      <w:tblGrid>
        <w:gridCol w:w="2142"/>
        <w:gridCol w:w="2551"/>
        <w:gridCol w:w="1559"/>
        <w:gridCol w:w="1276"/>
      </w:tblGrid>
      <w:tr w:rsidR="00283370" w:rsidRPr="00424274" w14:paraId="6E8C5588" w14:textId="77777777" w:rsidTr="00472BE5">
        <w:trPr>
          <w:trHeight w:val="315"/>
        </w:trPr>
        <w:tc>
          <w:tcPr>
            <w:tcW w:w="2142" w:type="dxa"/>
            <w:tcBorders>
              <w:top w:val="single" w:sz="8" w:space="0" w:color="auto"/>
              <w:left w:val="single" w:sz="8" w:space="0" w:color="auto"/>
              <w:bottom w:val="single" w:sz="8" w:space="0" w:color="auto"/>
              <w:right w:val="single" w:sz="8" w:space="0" w:color="auto"/>
            </w:tcBorders>
            <w:shd w:val="clear" w:color="000000" w:fill="00CCFF"/>
            <w:noWrap/>
            <w:vAlign w:val="center"/>
            <w:hideMark/>
          </w:tcPr>
          <w:p w14:paraId="74453532" w14:textId="77777777" w:rsidR="00283370" w:rsidRPr="00424274" w:rsidRDefault="00283370" w:rsidP="00283370">
            <w:pPr>
              <w:widowControl/>
              <w:jc w:val="left"/>
              <w:rPr>
                <w:rFonts w:ascii="Arial" w:hAnsi="Arial"/>
                <w:b/>
                <w:bCs/>
                <w:sz w:val="20"/>
                <w:lang w:eastAsia="sl-SI"/>
              </w:rPr>
            </w:pPr>
            <w:r w:rsidRPr="00424274">
              <w:rPr>
                <w:rFonts w:ascii="Arial" w:hAnsi="Arial"/>
                <w:b/>
                <w:bCs/>
                <w:sz w:val="20"/>
                <w:lang w:eastAsia="sl-SI"/>
              </w:rPr>
              <w:t>Vir podatkov</w:t>
            </w:r>
          </w:p>
        </w:tc>
        <w:tc>
          <w:tcPr>
            <w:tcW w:w="2551" w:type="dxa"/>
            <w:tcBorders>
              <w:top w:val="single" w:sz="8" w:space="0" w:color="auto"/>
              <w:left w:val="nil"/>
              <w:bottom w:val="single" w:sz="8" w:space="0" w:color="auto"/>
              <w:right w:val="single" w:sz="8" w:space="0" w:color="auto"/>
            </w:tcBorders>
            <w:shd w:val="clear" w:color="000000" w:fill="00CCFF"/>
            <w:noWrap/>
            <w:vAlign w:val="center"/>
            <w:hideMark/>
          </w:tcPr>
          <w:p w14:paraId="1E16B4BB" w14:textId="06A75035" w:rsidR="00283370" w:rsidRPr="00424274" w:rsidRDefault="00283370" w:rsidP="00283370">
            <w:pPr>
              <w:widowControl/>
              <w:jc w:val="left"/>
              <w:rPr>
                <w:rFonts w:ascii="Arial" w:hAnsi="Arial"/>
                <w:b/>
                <w:bCs/>
                <w:sz w:val="20"/>
                <w:lang w:eastAsia="sl-SI"/>
              </w:rPr>
            </w:pPr>
            <w:r w:rsidRPr="00424274">
              <w:rPr>
                <w:rFonts w:ascii="Arial" w:hAnsi="Arial"/>
                <w:b/>
                <w:bCs/>
                <w:sz w:val="20"/>
                <w:lang w:eastAsia="sl-SI"/>
              </w:rPr>
              <w:t xml:space="preserve">Prijavitelj </w:t>
            </w:r>
            <w:r w:rsidR="00814A21">
              <w:rPr>
                <w:rFonts w:ascii="Arial" w:hAnsi="Arial"/>
                <w:b/>
                <w:bCs/>
                <w:sz w:val="20"/>
                <w:lang w:eastAsia="sl-SI"/>
              </w:rPr>
              <w:t>urad</w:t>
            </w:r>
            <w:r w:rsidRPr="00424274">
              <w:rPr>
                <w:rFonts w:ascii="Arial" w:hAnsi="Arial"/>
                <w:b/>
                <w:bCs/>
                <w:sz w:val="20"/>
                <w:lang w:eastAsia="sl-SI"/>
              </w:rPr>
              <w:t>u</w:t>
            </w:r>
          </w:p>
        </w:tc>
        <w:tc>
          <w:tcPr>
            <w:tcW w:w="1559" w:type="dxa"/>
            <w:tcBorders>
              <w:top w:val="single" w:sz="8" w:space="0" w:color="auto"/>
              <w:left w:val="nil"/>
              <w:bottom w:val="single" w:sz="8" w:space="0" w:color="auto"/>
              <w:right w:val="single" w:sz="8" w:space="0" w:color="auto"/>
            </w:tcBorders>
            <w:shd w:val="clear" w:color="000000" w:fill="00CCFF"/>
            <w:noWrap/>
            <w:vAlign w:val="center"/>
            <w:hideMark/>
          </w:tcPr>
          <w:p w14:paraId="68201D42" w14:textId="77777777" w:rsidR="00283370" w:rsidRPr="00424274" w:rsidRDefault="00283370" w:rsidP="00283370">
            <w:pPr>
              <w:widowControl/>
              <w:jc w:val="left"/>
              <w:rPr>
                <w:rFonts w:ascii="Arial" w:hAnsi="Arial"/>
                <w:b/>
                <w:bCs/>
                <w:sz w:val="20"/>
                <w:lang w:eastAsia="sl-SI"/>
              </w:rPr>
            </w:pPr>
            <w:r w:rsidRPr="00424274">
              <w:rPr>
                <w:rFonts w:ascii="Arial" w:hAnsi="Arial"/>
                <w:b/>
                <w:bCs/>
                <w:sz w:val="20"/>
                <w:lang w:eastAsia="sl-SI"/>
              </w:rPr>
              <w:t>Število zadev</w:t>
            </w:r>
          </w:p>
        </w:tc>
        <w:tc>
          <w:tcPr>
            <w:tcW w:w="1276" w:type="dxa"/>
            <w:tcBorders>
              <w:top w:val="single" w:sz="8" w:space="0" w:color="auto"/>
              <w:left w:val="nil"/>
              <w:bottom w:val="single" w:sz="8" w:space="0" w:color="auto"/>
              <w:right w:val="single" w:sz="8" w:space="0" w:color="auto"/>
            </w:tcBorders>
            <w:shd w:val="clear" w:color="000000" w:fill="00CCFF"/>
            <w:noWrap/>
            <w:vAlign w:val="center"/>
            <w:hideMark/>
          </w:tcPr>
          <w:p w14:paraId="330F5713" w14:textId="77777777" w:rsidR="00283370" w:rsidRPr="00424274" w:rsidRDefault="00283370" w:rsidP="00283370">
            <w:pPr>
              <w:widowControl/>
              <w:jc w:val="center"/>
              <w:rPr>
                <w:rFonts w:ascii="Arial" w:hAnsi="Arial"/>
                <w:b/>
                <w:bCs/>
                <w:sz w:val="20"/>
                <w:lang w:eastAsia="sl-SI"/>
              </w:rPr>
            </w:pPr>
            <w:r w:rsidRPr="00424274">
              <w:rPr>
                <w:rFonts w:ascii="Arial" w:hAnsi="Arial"/>
                <w:b/>
                <w:bCs/>
                <w:sz w:val="20"/>
                <w:lang w:eastAsia="sl-SI"/>
              </w:rPr>
              <w:t>Delež</w:t>
            </w:r>
          </w:p>
        </w:tc>
      </w:tr>
      <w:tr w:rsidR="00283370" w:rsidRPr="00424274" w14:paraId="439F44A7" w14:textId="77777777" w:rsidTr="00472BE5">
        <w:trPr>
          <w:trHeight w:val="390"/>
        </w:trPr>
        <w:tc>
          <w:tcPr>
            <w:tcW w:w="2142" w:type="dxa"/>
            <w:vMerge w:val="restart"/>
            <w:tcBorders>
              <w:top w:val="nil"/>
              <w:left w:val="single" w:sz="8" w:space="0" w:color="auto"/>
              <w:right w:val="single" w:sz="8" w:space="0" w:color="auto"/>
            </w:tcBorders>
            <w:shd w:val="clear" w:color="000000" w:fill="99FF33"/>
            <w:vAlign w:val="center"/>
            <w:hideMark/>
          </w:tcPr>
          <w:p w14:paraId="18BA3640" w14:textId="5BBCBE52" w:rsidR="00283370" w:rsidRPr="00424274" w:rsidRDefault="00283370" w:rsidP="00283370">
            <w:pPr>
              <w:widowControl/>
              <w:jc w:val="center"/>
              <w:rPr>
                <w:rFonts w:ascii="Arial" w:hAnsi="Arial"/>
                <w:b/>
                <w:bCs/>
                <w:sz w:val="20"/>
                <w:lang w:eastAsia="sl-SI"/>
              </w:rPr>
            </w:pPr>
            <w:r w:rsidRPr="00424274">
              <w:rPr>
                <w:rFonts w:ascii="Arial" w:hAnsi="Arial"/>
                <w:b/>
                <w:bCs/>
                <w:sz w:val="20"/>
                <w:lang w:eastAsia="sl-SI"/>
              </w:rPr>
              <w:t xml:space="preserve">Obvestila in informacije </w:t>
            </w:r>
            <w:r w:rsidR="00814A21">
              <w:rPr>
                <w:rFonts w:ascii="Arial" w:hAnsi="Arial"/>
                <w:b/>
                <w:bCs/>
                <w:sz w:val="20"/>
                <w:lang w:eastAsia="sl-SI"/>
              </w:rPr>
              <w:t>urad</w:t>
            </w:r>
            <w:r w:rsidRPr="00424274">
              <w:rPr>
                <w:rFonts w:ascii="Arial" w:hAnsi="Arial"/>
                <w:b/>
                <w:bCs/>
                <w:sz w:val="20"/>
                <w:lang w:eastAsia="sl-SI"/>
              </w:rPr>
              <w:t>a</w:t>
            </w:r>
          </w:p>
        </w:tc>
        <w:tc>
          <w:tcPr>
            <w:tcW w:w="2551" w:type="dxa"/>
            <w:tcBorders>
              <w:top w:val="nil"/>
              <w:left w:val="nil"/>
              <w:bottom w:val="single" w:sz="8" w:space="0" w:color="auto"/>
              <w:right w:val="single" w:sz="8" w:space="0" w:color="auto"/>
            </w:tcBorders>
            <w:shd w:val="clear" w:color="000000" w:fill="99FF33"/>
            <w:noWrap/>
            <w:vAlign w:val="center"/>
            <w:hideMark/>
          </w:tcPr>
          <w:p w14:paraId="3ABFE1D5" w14:textId="77777777" w:rsidR="00283370" w:rsidRPr="00424274" w:rsidRDefault="00283370" w:rsidP="00283370">
            <w:pPr>
              <w:widowControl/>
              <w:jc w:val="left"/>
              <w:rPr>
                <w:rFonts w:ascii="Arial" w:hAnsi="Arial"/>
                <w:sz w:val="20"/>
                <w:lang w:eastAsia="sl-SI"/>
              </w:rPr>
            </w:pPr>
            <w:r w:rsidRPr="00424274">
              <w:rPr>
                <w:rFonts w:ascii="Arial" w:hAnsi="Arial"/>
                <w:sz w:val="20"/>
                <w:lang w:eastAsia="sl-SI"/>
              </w:rPr>
              <w:t>Organizacije ali tuji FIU</w:t>
            </w:r>
          </w:p>
        </w:tc>
        <w:tc>
          <w:tcPr>
            <w:tcW w:w="1559" w:type="dxa"/>
            <w:tcBorders>
              <w:top w:val="nil"/>
              <w:left w:val="nil"/>
              <w:bottom w:val="single" w:sz="8" w:space="0" w:color="auto"/>
              <w:right w:val="single" w:sz="8" w:space="0" w:color="auto"/>
            </w:tcBorders>
            <w:shd w:val="clear" w:color="auto" w:fill="auto"/>
            <w:noWrap/>
            <w:vAlign w:val="center"/>
            <w:hideMark/>
          </w:tcPr>
          <w:p w14:paraId="6E478523" w14:textId="77777777" w:rsidR="00283370" w:rsidRPr="00424274" w:rsidRDefault="00283370" w:rsidP="00283370">
            <w:pPr>
              <w:widowControl/>
              <w:jc w:val="right"/>
              <w:rPr>
                <w:rFonts w:ascii="Arial" w:hAnsi="Arial"/>
                <w:b/>
                <w:bCs/>
                <w:sz w:val="20"/>
                <w:lang w:eastAsia="sl-SI"/>
              </w:rPr>
            </w:pPr>
            <w:r w:rsidRPr="00424274">
              <w:rPr>
                <w:rFonts w:ascii="Arial" w:hAnsi="Arial"/>
                <w:b/>
                <w:bCs/>
                <w:sz w:val="20"/>
                <w:lang w:eastAsia="sl-SI"/>
              </w:rPr>
              <w:t>9</w:t>
            </w:r>
          </w:p>
        </w:tc>
        <w:tc>
          <w:tcPr>
            <w:tcW w:w="1276" w:type="dxa"/>
            <w:tcBorders>
              <w:top w:val="nil"/>
              <w:left w:val="nil"/>
              <w:bottom w:val="single" w:sz="8" w:space="0" w:color="auto"/>
              <w:right w:val="single" w:sz="8" w:space="0" w:color="auto"/>
            </w:tcBorders>
            <w:shd w:val="clear" w:color="auto" w:fill="auto"/>
            <w:noWrap/>
            <w:vAlign w:val="center"/>
            <w:hideMark/>
          </w:tcPr>
          <w:p w14:paraId="48CB8AF9" w14:textId="0A687ED7" w:rsidR="00283370" w:rsidRPr="00424274" w:rsidRDefault="00283370" w:rsidP="00283370">
            <w:pPr>
              <w:widowControl/>
              <w:jc w:val="right"/>
              <w:rPr>
                <w:rFonts w:ascii="Arial" w:hAnsi="Arial"/>
                <w:sz w:val="20"/>
                <w:lang w:eastAsia="sl-SI"/>
              </w:rPr>
            </w:pPr>
            <w:r w:rsidRPr="00424274">
              <w:rPr>
                <w:rFonts w:ascii="Arial" w:hAnsi="Arial"/>
                <w:sz w:val="20"/>
                <w:lang w:eastAsia="sl-SI"/>
              </w:rPr>
              <w:t>29,03</w:t>
            </w:r>
            <w:r w:rsidR="00656FBD">
              <w:rPr>
                <w:rFonts w:ascii="Arial" w:hAnsi="Arial"/>
                <w:sz w:val="20"/>
                <w:lang w:eastAsia="sl-SI"/>
              </w:rPr>
              <w:t> </w:t>
            </w:r>
            <w:r w:rsidRPr="00424274">
              <w:rPr>
                <w:rFonts w:ascii="Arial" w:hAnsi="Arial"/>
                <w:sz w:val="20"/>
                <w:lang w:eastAsia="sl-SI"/>
              </w:rPr>
              <w:t>%</w:t>
            </w:r>
          </w:p>
        </w:tc>
      </w:tr>
      <w:tr w:rsidR="00283370" w:rsidRPr="00424274" w14:paraId="42C6D5E9" w14:textId="77777777" w:rsidTr="00472BE5">
        <w:trPr>
          <w:trHeight w:val="456"/>
        </w:trPr>
        <w:tc>
          <w:tcPr>
            <w:tcW w:w="2142" w:type="dxa"/>
            <w:vMerge/>
            <w:tcBorders>
              <w:left w:val="single" w:sz="8" w:space="0" w:color="auto"/>
              <w:right w:val="single" w:sz="8" w:space="0" w:color="auto"/>
            </w:tcBorders>
            <w:shd w:val="clear" w:color="000000" w:fill="99FF33"/>
            <w:vAlign w:val="center"/>
            <w:hideMark/>
          </w:tcPr>
          <w:p w14:paraId="50199E79" w14:textId="77777777" w:rsidR="00283370" w:rsidRPr="00424274" w:rsidRDefault="00283370" w:rsidP="00283370">
            <w:pPr>
              <w:widowControl/>
              <w:jc w:val="left"/>
              <w:rPr>
                <w:rFonts w:ascii="Arial" w:hAnsi="Arial"/>
                <w:b/>
                <w:bCs/>
                <w:sz w:val="20"/>
                <w:lang w:eastAsia="sl-SI"/>
              </w:rPr>
            </w:pPr>
          </w:p>
        </w:tc>
        <w:tc>
          <w:tcPr>
            <w:tcW w:w="2551" w:type="dxa"/>
            <w:tcBorders>
              <w:top w:val="nil"/>
              <w:left w:val="nil"/>
              <w:bottom w:val="single" w:sz="8" w:space="0" w:color="auto"/>
              <w:right w:val="single" w:sz="8" w:space="0" w:color="auto"/>
            </w:tcBorders>
            <w:shd w:val="clear" w:color="000000" w:fill="99FF33"/>
            <w:noWrap/>
            <w:vAlign w:val="center"/>
          </w:tcPr>
          <w:p w14:paraId="01E15FB4" w14:textId="77777777" w:rsidR="00283370" w:rsidRPr="00424274" w:rsidRDefault="00283370" w:rsidP="00283370">
            <w:pPr>
              <w:widowControl/>
              <w:jc w:val="left"/>
              <w:rPr>
                <w:rFonts w:ascii="Arial" w:hAnsi="Arial"/>
                <w:sz w:val="20"/>
                <w:lang w:eastAsia="sl-SI"/>
              </w:rPr>
            </w:pPr>
            <w:r w:rsidRPr="00424274">
              <w:rPr>
                <w:rFonts w:ascii="Arial" w:hAnsi="Arial"/>
                <w:sz w:val="20"/>
                <w:lang w:eastAsia="sl-SI"/>
              </w:rPr>
              <w:t>Organizacije in pobude</w:t>
            </w:r>
          </w:p>
        </w:tc>
        <w:tc>
          <w:tcPr>
            <w:tcW w:w="1559" w:type="dxa"/>
            <w:tcBorders>
              <w:top w:val="nil"/>
              <w:left w:val="nil"/>
              <w:bottom w:val="single" w:sz="8" w:space="0" w:color="auto"/>
              <w:right w:val="single" w:sz="8" w:space="0" w:color="auto"/>
            </w:tcBorders>
            <w:shd w:val="clear" w:color="auto" w:fill="auto"/>
            <w:noWrap/>
            <w:vAlign w:val="center"/>
          </w:tcPr>
          <w:p w14:paraId="3E212467" w14:textId="77777777" w:rsidR="00283370" w:rsidRPr="00424274" w:rsidRDefault="00283370" w:rsidP="00283370">
            <w:pPr>
              <w:widowControl/>
              <w:jc w:val="right"/>
              <w:rPr>
                <w:rFonts w:ascii="Arial" w:hAnsi="Arial"/>
                <w:b/>
                <w:bCs/>
                <w:sz w:val="20"/>
                <w:lang w:eastAsia="sl-SI"/>
              </w:rPr>
            </w:pPr>
            <w:r w:rsidRPr="00424274">
              <w:rPr>
                <w:rFonts w:ascii="Arial" w:hAnsi="Arial"/>
                <w:b/>
                <w:bCs/>
                <w:sz w:val="20"/>
                <w:lang w:eastAsia="sl-SI"/>
              </w:rPr>
              <w:t>5</w:t>
            </w:r>
          </w:p>
        </w:tc>
        <w:tc>
          <w:tcPr>
            <w:tcW w:w="1276" w:type="dxa"/>
            <w:tcBorders>
              <w:top w:val="nil"/>
              <w:left w:val="nil"/>
              <w:bottom w:val="single" w:sz="8" w:space="0" w:color="auto"/>
              <w:right w:val="single" w:sz="8" w:space="0" w:color="auto"/>
            </w:tcBorders>
            <w:shd w:val="clear" w:color="auto" w:fill="auto"/>
            <w:noWrap/>
            <w:vAlign w:val="center"/>
          </w:tcPr>
          <w:p w14:paraId="187E5D1D" w14:textId="51EDBC65" w:rsidR="00283370" w:rsidRPr="00424274" w:rsidRDefault="00283370" w:rsidP="00283370">
            <w:pPr>
              <w:widowControl/>
              <w:jc w:val="right"/>
              <w:rPr>
                <w:rFonts w:ascii="Arial" w:hAnsi="Arial"/>
                <w:sz w:val="20"/>
                <w:lang w:eastAsia="sl-SI"/>
              </w:rPr>
            </w:pPr>
            <w:r w:rsidRPr="00424274">
              <w:rPr>
                <w:rFonts w:ascii="Arial" w:hAnsi="Arial"/>
                <w:sz w:val="20"/>
                <w:lang w:eastAsia="sl-SI"/>
              </w:rPr>
              <w:t>16,13</w:t>
            </w:r>
            <w:r w:rsidR="00656FBD">
              <w:rPr>
                <w:rFonts w:ascii="Arial" w:hAnsi="Arial"/>
                <w:sz w:val="20"/>
                <w:lang w:eastAsia="sl-SI"/>
              </w:rPr>
              <w:t> </w:t>
            </w:r>
            <w:r w:rsidRPr="00424274">
              <w:rPr>
                <w:rFonts w:ascii="Arial" w:hAnsi="Arial"/>
                <w:sz w:val="20"/>
                <w:lang w:eastAsia="sl-SI"/>
              </w:rPr>
              <w:t>%</w:t>
            </w:r>
          </w:p>
        </w:tc>
      </w:tr>
      <w:tr w:rsidR="00283370" w:rsidRPr="00424274" w14:paraId="23B27FA9" w14:textId="77777777" w:rsidTr="00472BE5">
        <w:trPr>
          <w:trHeight w:val="456"/>
        </w:trPr>
        <w:tc>
          <w:tcPr>
            <w:tcW w:w="2142" w:type="dxa"/>
            <w:vMerge/>
            <w:tcBorders>
              <w:left w:val="single" w:sz="8" w:space="0" w:color="auto"/>
              <w:bottom w:val="single" w:sz="8" w:space="0" w:color="000000"/>
              <w:right w:val="single" w:sz="8" w:space="0" w:color="auto"/>
            </w:tcBorders>
            <w:shd w:val="clear" w:color="000000" w:fill="99FF33"/>
            <w:vAlign w:val="center"/>
          </w:tcPr>
          <w:p w14:paraId="61092435" w14:textId="77777777" w:rsidR="00283370" w:rsidRPr="00424274" w:rsidRDefault="00283370" w:rsidP="00283370">
            <w:pPr>
              <w:widowControl/>
              <w:jc w:val="left"/>
              <w:rPr>
                <w:rFonts w:ascii="Arial" w:hAnsi="Arial"/>
                <w:b/>
                <w:bCs/>
                <w:sz w:val="20"/>
                <w:lang w:eastAsia="sl-SI"/>
              </w:rPr>
            </w:pPr>
          </w:p>
        </w:tc>
        <w:tc>
          <w:tcPr>
            <w:tcW w:w="2551" w:type="dxa"/>
            <w:tcBorders>
              <w:top w:val="nil"/>
              <w:left w:val="nil"/>
              <w:bottom w:val="single" w:sz="8" w:space="0" w:color="auto"/>
              <w:right w:val="single" w:sz="8" w:space="0" w:color="auto"/>
            </w:tcBorders>
            <w:shd w:val="clear" w:color="000000" w:fill="99FF33"/>
            <w:noWrap/>
            <w:vAlign w:val="center"/>
          </w:tcPr>
          <w:p w14:paraId="36BEF9EB" w14:textId="72DE2B0D" w:rsidR="00283370" w:rsidRPr="00424274" w:rsidRDefault="00283370" w:rsidP="004728ED">
            <w:pPr>
              <w:widowControl/>
              <w:jc w:val="left"/>
              <w:rPr>
                <w:rFonts w:ascii="Arial" w:hAnsi="Arial"/>
                <w:sz w:val="20"/>
                <w:lang w:eastAsia="sl-SI"/>
              </w:rPr>
            </w:pPr>
            <w:r w:rsidRPr="00424274">
              <w:rPr>
                <w:rFonts w:ascii="Arial" w:hAnsi="Arial"/>
                <w:sz w:val="20"/>
                <w:lang w:eastAsia="sl-SI"/>
              </w:rPr>
              <w:t xml:space="preserve">Pobuda </w:t>
            </w:r>
            <w:r w:rsidR="004728ED">
              <w:rPr>
                <w:rFonts w:ascii="Arial" w:hAnsi="Arial"/>
                <w:sz w:val="20"/>
                <w:lang w:eastAsia="sl-SI"/>
              </w:rPr>
              <w:t>p</w:t>
            </w:r>
            <w:r w:rsidRPr="00424274">
              <w:rPr>
                <w:rFonts w:ascii="Arial" w:hAnsi="Arial"/>
                <w:sz w:val="20"/>
                <w:lang w:eastAsia="sl-SI"/>
              </w:rPr>
              <w:t>olicije/tožilstva</w:t>
            </w:r>
          </w:p>
        </w:tc>
        <w:tc>
          <w:tcPr>
            <w:tcW w:w="1559" w:type="dxa"/>
            <w:tcBorders>
              <w:top w:val="nil"/>
              <w:left w:val="nil"/>
              <w:bottom w:val="single" w:sz="8" w:space="0" w:color="auto"/>
              <w:right w:val="single" w:sz="8" w:space="0" w:color="auto"/>
            </w:tcBorders>
            <w:shd w:val="clear" w:color="auto" w:fill="auto"/>
            <w:noWrap/>
            <w:vAlign w:val="center"/>
          </w:tcPr>
          <w:p w14:paraId="57867F17" w14:textId="77777777" w:rsidR="00283370" w:rsidRPr="00424274" w:rsidRDefault="00283370" w:rsidP="00283370">
            <w:pPr>
              <w:widowControl/>
              <w:jc w:val="right"/>
              <w:rPr>
                <w:rFonts w:ascii="Arial" w:hAnsi="Arial"/>
                <w:b/>
                <w:bCs/>
                <w:sz w:val="20"/>
                <w:lang w:eastAsia="sl-SI"/>
              </w:rPr>
            </w:pPr>
            <w:r w:rsidRPr="00424274">
              <w:rPr>
                <w:rFonts w:ascii="Arial" w:hAnsi="Arial"/>
                <w:b/>
                <w:bCs/>
                <w:sz w:val="20"/>
                <w:lang w:eastAsia="sl-SI"/>
              </w:rPr>
              <w:t>9</w:t>
            </w:r>
          </w:p>
        </w:tc>
        <w:tc>
          <w:tcPr>
            <w:tcW w:w="1276" w:type="dxa"/>
            <w:tcBorders>
              <w:top w:val="nil"/>
              <w:left w:val="nil"/>
              <w:bottom w:val="single" w:sz="8" w:space="0" w:color="auto"/>
              <w:right w:val="single" w:sz="8" w:space="0" w:color="auto"/>
            </w:tcBorders>
            <w:shd w:val="clear" w:color="auto" w:fill="auto"/>
            <w:noWrap/>
            <w:vAlign w:val="center"/>
          </w:tcPr>
          <w:p w14:paraId="5DC68393" w14:textId="70E353AD" w:rsidR="00283370" w:rsidRPr="00424274" w:rsidRDefault="00283370" w:rsidP="00283370">
            <w:pPr>
              <w:widowControl/>
              <w:jc w:val="right"/>
              <w:rPr>
                <w:rFonts w:ascii="Arial" w:hAnsi="Arial"/>
                <w:sz w:val="20"/>
                <w:lang w:eastAsia="sl-SI"/>
              </w:rPr>
            </w:pPr>
            <w:r w:rsidRPr="00424274">
              <w:rPr>
                <w:rFonts w:ascii="Arial" w:hAnsi="Arial"/>
                <w:sz w:val="20"/>
                <w:lang w:eastAsia="sl-SI"/>
              </w:rPr>
              <w:t>29,03</w:t>
            </w:r>
            <w:r w:rsidR="00656FBD">
              <w:rPr>
                <w:rFonts w:ascii="Arial" w:hAnsi="Arial"/>
                <w:sz w:val="20"/>
                <w:lang w:eastAsia="sl-SI"/>
              </w:rPr>
              <w:t> </w:t>
            </w:r>
            <w:r w:rsidRPr="00424274">
              <w:rPr>
                <w:rFonts w:ascii="Arial" w:hAnsi="Arial"/>
                <w:sz w:val="20"/>
                <w:lang w:eastAsia="sl-SI"/>
              </w:rPr>
              <w:t>%</w:t>
            </w:r>
          </w:p>
        </w:tc>
      </w:tr>
      <w:tr w:rsidR="00283370" w:rsidRPr="00424274" w14:paraId="1A5CB4D9" w14:textId="77777777" w:rsidTr="00472BE5">
        <w:trPr>
          <w:trHeight w:val="351"/>
        </w:trPr>
        <w:tc>
          <w:tcPr>
            <w:tcW w:w="4693" w:type="dxa"/>
            <w:gridSpan w:val="2"/>
            <w:tcBorders>
              <w:top w:val="single" w:sz="8" w:space="0" w:color="auto"/>
              <w:left w:val="single" w:sz="8" w:space="0" w:color="auto"/>
              <w:bottom w:val="single" w:sz="8" w:space="0" w:color="auto"/>
              <w:right w:val="single" w:sz="8" w:space="0" w:color="000000"/>
            </w:tcBorders>
            <w:shd w:val="clear" w:color="000000" w:fill="99FF33"/>
            <w:noWrap/>
            <w:vAlign w:val="center"/>
            <w:hideMark/>
          </w:tcPr>
          <w:p w14:paraId="11D84765" w14:textId="77777777" w:rsidR="00283370" w:rsidRPr="00424274" w:rsidRDefault="00283370" w:rsidP="00283370">
            <w:pPr>
              <w:widowControl/>
              <w:jc w:val="left"/>
              <w:rPr>
                <w:rFonts w:ascii="Arial" w:hAnsi="Arial"/>
                <w:b/>
                <w:bCs/>
                <w:sz w:val="20"/>
                <w:lang w:eastAsia="sl-SI"/>
              </w:rPr>
            </w:pPr>
            <w:r w:rsidRPr="00424274">
              <w:rPr>
                <w:rFonts w:ascii="Arial" w:hAnsi="Arial"/>
                <w:b/>
                <w:bCs/>
                <w:sz w:val="20"/>
                <w:lang w:eastAsia="sl-SI"/>
              </w:rPr>
              <w:t>Policija samostojno</w:t>
            </w:r>
          </w:p>
        </w:tc>
        <w:tc>
          <w:tcPr>
            <w:tcW w:w="1559" w:type="dxa"/>
            <w:tcBorders>
              <w:top w:val="nil"/>
              <w:left w:val="nil"/>
              <w:bottom w:val="single" w:sz="8" w:space="0" w:color="auto"/>
              <w:right w:val="single" w:sz="8" w:space="0" w:color="auto"/>
            </w:tcBorders>
            <w:shd w:val="clear" w:color="auto" w:fill="auto"/>
            <w:noWrap/>
            <w:vAlign w:val="center"/>
            <w:hideMark/>
          </w:tcPr>
          <w:p w14:paraId="3137AEBB" w14:textId="77777777" w:rsidR="00283370" w:rsidRPr="00424274" w:rsidRDefault="00283370" w:rsidP="00283370">
            <w:pPr>
              <w:widowControl/>
              <w:jc w:val="right"/>
              <w:rPr>
                <w:rFonts w:ascii="Arial" w:hAnsi="Arial"/>
                <w:b/>
                <w:bCs/>
                <w:sz w:val="20"/>
                <w:lang w:eastAsia="sl-SI"/>
              </w:rPr>
            </w:pPr>
            <w:r w:rsidRPr="00424274">
              <w:rPr>
                <w:rFonts w:ascii="Arial" w:hAnsi="Arial"/>
                <w:b/>
                <w:bCs/>
                <w:sz w:val="20"/>
                <w:lang w:eastAsia="sl-SI"/>
              </w:rPr>
              <w:t>3</w:t>
            </w:r>
          </w:p>
        </w:tc>
        <w:tc>
          <w:tcPr>
            <w:tcW w:w="1276" w:type="dxa"/>
            <w:tcBorders>
              <w:top w:val="nil"/>
              <w:left w:val="nil"/>
              <w:bottom w:val="single" w:sz="8" w:space="0" w:color="auto"/>
              <w:right w:val="single" w:sz="8" w:space="0" w:color="auto"/>
            </w:tcBorders>
            <w:shd w:val="clear" w:color="auto" w:fill="auto"/>
            <w:noWrap/>
            <w:vAlign w:val="center"/>
            <w:hideMark/>
          </w:tcPr>
          <w:p w14:paraId="403708E3" w14:textId="562BC725" w:rsidR="00283370" w:rsidRPr="00424274" w:rsidRDefault="00283370" w:rsidP="00283370">
            <w:pPr>
              <w:widowControl/>
              <w:jc w:val="right"/>
              <w:rPr>
                <w:rFonts w:ascii="Arial" w:hAnsi="Arial"/>
                <w:sz w:val="20"/>
                <w:lang w:eastAsia="sl-SI"/>
              </w:rPr>
            </w:pPr>
            <w:r w:rsidRPr="00424274">
              <w:rPr>
                <w:rFonts w:ascii="Arial" w:hAnsi="Arial"/>
                <w:sz w:val="20"/>
                <w:lang w:eastAsia="sl-SI"/>
              </w:rPr>
              <w:t>9,68</w:t>
            </w:r>
            <w:r w:rsidR="00656FBD">
              <w:rPr>
                <w:rFonts w:ascii="Arial" w:hAnsi="Arial"/>
                <w:sz w:val="20"/>
                <w:lang w:eastAsia="sl-SI"/>
              </w:rPr>
              <w:t> </w:t>
            </w:r>
            <w:r w:rsidRPr="00424274">
              <w:rPr>
                <w:rFonts w:ascii="Arial" w:hAnsi="Arial"/>
                <w:sz w:val="20"/>
                <w:lang w:eastAsia="sl-SI"/>
              </w:rPr>
              <w:t>%</w:t>
            </w:r>
          </w:p>
        </w:tc>
      </w:tr>
      <w:tr w:rsidR="00283370" w:rsidRPr="00424274" w14:paraId="32379167" w14:textId="77777777" w:rsidTr="00472BE5">
        <w:trPr>
          <w:trHeight w:val="351"/>
        </w:trPr>
        <w:tc>
          <w:tcPr>
            <w:tcW w:w="4693" w:type="dxa"/>
            <w:gridSpan w:val="2"/>
            <w:tcBorders>
              <w:top w:val="single" w:sz="8" w:space="0" w:color="auto"/>
              <w:left w:val="single" w:sz="8" w:space="0" w:color="auto"/>
              <w:bottom w:val="single" w:sz="8" w:space="0" w:color="auto"/>
              <w:right w:val="single" w:sz="8" w:space="0" w:color="000000"/>
            </w:tcBorders>
            <w:shd w:val="clear" w:color="000000" w:fill="99FF33"/>
            <w:noWrap/>
            <w:vAlign w:val="center"/>
          </w:tcPr>
          <w:p w14:paraId="7192AE23" w14:textId="77777777" w:rsidR="00283370" w:rsidRPr="00424274" w:rsidRDefault="00283370" w:rsidP="00283370">
            <w:pPr>
              <w:widowControl/>
              <w:jc w:val="left"/>
              <w:rPr>
                <w:rFonts w:ascii="Arial" w:hAnsi="Arial"/>
                <w:b/>
                <w:bCs/>
                <w:sz w:val="20"/>
                <w:lang w:eastAsia="sl-SI"/>
              </w:rPr>
            </w:pPr>
            <w:r w:rsidRPr="00424274">
              <w:rPr>
                <w:rFonts w:ascii="Arial" w:hAnsi="Arial"/>
                <w:b/>
                <w:bCs/>
                <w:sz w:val="20"/>
                <w:lang w:eastAsia="sl-SI"/>
              </w:rPr>
              <w:t>Tožilstvo</w:t>
            </w:r>
          </w:p>
        </w:tc>
        <w:tc>
          <w:tcPr>
            <w:tcW w:w="1559" w:type="dxa"/>
            <w:tcBorders>
              <w:top w:val="nil"/>
              <w:left w:val="nil"/>
              <w:bottom w:val="single" w:sz="8" w:space="0" w:color="auto"/>
              <w:right w:val="single" w:sz="8" w:space="0" w:color="auto"/>
            </w:tcBorders>
            <w:shd w:val="clear" w:color="auto" w:fill="auto"/>
            <w:noWrap/>
            <w:vAlign w:val="center"/>
          </w:tcPr>
          <w:p w14:paraId="232F7598" w14:textId="77777777" w:rsidR="00283370" w:rsidRPr="00424274" w:rsidRDefault="00283370" w:rsidP="00283370">
            <w:pPr>
              <w:widowControl/>
              <w:jc w:val="right"/>
              <w:rPr>
                <w:rFonts w:ascii="Arial" w:hAnsi="Arial"/>
                <w:b/>
                <w:bCs/>
                <w:sz w:val="20"/>
                <w:lang w:eastAsia="sl-SI"/>
              </w:rPr>
            </w:pPr>
            <w:r w:rsidRPr="00424274">
              <w:rPr>
                <w:rFonts w:ascii="Arial" w:hAnsi="Arial"/>
                <w:b/>
                <w:bCs/>
                <w:sz w:val="20"/>
                <w:lang w:eastAsia="sl-SI"/>
              </w:rPr>
              <w:t>5</w:t>
            </w:r>
          </w:p>
        </w:tc>
        <w:tc>
          <w:tcPr>
            <w:tcW w:w="1276" w:type="dxa"/>
            <w:tcBorders>
              <w:top w:val="nil"/>
              <w:left w:val="nil"/>
              <w:bottom w:val="single" w:sz="8" w:space="0" w:color="auto"/>
              <w:right w:val="single" w:sz="8" w:space="0" w:color="auto"/>
            </w:tcBorders>
            <w:shd w:val="clear" w:color="auto" w:fill="auto"/>
            <w:noWrap/>
            <w:vAlign w:val="center"/>
          </w:tcPr>
          <w:p w14:paraId="6EBF0BE0" w14:textId="5C4A71C1" w:rsidR="00283370" w:rsidRPr="00424274" w:rsidRDefault="00283370" w:rsidP="00283370">
            <w:pPr>
              <w:widowControl/>
              <w:jc w:val="right"/>
              <w:rPr>
                <w:rFonts w:ascii="Arial" w:hAnsi="Arial"/>
                <w:sz w:val="20"/>
                <w:lang w:eastAsia="sl-SI"/>
              </w:rPr>
            </w:pPr>
            <w:r w:rsidRPr="00424274">
              <w:rPr>
                <w:rFonts w:ascii="Arial" w:hAnsi="Arial"/>
                <w:sz w:val="20"/>
                <w:lang w:eastAsia="sl-SI"/>
              </w:rPr>
              <w:t>16,13</w:t>
            </w:r>
            <w:r w:rsidR="00656FBD">
              <w:rPr>
                <w:rFonts w:ascii="Arial" w:hAnsi="Arial"/>
                <w:sz w:val="20"/>
                <w:lang w:eastAsia="sl-SI"/>
              </w:rPr>
              <w:t> </w:t>
            </w:r>
            <w:r w:rsidRPr="00424274">
              <w:rPr>
                <w:rFonts w:ascii="Arial" w:hAnsi="Arial"/>
                <w:sz w:val="20"/>
                <w:lang w:eastAsia="sl-SI"/>
              </w:rPr>
              <w:t>%</w:t>
            </w:r>
          </w:p>
        </w:tc>
      </w:tr>
      <w:tr w:rsidR="00283370" w:rsidRPr="00424274" w14:paraId="06DEC4FF" w14:textId="77777777" w:rsidTr="00472BE5">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00CCFF"/>
            <w:noWrap/>
            <w:vAlign w:val="center"/>
            <w:hideMark/>
          </w:tcPr>
          <w:p w14:paraId="18D1EE2B" w14:textId="77777777" w:rsidR="00283370" w:rsidRPr="00424274" w:rsidRDefault="00283370" w:rsidP="00283370">
            <w:pPr>
              <w:widowControl/>
              <w:jc w:val="left"/>
              <w:rPr>
                <w:rFonts w:ascii="Arial" w:hAnsi="Arial"/>
                <w:b/>
                <w:bCs/>
                <w:sz w:val="20"/>
                <w:lang w:eastAsia="sl-SI"/>
              </w:rPr>
            </w:pPr>
            <w:r w:rsidRPr="00424274">
              <w:rPr>
                <w:rFonts w:ascii="Arial" w:hAnsi="Arial"/>
                <w:b/>
                <w:bCs/>
                <w:sz w:val="20"/>
                <w:lang w:eastAsia="sl-SI"/>
              </w:rPr>
              <w:t>SKUPAJ</w:t>
            </w:r>
          </w:p>
        </w:tc>
        <w:tc>
          <w:tcPr>
            <w:tcW w:w="1559" w:type="dxa"/>
            <w:tcBorders>
              <w:top w:val="nil"/>
              <w:left w:val="nil"/>
              <w:bottom w:val="single" w:sz="8" w:space="0" w:color="auto"/>
              <w:right w:val="single" w:sz="8" w:space="0" w:color="auto"/>
            </w:tcBorders>
            <w:shd w:val="clear" w:color="000000" w:fill="00CCFF"/>
            <w:noWrap/>
            <w:vAlign w:val="center"/>
            <w:hideMark/>
          </w:tcPr>
          <w:p w14:paraId="48AAA19E" w14:textId="77777777" w:rsidR="00283370" w:rsidRPr="00424274" w:rsidRDefault="00283370" w:rsidP="00283370">
            <w:pPr>
              <w:widowControl/>
              <w:jc w:val="right"/>
              <w:rPr>
                <w:rFonts w:ascii="Arial" w:hAnsi="Arial"/>
                <w:b/>
                <w:bCs/>
                <w:sz w:val="20"/>
                <w:lang w:eastAsia="sl-SI"/>
              </w:rPr>
            </w:pPr>
            <w:r w:rsidRPr="00424274">
              <w:rPr>
                <w:rFonts w:ascii="Arial" w:hAnsi="Arial"/>
                <w:b/>
                <w:bCs/>
                <w:sz w:val="20"/>
                <w:lang w:eastAsia="sl-SI"/>
              </w:rPr>
              <w:t>31</w:t>
            </w:r>
          </w:p>
        </w:tc>
        <w:tc>
          <w:tcPr>
            <w:tcW w:w="1276" w:type="dxa"/>
            <w:tcBorders>
              <w:top w:val="nil"/>
              <w:left w:val="nil"/>
              <w:bottom w:val="single" w:sz="8" w:space="0" w:color="auto"/>
              <w:right w:val="single" w:sz="8" w:space="0" w:color="auto"/>
            </w:tcBorders>
            <w:shd w:val="clear" w:color="000000" w:fill="00CCFF"/>
            <w:noWrap/>
            <w:vAlign w:val="center"/>
            <w:hideMark/>
          </w:tcPr>
          <w:p w14:paraId="5506F480" w14:textId="77777777" w:rsidR="00283370" w:rsidRPr="00424274" w:rsidRDefault="00283370" w:rsidP="00283370">
            <w:pPr>
              <w:widowControl/>
              <w:jc w:val="right"/>
              <w:rPr>
                <w:rFonts w:ascii="Arial" w:hAnsi="Arial"/>
                <w:sz w:val="20"/>
                <w:lang w:eastAsia="sl-SI"/>
              </w:rPr>
            </w:pPr>
            <w:r w:rsidRPr="00424274">
              <w:rPr>
                <w:rFonts w:ascii="Arial" w:hAnsi="Arial"/>
                <w:sz w:val="20"/>
                <w:lang w:eastAsia="sl-SI"/>
              </w:rPr>
              <w:t>100,00 %</w:t>
            </w:r>
          </w:p>
        </w:tc>
      </w:tr>
    </w:tbl>
    <w:p w14:paraId="68E87929" w14:textId="397CF77B" w:rsidR="00283370" w:rsidRPr="00424274" w:rsidRDefault="00283370" w:rsidP="00892392">
      <w:pPr>
        <w:tabs>
          <w:tab w:val="left" w:pos="-1049"/>
          <w:tab w:val="left" w:pos="-787"/>
          <w:tab w:val="left" w:pos="720"/>
          <w:tab w:val="left" w:pos="1134"/>
          <w:tab w:val="left" w:pos="1440"/>
          <w:tab w:val="left" w:pos="2160"/>
          <w:tab w:val="left" w:pos="2880"/>
          <w:tab w:val="left" w:pos="3600"/>
          <w:tab w:val="left" w:pos="4320"/>
          <w:tab w:val="left" w:pos="4500"/>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left="1134" w:right="-22" w:hanging="1134"/>
        <w:rPr>
          <w:rFonts w:ascii="Arial" w:hAnsi="Arial"/>
          <w:b/>
          <w:i/>
          <w:iCs/>
          <w:sz w:val="20"/>
        </w:rPr>
      </w:pPr>
    </w:p>
    <w:p w14:paraId="2D810748" w14:textId="77777777" w:rsidR="00A94B23" w:rsidRPr="00424274" w:rsidRDefault="00A94B23" w:rsidP="00D21F86">
      <w:pPr>
        <w:pStyle w:val="Telobesedila2"/>
        <w:tabs>
          <w:tab w:val="clear" w:pos="-689"/>
          <w:tab w:val="clear" w:pos="31"/>
          <w:tab w:val="clear" w:pos="751"/>
          <w:tab w:val="clear" w:pos="1471"/>
          <w:tab w:val="clear" w:pos="2191"/>
          <w:tab w:val="clear" w:pos="2911"/>
          <w:tab w:val="clear" w:pos="3631"/>
          <w:tab w:val="clear" w:pos="4351"/>
          <w:tab w:val="left" w:pos="-787"/>
          <w:tab w:val="left" w:pos="720"/>
          <w:tab w:val="left" w:pos="1134"/>
          <w:tab w:val="left" w:pos="1440"/>
          <w:tab w:val="left" w:pos="2160"/>
          <w:tab w:val="left" w:pos="2880"/>
          <w:tab w:val="left" w:pos="3600"/>
          <w:tab w:val="left" w:pos="4320"/>
          <w:tab w:val="left" w:pos="4500"/>
        </w:tabs>
        <w:spacing w:line="276" w:lineRule="auto"/>
        <w:ind w:right="-22"/>
        <w:rPr>
          <w:rFonts w:ascii="Arial" w:hAnsi="Arial"/>
          <w:b/>
          <w:i/>
          <w:iCs/>
          <w:sz w:val="20"/>
        </w:rPr>
      </w:pPr>
    </w:p>
    <w:p w14:paraId="697D2030" w14:textId="0A1E580F" w:rsidR="00E36035" w:rsidRPr="00424274" w:rsidRDefault="00E36035" w:rsidP="00E36035">
      <w:pPr>
        <w:spacing w:line="276" w:lineRule="auto"/>
        <w:rPr>
          <w:rFonts w:ascii="Arial" w:hAnsi="Arial"/>
          <w:iCs/>
          <w:sz w:val="20"/>
        </w:rPr>
      </w:pPr>
      <w:r w:rsidRPr="00424274">
        <w:rPr>
          <w:rFonts w:ascii="Arial" w:hAnsi="Arial"/>
          <w:iCs/>
          <w:sz w:val="20"/>
        </w:rPr>
        <w:t xml:space="preserve">Iz </w:t>
      </w:r>
      <w:r w:rsidR="00814A21">
        <w:rPr>
          <w:rFonts w:ascii="Arial" w:hAnsi="Arial"/>
          <w:iCs/>
          <w:sz w:val="20"/>
        </w:rPr>
        <w:t>preglednic</w:t>
      </w:r>
      <w:r w:rsidRPr="00424274">
        <w:rPr>
          <w:rFonts w:ascii="Arial" w:hAnsi="Arial"/>
          <w:iCs/>
          <w:sz w:val="20"/>
        </w:rPr>
        <w:t xml:space="preserve">e je razvidno, da je </w:t>
      </w:r>
      <w:r w:rsidRPr="00424274">
        <w:rPr>
          <w:rFonts w:ascii="Arial" w:hAnsi="Arial"/>
          <w:b/>
          <w:bCs/>
          <w:i/>
          <w:sz w:val="20"/>
        </w:rPr>
        <w:t xml:space="preserve">23 </w:t>
      </w:r>
      <w:r w:rsidRPr="00424274">
        <w:rPr>
          <w:rFonts w:ascii="Arial" w:hAnsi="Arial"/>
          <w:b/>
          <w:i/>
          <w:iCs/>
          <w:sz w:val="20"/>
        </w:rPr>
        <w:t>zadev (ali 74,19</w:t>
      </w:r>
      <w:r w:rsidRPr="00424274">
        <w:rPr>
          <w:rFonts w:ascii="Arial" w:hAnsi="Arial"/>
          <w:b/>
          <w:i/>
          <w:iCs/>
          <w:sz w:val="20"/>
          <w:lang w:eastAsia="sl-SI"/>
        </w:rPr>
        <w:t xml:space="preserve"> </w:t>
      </w:r>
      <w:r w:rsidRPr="00424274">
        <w:rPr>
          <w:rFonts w:ascii="Arial" w:hAnsi="Arial"/>
          <w:b/>
          <w:i/>
          <w:iCs/>
          <w:sz w:val="20"/>
        </w:rPr>
        <w:t>%)</w:t>
      </w:r>
      <w:r w:rsidRPr="000E0620">
        <w:rPr>
          <w:rFonts w:ascii="Arial" w:hAnsi="Arial"/>
          <w:i/>
          <w:iCs/>
          <w:sz w:val="20"/>
        </w:rPr>
        <w:t>,</w:t>
      </w:r>
      <w:r w:rsidRPr="00656FBD">
        <w:rPr>
          <w:rFonts w:ascii="Arial" w:hAnsi="Arial"/>
          <w:iCs/>
          <w:sz w:val="20"/>
        </w:rPr>
        <w:t xml:space="preserve"> </w:t>
      </w:r>
      <w:r w:rsidRPr="00424274">
        <w:rPr>
          <w:rFonts w:ascii="Arial" w:hAnsi="Arial"/>
          <w:iCs/>
          <w:sz w:val="20"/>
        </w:rPr>
        <w:t xml:space="preserve">od skupno 31 novih zadev v letu 2020 zaradi utemeljenih razlogov za sum storitve kaznivega dejanja pranja denarja, temeljilo na obvestilih in informacijah </w:t>
      </w:r>
      <w:r w:rsidR="00814A21">
        <w:rPr>
          <w:rFonts w:ascii="Arial" w:hAnsi="Arial"/>
          <w:iCs/>
          <w:sz w:val="20"/>
        </w:rPr>
        <w:t>urad</w:t>
      </w:r>
      <w:r w:rsidRPr="00424274">
        <w:rPr>
          <w:rFonts w:ascii="Arial" w:hAnsi="Arial"/>
          <w:iCs/>
          <w:sz w:val="20"/>
        </w:rPr>
        <w:t xml:space="preserve">a. Od vseh zadev s področja pranja denarja v letu 2020 se jih je </w:t>
      </w:r>
      <w:r w:rsidR="00656FBD">
        <w:rPr>
          <w:rFonts w:ascii="Arial" w:hAnsi="Arial"/>
          <w:iCs/>
          <w:sz w:val="20"/>
        </w:rPr>
        <w:t>devet</w:t>
      </w:r>
      <w:r w:rsidRPr="00424274">
        <w:rPr>
          <w:rFonts w:ascii="Arial" w:hAnsi="Arial"/>
          <w:iCs/>
          <w:sz w:val="20"/>
        </w:rPr>
        <w:t xml:space="preserve"> začelo na podlagi sporočenih podatkov, ki so jih </w:t>
      </w:r>
      <w:r w:rsidR="00814A21">
        <w:rPr>
          <w:rFonts w:ascii="Arial" w:hAnsi="Arial"/>
          <w:iCs/>
          <w:sz w:val="20"/>
        </w:rPr>
        <w:t>urad</w:t>
      </w:r>
      <w:r w:rsidRPr="00424274">
        <w:rPr>
          <w:rFonts w:ascii="Arial" w:hAnsi="Arial"/>
          <w:iCs/>
          <w:sz w:val="20"/>
        </w:rPr>
        <w:t xml:space="preserve">u v obliki sporočenih sumljivih transakcij </w:t>
      </w:r>
      <w:r w:rsidR="00656FBD">
        <w:rPr>
          <w:rFonts w:ascii="Arial" w:hAnsi="Arial"/>
          <w:iCs/>
          <w:sz w:val="20"/>
        </w:rPr>
        <w:t>poslali</w:t>
      </w:r>
      <w:r w:rsidR="00656FBD" w:rsidRPr="00424274">
        <w:rPr>
          <w:rFonts w:ascii="Arial" w:hAnsi="Arial"/>
          <w:iCs/>
          <w:sz w:val="20"/>
        </w:rPr>
        <w:t xml:space="preserve"> </w:t>
      </w:r>
      <w:r w:rsidRPr="00424274">
        <w:rPr>
          <w:rFonts w:ascii="Arial" w:hAnsi="Arial"/>
          <w:iCs/>
          <w:sz w:val="20"/>
        </w:rPr>
        <w:t xml:space="preserve">zavezanci iz ZPPDFT-1, </w:t>
      </w:r>
      <w:r w:rsidR="00656FBD">
        <w:rPr>
          <w:rFonts w:ascii="Arial" w:hAnsi="Arial"/>
          <w:iCs/>
          <w:sz w:val="20"/>
        </w:rPr>
        <w:t>pet</w:t>
      </w:r>
      <w:r w:rsidRPr="00424274">
        <w:rPr>
          <w:rFonts w:ascii="Arial" w:hAnsi="Arial"/>
          <w:iCs/>
          <w:sz w:val="20"/>
        </w:rPr>
        <w:t xml:space="preserve"> zadev je </w:t>
      </w:r>
      <w:r w:rsidR="00814A21">
        <w:rPr>
          <w:rFonts w:ascii="Arial" w:hAnsi="Arial"/>
          <w:iCs/>
          <w:sz w:val="20"/>
        </w:rPr>
        <w:t>urad</w:t>
      </w:r>
      <w:r w:rsidRPr="00424274">
        <w:rPr>
          <w:rFonts w:ascii="Arial" w:hAnsi="Arial"/>
          <w:iCs/>
          <w:sz w:val="20"/>
        </w:rPr>
        <w:t xml:space="preserve"> </w:t>
      </w:r>
      <w:r w:rsidR="00656FBD">
        <w:rPr>
          <w:rFonts w:ascii="Arial" w:hAnsi="Arial"/>
          <w:iCs/>
          <w:sz w:val="20"/>
        </w:rPr>
        <w:t>za</w:t>
      </w:r>
      <w:r w:rsidRPr="00424274">
        <w:rPr>
          <w:rFonts w:ascii="Arial" w:hAnsi="Arial"/>
          <w:iCs/>
          <w:sz w:val="20"/>
        </w:rPr>
        <w:t xml:space="preserve">čel obravnavati na podlagi pobude in prijav zavezancev, medtem ko smo </w:t>
      </w:r>
      <w:r w:rsidR="00656FBD">
        <w:rPr>
          <w:rFonts w:ascii="Arial" w:hAnsi="Arial"/>
          <w:iCs/>
          <w:sz w:val="20"/>
        </w:rPr>
        <w:t>devet</w:t>
      </w:r>
      <w:r w:rsidRPr="00424274">
        <w:rPr>
          <w:rFonts w:ascii="Arial" w:hAnsi="Arial"/>
          <w:iCs/>
          <w:sz w:val="20"/>
        </w:rPr>
        <w:t xml:space="preserve"> zadev </w:t>
      </w:r>
      <w:r w:rsidR="00656FBD">
        <w:rPr>
          <w:rFonts w:ascii="Arial" w:hAnsi="Arial"/>
          <w:iCs/>
          <w:sz w:val="20"/>
        </w:rPr>
        <w:t>za</w:t>
      </w:r>
      <w:r w:rsidRPr="00424274">
        <w:rPr>
          <w:rFonts w:ascii="Arial" w:hAnsi="Arial"/>
          <w:iCs/>
          <w:sz w:val="20"/>
        </w:rPr>
        <w:t xml:space="preserve">čeli obravnavati na pobudo organov pregona. Policija je v letu 2020 </w:t>
      </w:r>
      <w:r w:rsidR="00A72785">
        <w:rPr>
          <w:rFonts w:ascii="Arial" w:hAnsi="Arial"/>
          <w:iCs/>
          <w:sz w:val="20"/>
        </w:rPr>
        <w:t>popolnoma</w:t>
      </w:r>
      <w:r w:rsidR="00A72785" w:rsidRPr="00424274">
        <w:rPr>
          <w:rFonts w:ascii="Arial" w:hAnsi="Arial"/>
          <w:iCs/>
          <w:sz w:val="20"/>
        </w:rPr>
        <w:t xml:space="preserve"> </w:t>
      </w:r>
      <w:r w:rsidRPr="00424274">
        <w:rPr>
          <w:rFonts w:ascii="Arial" w:hAnsi="Arial"/>
          <w:iCs/>
          <w:sz w:val="20"/>
        </w:rPr>
        <w:t xml:space="preserve">samostojno (brez sodelovanja </w:t>
      </w:r>
      <w:r w:rsidR="00814A21">
        <w:rPr>
          <w:rFonts w:ascii="Arial" w:hAnsi="Arial"/>
          <w:iCs/>
          <w:sz w:val="20"/>
        </w:rPr>
        <w:t>urad</w:t>
      </w:r>
      <w:r w:rsidRPr="00424274">
        <w:rPr>
          <w:rFonts w:ascii="Arial" w:hAnsi="Arial"/>
          <w:iCs/>
          <w:sz w:val="20"/>
        </w:rPr>
        <w:t xml:space="preserve">a) </w:t>
      </w:r>
      <w:r w:rsidR="00656FBD">
        <w:rPr>
          <w:rFonts w:ascii="Arial" w:hAnsi="Arial"/>
          <w:iCs/>
          <w:sz w:val="20"/>
        </w:rPr>
        <w:t>za</w:t>
      </w:r>
      <w:r w:rsidRPr="00424274">
        <w:rPr>
          <w:rFonts w:ascii="Arial" w:hAnsi="Arial"/>
          <w:iCs/>
          <w:sz w:val="20"/>
        </w:rPr>
        <w:t xml:space="preserve">čela predkazenski postopek zaradi pranja denarja v </w:t>
      </w:r>
      <w:r w:rsidR="00656FBD">
        <w:rPr>
          <w:rFonts w:ascii="Arial" w:hAnsi="Arial"/>
          <w:iCs/>
          <w:sz w:val="20"/>
        </w:rPr>
        <w:t>treh</w:t>
      </w:r>
      <w:r w:rsidRPr="00424274">
        <w:rPr>
          <w:rFonts w:ascii="Arial" w:hAnsi="Arial"/>
          <w:iCs/>
          <w:sz w:val="20"/>
        </w:rPr>
        <w:t xml:space="preserve"> zadevah, medtem ko je tožilstvo brez predhodne podane kazenske ovadbe in brez podatkov </w:t>
      </w:r>
      <w:r w:rsidR="00814A21">
        <w:rPr>
          <w:rFonts w:ascii="Arial" w:hAnsi="Arial"/>
          <w:iCs/>
          <w:sz w:val="20"/>
        </w:rPr>
        <w:t>urad</w:t>
      </w:r>
      <w:r w:rsidRPr="00424274">
        <w:rPr>
          <w:rFonts w:ascii="Arial" w:hAnsi="Arial"/>
          <w:iCs/>
          <w:sz w:val="20"/>
        </w:rPr>
        <w:t xml:space="preserve">a </w:t>
      </w:r>
      <w:r w:rsidR="00656FBD">
        <w:rPr>
          <w:rFonts w:ascii="Arial" w:hAnsi="Arial"/>
          <w:iCs/>
          <w:sz w:val="20"/>
        </w:rPr>
        <w:t>za</w:t>
      </w:r>
      <w:r w:rsidRPr="00424274">
        <w:rPr>
          <w:rFonts w:ascii="Arial" w:hAnsi="Arial"/>
          <w:iCs/>
          <w:sz w:val="20"/>
        </w:rPr>
        <w:t xml:space="preserve">čelo </w:t>
      </w:r>
      <w:r w:rsidR="00656FBD">
        <w:rPr>
          <w:rFonts w:ascii="Arial" w:hAnsi="Arial"/>
          <w:iCs/>
          <w:sz w:val="20"/>
        </w:rPr>
        <w:t>pet novih postopkov.</w:t>
      </w:r>
    </w:p>
    <w:p w14:paraId="0048C282" w14:textId="77777777" w:rsidR="00E36035" w:rsidRPr="00424274" w:rsidRDefault="00E36035" w:rsidP="00E36035">
      <w:pPr>
        <w:spacing w:line="276" w:lineRule="auto"/>
        <w:rPr>
          <w:rFonts w:ascii="Arial" w:hAnsi="Arial"/>
          <w:iCs/>
          <w:sz w:val="20"/>
        </w:rPr>
      </w:pPr>
    </w:p>
    <w:p w14:paraId="025AAC61" w14:textId="6D30135A" w:rsidR="00E36035" w:rsidRPr="00424274" w:rsidRDefault="00E36035" w:rsidP="00E36035">
      <w:pPr>
        <w:spacing w:line="276" w:lineRule="auto"/>
        <w:rPr>
          <w:rFonts w:ascii="Arial" w:hAnsi="Arial"/>
          <w:bCs/>
          <w:sz w:val="20"/>
        </w:rPr>
      </w:pPr>
      <w:r w:rsidRPr="00424274">
        <w:rPr>
          <w:rFonts w:ascii="Arial" w:hAnsi="Arial"/>
          <w:bCs/>
          <w:sz w:val="20"/>
        </w:rPr>
        <w:t xml:space="preserve">V spodnjem grafu predstavljamo delež vseh začetih postopkov zaradi utemeljenih razlogov za sum storitve kaznivega dejanja pranja denarja v obdobju 2010–2020 glede na izvor podatkov, na podlagi katerih se je v tem obdobju </w:t>
      </w:r>
      <w:r w:rsidR="00656FBD">
        <w:rPr>
          <w:rFonts w:ascii="Arial" w:hAnsi="Arial"/>
          <w:bCs/>
          <w:sz w:val="20"/>
        </w:rPr>
        <w:t>za</w:t>
      </w:r>
      <w:r w:rsidRPr="00424274">
        <w:rPr>
          <w:rFonts w:ascii="Arial" w:hAnsi="Arial"/>
          <w:bCs/>
          <w:sz w:val="20"/>
        </w:rPr>
        <w:t xml:space="preserve">čelo 546 postopkov. Na tem mestu posebej ne predstavljamo 15 zadev, ki so nastale kot posledica izločitve oseb iz posameznih kazenskih zadev, saj so se tudi te </w:t>
      </w:r>
      <w:r w:rsidR="00656FBD">
        <w:rPr>
          <w:rFonts w:ascii="Arial" w:hAnsi="Arial"/>
          <w:bCs/>
          <w:sz w:val="20"/>
        </w:rPr>
        <w:t>za</w:t>
      </w:r>
      <w:r w:rsidRPr="00424274">
        <w:rPr>
          <w:rFonts w:ascii="Arial" w:hAnsi="Arial"/>
          <w:bCs/>
          <w:sz w:val="20"/>
        </w:rPr>
        <w:t xml:space="preserve">čele na podlagi spodaj predstavljenih virov. Hkrati število tako nastalih zadev bistveno ne vpliva na celotno število kazenskih zadev, saj po drugi strani sodišča kazenske zadeve tudi združujejo. </w:t>
      </w:r>
    </w:p>
    <w:p w14:paraId="2280E29F" w14:textId="3C873965" w:rsidR="00A94B23" w:rsidRDefault="00A94B23" w:rsidP="00D21F86">
      <w:pPr>
        <w:pStyle w:val="Telobesedila2"/>
        <w:tabs>
          <w:tab w:val="clear" w:pos="-689"/>
          <w:tab w:val="clear" w:pos="31"/>
          <w:tab w:val="clear" w:pos="751"/>
          <w:tab w:val="clear" w:pos="1471"/>
          <w:tab w:val="clear" w:pos="2191"/>
          <w:tab w:val="clear" w:pos="2911"/>
          <w:tab w:val="clear" w:pos="3631"/>
          <w:tab w:val="clear" w:pos="4351"/>
          <w:tab w:val="left" w:pos="-787"/>
          <w:tab w:val="left" w:pos="0"/>
          <w:tab w:val="left" w:pos="720"/>
          <w:tab w:val="left" w:pos="1440"/>
          <w:tab w:val="left" w:pos="2160"/>
          <w:tab w:val="left" w:pos="2880"/>
          <w:tab w:val="left" w:pos="3600"/>
          <w:tab w:val="left" w:pos="4320"/>
          <w:tab w:val="left" w:pos="4500"/>
        </w:tabs>
        <w:spacing w:line="276" w:lineRule="auto"/>
        <w:ind w:right="-22"/>
        <w:rPr>
          <w:rFonts w:ascii="Arial" w:hAnsi="Arial"/>
          <w:bCs/>
          <w:sz w:val="20"/>
        </w:rPr>
      </w:pPr>
    </w:p>
    <w:p w14:paraId="2AB1AB76" w14:textId="7D0BAA8D" w:rsidR="00720CFF" w:rsidRDefault="00720CFF" w:rsidP="00D21F86">
      <w:pPr>
        <w:pStyle w:val="Telobesedila2"/>
        <w:tabs>
          <w:tab w:val="clear" w:pos="-689"/>
          <w:tab w:val="clear" w:pos="31"/>
          <w:tab w:val="clear" w:pos="751"/>
          <w:tab w:val="clear" w:pos="1471"/>
          <w:tab w:val="clear" w:pos="2191"/>
          <w:tab w:val="clear" w:pos="2911"/>
          <w:tab w:val="clear" w:pos="3631"/>
          <w:tab w:val="clear" w:pos="4351"/>
          <w:tab w:val="left" w:pos="-787"/>
          <w:tab w:val="left" w:pos="0"/>
          <w:tab w:val="left" w:pos="720"/>
          <w:tab w:val="left" w:pos="1440"/>
          <w:tab w:val="left" w:pos="2160"/>
          <w:tab w:val="left" w:pos="2880"/>
          <w:tab w:val="left" w:pos="3600"/>
          <w:tab w:val="left" w:pos="4320"/>
          <w:tab w:val="left" w:pos="4500"/>
        </w:tabs>
        <w:spacing w:line="276" w:lineRule="auto"/>
        <w:ind w:right="-22"/>
        <w:rPr>
          <w:rFonts w:ascii="Arial" w:hAnsi="Arial"/>
          <w:bCs/>
          <w:sz w:val="20"/>
        </w:rPr>
      </w:pPr>
    </w:p>
    <w:p w14:paraId="439AD783" w14:textId="264A92D6" w:rsidR="00720CFF" w:rsidRDefault="00720CFF" w:rsidP="00D21F86">
      <w:pPr>
        <w:pStyle w:val="Telobesedila2"/>
        <w:tabs>
          <w:tab w:val="clear" w:pos="-689"/>
          <w:tab w:val="clear" w:pos="31"/>
          <w:tab w:val="clear" w:pos="751"/>
          <w:tab w:val="clear" w:pos="1471"/>
          <w:tab w:val="clear" w:pos="2191"/>
          <w:tab w:val="clear" w:pos="2911"/>
          <w:tab w:val="clear" w:pos="3631"/>
          <w:tab w:val="clear" w:pos="4351"/>
          <w:tab w:val="left" w:pos="-787"/>
          <w:tab w:val="left" w:pos="0"/>
          <w:tab w:val="left" w:pos="720"/>
          <w:tab w:val="left" w:pos="1440"/>
          <w:tab w:val="left" w:pos="2160"/>
          <w:tab w:val="left" w:pos="2880"/>
          <w:tab w:val="left" w:pos="3600"/>
          <w:tab w:val="left" w:pos="4320"/>
          <w:tab w:val="left" w:pos="4500"/>
        </w:tabs>
        <w:spacing w:line="276" w:lineRule="auto"/>
        <w:ind w:right="-22"/>
        <w:rPr>
          <w:rFonts w:ascii="Arial" w:hAnsi="Arial"/>
          <w:bCs/>
          <w:sz w:val="20"/>
        </w:rPr>
      </w:pPr>
    </w:p>
    <w:p w14:paraId="15EFD1D8" w14:textId="2C52047E" w:rsidR="00720CFF" w:rsidRDefault="00720CFF" w:rsidP="00D21F86">
      <w:pPr>
        <w:pStyle w:val="Telobesedila2"/>
        <w:tabs>
          <w:tab w:val="clear" w:pos="-689"/>
          <w:tab w:val="clear" w:pos="31"/>
          <w:tab w:val="clear" w:pos="751"/>
          <w:tab w:val="clear" w:pos="1471"/>
          <w:tab w:val="clear" w:pos="2191"/>
          <w:tab w:val="clear" w:pos="2911"/>
          <w:tab w:val="clear" w:pos="3631"/>
          <w:tab w:val="clear" w:pos="4351"/>
          <w:tab w:val="left" w:pos="-787"/>
          <w:tab w:val="left" w:pos="0"/>
          <w:tab w:val="left" w:pos="720"/>
          <w:tab w:val="left" w:pos="1440"/>
          <w:tab w:val="left" w:pos="2160"/>
          <w:tab w:val="left" w:pos="2880"/>
          <w:tab w:val="left" w:pos="3600"/>
          <w:tab w:val="left" w:pos="4320"/>
          <w:tab w:val="left" w:pos="4500"/>
        </w:tabs>
        <w:spacing w:line="276" w:lineRule="auto"/>
        <w:ind w:right="-22"/>
        <w:rPr>
          <w:rFonts w:ascii="Arial" w:hAnsi="Arial"/>
          <w:bCs/>
          <w:sz w:val="20"/>
        </w:rPr>
      </w:pPr>
    </w:p>
    <w:p w14:paraId="61831204" w14:textId="7C56FECA" w:rsidR="00720CFF" w:rsidRDefault="00720CFF" w:rsidP="00D21F86">
      <w:pPr>
        <w:pStyle w:val="Telobesedila2"/>
        <w:tabs>
          <w:tab w:val="clear" w:pos="-689"/>
          <w:tab w:val="clear" w:pos="31"/>
          <w:tab w:val="clear" w:pos="751"/>
          <w:tab w:val="clear" w:pos="1471"/>
          <w:tab w:val="clear" w:pos="2191"/>
          <w:tab w:val="clear" w:pos="2911"/>
          <w:tab w:val="clear" w:pos="3631"/>
          <w:tab w:val="clear" w:pos="4351"/>
          <w:tab w:val="left" w:pos="-787"/>
          <w:tab w:val="left" w:pos="0"/>
          <w:tab w:val="left" w:pos="720"/>
          <w:tab w:val="left" w:pos="1440"/>
          <w:tab w:val="left" w:pos="2160"/>
          <w:tab w:val="left" w:pos="2880"/>
          <w:tab w:val="left" w:pos="3600"/>
          <w:tab w:val="left" w:pos="4320"/>
          <w:tab w:val="left" w:pos="4500"/>
        </w:tabs>
        <w:spacing w:line="276" w:lineRule="auto"/>
        <w:ind w:right="-22"/>
        <w:rPr>
          <w:rFonts w:ascii="Arial" w:hAnsi="Arial"/>
          <w:bCs/>
          <w:sz w:val="20"/>
        </w:rPr>
      </w:pPr>
    </w:p>
    <w:p w14:paraId="30797555" w14:textId="3E9711B9" w:rsidR="00720CFF" w:rsidRDefault="00720CFF" w:rsidP="00D21F86">
      <w:pPr>
        <w:pStyle w:val="Telobesedila2"/>
        <w:tabs>
          <w:tab w:val="clear" w:pos="-689"/>
          <w:tab w:val="clear" w:pos="31"/>
          <w:tab w:val="clear" w:pos="751"/>
          <w:tab w:val="clear" w:pos="1471"/>
          <w:tab w:val="clear" w:pos="2191"/>
          <w:tab w:val="clear" w:pos="2911"/>
          <w:tab w:val="clear" w:pos="3631"/>
          <w:tab w:val="clear" w:pos="4351"/>
          <w:tab w:val="left" w:pos="-787"/>
          <w:tab w:val="left" w:pos="0"/>
          <w:tab w:val="left" w:pos="720"/>
          <w:tab w:val="left" w:pos="1440"/>
          <w:tab w:val="left" w:pos="2160"/>
          <w:tab w:val="left" w:pos="2880"/>
          <w:tab w:val="left" w:pos="3600"/>
          <w:tab w:val="left" w:pos="4320"/>
          <w:tab w:val="left" w:pos="4500"/>
        </w:tabs>
        <w:spacing w:line="276" w:lineRule="auto"/>
        <w:ind w:right="-22"/>
        <w:rPr>
          <w:rFonts w:ascii="Arial" w:hAnsi="Arial"/>
          <w:bCs/>
          <w:sz w:val="20"/>
        </w:rPr>
      </w:pPr>
    </w:p>
    <w:p w14:paraId="448FC9DD" w14:textId="5B3FED17" w:rsidR="00720CFF" w:rsidRDefault="00720CFF" w:rsidP="00D21F86">
      <w:pPr>
        <w:pStyle w:val="Telobesedila2"/>
        <w:tabs>
          <w:tab w:val="clear" w:pos="-689"/>
          <w:tab w:val="clear" w:pos="31"/>
          <w:tab w:val="clear" w:pos="751"/>
          <w:tab w:val="clear" w:pos="1471"/>
          <w:tab w:val="clear" w:pos="2191"/>
          <w:tab w:val="clear" w:pos="2911"/>
          <w:tab w:val="clear" w:pos="3631"/>
          <w:tab w:val="clear" w:pos="4351"/>
          <w:tab w:val="left" w:pos="-787"/>
          <w:tab w:val="left" w:pos="0"/>
          <w:tab w:val="left" w:pos="720"/>
          <w:tab w:val="left" w:pos="1440"/>
          <w:tab w:val="left" w:pos="2160"/>
          <w:tab w:val="left" w:pos="2880"/>
          <w:tab w:val="left" w:pos="3600"/>
          <w:tab w:val="left" w:pos="4320"/>
          <w:tab w:val="left" w:pos="4500"/>
        </w:tabs>
        <w:spacing w:line="276" w:lineRule="auto"/>
        <w:ind w:right="-22"/>
        <w:rPr>
          <w:rFonts w:ascii="Arial" w:hAnsi="Arial"/>
          <w:bCs/>
          <w:sz w:val="20"/>
        </w:rPr>
      </w:pPr>
    </w:p>
    <w:p w14:paraId="3E7761F9" w14:textId="04F66667" w:rsidR="00720CFF" w:rsidRDefault="00720CFF" w:rsidP="00D21F86">
      <w:pPr>
        <w:pStyle w:val="Telobesedila2"/>
        <w:tabs>
          <w:tab w:val="clear" w:pos="-689"/>
          <w:tab w:val="clear" w:pos="31"/>
          <w:tab w:val="clear" w:pos="751"/>
          <w:tab w:val="clear" w:pos="1471"/>
          <w:tab w:val="clear" w:pos="2191"/>
          <w:tab w:val="clear" w:pos="2911"/>
          <w:tab w:val="clear" w:pos="3631"/>
          <w:tab w:val="clear" w:pos="4351"/>
          <w:tab w:val="left" w:pos="-787"/>
          <w:tab w:val="left" w:pos="0"/>
          <w:tab w:val="left" w:pos="720"/>
          <w:tab w:val="left" w:pos="1440"/>
          <w:tab w:val="left" w:pos="2160"/>
          <w:tab w:val="left" w:pos="2880"/>
          <w:tab w:val="left" w:pos="3600"/>
          <w:tab w:val="left" w:pos="4320"/>
          <w:tab w:val="left" w:pos="4500"/>
        </w:tabs>
        <w:spacing w:line="276" w:lineRule="auto"/>
        <w:ind w:right="-22"/>
        <w:rPr>
          <w:rFonts w:ascii="Arial" w:hAnsi="Arial"/>
          <w:bCs/>
          <w:sz w:val="20"/>
        </w:rPr>
      </w:pPr>
    </w:p>
    <w:p w14:paraId="4B29C03D" w14:textId="4182EB90" w:rsidR="00720CFF" w:rsidRDefault="00720CFF" w:rsidP="00D21F86">
      <w:pPr>
        <w:pStyle w:val="Telobesedila2"/>
        <w:tabs>
          <w:tab w:val="clear" w:pos="-689"/>
          <w:tab w:val="clear" w:pos="31"/>
          <w:tab w:val="clear" w:pos="751"/>
          <w:tab w:val="clear" w:pos="1471"/>
          <w:tab w:val="clear" w:pos="2191"/>
          <w:tab w:val="clear" w:pos="2911"/>
          <w:tab w:val="clear" w:pos="3631"/>
          <w:tab w:val="clear" w:pos="4351"/>
          <w:tab w:val="left" w:pos="-787"/>
          <w:tab w:val="left" w:pos="0"/>
          <w:tab w:val="left" w:pos="720"/>
          <w:tab w:val="left" w:pos="1440"/>
          <w:tab w:val="left" w:pos="2160"/>
          <w:tab w:val="left" w:pos="2880"/>
          <w:tab w:val="left" w:pos="3600"/>
          <w:tab w:val="left" w:pos="4320"/>
          <w:tab w:val="left" w:pos="4500"/>
        </w:tabs>
        <w:spacing w:line="276" w:lineRule="auto"/>
        <w:ind w:right="-22"/>
        <w:rPr>
          <w:rFonts w:ascii="Arial" w:hAnsi="Arial"/>
          <w:bCs/>
          <w:sz w:val="20"/>
        </w:rPr>
      </w:pPr>
    </w:p>
    <w:p w14:paraId="5693B998" w14:textId="7C43E497" w:rsidR="005B69FC" w:rsidRDefault="005B69FC" w:rsidP="00D21F86">
      <w:pPr>
        <w:pStyle w:val="Telobesedila2"/>
        <w:tabs>
          <w:tab w:val="clear" w:pos="-689"/>
          <w:tab w:val="clear" w:pos="31"/>
          <w:tab w:val="clear" w:pos="751"/>
          <w:tab w:val="clear" w:pos="1471"/>
          <w:tab w:val="clear" w:pos="2191"/>
          <w:tab w:val="clear" w:pos="2911"/>
          <w:tab w:val="clear" w:pos="3631"/>
          <w:tab w:val="clear" w:pos="4351"/>
          <w:tab w:val="left" w:pos="-787"/>
          <w:tab w:val="left" w:pos="0"/>
          <w:tab w:val="left" w:pos="720"/>
          <w:tab w:val="left" w:pos="1440"/>
          <w:tab w:val="left" w:pos="2160"/>
          <w:tab w:val="left" w:pos="2880"/>
          <w:tab w:val="left" w:pos="3600"/>
          <w:tab w:val="left" w:pos="4320"/>
          <w:tab w:val="left" w:pos="4500"/>
        </w:tabs>
        <w:spacing w:line="276" w:lineRule="auto"/>
        <w:ind w:right="-22"/>
        <w:rPr>
          <w:rFonts w:ascii="Arial" w:hAnsi="Arial"/>
          <w:bCs/>
          <w:sz w:val="20"/>
        </w:rPr>
      </w:pPr>
    </w:p>
    <w:p w14:paraId="53A57608" w14:textId="090402DB" w:rsidR="005B69FC" w:rsidRDefault="005B69FC" w:rsidP="00D21F86">
      <w:pPr>
        <w:pStyle w:val="Telobesedila2"/>
        <w:tabs>
          <w:tab w:val="clear" w:pos="-689"/>
          <w:tab w:val="clear" w:pos="31"/>
          <w:tab w:val="clear" w:pos="751"/>
          <w:tab w:val="clear" w:pos="1471"/>
          <w:tab w:val="clear" w:pos="2191"/>
          <w:tab w:val="clear" w:pos="2911"/>
          <w:tab w:val="clear" w:pos="3631"/>
          <w:tab w:val="clear" w:pos="4351"/>
          <w:tab w:val="left" w:pos="-787"/>
          <w:tab w:val="left" w:pos="0"/>
          <w:tab w:val="left" w:pos="720"/>
          <w:tab w:val="left" w:pos="1440"/>
          <w:tab w:val="left" w:pos="2160"/>
          <w:tab w:val="left" w:pos="2880"/>
          <w:tab w:val="left" w:pos="3600"/>
          <w:tab w:val="left" w:pos="4320"/>
          <w:tab w:val="left" w:pos="4500"/>
        </w:tabs>
        <w:spacing w:line="276" w:lineRule="auto"/>
        <w:ind w:right="-22"/>
        <w:rPr>
          <w:rFonts w:ascii="Arial" w:hAnsi="Arial"/>
          <w:bCs/>
          <w:sz w:val="20"/>
        </w:rPr>
      </w:pPr>
    </w:p>
    <w:p w14:paraId="79EE4314" w14:textId="449046F5" w:rsidR="00DB0449" w:rsidRDefault="00DB0449" w:rsidP="00D21F86">
      <w:pPr>
        <w:pStyle w:val="Telobesedila2"/>
        <w:tabs>
          <w:tab w:val="clear" w:pos="-689"/>
          <w:tab w:val="clear" w:pos="31"/>
          <w:tab w:val="clear" w:pos="751"/>
          <w:tab w:val="clear" w:pos="1471"/>
          <w:tab w:val="clear" w:pos="2191"/>
          <w:tab w:val="clear" w:pos="2911"/>
          <w:tab w:val="clear" w:pos="3631"/>
          <w:tab w:val="clear" w:pos="4351"/>
          <w:tab w:val="left" w:pos="-787"/>
          <w:tab w:val="left" w:pos="0"/>
          <w:tab w:val="left" w:pos="720"/>
          <w:tab w:val="left" w:pos="1440"/>
          <w:tab w:val="left" w:pos="2160"/>
          <w:tab w:val="left" w:pos="2880"/>
          <w:tab w:val="left" w:pos="3600"/>
          <w:tab w:val="left" w:pos="4320"/>
          <w:tab w:val="left" w:pos="4500"/>
        </w:tabs>
        <w:spacing w:line="276" w:lineRule="auto"/>
        <w:ind w:right="-22"/>
        <w:rPr>
          <w:rFonts w:ascii="Arial" w:hAnsi="Arial"/>
          <w:bCs/>
          <w:sz w:val="20"/>
        </w:rPr>
      </w:pPr>
    </w:p>
    <w:p w14:paraId="6DFF0609" w14:textId="6B9769B9" w:rsidR="00DB0449" w:rsidRDefault="00DB0449" w:rsidP="00D21F86">
      <w:pPr>
        <w:pStyle w:val="Telobesedila2"/>
        <w:tabs>
          <w:tab w:val="clear" w:pos="-689"/>
          <w:tab w:val="clear" w:pos="31"/>
          <w:tab w:val="clear" w:pos="751"/>
          <w:tab w:val="clear" w:pos="1471"/>
          <w:tab w:val="clear" w:pos="2191"/>
          <w:tab w:val="clear" w:pos="2911"/>
          <w:tab w:val="clear" w:pos="3631"/>
          <w:tab w:val="clear" w:pos="4351"/>
          <w:tab w:val="left" w:pos="-787"/>
          <w:tab w:val="left" w:pos="0"/>
          <w:tab w:val="left" w:pos="720"/>
          <w:tab w:val="left" w:pos="1440"/>
          <w:tab w:val="left" w:pos="2160"/>
          <w:tab w:val="left" w:pos="2880"/>
          <w:tab w:val="left" w:pos="3600"/>
          <w:tab w:val="left" w:pos="4320"/>
          <w:tab w:val="left" w:pos="4500"/>
        </w:tabs>
        <w:spacing w:line="276" w:lineRule="auto"/>
        <w:ind w:right="-22"/>
        <w:rPr>
          <w:rFonts w:ascii="Arial" w:hAnsi="Arial"/>
          <w:bCs/>
          <w:sz w:val="20"/>
        </w:rPr>
      </w:pPr>
    </w:p>
    <w:p w14:paraId="2ABFD21F" w14:textId="1BECC91A" w:rsidR="00DB0449" w:rsidRDefault="00DB0449" w:rsidP="00D21F86">
      <w:pPr>
        <w:pStyle w:val="Telobesedila2"/>
        <w:tabs>
          <w:tab w:val="clear" w:pos="-689"/>
          <w:tab w:val="clear" w:pos="31"/>
          <w:tab w:val="clear" w:pos="751"/>
          <w:tab w:val="clear" w:pos="1471"/>
          <w:tab w:val="clear" w:pos="2191"/>
          <w:tab w:val="clear" w:pos="2911"/>
          <w:tab w:val="clear" w:pos="3631"/>
          <w:tab w:val="clear" w:pos="4351"/>
          <w:tab w:val="left" w:pos="-787"/>
          <w:tab w:val="left" w:pos="0"/>
          <w:tab w:val="left" w:pos="720"/>
          <w:tab w:val="left" w:pos="1440"/>
          <w:tab w:val="left" w:pos="2160"/>
          <w:tab w:val="left" w:pos="2880"/>
          <w:tab w:val="left" w:pos="3600"/>
          <w:tab w:val="left" w:pos="4320"/>
          <w:tab w:val="left" w:pos="4500"/>
        </w:tabs>
        <w:spacing w:line="276" w:lineRule="auto"/>
        <w:ind w:right="-22"/>
        <w:rPr>
          <w:rFonts w:ascii="Arial" w:hAnsi="Arial"/>
          <w:bCs/>
          <w:sz w:val="20"/>
        </w:rPr>
      </w:pPr>
    </w:p>
    <w:p w14:paraId="65EBBC1D" w14:textId="1F9CA44A" w:rsidR="00DB0449" w:rsidRDefault="00DB0449" w:rsidP="00D21F86">
      <w:pPr>
        <w:pStyle w:val="Telobesedila2"/>
        <w:tabs>
          <w:tab w:val="clear" w:pos="-689"/>
          <w:tab w:val="clear" w:pos="31"/>
          <w:tab w:val="clear" w:pos="751"/>
          <w:tab w:val="clear" w:pos="1471"/>
          <w:tab w:val="clear" w:pos="2191"/>
          <w:tab w:val="clear" w:pos="2911"/>
          <w:tab w:val="clear" w:pos="3631"/>
          <w:tab w:val="clear" w:pos="4351"/>
          <w:tab w:val="left" w:pos="-787"/>
          <w:tab w:val="left" w:pos="0"/>
          <w:tab w:val="left" w:pos="720"/>
          <w:tab w:val="left" w:pos="1440"/>
          <w:tab w:val="left" w:pos="2160"/>
          <w:tab w:val="left" w:pos="2880"/>
          <w:tab w:val="left" w:pos="3600"/>
          <w:tab w:val="left" w:pos="4320"/>
          <w:tab w:val="left" w:pos="4500"/>
        </w:tabs>
        <w:spacing w:line="276" w:lineRule="auto"/>
        <w:ind w:right="-22"/>
        <w:rPr>
          <w:rFonts w:ascii="Arial" w:hAnsi="Arial"/>
          <w:bCs/>
          <w:sz w:val="20"/>
        </w:rPr>
      </w:pPr>
    </w:p>
    <w:p w14:paraId="5757791B" w14:textId="51CDF2EC" w:rsidR="00DB0449" w:rsidRDefault="00DB0449" w:rsidP="00D21F86">
      <w:pPr>
        <w:pStyle w:val="Telobesedila2"/>
        <w:tabs>
          <w:tab w:val="clear" w:pos="-689"/>
          <w:tab w:val="clear" w:pos="31"/>
          <w:tab w:val="clear" w:pos="751"/>
          <w:tab w:val="clear" w:pos="1471"/>
          <w:tab w:val="clear" w:pos="2191"/>
          <w:tab w:val="clear" w:pos="2911"/>
          <w:tab w:val="clear" w:pos="3631"/>
          <w:tab w:val="clear" w:pos="4351"/>
          <w:tab w:val="left" w:pos="-787"/>
          <w:tab w:val="left" w:pos="0"/>
          <w:tab w:val="left" w:pos="720"/>
          <w:tab w:val="left" w:pos="1440"/>
          <w:tab w:val="left" w:pos="2160"/>
          <w:tab w:val="left" w:pos="2880"/>
          <w:tab w:val="left" w:pos="3600"/>
          <w:tab w:val="left" w:pos="4320"/>
          <w:tab w:val="left" w:pos="4500"/>
        </w:tabs>
        <w:spacing w:line="276" w:lineRule="auto"/>
        <w:ind w:right="-22"/>
        <w:rPr>
          <w:rFonts w:ascii="Arial" w:hAnsi="Arial"/>
          <w:bCs/>
          <w:sz w:val="20"/>
        </w:rPr>
      </w:pPr>
    </w:p>
    <w:p w14:paraId="64ED3A13" w14:textId="77777777" w:rsidR="00DB0449" w:rsidRDefault="00DB0449" w:rsidP="00D21F86">
      <w:pPr>
        <w:pStyle w:val="Telobesedila2"/>
        <w:tabs>
          <w:tab w:val="clear" w:pos="-689"/>
          <w:tab w:val="clear" w:pos="31"/>
          <w:tab w:val="clear" w:pos="751"/>
          <w:tab w:val="clear" w:pos="1471"/>
          <w:tab w:val="clear" w:pos="2191"/>
          <w:tab w:val="clear" w:pos="2911"/>
          <w:tab w:val="clear" w:pos="3631"/>
          <w:tab w:val="clear" w:pos="4351"/>
          <w:tab w:val="left" w:pos="-787"/>
          <w:tab w:val="left" w:pos="0"/>
          <w:tab w:val="left" w:pos="720"/>
          <w:tab w:val="left" w:pos="1440"/>
          <w:tab w:val="left" w:pos="2160"/>
          <w:tab w:val="left" w:pos="2880"/>
          <w:tab w:val="left" w:pos="3600"/>
          <w:tab w:val="left" w:pos="4320"/>
          <w:tab w:val="left" w:pos="4500"/>
        </w:tabs>
        <w:spacing w:line="276" w:lineRule="auto"/>
        <w:ind w:right="-22"/>
        <w:rPr>
          <w:rFonts w:ascii="Arial" w:hAnsi="Arial"/>
          <w:bCs/>
          <w:sz w:val="20"/>
        </w:rPr>
      </w:pPr>
    </w:p>
    <w:p w14:paraId="64EDE93A" w14:textId="16194F88" w:rsidR="005B69FC" w:rsidRDefault="005B69FC" w:rsidP="00D21F86">
      <w:pPr>
        <w:pStyle w:val="Telobesedila2"/>
        <w:tabs>
          <w:tab w:val="clear" w:pos="-689"/>
          <w:tab w:val="clear" w:pos="31"/>
          <w:tab w:val="clear" w:pos="751"/>
          <w:tab w:val="clear" w:pos="1471"/>
          <w:tab w:val="clear" w:pos="2191"/>
          <w:tab w:val="clear" w:pos="2911"/>
          <w:tab w:val="clear" w:pos="3631"/>
          <w:tab w:val="clear" w:pos="4351"/>
          <w:tab w:val="left" w:pos="-787"/>
          <w:tab w:val="left" w:pos="0"/>
          <w:tab w:val="left" w:pos="720"/>
          <w:tab w:val="left" w:pos="1440"/>
          <w:tab w:val="left" w:pos="2160"/>
          <w:tab w:val="left" w:pos="2880"/>
          <w:tab w:val="left" w:pos="3600"/>
          <w:tab w:val="left" w:pos="4320"/>
          <w:tab w:val="left" w:pos="4500"/>
        </w:tabs>
        <w:spacing w:line="276" w:lineRule="auto"/>
        <w:ind w:right="-22"/>
        <w:rPr>
          <w:rFonts w:ascii="Arial" w:hAnsi="Arial"/>
          <w:bCs/>
          <w:sz w:val="20"/>
        </w:rPr>
      </w:pPr>
    </w:p>
    <w:p w14:paraId="640CD8BD" w14:textId="77777777" w:rsidR="005B69FC" w:rsidRDefault="005B69FC" w:rsidP="00D21F86">
      <w:pPr>
        <w:pStyle w:val="Telobesedila2"/>
        <w:tabs>
          <w:tab w:val="clear" w:pos="-689"/>
          <w:tab w:val="clear" w:pos="31"/>
          <w:tab w:val="clear" w:pos="751"/>
          <w:tab w:val="clear" w:pos="1471"/>
          <w:tab w:val="clear" w:pos="2191"/>
          <w:tab w:val="clear" w:pos="2911"/>
          <w:tab w:val="clear" w:pos="3631"/>
          <w:tab w:val="clear" w:pos="4351"/>
          <w:tab w:val="left" w:pos="-787"/>
          <w:tab w:val="left" w:pos="0"/>
          <w:tab w:val="left" w:pos="720"/>
          <w:tab w:val="left" w:pos="1440"/>
          <w:tab w:val="left" w:pos="2160"/>
          <w:tab w:val="left" w:pos="2880"/>
          <w:tab w:val="left" w:pos="3600"/>
          <w:tab w:val="left" w:pos="4320"/>
          <w:tab w:val="left" w:pos="4500"/>
        </w:tabs>
        <w:spacing w:line="276" w:lineRule="auto"/>
        <w:ind w:right="-22"/>
        <w:rPr>
          <w:rFonts w:ascii="Arial" w:hAnsi="Arial"/>
          <w:bCs/>
          <w:sz w:val="20"/>
        </w:rPr>
      </w:pPr>
    </w:p>
    <w:p w14:paraId="4E14A2DA" w14:textId="77777777" w:rsidR="00720CFF" w:rsidRPr="00424274" w:rsidRDefault="00720CFF" w:rsidP="00D21F86">
      <w:pPr>
        <w:pStyle w:val="Telobesedila2"/>
        <w:tabs>
          <w:tab w:val="clear" w:pos="-689"/>
          <w:tab w:val="clear" w:pos="31"/>
          <w:tab w:val="clear" w:pos="751"/>
          <w:tab w:val="clear" w:pos="1471"/>
          <w:tab w:val="clear" w:pos="2191"/>
          <w:tab w:val="clear" w:pos="2911"/>
          <w:tab w:val="clear" w:pos="3631"/>
          <w:tab w:val="clear" w:pos="4351"/>
          <w:tab w:val="left" w:pos="-787"/>
          <w:tab w:val="left" w:pos="0"/>
          <w:tab w:val="left" w:pos="720"/>
          <w:tab w:val="left" w:pos="1440"/>
          <w:tab w:val="left" w:pos="2160"/>
          <w:tab w:val="left" w:pos="2880"/>
          <w:tab w:val="left" w:pos="3600"/>
          <w:tab w:val="left" w:pos="4320"/>
          <w:tab w:val="left" w:pos="4500"/>
        </w:tabs>
        <w:spacing w:line="276" w:lineRule="auto"/>
        <w:ind w:right="-22"/>
        <w:rPr>
          <w:rFonts w:ascii="Arial" w:hAnsi="Arial"/>
          <w:bCs/>
          <w:sz w:val="20"/>
        </w:rPr>
      </w:pPr>
    </w:p>
    <w:p w14:paraId="5DB0EA04" w14:textId="451F4134" w:rsidR="00B16C81" w:rsidRPr="00424274" w:rsidRDefault="00B16C81" w:rsidP="00B16C81">
      <w:pPr>
        <w:tabs>
          <w:tab w:val="left" w:pos="-1049"/>
          <w:tab w:val="left" w:pos="-787"/>
          <w:tab w:val="left" w:pos="720"/>
          <w:tab w:val="left" w:pos="851"/>
          <w:tab w:val="left" w:pos="1440"/>
          <w:tab w:val="left" w:pos="2160"/>
          <w:tab w:val="left" w:pos="2880"/>
          <w:tab w:val="left" w:pos="3600"/>
          <w:tab w:val="left" w:pos="4320"/>
          <w:tab w:val="left" w:pos="4500"/>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left="851" w:right="-22" w:hanging="851"/>
        <w:rPr>
          <w:rFonts w:ascii="Arial" w:hAnsi="Arial"/>
          <w:b/>
          <w:i/>
          <w:iCs/>
          <w:sz w:val="20"/>
        </w:rPr>
      </w:pPr>
      <w:r w:rsidRPr="00424274">
        <w:rPr>
          <w:rFonts w:ascii="Arial" w:hAnsi="Arial"/>
          <w:b/>
          <w:i/>
          <w:iCs/>
          <w:sz w:val="20"/>
        </w:rPr>
        <w:t xml:space="preserve">Graf 7: </w:t>
      </w:r>
      <w:r w:rsidRPr="00424274">
        <w:rPr>
          <w:rFonts w:ascii="Arial" w:hAnsi="Arial"/>
          <w:b/>
          <w:i/>
          <w:iCs/>
          <w:sz w:val="20"/>
        </w:rPr>
        <w:tab/>
      </w:r>
      <w:r w:rsidRPr="00424274">
        <w:rPr>
          <w:rFonts w:ascii="Arial" w:hAnsi="Arial"/>
          <w:b/>
          <w:i/>
          <w:iCs/>
          <w:sz w:val="20"/>
        </w:rPr>
        <w:tab/>
        <w:t>Delež vseh začetih postopkov za kaznivo dejanje pranja denarja v obdobju 2010–2020 glede na državni organ izvora podatkov</w:t>
      </w:r>
    </w:p>
    <w:p w14:paraId="670E8493" w14:textId="0B117A4D" w:rsidR="00B16C81" w:rsidRPr="00424274" w:rsidRDefault="00B16C81" w:rsidP="00B16C81">
      <w:pPr>
        <w:tabs>
          <w:tab w:val="left" w:pos="-1049"/>
          <w:tab w:val="left" w:pos="-787"/>
          <w:tab w:val="left" w:pos="720"/>
          <w:tab w:val="left" w:pos="851"/>
          <w:tab w:val="left" w:pos="1440"/>
          <w:tab w:val="left" w:pos="2160"/>
          <w:tab w:val="left" w:pos="2880"/>
          <w:tab w:val="left" w:pos="3600"/>
          <w:tab w:val="left" w:pos="4320"/>
          <w:tab w:val="left" w:pos="4500"/>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left="851" w:right="-22" w:hanging="851"/>
        <w:rPr>
          <w:rFonts w:ascii="Arial" w:hAnsi="Arial"/>
          <w:b/>
          <w:i/>
          <w:iCs/>
          <w:sz w:val="20"/>
        </w:rPr>
      </w:pPr>
    </w:p>
    <w:p w14:paraId="388DA39B" w14:textId="2CCA3DA9" w:rsidR="008514B5" w:rsidRPr="00424274" w:rsidRDefault="008514B5" w:rsidP="00B16C81">
      <w:pPr>
        <w:tabs>
          <w:tab w:val="left" w:pos="-1049"/>
          <w:tab w:val="left" w:pos="-787"/>
          <w:tab w:val="left" w:pos="720"/>
          <w:tab w:val="left" w:pos="851"/>
          <w:tab w:val="left" w:pos="1440"/>
          <w:tab w:val="left" w:pos="2160"/>
          <w:tab w:val="left" w:pos="2880"/>
          <w:tab w:val="left" w:pos="3600"/>
          <w:tab w:val="left" w:pos="4320"/>
          <w:tab w:val="left" w:pos="4500"/>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left="851" w:right="-22" w:hanging="851"/>
        <w:rPr>
          <w:rFonts w:ascii="Arial" w:hAnsi="Arial"/>
          <w:b/>
          <w:i/>
          <w:iCs/>
          <w:sz w:val="20"/>
        </w:rPr>
      </w:pPr>
    </w:p>
    <w:p w14:paraId="65AC59C1" w14:textId="1FFC2765" w:rsidR="008514B5" w:rsidRPr="00424274" w:rsidRDefault="008514B5" w:rsidP="00B16C81">
      <w:pPr>
        <w:tabs>
          <w:tab w:val="left" w:pos="-1049"/>
          <w:tab w:val="left" w:pos="-787"/>
          <w:tab w:val="left" w:pos="720"/>
          <w:tab w:val="left" w:pos="851"/>
          <w:tab w:val="left" w:pos="1440"/>
          <w:tab w:val="left" w:pos="2160"/>
          <w:tab w:val="left" w:pos="2880"/>
          <w:tab w:val="left" w:pos="3600"/>
          <w:tab w:val="left" w:pos="4320"/>
          <w:tab w:val="left" w:pos="4500"/>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left="851" w:right="-22" w:hanging="851"/>
        <w:rPr>
          <w:rFonts w:ascii="Arial" w:hAnsi="Arial"/>
          <w:b/>
          <w:i/>
          <w:iCs/>
          <w:sz w:val="20"/>
        </w:rPr>
      </w:pPr>
    </w:p>
    <w:p w14:paraId="277FFED9" w14:textId="6CA50998" w:rsidR="008514B5" w:rsidRPr="00424274" w:rsidRDefault="008514B5" w:rsidP="00B16C81">
      <w:pPr>
        <w:tabs>
          <w:tab w:val="left" w:pos="-1049"/>
          <w:tab w:val="left" w:pos="-787"/>
          <w:tab w:val="left" w:pos="720"/>
          <w:tab w:val="left" w:pos="851"/>
          <w:tab w:val="left" w:pos="1440"/>
          <w:tab w:val="left" w:pos="2160"/>
          <w:tab w:val="left" w:pos="2880"/>
          <w:tab w:val="left" w:pos="3600"/>
          <w:tab w:val="left" w:pos="4320"/>
          <w:tab w:val="left" w:pos="4500"/>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left="851" w:right="-22" w:hanging="851"/>
        <w:rPr>
          <w:rFonts w:ascii="Arial" w:hAnsi="Arial"/>
          <w:b/>
          <w:i/>
          <w:iCs/>
          <w:sz w:val="20"/>
        </w:rPr>
      </w:pPr>
      <w:r w:rsidRPr="00424274">
        <w:rPr>
          <w:noProof/>
          <w:lang w:eastAsia="sl-SI"/>
        </w:rPr>
        <w:lastRenderedPageBreak/>
        <w:drawing>
          <wp:inline distT="0" distB="0" distL="0" distR="0" wp14:anchorId="126DFD97" wp14:editId="2640497E">
            <wp:extent cx="5746750" cy="2661920"/>
            <wp:effectExtent l="0" t="0" r="6350" b="508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35C06407" w14:textId="77777777" w:rsidR="008514B5" w:rsidRPr="00424274" w:rsidRDefault="008514B5" w:rsidP="00B16C81">
      <w:pPr>
        <w:tabs>
          <w:tab w:val="left" w:pos="-1049"/>
          <w:tab w:val="left" w:pos="-787"/>
          <w:tab w:val="left" w:pos="720"/>
          <w:tab w:val="left" w:pos="851"/>
          <w:tab w:val="left" w:pos="1440"/>
          <w:tab w:val="left" w:pos="2160"/>
          <w:tab w:val="left" w:pos="2880"/>
          <w:tab w:val="left" w:pos="3600"/>
          <w:tab w:val="left" w:pos="4320"/>
          <w:tab w:val="left" w:pos="4500"/>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left="851" w:right="-22" w:hanging="851"/>
        <w:rPr>
          <w:rFonts w:ascii="Arial" w:hAnsi="Arial"/>
          <w:b/>
          <w:i/>
          <w:iCs/>
          <w:sz w:val="20"/>
        </w:rPr>
      </w:pPr>
    </w:p>
    <w:p w14:paraId="3FBB2F78" w14:textId="77777777" w:rsidR="00A94B23" w:rsidRPr="00424274" w:rsidRDefault="00A94B23" w:rsidP="00D21F86">
      <w:pPr>
        <w:pStyle w:val="Telobesedila2"/>
        <w:tabs>
          <w:tab w:val="clear" w:pos="-689"/>
          <w:tab w:val="clear" w:pos="31"/>
          <w:tab w:val="clear" w:pos="751"/>
          <w:tab w:val="clear" w:pos="1471"/>
          <w:tab w:val="clear" w:pos="2191"/>
          <w:tab w:val="clear" w:pos="2911"/>
          <w:tab w:val="clear" w:pos="3631"/>
          <w:tab w:val="clear" w:pos="4351"/>
          <w:tab w:val="left" w:pos="-787"/>
          <w:tab w:val="left" w:pos="0"/>
          <w:tab w:val="left" w:pos="720"/>
          <w:tab w:val="left" w:pos="1440"/>
          <w:tab w:val="left" w:pos="2160"/>
          <w:tab w:val="left" w:pos="2880"/>
          <w:tab w:val="left" w:pos="3600"/>
          <w:tab w:val="left" w:pos="4320"/>
          <w:tab w:val="left" w:pos="4500"/>
        </w:tabs>
        <w:spacing w:line="276" w:lineRule="auto"/>
        <w:ind w:right="-22"/>
        <w:rPr>
          <w:rFonts w:ascii="Arial" w:hAnsi="Arial"/>
          <w:sz w:val="20"/>
        </w:rPr>
      </w:pPr>
    </w:p>
    <w:p w14:paraId="0A6DB6DE" w14:textId="5A6D53FF" w:rsidR="00931931" w:rsidRPr="00424274" w:rsidRDefault="00931931" w:rsidP="00931931">
      <w:pPr>
        <w:pStyle w:val="Telobesedila2"/>
        <w:tabs>
          <w:tab w:val="clear" w:pos="-689"/>
          <w:tab w:val="clear" w:pos="31"/>
          <w:tab w:val="clear" w:pos="751"/>
          <w:tab w:val="clear" w:pos="1471"/>
          <w:tab w:val="clear" w:pos="2191"/>
          <w:tab w:val="clear" w:pos="2911"/>
          <w:tab w:val="clear" w:pos="3631"/>
          <w:tab w:val="clear" w:pos="4351"/>
          <w:tab w:val="left" w:pos="-787"/>
          <w:tab w:val="left" w:pos="0"/>
          <w:tab w:val="left" w:pos="720"/>
          <w:tab w:val="left" w:pos="1440"/>
          <w:tab w:val="left" w:pos="2160"/>
          <w:tab w:val="left" w:pos="2880"/>
          <w:tab w:val="left" w:pos="3600"/>
          <w:tab w:val="left" w:pos="4320"/>
          <w:tab w:val="left" w:pos="4500"/>
        </w:tabs>
        <w:spacing w:line="276" w:lineRule="auto"/>
        <w:ind w:right="-22"/>
        <w:rPr>
          <w:rFonts w:ascii="Arial" w:hAnsi="Arial"/>
          <w:sz w:val="20"/>
        </w:rPr>
      </w:pPr>
      <w:r w:rsidRPr="00424274">
        <w:rPr>
          <w:rFonts w:ascii="Arial" w:hAnsi="Arial"/>
          <w:sz w:val="20"/>
        </w:rPr>
        <w:t>Iz grafa je razvidno, da se je v obdobju 2010</w:t>
      </w:r>
      <w:r w:rsidR="00656FBD">
        <w:rPr>
          <w:rFonts w:ascii="Arial" w:hAnsi="Arial"/>
          <w:sz w:val="20"/>
        </w:rPr>
        <w:t>–</w:t>
      </w:r>
      <w:r w:rsidRPr="00424274">
        <w:rPr>
          <w:rFonts w:ascii="Arial" w:hAnsi="Arial"/>
          <w:sz w:val="20"/>
        </w:rPr>
        <w:t xml:space="preserve">2020 več kot polovica predkazenskih in kazenskih postopkov za kaznivo dejanje pranja denarja, oziroma 56 %, </w:t>
      </w:r>
      <w:r w:rsidR="00656FBD">
        <w:rPr>
          <w:rFonts w:ascii="Arial" w:hAnsi="Arial"/>
          <w:sz w:val="20"/>
        </w:rPr>
        <w:t>za</w:t>
      </w:r>
      <w:r w:rsidRPr="00424274">
        <w:rPr>
          <w:rFonts w:ascii="Arial" w:hAnsi="Arial"/>
          <w:sz w:val="20"/>
        </w:rPr>
        <w:t>čel</w:t>
      </w:r>
      <w:r w:rsidR="00656FBD">
        <w:rPr>
          <w:rFonts w:ascii="Arial" w:hAnsi="Arial"/>
          <w:sz w:val="20"/>
        </w:rPr>
        <w:t>a</w:t>
      </w:r>
      <w:r w:rsidRPr="00424274">
        <w:rPr>
          <w:rFonts w:ascii="Arial" w:hAnsi="Arial"/>
          <w:sz w:val="20"/>
        </w:rPr>
        <w:t xml:space="preserve"> na podlagi obvestil ali informacij </w:t>
      </w:r>
      <w:r w:rsidR="00814A21">
        <w:rPr>
          <w:rFonts w:ascii="Arial" w:hAnsi="Arial"/>
          <w:sz w:val="20"/>
        </w:rPr>
        <w:t>urad</w:t>
      </w:r>
      <w:r w:rsidRPr="00424274">
        <w:rPr>
          <w:rFonts w:ascii="Arial" w:hAnsi="Arial"/>
          <w:sz w:val="20"/>
        </w:rPr>
        <w:t>a</w:t>
      </w:r>
      <w:r w:rsidR="00656FBD">
        <w:rPr>
          <w:rFonts w:ascii="Arial" w:hAnsi="Arial"/>
          <w:sz w:val="20"/>
        </w:rPr>
        <w:t>, ki so bila poslana</w:t>
      </w:r>
      <w:r w:rsidRPr="00424274">
        <w:rPr>
          <w:rFonts w:ascii="Arial" w:hAnsi="Arial"/>
          <w:sz w:val="20"/>
        </w:rPr>
        <w:t xml:space="preserve"> pristojnim organom. Navedena struktura je skoraj </w:t>
      </w:r>
      <w:r w:rsidR="00656FBD">
        <w:rPr>
          <w:rFonts w:ascii="Arial" w:hAnsi="Arial"/>
          <w:sz w:val="20"/>
        </w:rPr>
        <w:t>popolnoma</w:t>
      </w:r>
      <w:r w:rsidR="00656FBD" w:rsidRPr="00424274">
        <w:rPr>
          <w:rFonts w:ascii="Arial" w:hAnsi="Arial"/>
          <w:sz w:val="20"/>
        </w:rPr>
        <w:t xml:space="preserve"> </w:t>
      </w:r>
      <w:r w:rsidRPr="00424274">
        <w:rPr>
          <w:rFonts w:ascii="Arial" w:hAnsi="Arial"/>
          <w:sz w:val="20"/>
        </w:rPr>
        <w:t xml:space="preserve">enaka že vrsto let, pri čemer pa lahko v primerjavi s prejšnjimi obdobji ugotovimo, da se delež kazenskih zadev, ki temeljijo na podatkih iz obvestil ali informacij </w:t>
      </w:r>
      <w:r w:rsidR="00814A21">
        <w:rPr>
          <w:rFonts w:ascii="Arial" w:hAnsi="Arial"/>
          <w:sz w:val="20"/>
        </w:rPr>
        <w:t>urad</w:t>
      </w:r>
      <w:r w:rsidRPr="00424274">
        <w:rPr>
          <w:rFonts w:ascii="Arial" w:hAnsi="Arial"/>
          <w:sz w:val="20"/>
        </w:rPr>
        <w:t xml:space="preserve">a, </w:t>
      </w:r>
      <w:r w:rsidR="00656FBD">
        <w:rPr>
          <w:rFonts w:ascii="Arial" w:hAnsi="Arial"/>
          <w:sz w:val="20"/>
        </w:rPr>
        <w:t>spet</w:t>
      </w:r>
      <w:r w:rsidR="00656FBD" w:rsidRPr="00424274">
        <w:rPr>
          <w:rFonts w:ascii="Arial" w:hAnsi="Arial"/>
          <w:sz w:val="20"/>
        </w:rPr>
        <w:t xml:space="preserve"> </w:t>
      </w:r>
      <w:r w:rsidRPr="00424274">
        <w:rPr>
          <w:rFonts w:ascii="Arial" w:hAnsi="Arial"/>
          <w:sz w:val="20"/>
        </w:rPr>
        <w:t>malenkostno zvišuje. V obdobju 2010</w:t>
      </w:r>
      <w:r w:rsidR="00656FBD">
        <w:rPr>
          <w:rFonts w:ascii="Arial" w:hAnsi="Arial"/>
          <w:sz w:val="20"/>
        </w:rPr>
        <w:t>–</w:t>
      </w:r>
      <w:r w:rsidRPr="00424274">
        <w:rPr>
          <w:rFonts w:ascii="Arial" w:hAnsi="Arial"/>
          <w:sz w:val="20"/>
        </w:rPr>
        <w:t xml:space="preserve">2015 je tako na izdelkih </w:t>
      </w:r>
      <w:r w:rsidR="00814A21">
        <w:rPr>
          <w:rFonts w:ascii="Arial" w:hAnsi="Arial"/>
          <w:sz w:val="20"/>
        </w:rPr>
        <w:t>urad</w:t>
      </w:r>
      <w:r w:rsidRPr="00424274">
        <w:rPr>
          <w:rFonts w:ascii="Arial" w:hAnsi="Arial"/>
          <w:sz w:val="20"/>
        </w:rPr>
        <w:t>a temeljilo 55 % vseh na novo začetih predkazenskih zadev v tem obdobju, medtem ko je bilo v obdobju 2016</w:t>
      </w:r>
      <w:r w:rsidR="00656FBD">
        <w:rPr>
          <w:rFonts w:ascii="Arial" w:hAnsi="Arial"/>
          <w:sz w:val="20"/>
        </w:rPr>
        <w:t>–</w:t>
      </w:r>
      <w:r w:rsidRPr="00424274">
        <w:rPr>
          <w:rFonts w:ascii="Arial" w:hAnsi="Arial"/>
          <w:sz w:val="20"/>
        </w:rPr>
        <w:t>2020 takih zadev 67</w:t>
      </w:r>
      <w:r w:rsidR="00A72785">
        <w:rPr>
          <w:rFonts w:ascii="Arial" w:hAnsi="Arial"/>
          <w:sz w:val="20"/>
        </w:rPr>
        <w:t> </w:t>
      </w:r>
      <w:r w:rsidRPr="00424274">
        <w:rPr>
          <w:rFonts w:ascii="Arial" w:hAnsi="Arial"/>
          <w:sz w:val="20"/>
        </w:rPr>
        <w:t xml:space="preserve">%. Na </w:t>
      </w:r>
      <w:r w:rsidR="00814A21">
        <w:rPr>
          <w:rFonts w:ascii="Arial" w:hAnsi="Arial"/>
          <w:sz w:val="20"/>
        </w:rPr>
        <w:t>urad</w:t>
      </w:r>
      <w:r w:rsidRPr="00424274">
        <w:rPr>
          <w:rFonts w:ascii="Arial" w:hAnsi="Arial"/>
          <w:sz w:val="20"/>
        </w:rPr>
        <w:t xml:space="preserve">u menimo, da tak trend ni spodbuden, saj </w:t>
      </w:r>
      <w:r w:rsidR="00656FBD">
        <w:rPr>
          <w:rFonts w:ascii="Arial" w:hAnsi="Arial"/>
          <w:sz w:val="20"/>
        </w:rPr>
        <w:t>pravzaprav</w:t>
      </w:r>
      <w:r w:rsidRPr="00424274">
        <w:rPr>
          <w:rFonts w:ascii="Arial" w:hAnsi="Arial"/>
          <w:sz w:val="20"/>
        </w:rPr>
        <w:t xml:space="preserve"> govorimo o odkrivanju in pregonu kaznivega dejanja, za katerega sta v prvi vrsti pristojna </w:t>
      </w:r>
      <w:r w:rsidR="004728ED">
        <w:rPr>
          <w:rFonts w:ascii="Arial" w:hAnsi="Arial"/>
          <w:sz w:val="20"/>
        </w:rPr>
        <w:t>p</w:t>
      </w:r>
      <w:r w:rsidRPr="00424274">
        <w:rPr>
          <w:rFonts w:ascii="Arial" w:hAnsi="Arial"/>
          <w:sz w:val="20"/>
        </w:rPr>
        <w:t>olicija in tožilstvo.</w:t>
      </w:r>
    </w:p>
    <w:p w14:paraId="2E0D2842" w14:textId="77777777" w:rsidR="00931931" w:rsidRPr="00424274" w:rsidRDefault="00931931" w:rsidP="00931931">
      <w:pPr>
        <w:tabs>
          <w:tab w:val="left" w:pos="-1049"/>
          <w:tab w:val="left" w:pos="-787"/>
          <w:tab w:val="left" w:pos="0"/>
          <w:tab w:val="left" w:pos="720"/>
          <w:tab w:val="left" w:pos="1440"/>
          <w:tab w:val="left" w:pos="2160"/>
          <w:tab w:val="left" w:pos="2880"/>
          <w:tab w:val="left" w:pos="3600"/>
          <w:tab w:val="left" w:pos="4320"/>
          <w:tab w:val="left" w:pos="4500"/>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right="-22"/>
        <w:rPr>
          <w:rFonts w:ascii="Arial" w:hAnsi="Arial"/>
          <w:color w:val="FF0000"/>
          <w:sz w:val="20"/>
          <w:highlight w:val="yellow"/>
        </w:rPr>
      </w:pPr>
    </w:p>
    <w:p w14:paraId="49CE3C00" w14:textId="650F8A2B" w:rsidR="00931931" w:rsidRPr="00424274" w:rsidRDefault="00931931" w:rsidP="00931931">
      <w:pPr>
        <w:widowControl/>
        <w:spacing w:line="276" w:lineRule="auto"/>
        <w:ind w:right="-22"/>
        <w:rPr>
          <w:rFonts w:ascii="Arial" w:hAnsi="Arial"/>
          <w:sz w:val="20"/>
        </w:rPr>
      </w:pPr>
      <w:r w:rsidRPr="00424274">
        <w:rPr>
          <w:rFonts w:ascii="Arial" w:hAnsi="Arial"/>
          <w:sz w:val="20"/>
        </w:rPr>
        <w:t xml:space="preserve">Policija </w:t>
      </w:r>
      <w:r w:rsidR="00814A21">
        <w:rPr>
          <w:rFonts w:ascii="Arial" w:hAnsi="Arial"/>
          <w:sz w:val="20"/>
        </w:rPr>
        <w:t>urad</w:t>
      </w:r>
      <w:r w:rsidRPr="00424274">
        <w:rPr>
          <w:rFonts w:ascii="Arial" w:hAnsi="Arial"/>
          <w:sz w:val="20"/>
        </w:rPr>
        <w:t xml:space="preserve">u tudi enkrat letno </w:t>
      </w:r>
      <w:r w:rsidR="00361F5F">
        <w:rPr>
          <w:rFonts w:ascii="Arial" w:hAnsi="Arial"/>
          <w:sz w:val="20"/>
        </w:rPr>
        <w:t>sporoči</w:t>
      </w:r>
      <w:r w:rsidR="00361F5F" w:rsidRPr="00424274">
        <w:rPr>
          <w:rFonts w:ascii="Arial" w:hAnsi="Arial"/>
          <w:sz w:val="20"/>
        </w:rPr>
        <w:t xml:space="preserve"> </w:t>
      </w:r>
      <w:r w:rsidRPr="00424274">
        <w:rPr>
          <w:rFonts w:ascii="Arial" w:hAnsi="Arial"/>
          <w:sz w:val="20"/>
        </w:rPr>
        <w:t xml:space="preserve">ugotovitve, do katerih je prišla na podlagi prejetih obvestil in informacij </w:t>
      </w:r>
      <w:r w:rsidR="00814A21">
        <w:rPr>
          <w:rFonts w:ascii="Arial" w:hAnsi="Arial"/>
          <w:sz w:val="20"/>
        </w:rPr>
        <w:t>urad</w:t>
      </w:r>
      <w:r w:rsidRPr="00424274">
        <w:rPr>
          <w:rFonts w:ascii="Arial" w:hAnsi="Arial"/>
          <w:sz w:val="20"/>
        </w:rPr>
        <w:t>a</w:t>
      </w:r>
      <w:r w:rsidRPr="00424274">
        <w:rPr>
          <w:rFonts w:ascii="Arial" w:hAnsi="Arial"/>
          <w:sz w:val="20"/>
          <w:vertAlign w:val="superscript"/>
        </w:rPr>
        <w:footnoteReference w:id="7"/>
      </w:r>
      <w:r w:rsidRPr="00424274">
        <w:rPr>
          <w:rFonts w:ascii="Arial" w:hAnsi="Arial"/>
          <w:sz w:val="20"/>
        </w:rPr>
        <w:t>. Iz podatkov</w:t>
      </w:r>
      <w:r w:rsidR="00361F5F">
        <w:rPr>
          <w:rFonts w:ascii="Arial" w:hAnsi="Arial"/>
          <w:sz w:val="20"/>
        </w:rPr>
        <w:t>,</w:t>
      </w:r>
      <w:r w:rsidRPr="00424274">
        <w:rPr>
          <w:rFonts w:ascii="Arial" w:hAnsi="Arial"/>
          <w:sz w:val="20"/>
        </w:rPr>
        <w:t xml:space="preserve"> prejetih od </w:t>
      </w:r>
      <w:r w:rsidR="004728ED">
        <w:rPr>
          <w:rFonts w:ascii="Arial" w:hAnsi="Arial"/>
          <w:sz w:val="20"/>
        </w:rPr>
        <w:t>p</w:t>
      </w:r>
      <w:r w:rsidRPr="00424274">
        <w:rPr>
          <w:rFonts w:ascii="Arial" w:hAnsi="Arial"/>
          <w:sz w:val="20"/>
        </w:rPr>
        <w:t>olicije za leto 2020</w:t>
      </w:r>
      <w:r w:rsidR="00361F5F">
        <w:rPr>
          <w:rFonts w:ascii="Arial" w:hAnsi="Arial"/>
          <w:sz w:val="20"/>
        </w:rPr>
        <w:t>,</w:t>
      </w:r>
      <w:r w:rsidRPr="00424274">
        <w:rPr>
          <w:rFonts w:ascii="Arial" w:hAnsi="Arial"/>
          <w:sz w:val="20"/>
        </w:rPr>
        <w:t xml:space="preserve"> je razvidno, da je </w:t>
      </w:r>
      <w:r w:rsidR="004728ED">
        <w:rPr>
          <w:rFonts w:ascii="Arial" w:hAnsi="Arial"/>
          <w:sz w:val="20"/>
        </w:rPr>
        <w:t>p</w:t>
      </w:r>
      <w:r w:rsidRPr="00424274">
        <w:rPr>
          <w:rFonts w:ascii="Arial" w:hAnsi="Arial"/>
          <w:sz w:val="20"/>
        </w:rPr>
        <w:t xml:space="preserve">olicija poleg ovadb zaradi sumov storitve kaznivega dejanja pranja denarja na podlagi več obvestil in informacij </w:t>
      </w:r>
      <w:r w:rsidR="00814A21">
        <w:rPr>
          <w:rFonts w:ascii="Arial" w:hAnsi="Arial"/>
          <w:sz w:val="20"/>
        </w:rPr>
        <w:t>urad</w:t>
      </w:r>
      <w:r w:rsidRPr="00424274">
        <w:rPr>
          <w:rFonts w:ascii="Arial" w:hAnsi="Arial"/>
          <w:sz w:val="20"/>
        </w:rPr>
        <w:t xml:space="preserve">a podala še več kazenskih ovadb za druga kazniva dejanja, ki niso pranje denarja. Največkrat gre za gospodarska kazniva dejanja (davčna zatajitev, zloraba položaja ali zaupanja pri gospodarski dejavnosti, goljufije). Navedeni podatki kažejo na pomembno vlogo </w:t>
      </w:r>
      <w:r w:rsidR="00814A21">
        <w:rPr>
          <w:rFonts w:ascii="Arial" w:hAnsi="Arial"/>
          <w:sz w:val="20"/>
        </w:rPr>
        <w:t>urad</w:t>
      </w:r>
      <w:r w:rsidRPr="00424274">
        <w:rPr>
          <w:rFonts w:ascii="Arial" w:hAnsi="Arial"/>
          <w:sz w:val="20"/>
        </w:rPr>
        <w:t xml:space="preserve">a tako pri zaznavanju sumov pranja denarja kakor tudi drugih kaznivih dejanj. Poleg tega je </w:t>
      </w:r>
      <w:r w:rsidR="004728ED">
        <w:rPr>
          <w:rFonts w:ascii="Arial" w:hAnsi="Arial"/>
          <w:sz w:val="20"/>
        </w:rPr>
        <w:t>p</w:t>
      </w:r>
      <w:r w:rsidRPr="00424274">
        <w:rPr>
          <w:rFonts w:ascii="Arial" w:hAnsi="Arial"/>
          <w:sz w:val="20"/>
        </w:rPr>
        <w:t xml:space="preserve">olicija v letu 2020 v zvezi z več izdelki </w:t>
      </w:r>
      <w:r w:rsidR="00814A21">
        <w:rPr>
          <w:rFonts w:ascii="Arial" w:hAnsi="Arial"/>
          <w:sz w:val="20"/>
        </w:rPr>
        <w:t>urad</w:t>
      </w:r>
      <w:r w:rsidRPr="00424274">
        <w:rPr>
          <w:rFonts w:ascii="Arial" w:hAnsi="Arial"/>
          <w:sz w:val="20"/>
        </w:rPr>
        <w:t xml:space="preserve">a (obvestila in informacije) v skladu s 148. členom ZKP državnim tožilstvom poslala poročilo, ker na </w:t>
      </w:r>
      <w:r w:rsidR="00656FBD">
        <w:rPr>
          <w:rFonts w:ascii="Arial" w:hAnsi="Arial"/>
          <w:sz w:val="20"/>
        </w:rPr>
        <w:t>podlagi</w:t>
      </w:r>
      <w:r w:rsidR="00656FBD" w:rsidRPr="00424274">
        <w:rPr>
          <w:rFonts w:ascii="Arial" w:hAnsi="Arial"/>
          <w:sz w:val="20"/>
        </w:rPr>
        <w:t xml:space="preserve"> </w:t>
      </w:r>
      <w:r w:rsidRPr="00424274">
        <w:rPr>
          <w:rFonts w:ascii="Arial" w:hAnsi="Arial"/>
          <w:sz w:val="20"/>
        </w:rPr>
        <w:t>zbranih obvestil ni ugotovila utemeljenih razlogov za sum katerega</w:t>
      </w:r>
      <w:r w:rsidR="00361F5F">
        <w:rPr>
          <w:rFonts w:ascii="Arial" w:hAnsi="Arial"/>
          <w:sz w:val="20"/>
        </w:rPr>
        <w:t xml:space="preserve"> </w:t>
      </w:r>
      <w:r w:rsidRPr="00424274">
        <w:rPr>
          <w:rFonts w:ascii="Arial" w:hAnsi="Arial"/>
          <w:sz w:val="20"/>
        </w:rPr>
        <w:t>koli kaznivega dejanja.</w:t>
      </w:r>
    </w:p>
    <w:p w14:paraId="1B715FF5" w14:textId="77777777" w:rsidR="00B805B8" w:rsidRPr="00424274" w:rsidRDefault="00B805B8" w:rsidP="00D21F86">
      <w:pPr>
        <w:pStyle w:val="Telobesedila2"/>
        <w:tabs>
          <w:tab w:val="clear" w:pos="-689"/>
          <w:tab w:val="clear" w:pos="31"/>
          <w:tab w:val="clear" w:pos="751"/>
          <w:tab w:val="clear" w:pos="1471"/>
          <w:tab w:val="clear" w:pos="2191"/>
          <w:tab w:val="clear" w:pos="2911"/>
          <w:tab w:val="clear" w:pos="3631"/>
          <w:tab w:val="clear" w:pos="4351"/>
          <w:tab w:val="left" w:pos="-787"/>
          <w:tab w:val="left" w:pos="0"/>
          <w:tab w:val="left" w:pos="720"/>
          <w:tab w:val="left" w:pos="1440"/>
          <w:tab w:val="left" w:pos="2160"/>
          <w:tab w:val="left" w:pos="2880"/>
          <w:tab w:val="left" w:pos="3600"/>
          <w:tab w:val="left" w:pos="4320"/>
          <w:tab w:val="left" w:pos="4500"/>
        </w:tabs>
        <w:spacing w:line="276" w:lineRule="auto"/>
        <w:ind w:right="-22"/>
        <w:rPr>
          <w:rFonts w:ascii="Arial" w:hAnsi="Arial"/>
          <w:sz w:val="20"/>
        </w:rPr>
      </w:pPr>
    </w:p>
    <w:p w14:paraId="6080CA69" w14:textId="10E1DC84" w:rsidR="00851C49" w:rsidRPr="00424274" w:rsidRDefault="00292A8B" w:rsidP="006D5A5A">
      <w:pPr>
        <w:pStyle w:val="Naslov3"/>
      </w:pPr>
      <w:bookmarkStart w:id="87" w:name="_Toc113535472"/>
      <w:r w:rsidRPr="00424274">
        <w:t xml:space="preserve">4.1.4 </w:t>
      </w:r>
      <w:r w:rsidR="00851C49" w:rsidRPr="00424274">
        <w:t xml:space="preserve">Statistični podatki o </w:t>
      </w:r>
      <w:r w:rsidR="00D50AF2" w:rsidRPr="00424274">
        <w:t xml:space="preserve">predkazenskih in kazenskih </w:t>
      </w:r>
      <w:r w:rsidR="00851C49" w:rsidRPr="00424274">
        <w:t xml:space="preserve">postopkih </w:t>
      </w:r>
      <w:r w:rsidR="00D50AF2" w:rsidRPr="00424274">
        <w:t xml:space="preserve">za kaznivo dejanje </w:t>
      </w:r>
      <w:r w:rsidR="00851C49" w:rsidRPr="00424274">
        <w:t>p</w:t>
      </w:r>
      <w:r w:rsidR="00D50AF2" w:rsidRPr="00424274">
        <w:t>ranja denarja</w:t>
      </w:r>
      <w:bookmarkEnd w:id="87"/>
      <w:r w:rsidR="00851C49" w:rsidRPr="00424274">
        <w:t xml:space="preserve"> </w:t>
      </w:r>
    </w:p>
    <w:p w14:paraId="47E1FAAE" w14:textId="77777777" w:rsidR="00851C49" w:rsidRPr="00424274" w:rsidRDefault="00851C49" w:rsidP="00D22EF9">
      <w:pPr>
        <w:pStyle w:val="Telobesedila"/>
        <w:spacing w:line="276" w:lineRule="auto"/>
        <w:ind w:right="-22"/>
        <w:rPr>
          <w:rFonts w:ascii="Arial" w:hAnsi="Arial"/>
          <w:sz w:val="20"/>
        </w:rPr>
      </w:pPr>
    </w:p>
    <w:p w14:paraId="0C78F9CB" w14:textId="19E7508C" w:rsidR="009D4C77" w:rsidRPr="00424274" w:rsidRDefault="009D4C77" w:rsidP="009D4C77">
      <w:pPr>
        <w:widowControl/>
        <w:spacing w:line="276" w:lineRule="auto"/>
        <w:ind w:right="-22"/>
        <w:rPr>
          <w:rFonts w:ascii="Arial" w:hAnsi="Arial"/>
          <w:bCs/>
          <w:sz w:val="20"/>
        </w:rPr>
      </w:pPr>
      <w:r w:rsidRPr="00424274">
        <w:rPr>
          <w:rFonts w:ascii="Arial" w:hAnsi="Arial"/>
          <w:sz w:val="20"/>
        </w:rPr>
        <w:t xml:space="preserve">Iz podatkov, ki smo jih za leto 2020 prejeli od državnih tožilstev in sodišč, je razvidno, da je bilo na dan 31. 12. 2020 v različnih fazah pregona (od podane kazenske ovadbe do vključno končnih odločitev sodišč) 667 zadev </w:t>
      </w:r>
      <w:r w:rsidRPr="00424274">
        <w:rPr>
          <w:rFonts w:ascii="Arial" w:hAnsi="Arial"/>
          <w:bCs/>
          <w:sz w:val="20"/>
        </w:rPr>
        <w:t xml:space="preserve">zoper 1.231 fizičnih oseb </w:t>
      </w:r>
      <w:r w:rsidR="00A72785">
        <w:rPr>
          <w:rFonts w:ascii="Arial" w:hAnsi="Arial"/>
          <w:bCs/>
          <w:sz w:val="20"/>
        </w:rPr>
        <w:t>in</w:t>
      </w:r>
      <w:r w:rsidR="00A72785" w:rsidRPr="00424274">
        <w:rPr>
          <w:rFonts w:ascii="Arial" w:hAnsi="Arial"/>
          <w:bCs/>
          <w:sz w:val="20"/>
        </w:rPr>
        <w:t xml:space="preserve"> </w:t>
      </w:r>
      <w:r w:rsidRPr="00424274">
        <w:rPr>
          <w:rFonts w:ascii="Arial" w:hAnsi="Arial"/>
          <w:bCs/>
          <w:sz w:val="20"/>
        </w:rPr>
        <w:t xml:space="preserve">147 pravnih oseb. V naslednji </w:t>
      </w:r>
      <w:r w:rsidR="00814A21">
        <w:rPr>
          <w:rFonts w:ascii="Arial" w:hAnsi="Arial"/>
          <w:bCs/>
          <w:sz w:val="20"/>
        </w:rPr>
        <w:t>preglednici</w:t>
      </w:r>
      <w:r w:rsidRPr="00424274">
        <w:rPr>
          <w:rFonts w:ascii="Arial" w:hAnsi="Arial"/>
          <w:bCs/>
          <w:sz w:val="20"/>
        </w:rPr>
        <w:t xml:space="preserve"> prikazujemo število zadev v posamezni fazi ter število in tip osumljenih, obdolženih ali obsojenih oseb.</w:t>
      </w:r>
    </w:p>
    <w:p w14:paraId="0D4031CD" w14:textId="762EDD46" w:rsidR="00F05655" w:rsidRDefault="00F05655" w:rsidP="00D21F86">
      <w:pPr>
        <w:pStyle w:val="Telobesedila"/>
        <w:spacing w:line="276" w:lineRule="auto"/>
        <w:ind w:right="-22"/>
        <w:rPr>
          <w:rFonts w:ascii="Arial" w:hAnsi="Arial"/>
          <w:sz w:val="20"/>
        </w:rPr>
      </w:pPr>
    </w:p>
    <w:p w14:paraId="7EEBCE45" w14:textId="7D70B8EA" w:rsidR="00356585" w:rsidRDefault="00356585" w:rsidP="00D21F86">
      <w:pPr>
        <w:pStyle w:val="Telobesedila"/>
        <w:spacing w:line="276" w:lineRule="auto"/>
        <w:ind w:right="-22"/>
        <w:rPr>
          <w:rFonts w:ascii="Arial" w:hAnsi="Arial"/>
          <w:sz w:val="20"/>
        </w:rPr>
      </w:pPr>
    </w:p>
    <w:p w14:paraId="6872D607" w14:textId="1889AF79" w:rsidR="00B805B8" w:rsidRDefault="00B805B8" w:rsidP="00D21F86">
      <w:pPr>
        <w:pStyle w:val="Telobesedila"/>
        <w:spacing w:line="276" w:lineRule="auto"/>
        <w:ind w:right="-22"/>
        <w:rPr>
          <w:rFonts w:ascii="Arial" w:hAnsi="Arial"/>
          <w:sz w:val="20"/>
        </w:rPr>
      </w:pPr>
    </w:p>
    <w:p w14:paraId="751D8221" w14:textId="08162FA4" w:rsidR="00B805B8" w:rsidRDefault="00B805B8" w:rsidP="00D21F86">
      <w:pPr>
        <w:pStyle w:val="Telobesedila"/>
        <w:spacing w:line="276" w:lineRule="auto"/>
        <w:ind w:right="-22"/>
        <w:rPr>
          <w:rFonts w:ascii="Arial" w:hAnsi="Arial"/>
          <w:sz w:val="20"/>
        </w:rPr>
      </w:pPr>
    </w:p>
    <w:p w14:paraId="562E5F99" w14:textId="77777777" w:rsidR="00B805B8" w:rsidRPr="00424274" w:rsidRDefault="00B805B8" w:rsidP="00D21F86">
      <w:pPr>
        <w:pStyle w:val="Telobesedila"/>
        <w:spacing w:line="276" w:lineRule="auto"/>
        <w:ind w:right="-22"/>
        <w:rPr>
          <w:rFonts w:ascii="Arial" w:hAnsi="Arial"/>
          <w:sz w:val="20"/>
        </w:rPr>
      </w:pPr>
    </w:p>
    <w:p w14:paraId="537A1B55" w14:textId="3216D602" w:rsidR="00631096" w:rsidRPr="00424274" w:rsidRDefault="00814A21" w:rsidP="00631096">
      <w:pPr>
        <w:widowControl/>
        <w:spacing w:line="276" w:lineRule="auto"/>
        <w:ind w:left="1140" w:right="-22" w:hanging="1140"/>
        <w:rPr>
          <w:rFonts w:ascii="Arial" w:hAnsi="Arial"/>
          <w:b/>
          <w:i/>
          <w:sz w:val="20"/>
        </w:rPr>
      </w:pPr>
      <w:r>
        <w:rPr>
          <w:rFonts w:ascii="Arial" w:hAnsi="Arial"/>
          <w:b/>
          <w:i/>
          <w:sz w:val="20"/>
        </w:rPr>
        <w:t>Preglednica</w:t>
      </w:r>
      <w:r w:rsidR="00631096" w:rsidRPr="00424274">
        <w:rPr>
          <w:rFonts w:ascii="Arial" w:hAnsi="Arial"/>
          <w:b/>
          <w:i/>
          <w:sz w:val="20"/>
        </w:rPr>
        <w:t xml:space="preserve"> 11: </w:t>
      </w:r>
      <w:r w:rsidR="00631096" w:rsidRPr="00424274">
        <w:rPr>
          <w:rFonts w:ascii="Arial" w:hAnsi="Arial"/>
          <w:b/>
          <w:i/>
          <w:sz w:val="20"/>
        </w:rPr>
        <w:tab/>
        <w:t xml:space="preserve">Faze postopkov, v katerih so </w:t>
      </w:r>
      <w:r w:rsidR="00656FBD">
        <w:rPr>
          <w:rFonts w:ascii="Arial" w:hAnsi="Arial"/>
          <w:b/>
          <w:i/>
          <w:sz w:val="20"/>
        </w:rPr>
        <w:t>bile</w:t>
      </w:r>
      <w:r w:rsidR="00656FBD" w:rsidRPr="00424274">
        <w:rPr>
          <w:rFonts w:ascii="Arial" w:hAnsi="Arial"/>
          <w:b/>
          <w:i/>
          <w:sz w:val="20"/>
        </w:rPr>
        <w:t xml:space="preserve"> </w:t>
      </w:r>
      <w:r w:rsidR="00631096" w:rsidRPr="00424274">
        <w:rPr>
          <w:rFonts w:ascii="Arial" w:hAnsi="Arial"/>
          <w:b/>
          <w:i/>
          <w:sz w:val="20"/>
        </w:rPr>
        <w:t>na dan 31. 12. 2020 zadeve</w:t>
      </w:r>
      <w:r w:rsidR="00656FBD">
        <w:rPr>
          <w:rFonts w:ascii="Arial" w:hAnsi="Arial"/>
          <w:b/>
          <w:i/>
          <w:sz w:val="20"/>
        </w:rPr>
        <w:t>,</w:t>
      </w:r>
      <w:r w:rsidR="00631096" w:rsidRPr="00424274">
        <w:rPr>
          <w:rFonts w:ascii="Arial" w:hAnsi="Arial"/>
          <w:b/>
          <w:i/>
          <w:sz w:val="20"/>
        </w:rPr>
        <w:t xml:space="preserve"> povezane s storitvijo kaznivega dejanja pranja denarja</w:t>
      </w:r>
    </w:p>
    <w:p w14:paraId="4E1C0C77" w14:textId="25170A79" w:rsidR="00D56A22" w:rsidRPr="00424274" w:rsidRDefault="00D56A22" w:rsidP="00631096">
      <w:pPr>
        <w:widowControl/>
        <w:spacing w:line="276" w:lineRule="auto"/>
        <w:ind w:left="1140" w:right="-22" w:hanging="1140"/>
        <w:rPr>
          <w:rFonts w:ascii="Arial" w:hAnsi="Arial"/>
          <w:b/>
          <w:i/>
          <w:sz w:val="20"/>
        </w:rPr>
      </w:pPr>
    </w:p>
    <w:p w14:paraId="7FF9843E" w14:textId="225338E2" w:rsidR="00D56A22" w:rsidRPr="00424274" w:rsidRDefault="00D56A22" w:rsidP="00631096">
      <w:pPr>
        <w:widowControl/>
        <w:spacing w:line="276" w:lineRule="auto"/>
        <w:ind w:left="1140" w:right="-22" w:hanging="1140"/>
        <w:rPr>
          <w:rFonts w:ascii="Arial" w:hAnsi="Arial"/>
          <w:b/>
          <w:i/>
          <w:sz w:val="20"/>
        </w:rPr>
      </w:pPr>
    </w:p>
    <w:tbl>
      <w:tblPr>
        <w:tblW w:w="8573" w:type="dxa"/>
        <w:tblInd w:w="70" w:type="dxa"/>
        <w:tblCellMar>
          <w:left w:w="70" w:type="dxa"/>
          <w:right w:w="70" w:type="dxa"/>
        </w:tblCellMar>
        <w:tblLook w:val="04A0" w:firstRow="1" w:lastRow="0" w:firstColumn="1" w:lastColumn="0" w:noHBand="0" w:noVBand="1"/>
      </w:tblPr>
      <w:tblGrid>
        <w:gridCol w:w="3686"/>
        <w:gridCol w:w="992"/>
        <w:gridCol w:w="919"/>
        <w:gridCol w:w="992"/>
        <w:gridCol w:w="992"/>
        <w:gridCol w:w="992"/>
      </w:tblGrid>
      <w:tr w:rsidR="00D56A22" w:rsidRPr="00424274" w14:paraId="38CABFF3" w14:textId="77777777" w:rsidTr="00472BE5">
        <w:trPr>
          <w:trHeight w:val="780"/>
        </w:trPr>
        <w:tc>
          <w:tcPr>
            <w:tcW w:w="3686" w:type="dxa"/>
            <w:tcBorders>
              <w:top w:val="single" w:sz="8" w:space="0" w:color="auto"/>
              <w:left w:val="single" w:sz="8" w:space="0" w:color="auto"/>
              <w:bottom w:val="single" w:sz="8" w:space="0" w:color="auto"/>
              <w:right w:val="single" w:sz="8" w:space="0" w:color="auto"/>
            </w:tcBorders>
            <w:shd w:val="clear" w:color="000000" w:fill="00CCFF"/>
            <w:vAlign w:val="center"/>
            <w:hideMark/>
          </w:tcPr>
          <w:p w14:paraId="202842AA" w14:textId="311CCC97" w:rsidR="00D56A22" w:rsidRPr="00424274" w:rsidRDefault="00D56A22" w:rsidP="00D56A22">
            <w:pPr>
              <w:widowControl/>
              <w:jc w:val="center"/>
              <w:rPr>
                <w:rFonts w:ascii="Arial" w:hAnsi="Arial"/>
                <w:b/>
                <w:bCs/>
                <w:sz w:val="20"/>
                <w:lang w:eastAsia="sl-SI"/>
              </w:rPr>
            </w:pPr>
            <w:r w:rsidRPr="00424274">
              <w:rPr>
                <w:rFonts w:ascii="Arial" w:hAnsi="Arial"/>
                <w:b/>
                <w:bCs/>
                <w:sz w:val="20"/>
                <w:lang w:eastAsia="sl-SI"/>
              </w:rPr>
              <w:t>FAZE POSTOPKOV</w:t>
            </w:r>
          </w:p>
        </w:tc>
        <w:tc>
          <w:tcPr>
            <w:tcW w:w="992" w:type="dxa"/>
            <w:tcBorders>
              <w:top w:val="single" w:sz="8" w:space="0" w:color="auto"/>
              <w:left w:val="nil"/>
              <w:bottom w:val="single" w:sz="8" w:space="0" w:color="auto"/>
              <w:right w:val="single" w:sz="8" w:space="0" w:color="auto"/>
            </w:tcBorders>
            <w:shd w:val="clear" w:color="000000" w:fill="00CCFF"/>
            <w:vAlign w:val="center"/>
            <w:hideMark/>
          </w:tcPr>
          <w:p w14:paraId="43923086" w14:textId="77777777" w:rsidR="00D56A22" w:rsidRPr="00424274" w:rsidRDefault="00D56A22" w:rsidP="00D56A22">
            <w:pPr>
              <w:widowControl/>
              <w:jc w:val="center"/>
              <w:rPr>
                <w:rFonts w:ascii="Arial" w:hAnsi="Arial"/>
                <w:b/>
                <w:bCs/>
                <w:sz w:val="20"/>
                <w:lang w:eastAsia="sl-SI"/>
              </w:rPr>
            </w:pPr>
            <w:r w:rsidRPr="00424274">
              <w:rPr>
                <w:rFonts w:ascii="Arial" w:hAnsi="Arial"/>
                <w:b/>
                <w:bCs/>
                <w:sz w:val="20"/>
                <w:lang w:eastAsia="sl-SI"/>
              </w:rPr>
              <w:t>Število zadev</w:t>
            </w:r>
          </w:p>
        </w:tc>
        <w:tc>
          <w:tcPr>
            <w:tcW w:w="919" w:type="dxa"/>
            <w:tcBorders>
              <w:top w:val="single" w:sz="8" w:space="0" w:color="auto"/>
              <w:left w:val="nil"/>
              <w:bottom w:val="single" w:sz="8" w:space="0" w:color="auto"/>
              <w:right w:val="single" w:sz="8" w:space="0" w:color="auto"/>
            </w:tcBorders>
            <w:shd w:val="clear" w:color="000000" w:fill="00CCFF"/>
            <w:vAlign w:val="center"/>
            <w:hideMark/>
          </w:tcPr>
          <w:p w14:paraId="5A5C6A6E" w14:textId="77777777" w:rsidR="00D56A22" w:rsidRPr="00424274" w:rsidRDefault="00D56A22" w:rsidP="00D56A22">
            <w:pPr>
              <w:widowControl/>
              <w:jc w:val="center"/>
              <w:rPr>
                <w:rFonts w:ascii="Arial" w:hAnsi="Arial"/>
                <w:b/>
                <w:bCs/>
                <w:sz w:val="20"/>
                <w:lang w:eastAsia="sl-SI"/>
              </w:rPr>
            </w:pPr>
            <w:r w:rsidRPr="00424274">
              <w:rPr>
                <w:rFonts w:ascii="Arial" w:hAnsi="Arial"/>
                <w:b/>
                <w:bCs/>
                <w:sz w:val="20"/>
                <w:lang w:eastAsia="sl-SI"/>
              </w:rPr>
              <w:t>Domače FO</w:t>
            </w:r>
          </w:p>
        </w:tc>
        <w:tc>
          <w:tcPr>
            <w:tcW w:w="992" w:type="dxa"/>
            <w:tcBorders>
              <w:top w:val="single" w:sz="8" w:space="0" w:color="auto"/>
              <w:left w:val="nil"/>
              <w:bottom w:val="single" w:sz="8" w:space="0" w:color="auto"/>
              <w:right w:val="single" w:sz="8" w:space="0" w:color="auto"/>
            </w:tcBorders>
            <w:shd w:val="clear" w:color="000000" w:fill="00CCFF"/>
            <w:vAlign w:val="center"/>
            <w:hideMark/>
          </w:tcPr>
          <w:p w14:paraId="266BF16D" w14:textId="38E189BC" w:rsidR="00D56A22" w:rsidRPr="00424274" w:rsidRDefault="00D56A22" w:rsidP="004E3462">
            <w:pPr>
              <w:widowControl/>
              <w:jc w:val="center"/>
              <w:rPr>
                <w:rFonts w:ascii="Arial" w:hAnsi="Arial"/>
                <w:b/>
                <w:bCs/>
                <w:sz w:val="20"/>
                <w:lang w:eastAsia="sl-SI"/>
              </w:rPr>
            </w:pPr>
            <w:r w:rsidRPr="00424274">
              <w:rPr>
                <w:rFonts w:ascii="Arial" w:hAnsi="Arial"/>
                <w:b/>
                <w:bCs/>
                <w:sz w:val="20"/>
                <w:lang w:eastAsia="sl-SI"/>
              </w:rPr>
              <w:t>Tuje    FO</w:t>
            </w:r>
          </w:p>
        </w:tc>
        <w:tc>
          <w:tcPr>
            <w:tcW w:w="992" w:type="dxa"/>
            <w:tcBorders>
              <w:top w:val="single" w:sz="8" w:space="0" w:color="auto"/>
              <w:left w:val="nil"/>
              <w:bottom w:val="single" w:sz="8" w:space="0" w:color="auto"/>
              <w:right w:val="single" w:sz="8" w:space="0" w:color="auto"/>
            </w:tcBorders>
            <w:shd w:val="clear" w:color="000000" w:fill="00CCFF"/>
            <w:vAlign w:val="center"/>
            <w:hideMark/>
          </w:tcPr>
          <w:p w14:paraId="1619B8EB" w14:textId="77777777" w:rsidR="00D56A22" w:rsidRPr="00424274" w:rsidRDefault="00D56A22" w:rsidP="00D56A22">
            <w:pPr>
              <w:widowControl/>
              <w:jc w:val="center"/>
              <w:rPr>
                <w:rFonts w:ascii="Arial" w:hAnsi="Arial"/>
                <w:b/>
                <w:bCs/>
                <w:sz w:val="20"/>
                <w:lang w:eastAsia="sl-SI"/>
              </w:rPr>
            </w:pPr>
            <w:r w:rsidRPr="00424274">
              <w:rPr>
                <w:rFonts w:ascii="Arial" w:hAnsi="Arial"/>
                <w:b/>
                <w:bCs/>
                <w:sz w:val="20"/>
                <w:lang w:eastAsia="sl-SI"/>
              </w:rPr>
              <w:t>Domače PO</w:t>
            </w:r>
          </w:p>
        </w:tc>
        <w:tc>
          <w:tcPr>
            <w:tcW w:w="992" w:type="dxa"/>
            <w:tcBorders>
              <w:top w:val="single" w:sz="8" w:space="0" w:color="auto"/>
              <w:left w:val="nil"/>
              <w:bottom w:val="single" w:sz="8" w:space="0" w:color="auto"/>
              <w:right w:val="single" w:sz="8" w:space="0" w:color="auto"/>
            </w:tcBorders>
            <w:shd w:val="clear" w:color="000000" w:fill="00CCFF"/>
            <w:vAlign w:val="center"/>
            <w:hideMark/>
          </w:tcPr>
          <w:p w14:paraId="73D7CC6F" w14:textId="77777777" w:rsidR="00D56A22" w:rsidRPr="00424274" w:rsidRDefault="00D56A22" w:rsidP="00D56A22">
            <w:pPr>
              <w:widowControl/>
              <w:jc w:val="center"/>
              <w:rPr>
                <w:rFonts w:ascii="Arial" w:hAnsi="Arial"/>
                <w:b/>
                <w:bCs/>
                <w:sz w:val="20"/>
                <w:lang w:eastAsia="sl-SI"/>
              </w:rPr>
            </w:pPr>
            <w:r w:rsidRPr="00424274">
              <w:rPr>
                <w:rFonts w:ascii="Arial" w:hAnsi="Arial"/>
                <w:b/>
                <w:bCs/>
                <w:sz w:val="20"/>
                <w:lang w:eastAsia="sl-SI"/>
              </w:rPr>
              <w:t>Tuje     PO</w:t>
            </w:r>
          </w:p>
        </w:tc>
      </w:tr>
      <w:tr w:rsidR="00D56A22" w:rsidRPr="00424274" w14:paraId="7E30CD53" w14:textId="77777777" w:rsidTr="00472BE5">
        <w:trPr>
          <w:trHeight w:val="270"/>
        </w:trPr>
        <w:tc>
          <w:tcPr>
            <w:tcW w:w="3686" w:type="dxa"/>
            <w:tcBorders>
              <w:top w:val="nil"/>
              <w:left w:val="single" w:sz="8" w:space="0" w:color="auto"/>
              <w:bottom w:val="single" w:sz="8" w:space="0" w:color="auto"/>
              <w:right w:val="single" w:sz="8" w:space="0" w:color="auto"/>
            </w:tcBorders>
            <w:shd w:val="clear" w:color="000000" w:fill="99FF33"/>
            <w:noWrap/>
            <w:vAlign w:val="center"/>
            <w:hideMark/>
          </w:tcPr>
          <w:p w14:paraId="5532B068" w14:textId="3F6DB2B6" w:rsidR="00D56A22" w:rsidRPr="00424274" w:rsidRDefault="00D56A22" w:rsidP="00D56A22">
            <w:pPr>
              <w:widowControl/>
              <w:jc w:val="left"/>
              <w:rPr>
                <w:rFonts w:ascii="Arial" w:hAnsi="Arial"/>
                <w:sz w:val="18"/>
                <w:szCs w:val="18"/>
                <w:lang w:eastAsia="sl-SI"/>
              </w:rPr>
            </w:pPr>
            <w:r w:rsidRPr="00424274">
              <w:rPr>
                <w:rFonts w:ascii="Arial" w:hAnsi="Arial"/>
                <w:sz w:val="18"/>
                <w:szCs w:val="18"/>
                <w:lang w:eastAsia="sl-SI"/>
              </w:rPr>
              <w:t xml:space="preserve">Tožilstvo: </w:t>
            </w:r>
            <w:r w:rsidR="008126B7">
              <w:rPr>
                <w:rFonts w:ascii="Arial" w:hAnsi="Arial"/>
                <w:sz w:val="18"/>
                <w:szCs w:val="18"/>
                <w:lang w:eastAsia="sl-SI"/>
              </w:rPr>
              <w:t>Š</w:t>
            </w:r>
            <w:r w:rsidRPr="00424274">
              <w:rPr>
                <w:rFonts w:ascii="Arial" w:hAnsi="Arial"/>
                <w:sz w:val="18"/>
                <w:szCs w:val="18"/>
                <w:lang w:eastAsia="sl-SI"/>
              </w:rPr>
              <w:t>e ni odločitve</w:t>
            </w:r>
          </w:p>
        </w:tc>
        <w:tc>
          <w:tcPr>
            <w:tcW w:w="992" w:type="dxa"/>
            <w:tcBorders>
              <w:top w:val="nil"/>
              <w:left w:val="nil"/>
              <w:bottom w:val="single" w:sz="8" w:space="0" w:color="auto"/>
              <w:right w:val="single" w:sz="8" w:space="0" w:color="auto"/>
            </w:tcBorders>
            <w:shd w:val="clear" w:color="auto" w:fill="auto"/>
            <w:noWrap/>
            <w:vAlign w:val="bottom"/>
            <w:hideMark/>
          </w:tcPr>
          <w:p w14:paraId="14A66B89" w14:textId="77777777" w:rsidR="00D56A22" w:rsidRPr="00424274" w:rsidRDefault="00D56A22" w:rsidP="00D56A22">
            <w:pPr>
              <w:jc w:val="right"/>
              <w:rPr>
                <w:rFonts w:ascii="Arial" w:hAnsi="Arial"/>
                <w:sz w:val="20"/>
              </w:rPr>
            </w:pPr>
            <w:r w:rsidRPr="00424274">
              <w:rPr>
                <w:rFonts w:ascii="Arial" w:hAnsi="Arial"/>
                <w:color w:val="000000"/>
                <w:sz w:val="20"/>
              </w:rPr>
              <w:t>147</w:t>
            </w:r>
          </w:p>
        </w:tc>
        <w:tc>
          <w:tcPr>
            <w:tcW w:w="919" w:type="dxa"/>
            <w:tcBorders>
              <w:top w:val="nil"/>
              <w:left w:val="nil"/>
              <w:bottom w:val="single" w:sz="8" w:space="0" w:color="auto"/>
              <w:right w:val="single" w:sz="8" w:space="0" w:color="auto"/>
            </w:tcBorders>
            <w:shd w:val="clear" w:color="auto" w:fill="auto"/>
            <w:noWrap/>
            <w:vAlign w:val="bottom"/>
            <w:hideMark/>
          </w:tcPr>
          <w:p w14:paraId="4F7833DF" w14:textId="77777777" w:rsidR="00D56A22" w:rsidRPr="00424274" w:rsidRDefault="00D56A22" w:rsidP="00D56A22">
            <w:pPr>
              <w:jc w:val="right"/>
              <w:rPr>
                <w:rFonts w:ascii="Arial" w:hAnsi="Arial"/>
                <w:sz w:val="20"/>
              </w:rPr>
            </w:pPr>
            <w:r w:rsidRPr="00424274">
              <w:rPr>
                <w:rFonts w:ascii="Arial" w:hAnsi="Arial"/>
                <w:color w:val="000000"/>
                <w:sz w:val="20"/>
              </w:rPr>
              <w:t>153</w:t>
            </w:r>
          </w:p>
        </w:tc>
        <w:tc>
          <w:tcPr>
            <w:tcW w:w="992" w:type="dxa"/>
            <w:tcBorders>
              <w:top w:val="nil"/>
              <w:left w:val="nil"/>
              <w:bottom w:val="single" w:sz="8" w:space="0" w:color="auto"/>
              <w:right w:val="single" w:sz="8" w:space="0" w:color="auto"/>
            </w:tcBorders>
            <w:shd w:val="clear" w:color="auto" w:fill="auto"/>
            <w:noWrap/>
            <w:vAlign w:val="bottom"/>
            <w:hideMark/>
          </w:tcPr>
          <w:p w14:paraId="516AC854" w14:textId="77777777" w:rsidR="00D56A22" w:rsidRPr="00424274" w:rsidRDefault="00D56A22" w:rsidP="00D56A22">
            <w:pPr>
              <w:jc w:val="right"/>
              <w:rPr>
                <w:rFonts w:ascii="Arial" w:hAnsi="Arial"/>
                <w:sz w:val="20"/>
              </w:rPr>
            </w:pPr>
            <w:r w:rsidRPr="00424274">
              <w:rPr>
                <w:rFonts w:ascii="Arial" w:hAnsi="Arial"/>
                <w:color w:val="000000"/>
                <w:sz w:val="20"/>
              </w:rPr>
              <w:t>103</w:t>
            </w:r>
          </w:p>
        </w:tc>
        <w:tc>
          <w:tcPr>
            <w:tcW w:w="992" w:type="dxa"/>
            <w:tcBorders>
              <w:top w:val="nil"/>
              <w:left w:val="nil"/>
              <w:bottom w:val="single" w:sz="8" w:space="0" w:color="auto"/>
              <w:right w:val="single" w:sz="8" w:space="0" w:color="auto"/>
            </w:tcBorders>
            <w:shd w:val="clear" w:color="auto" w:fill="auto"/>
            <w:noWrap/>
            <w:vAlign w:val="bottom"/>
            <w:hideMark/>
          </w:tcPr>
          <w:p w14:paraId="089421F3" w14:textId="77777777" w:rsidR="00D56A22" w:rsidRPr="00424274" w:rsidRDefault="00D56A22" w:rsidP="00D56A22">
            <w:pPr>
              <w:jc w:val="right"/>
              <w:rPr>
                <w:rFonts w:ascii="Arial" w:hAnsi="Arial"/>
                <w:sz w:val="20"/>
              </w:rPr>
            </w:pPr>
            <w:r w:rsidRPr="00424274">
              <w:rPr>
                <w:rFonts w:ascii="Arial" w:hAnsi="Arial"/>
                <w:color w:val="000000"/>
                <w:sz w:val="20"/>
              </w:rPr>
              <w:t>36</w:t>
            </w:r>
          </w:p>
        </w:tc>
        <w:tc>
          <w:tcPr>
            <w:tcW w:w="992" w:type="dxa"/>
            <w:tcBorders>
              <w:top w:val="nil"/>
              <w:left w:val="nil"/>
              <w:bottom w:val="single" w:sz="8" w:space="0" w:color="auto"/>
              <w:right w:val="single" w:sz="8" w:space="0" w:color="auto"/>
            </w:tcBorders>
            <w:shd w:val="clear" w:color="auto" w:fill="auto"/>
            <w:noWrap/>
            <w:vAlign w:val="bottom"/>
            <w:hideMark/>
          </w:tcPr>
          <w:p w14:paraId="35E71C2D" w14:textId="77777777" w:rsidR="00D56A22" w:rsidRPr="00424274" w:rsidRDefault="00D56A22" w:rsidP="00D56A22">
            <w:pPr>
              <w:jc w:val="right"/>
              <w:rPr>
                <w:rFonts w:ascii="Arial" w:hAnsi="Arial"/>
                <w:sz w:val="20"/>
              </w:rPr>
            </w:pPr>
            <w:r w:rsidRPr="00424274">
              <w:rPr>
                <w:rFonts w:ascii="Arial" w:hAnsi="Arial"/>
                <w:color w:val="000000"/>
                <w:sz w:val="20"/>
              </w:rPr>
              <w:t>12</w:t>
            </w:r>
          </w:p>
        </w:tc>
      </w:tr>
      <w:tr w:rsidR="00D56A22" w:rsidRPr="00424274" w14:paraId="3C39E7DA" w14:textId="77777777" w:rsidTr="00472BE5">
        <w:trPr>
          <w:trHeight w:val="270"/>
        </w:trPr>
        <w:tc>
          <w:tcPr>
            <w:tcW w:w="3686" w:type="dxa"/>
            <w:tcBorders>
              <w:top w:val="nil"/>
              <w:left w:val="single" w:sz="8" w:space="0" w:color="auto"/>
              <w:bottom w:val="single" w:sz="8" w:space="0" w:color="auto"/>
              <w:right w:val="single" w:sz="8" w:space="0" w:color="auto"/>
            </w:tcBorders>
            <w:shd w:val="clear" w:color="000000" w:fill="99FF33"/>
            <w:noWrap/>
            <w:vAlign w:val="center"/>
            <w:hideMark/>
          </w:tcPr>
          <w:p w14:paraId="3141E755" w14:textId="77777777" w:rsidR="00D56A22" w:rsidRPr="00424274" w:rsidRDefault="00D56A22" w:rsidP="00D56A22">
            <w:pPr>
              <w:widowControl/>
              <w:jc w:val="left"/>
              <w:rPr>
                <w:rFonts w:ascii="Arial" w:hAnsi="Arial"/>
                <w:color w:val="7030A0"/>
                <w:sz w:val="18"/>
                <w:szCs w:val="18"/>
                <w:lang w:eastAsia="sl-SI"/>
              </w:rPr>
            </w:pPr>
            <w:r w:rsidRPr="00424274">
              <w:rPr>
                <w:rFonts w:ascii="Arial" w:hAnsi="Arial"/>
                <w:color w:val="7030A0"/>
                <w:sz w:val="18"/>
                <w:szCs w:val="18"/>
                <w:lang w:eastAsia="sl-SI"/>
              </w:rPr>
              <w:t>Tožilstvo: Ovadba zavržena</w:t>
            </w:r>
          </w:p>
        </w:tc>
        <w:tc>
          <w:tcPr>
            <w:tcW w:w="992" w:type="dxa"/>
            <w:tcBorders>
              <w:top w:val="nil"/>
              <w:left w:val="nil"/>
              <w:bottom w:val="single" w:sz="8" w:space="0" w:color="auto"/>
              <w:right w:val="single" w:sz="8" w:space="0" w:color="auto"/>
            </w:tcBorders>
            <w:shd w:val="clear" w:color="auto" w:fill="auto"/>
            <w:noWrap/>
            <w:vAlign w:val="bottom"/>
            <w:hideMark/>
          </w:tcPr>
          <w:p w14:paraId="48547D39" w14:textId="77777777" w:rsidR="00D56A22" w:rsidRPr="00424274" w:rsidRDefault="00D56A22" w:rsidP="00D56A22">
            <w:pPr>
              <w:jc w:val="right"/>
              <w:rPr>
                <w:rFonts w:ascii="Arial" w:hAnsi="Arial"/>
                <w:color w:val="7030A0"/>
                <w:sz w:val="20"/>
              </w:rPr>
            </w:pPr>
            <w:r w:rsidRPr="00424274">
              <w:rPr>
                <w:rFonts w:ascii="Arial" w:hAnsi="Arial"/>
                <w:color w:val="7030A0"/>
                <w:sz w:val="20"/>
              </w:rPr>
              <w:t>112</w:t>
            </w:r>
          </w:p>
        </w:tc>
        <w:tc>
          <w:tcPr>
            <w:tcW w:w="919" w:type="dxa"/>
            <w:tcBorders>
              <w:top w:val="nil"/>
              <w:left w:val="nil"/>
              <w:bottom w:val="single" w:sz="8" w:space="0" w:color="auto"/>
              <w:right w:val="single" w:sz="8" w:space="0" w:color="auto"/>
            </w:tcBorders>
            <w:shd w:val="clear" w:color="auto" w:fill="auto"/>
            <w:noWrap/>
            <w:vAlign w:val="bottom"/>
            <w:hideMark/>
          </w:tcPr>
          <w:p w14:paraId="6C54C946" w14:textId="77777777" w:rsidR="00D56A22" w:rsidRPr="00424274" w:rsidRDefault="00D56A22" w:rsidP="00D56A22">
            <w:pPr>
              <w:jc w:val="right"/>
              <w:rPr>
                <w:rFonts w:ascii="Arial" w:hAnsi="Arial"/>
                <w:color w:val="7030A0"/>
                <w:sz w:val="20"/>
              </w:rPr>
            </w:pPr>
            <w:r w:rsidRPr="00424274">
              <w:rPr>
                <w:rFonts w:ascii="Arial" w:hAnsi="Arial"/>
                <w:color w:val="7030A0"/>
                <w:sz w:val="20"/>
              </w:rPr>
              <w:t>166</w:t>
            </w:r>
          </w:p>
        </w:tc>
        <w:tc>
          <w:tcPr>
            <w:tcW w:w="992" w:type="dxa"/>
            <w:tcBorders>
              <w:top w:val="nil"/>
              <w:left w:val="nil"/>
              <w:bottom w:val="single" w:sz="8" w:space="0" w:color="auto"/>
              <w:right w:val="single" w:sz="8" w:space="0" w:color="auto"/>
            </w:tcBorders>
            <w:shd w:val="clear" w:color="auto" w:fill="auto"/>
            <w:noWrap/>
            <w:vAlign w:val="bottom"/>
            <w:hideMark/>
          </w:tcPr>
          <w:p w14:paraId="0BBA6CE8" w14:textId="77777777" w:rsidR="00D56A22" w:rsidRPr="00424274" w:rsidRDefault="00D56A22" w:rsidP="00D56A22">
            <w:pPr>
              <w:jc w:val="right"/>
              <w:rPr>
                <w:rFonts w:ascii="Arial" w:hAnsi="Arial"/>
                <w:color w:val="7030A0"/>
                <w:sz w:val="20"/>
              </w:rPr>
            </w:pPr>
            <w:r w:rsidRPr="00424274">
              <w:rPr>
                <w:rFonts w:ascii="Arial" w:hAnsi="Arial"/>
                <w:color w:val="7030A0"/>
                <w:sz w:val="20"/>
              </w:rPr>
              <w:t>65</w:t>
            </w:r>
          </w:p>
        </w:tc>
        <w:tc>
          <w:tcPr>
            <w:tcW w:w="992" w:type="dxa"/>
            <w:tcBorders>
              <w:top w:val="nil"/>
              <w:left w:val="nil"/>
              <w:bottom w:val="single" w:sz="8" w:space="0" w:color="auto"/>
              <w:right w:val="single" w:sz="8" w:space="0" w:color="auto"/>
            </w:tcBorders>
            <w:shd w:val="clear" w:color="auto" w:fill="auto"/>
            <w:noWrap/>
            <w:vAlign w:val="bottom"/>
            <w:hideMark/>
          </w:tcPr>
          <w:p w14:paraId="09F0B81B" w14:textId="77777777" w:rsidR="00D56A22" w:rsidRPr="00424274" w:rsidRDefault="00D56A22" w:rsidP="00D56A22">
            <w:pPr>
              <w:jc w:val="right"/>
              <w:rPr>
                <w:rFonts w:ascii="Arial" w:hAnsi="Arial"/>
                <w:color w:val="7030A0"/>
                <w:sz w:val="20"/>
              </w:rPr>
            </w:pPr>
            <w:r w:rsidRPr="00424274">
              <w:rPr>
                <w:rFonts w:ascii="Arial" w:hAnsi="Arial"/>
                <w:color w:val="7030A0"/>
                <w:sz w:val="20"/>
              </w:rPr>
              <w:t>36</w:t>
            </w:r>
          </w:p>
        </w:tc>
        <w:tc>
          <w:tcPr>
            <w:tcW w:w="992" w:type="dxa"/>
            <w:tcBorders>
              <w:top w:val="nil"/>
              <w:left w:val="nil"/>
              <w:bottom w:val="single" w:sz="8" w:space="0" w:color="auto"/>
              <w:right w:val="single" w:sz="8" w:space="0" w:color="auto"/>
            </w:tcBorders>
            <w:shd w:val="clear" w:color="auto" w:fill="auto"/>
            <w:noWrap/>
            <w:vAlign w:val="bottom"/>
            <w:hideMark/>
          </w:tcPr>
          <w:p w14:paraId="72D3A3A5" w14:textId="77777777" w:rsidR="00D56A22" w:rsidRPr="00424274" w:rsidRDefault="00D56A22" w:rsidP="00D56A22">
            <w:pPr>
              <w:jc w:val="right"/>
              <w:rPr>
                <w:rFonts w:ascii="Arial" w:hAnsi="Arial"/>
                <w:color w:val="7030A0"/>
                <w:sz w:val="20"/>
              </w:rPr>
            </w:pPr>
            <w:r w:rsidRPr="00424274">
              <w:rPr>
                <w:rFonts w:ascii="Arial" w:hAnsi="Arial"/>
                <w:color w:val="7030A0"/>
                <w:sz w:val="20"/>
              </w:rPr>
              <w:t>5</w:t>
            </w:r>
          </w:p>
        </w:tc>
      </w:tr>
      <w:tr w:rsidR="00D56A22" w:rsidRPr="00424274" w14:paraId="4B185E48" w14:textId="77777777" w:rsidTr="00472BE5">
        <w:trPr>
          <w:trHeight w:val="270"/>
        </w:trPr>
        <w:tc>
          <w:tcPr>
            <w:tcW w:w="3686" w:type="dxa"/>
            <w:tcBorders>
              <w:top w:val="nil"/>
              <w:left w:val="single" w:sz="8" w:space="0" w:color="auto"/>
              <w:bottom w:val="single" w:sz="8" w:space="0" w:color="auto"/>
              <w:right w:val="single" w:sz="8" w:space="0" w:color="auto"/>
            </w:tcBorders>
            <w:shd w:val="clear" w:color="000000" w:fill="99FF33"/>
            <w:noWrap/>
            <w:vAlign w:val="center"/>
            <w:hideMark/>
          </w:tcPr>
          <w:p w14:paraId="14807A3A" w14:textId="77777777" w:rsidR="00D56A22" w:rsidRPr="00424274" w:rsidRDefault="00D56A22" w:rsidP="00D56A22">
            <w:pPr>
              <w:widowControl/>
              <w:jc w:val="left"/>
              <w:rPr>
                <w:rFonts w:ascii="Arial" w:hAnsi="Arial"/>
                <w:sz w:val="18"/>
                <w:szCs w:val="18"/>
                <w:lang w:eastAsia="sl-SI"/>
              </w:rPr>
            </w:pPr>
            <w:r w:rsidRPr="00424274">
              <w:rPr>
                <w:rFonts w:ascii="Arial" w:hAnsi="Arial"/>
                <w:sz w:val="18"/>
                <w:szCs w:val="18"/>
                <w:lang w:eastAsia="sl-SI"/>
              </w:rPr>
              <w:t>Tožilstvo: Odložen pregon</w:t>
            </w:r>
          </w:p>
        </w:tc>
        <w:tc>
          <w:tcPr>
            <w:tcW w:w="992" w:type="dxa"/>
            <w:tcBorders>
              <w:top w:val="nil"/>
              <w:left w:val="nil"/>
              <w:bottom w:val="single" w:sz="8" w:space="0" w:color="auto"/>
              <w:right w:val="single" w:sz="8" w:space="0" w:color="auto"/>
            </w:tcBorders>
            <w:shd w:val="clear" w:color="auto" w:fill="auto"/>
            <w:noWrap/>
            <w:vAlign w:val="bottom"/>
            <w:hideMark/>
          </w:tcPr>
          <w:p w14:paraId="1FDDC95B" w14:textId="77777777" w:rsidR="00D56A22" w:rsidRPr="00424274" w:rsidRDefault="00D56A22" w:rsidP="00D56A22">
            <w:pPr>
              <w:jc w:val="right"/>
              <w:rPr>
                <w:rFonts w:ascii="Arial" w:hAnsi="Arial"/>
                <w:sz w:val="20"/>
              </w:rPr>
            </w:pPr>
            <w:r w:rsidRPr="00424274">
              <w:rPr>
                <w:rFonts w:ascii="Arial" w:hAnsi="Arial"/>
                <w:color w:val="000000"/>
                <w:sz w:val="20"/>
              </w:rPr>
              <w:t>1</w:t>
            </w:r>
          </w:p>
        </w:tc>
        <w:tc>
          <w:tcPr>
            <w:tcW w:w="919" w:type="dxa"/>
            <w:tcBorders>
              <w:top w:val="nil"/>
              <w:left w:val="nil"/>
              <w:bottom w:val="single" w:sz="8" w:space="0" w:color="auto"/>
              <w:right w:val="single" w:sz="8" w:space="0" w:color="auto"/>
            </w:tcBorders>
            <w:shd w:val="clear" w:color="auto" w:fill="auto"/>
            <w:noWrap/>
            <w:vAlign w:val="bottom"/>
            <w:hideMark/>
          </w:tcPr>
          <w:p w14:paraId="1A826A13" w14:textId="77777777" w:rsidR="00D56A22" w:rsidRPr="00424274" w:rsidRDefault="00D56A22" w:rsidP="00D56A22">
            <w:pPr>
              <w:ind w:firstLineChars="100" w:firstLine="200"/>
              <w:jc w:val="right"/>
              <w:rPr>
                <w:rFonts w:ascii="Arial" w:hAnsi="Arial"/>
                <w:sz w:val="20"/>
              </w:rPr>
            </w:pPr>
            <w:r w:rsidRPr="00424274">
              <w:rPr>
                <w:rFonts w:ascii="Arial" w:hAnsi="Arial"/>
                <w:color w:val="000000"/>
                <w:sz w:val="20"/>
              </w:rPr>
              <w:t>1</w:t>
            </w:r>
          </w:p>
        </w:tc>
        <w:tc>
          <w:tcPr>
            <w:tcW w:w="992" w:type="dxa"/>
            <w:tcBorders>
              <w:top w:val="nil"/>
              <w:left w:val="nil"/>
              <w:bottom w:val="single" w:sz="8" w:space="0" w:color="auto"/>
              <w:right w:val="single" w:sz="8" w:space="0" w:color="auto"/>
            </w:tcBorders>
            <w:shd w:val="clear" w:color="auto" w:fill="auto"/>
            <w:noWrap/>
            <w:vAlign w:val="bottom"/>
            <w:hideMark/>
          </w:tcPr>
          <w:p w14:paraId="182C0F5B" w14:textId="77777777" w:rsidR="00D56A22" w:rsidRPr="00424274" w:rsidRDefault="00D56A22" w:rsidP="00D56A22">
            <w:pPr>
              <w:ind w:firstLineChars="100" w:firstLine="200"/>
              <w:jc w:val="right"/>
              <w:rPr>
                <w:rFonts w:ascii="Arial" w:hAnsi="Arial"/>
                <w:sz w:val="20"/>
              </w:rPr>
            </w:pPr>
          </w:p>
        </w:tc>
        <w:tc>
          <w:tcPr>
            <w:tcW w:w="992" w:type="dxa"/>
            <w:tcBorders>
              <w:top w:val="nil"/>
              <w:left w:val="nil"/>
              <w:bottom w:val="single" w:sz="8" w:space="0" w:color="auto"/>
              <w:right w:val="single" w:sz="8" w:space="0" w:color="auto"/>
            </w:tcBorders>
            <w:shd w:val="clear" w:color="auto" w:fill="auto"/>
            <w:noWrap/>
            <w:vAlign w:val="bottom"/>
            <w:hideMark/>
          </w:tcPr>
          <w:p w14:paraId="6D55CF3A" w14:textId="77777777" w:rsidR="00D56A22" w:rsidRPr="00424274" w:rsidRDefault="00D56A22" w:rsidP="00D56A22">
            <w:pPr>
              <w:ind w:firstLineChars="100" w:firstLine="200"/>
              <w:jc w:val="right"/>
              <w:rPr>
                <w:rFonts w:ascii="Arial" w:hAnsi="Arial"/>
                <w:sz w:val="20"/>
              </w:rPr>
            </w:pPr>
          </w:p>
        </w:tc>
        <w:tc>
          <w:tcPr>
            <w:tcW w:w="992" w:type="dxa"/>
            <w:tcBorders>
              <w:top w:val="nil"/>
              <w:left w:val="nil"/>
              <w:bottom w:val="single" w:sz="8" w:space="0" w:color="auto"/>
              <w:right w:val="single" w:sz="8" w:space="0" w:color="auto"/>
            </w:tcBorders>
            <w:shd w:val="clear" w:color="auto" w:fill="auto"/>
            <w:noWrap/>
            <w:vAlign w:val="bottom"/>
            <w:hideMark/>
          </w:tcPr>
          <w:p w14:paraId="0FFBD49E" w14:textId="77777777" w:rsidR="00D56A22" w:rsidRPr="00424274" w:rsidRDefault="00D56A22" w:rsidP="00D56A22">
            <w:pPr>
              <w:ind w:firstLineChars="100" w:firstLine="200"/>
              <w:jc w:val="right"/>
              <w:rPr>
                <w:rFonts w:ascii="Arial" w:hAnsi="Arial"/>
                <w:sz w:val="20"/>
              </w:rPr>
            </w:pPr>
          </w:p>
        </w:tc>
      </w:tr>
      <w:tr w:rsidR="00D56A22" w:rsidRPr="00424274" w14:paraId="7E136E9D" w14:textId="77777777" w:rsidTr="00472BE5">
        <w:trPr>
          <w:trHeight w:val="270"/>
        </w:trPr>
        <w:tc>
          <w:tcPr>
            <w:tcW w:w="3686" w:type="dxa"/>
            <w:tcBorders>
              <w:top w:val="nil"/>
              <w:left w:val="single" w:sz="8" w:space="0" w:color="auto"/>
              <w:bottom w:val="single" w:sz="8" w:space="0" w:color="auto"/>
              <w:right w:val="single" w:sz="8" w:space="0" w:color="auto"/>
            </w:tcBorders>
            <w:shd w:val="clear" w:color="000000" w:fill="99FF33"/>
            <w:noWrap/>
            <w:vAlign w:val="center"/>
            <w:hideMark/>
          </w:tcPr>
          <w:p w14:paraId="00E5C26F" w14:textId="77777777" w:rsidR="00D56A22" w:rsidRPr="00424274" w:rsidRDefault="00D56A22" w:rsidP="00D56A22">
            <w:pPr>
              <w:widowControl/>
              <w:jc w:val="left"/>
              <w:rPr>
                <w:rFonts w:ascii="Arial" w:hAnsi="Arial"/>
                <w:sz w:val="18"/>
                <w:szCs w:val="18"/>
                <w:lang w:eastAsia="sl-SI"/>
              </w:rPr>
            </w:pPr>
            <w:r w:rsidRPr="00424274">
              <w:rPr>
                <w:rFonts w:ascii="Arial" w:hAnsi="Arial"/>
                <w:sz w:val="18"/>
                <w:szCs w:val="18"/>
                <w:lang w:eastAsia="sl-SI"/>
              </w:rPr>
              <w:t>Tožilstvo: Zahteva za preiskavo</w:t>
            </w:r>
          </w:p>
        </w:tc>
        <w:tc>
          <w:tcPr>
            <w:tcW w:w="992" w:type="dxa"/>
            <w:tcBorders>
              <w:top w:val="nil"/>
              <w:left w:val="nil"/>
              <w:bottom w:val="single" w:sz="8" w:space="0" w:color="auto"/>
              <w:right w:val="single" w:sz="8" w:space="0" w:color="auto"/>
            </w:tcBorders>
            <w:shd w:val="clear" w:color="auto" w:fill="auto"/>
            <w:noWrap/>
            <w:vAlign w:val="bottom"/>
            <w:hideMark/>
          </w:tcPr>
          <w:p w14:paraId="0960BA60" w14:textId="77777777" w:rsidR="00D56A22" w:rsidRPr="00424274" w:rsidRDefault="00D56A22" w:rsidP="00D56A22">
            <w:pPr>
              <w:jc w:val="right"/>
              <w:rPr>
                <w:rFonts w:ascii="Arial" w:hAnsi="Arial"/>
                <w:sz w:val="20"/>
              </w:rPr>
            </w:pPr>
            <w:r w:rsidRPr="00424274">
              <w:rPr>
                <w:rFonts w:ascii="Arial" w:hAnsi="Arial"/>
                <w:color w:val="000000"/>
                <w:sz w:val="20"/>
              </w:rPr>
              <w:t>45</w:t>
            </w:r>
          </w:p>
        </w:tc>
        <w:tc>
          <w:tcPr>
            <w:tcW w:w="919" w:type="dxa"/>
            <w:tcBorders>
              <w:top w:val="nil"/>
              <w:left w:val="nil"/>
              <w:bottom w:val="single" w:sz="8" w:space="0" w:color="auto"/>
              <w:right w:val="single" w:sz="8" w:space="0" w:color="auto"/>
            </w:tcBorders>
            <w:shd w:val="clear" w:color="auto" w:fill="auto"/>
            <w:noWrap/>
            <w:vAlign w:val="bottom"/>
            <w:hideMark/>
          </w:tcPr>
          <w:p w14:paraId="5EDAA222" w14:textId="77777777" w:rsidR="00D56A22" w:rsidRPr="00424274" w:rsidRDefault="00D56A22" w:rsidP="00D56A22">
            <w:pPr>
              <w:jc w:val="right"/>
              <w:rPr>
                <w:rFonts w:ascii="Arial" w:hAnsi="Arial"/>
                <w:sz w:val="20"/>
              </w:rPr>
            </w:pPr>
            <w:r w:rsidRPr="00424274">
              <w:rPr>
                <w:rFonts w:ascii="Arial" w:hAnsi="Arial"/>
                <w:color w:val="000000"/>
                <w:sz w:val="20"/>
              </w:rPr>
              <w:t>99</w:t>
            </w:r>
          </w:p>
        </w:tc>
        <w:tc>
          <w:tcPr>
            <w:tcW w:w="992" w:type="dxa"/>
            <w:tcBorders>
              <w:top w:val="nil"/>
              <w:left w:val="nil"/>
              <w:bottom w:val="single" w:sz="8" w:space="0" w:color="auto"/>
              <w:right w:val="single" w:sz="8" w:space="0" w:color="auto"/>
            </w:tcBorders>
            <w:shd w:val="clear" w:color="auto" w:fill="auto"/>
            <w:noWrap/>
            <w:vAlign w:val="bottom"/>
            <w:hideMark/>
          </w:tcPr>
          <w:p w14:paraId="048ACC9B" w14:textId="77777777" w:rsidR="00D56A22" w:rsidRPr="00424274" w:rsidRDefault="00D56A22" w:rsidP="00D56A22">
            <w:pPr>
              <w:jc w:val="right"/>
              <w:rPr>
                <w:rFonts w:ascii="Arial" w:hAnsi="Arial"/>
                <w:sz w:val="20"/>
              </w:rPr>
            </w:pPr>
            <w:r w:rsidRPr="00424274">
              <w:rPr>
                <w:rFonts w:ascii="Arial" w:hAnsi="Arial"/>
                <w:color w:val="000000"/>
                <w:sz w:val="20"/>
              </w:rPr>
              <w:t>19</w:t>
            </w:r>
          </w:p>
        </w:tc>
        <w:tc>
          <w:tcPr>
            <w:tcW w:w="992" w:type="dxa"/>
            <w:tcBorders>
              <w:top w:val="nil"/>
              <w:left w:val="nil"/>
              <w:bottom w:val="single" w:sz="8" w:space="0" w:color="auto"/>
              <w:right w:val="single" w:sz="8" w:space="0" w:color="auto"/>
            </w:tcBorders>
            <w:shd w:val="clear" w:color="auto" w:fill="auto"/>
            <w:noWrap/>
            <w:vAlign w:val="bottom"/>
            <w:hideMark/>
          </w:tcPr>
          <w:p w14:paraId="5BD814CC" w14:textId="77777777" w:rsidR="00D56A22" w:rsidRPr="00424274" w:rsidRDefault="00D56A22" w:rsidP="00D56A22">
            <w:pPr>
              <w:jc w:val="right"/>
              <w:rPr>
                <w:rFonts w:ascii="Arial" w:hAnsi="Arial"/>
                <w:sz w:val="20"/>
              </w:rPr>
            </w:pPr>
            <w:r w:rsidRPr="00424274">
              <w:rPr>
                <w:rFonts w:ascii="Arial" w:hAnsi="Arial"/>
                <w:color w:val="000000"/>
                <w:sz w:val="20"/>
              </w:rPr>
              <w:t>2</w:t>
            </w:r>
          </w:p>
        </w:tc>
        <w:tc>
          <w:tcPr>
            <w:tcW w:w="992" w:type="dxa"/>
            <w:tcBorders>
              <w:top w:val="nil"/>
              <w:left w:val="nil"/>
              <w:bottom w:val="single" w:sz="8" w:space="0" w:color="auto"/>
              <w:right w:val="single" w:sz="8" w:space="0" w:color="auto"/>
            </w:tcBorders>
            <w:shd w:val="clear" w:color="auto" w:fill="auto"/>
            <w:noWrap/>
            <w:vAlign w:val="bottom"/>
            <w:hideMark/>
          </w:tcPr>
          <w:p w14:paraId="0BA2C2AF" w14:textId="77777777" w:rsidR="00D56A22" w:rsidRPr="00424274" w:rsidRDefault="00D56A22" w:rsidP="00D56A22">
            <w:pPr>
              <w:jc w:val="right"/>
              <w:rPr>
                <w:rFonts w:ascii="Arial" w:hAnsi="Arial"/>
                <w:sz w:val="20"/>
              </w:rPr>
            </w:pPr>
            <w:r w:rsidRPr="00424274">
              <w:rPr>
                <w:rFonts w:ascii="Arial" w:hAnsi="Arial"/>
                <w:color w:val="000000"/>
                <w:sz w:val="20"/>
              </w:rPr>
              <w:t>1</w:t>
            </w:r>
          </w:p>
        </w:tc>
      </w:tr>
      <w:tr w:rsidR="00D56A22" w:rsidRPr="00424274" w14:paraId="2F6A209D" w14:textId="77777777" w:rsidTr="00472BE5">
        <w:trPr>
          <w:trHeight w:val="270"/>
        </w:trPr>
        <w:tc>
          <w:tcPr>
            <w:tcW w:w="3686" w:type="dxa"/>
            <w:tcBorders>
              <w:top w:val="nil"/>
              <w:left w:val="single" w:sz="8" w:space="0" w:color="auto"/>
              <w:bottom w:val="single" w:sz="8" w:space="0" w:color="auto"/>
              <w:right w:val="single" w:sz="8" w:space="0" w:color="auto"/>
            </w:tcBorders>
            <w:shd w:val="clear" w:color="000000" w:fill="99FF33"/>
            <w:noWrap/>
            <w:vAlign w:val="center"/>
            <w:hideMark/>
          </w:tcPr>
          <w:p w14:paraId="4A878255" w14:textId="77777777" w:rsidR="00D56A22" w:rsidRPr="00424274" w:rsidRDefault="00D56A22" w:rsidP="00D56A22">
            <w:pPr>
              <w:widowControl/>
              <w:jc w:val="left"/>
              <w:rPr>
                <w:rFonts w:ascii="Arial" w:hAnsi="Arial"/>
                <w:sz w:val="18"/>
                <w:szCs w:val="18"/>
                <w:lang w:eastAsia="sl-SI"/>
              </w:rPr>
            </w:pPr>
            <w:r w:rsidRPr="00424274">
              <w:rPr>
                <w:rFonts w:ascii="Arial" w:hAnsi="Arial"/>
                <w:sz w:val="18"/>
                <w:szCs w:val="18"/>
                <w:lang w:eastAsia="sl-SI"/>
              </w:rPr>
              <w:t>Preiskovalni sodnik: Preiskava uvedena</w:t>
            </w:r>
          </w:p>
        </w:tc>
        <w:tc>
          <w:tcPr>
            <w:tcW w:w="992" w:type="dxa"/>
            <w:tcBorders>
              <w:top w:val="nil"/>
              <w:left w:val="nil"/>
              <w:bottom w:val="single" w:sz="8" w:space="0" w:color="auto"/>
              <w:right w:val="single" w:sz="8" w:space="0" w:color="auto"/>
            </w:tcBorders>
            <w:shd w:val="clear" w:color="auto" w:fill="auto"/>
            <w:noWrap/>
            <w:vAlign w:val="bottom"/>
            <w:hideMark/>
          </w:tcPr>
          <w:p w14:paraId="4B9FD61D" w14:textId="77777777" w:rsidR="00D56A22" w:rsidRPr="00424274" w:rsidRDefault="00D56A22" w:rsidP="00D56A22">
            <w:pPr>
              <w:jc w:val="right"/>
              <w:rPr>
                <w:rFonts w:ascii="Arial" w:hAnsi="Arial"/>
                <w:sz w:val="20"/>
              </w:rPr>
            </w:pPr>
            <w:r w:rsidRPr="00424274">
              <w:rPr>
                <w:rFonts w:ascii="Arial" w:hAnsi="Arial"/>
                <w:color w:val="000000"/>
                <w:sz w:val="20"/>
              </w:rPr>
              <w:t>28</w:t>
            </w:r>
          </w:p>
        </w:tc>
        <w:tc>
          <w:tcPr>
            <w:tcW w:w="919" w:type="dxa"/>
            <w:tcBorders>
              <w:top w:val="nil"/>
              <w:left w:val="nil"/>
              <w:bottom w:val="single" w:sz="8" w:space="0" w:color="auto"/>
              <w:right w:val="single" w:sz="8" w:space="0" w:color="auto"/>
            </w:tcBorders>
            <w:shd w:val="clear" w:color="auto" w:fill="auto"/>
            <w:noWrap/>
            <w:vAlign w:val="bottom"/>
            <w:hideMark/>
          </w:tcPr>
          <w:p w14:paraId="4DE5EB34" w14:textId="77777777" w:rsidR="00D56A22" w:rsidRPr="00424274" w:rsidRDefault="00D56A22" w:rsidP="00D56A22">
            <w:pPr>
              <w:jc w:val="right"/>
              <w:rPr>
                <w:rFonts w:ascii="Arial" w:hAnsi="Arial"/>
                <w:sz w:val="20"/>
              </w:rPr>
            </w:pPr>
            <w:r w:rsidRPr="00424274">
              <w:rPr>
                <w:rFonts w:ascii="Arial" w:hAnsi="Arial"/>
                <w:color w:val="000000"/>
                <w:sz w:val="20"/>
              </w:rPr>
              <w:t>59</w:t>
            </w:r>
          </w:p>
        </w:tc>
        <w:tc>
          <w:tcPr>
            <w:tcW w:w="992" w:type="dxa"/>
            <w:tcBorders>
              <w:top w:val="nil"/>
              <w:left w:val="nil"/>
              <w:bottom w:val="single" w:sz="8" w:space="0" w:color="auto"/>
              <w:right w:val="single" w:sz="8" w:space="0" w:color="auto"/>
            </w:tcBorders>
            <w:shd w:val="clear" w:color="auto" w:fill="auto"/>
            <w:noWrap/>
            <w:vAlign w:val="bottom"/>
            <w:hideMark/>
          </w:tcPr>
          <w:p w14:paraId="087D0D79" w14:textId="77777777" w:rsidR="00D56A22" w:rsidRPr="00424274" w:rsidRDefault="00D56A22" w:rsidP="00D56A22">
            <w:pPr>
              <w:jc w:val="right"/>
              <w:rPr>
                <w:rFonts w:ascii="Arial" w:hAnsi="Arial"/>
                <w:sz w:val="20"/>
              </w:rPr>
            </w:pPr>
            <w:r w:rsidRPr="00424274">
              <w:rPr>
                <w:rFonts w:ascii="Arial" w:hAnsi="Arial"/>
                <w:color w:val="000000"/>
                <w:sz w:val="20"/>
              </w:rPr>
              <w:t>4</w:t>
            </w:r>
          </w:p>
        </w:tc>
        <w:tc>
          <w:tcPr>
            <w:tcW w:w="992" w:type="dxa"/>
            <w:tcBorders>
              <w:top w:val="nil"/>
              <w:left w:val="nil"/>
              <w:bottom w:val="single" w:sz="8" w:space="0" w:color="auto"/>
              <w:right w:val="single" w:sz="8" w:space="0" w:color="auto"/>
            </w:tcBorders>
            <w:shd w:val="clear" w:color="auto" w:fill="auto"/>
            <w:noWrap/>
            <w:vAlign w:val="bottom"/>
            <w:hideMark/>
          </w:tcPr>
          <w:p w14:paraId="407A9DCB" w14:textId="77777777" w:rsidR="00D56A22" w:rsidRPr="00424274" w:rsidRDefault="00D56A22" w:rsidP="00D56A22">
            <w:pPr>
              <w:jc w:val="right"/>
              <w:rPr>
                <w:rFonts w:ascii="Arial" w:hAnsi="Arial"/>
                <w:sz w:val="20"/>
              </w:rPr>
            </w:pPr>
            <w:r w:rsidRPr="00424274">
              <w:rPr>
                <w:rFonts w:ascii="Arial" w:hAnsi="Arial"/>
                <w:color w:val="000000"/>
                <w:sz w:val="20"/>
              </w:rPr>
              <w:t>11</w:t>
            </w:r>
          </w:p>
        </w:tc>
        <w:tc>
          <w:tcPr>
            <w:tcW w:w="992" w:type="dxa"/>
            <w:tcBorders>
              <w:top w:val="nil"/>
              <w:left w:val="nil"/>
              <w:bottom w:val="single" w:sz="8" w:space="0" w:color="auto"/>
              <w:right w:val="single" w:sz="8" w:space="0" w:color="auto"/>
            </w:tcBorders>
            <w:shd w:val="clear" w:color="auto" w:fill="auto"/>
            <w:noWrap/>
            <w:vAlign w:val="bottom"/>
            <w:hideMark/>
          </w:tcPr>
          <w:p w14:paraId="3B044F7C" w14:textId="77777777" w:rsidR="00D56A22" w:rsidRPr="00424274" w:rsidRDefault="00D56A22" w:rsidP="00D56A22">
            <w:pPr>
              <w:jc w:val="right"/>
              <w:rPr>
                <w:rFonts w:ascii="Arial" w:hAnsi="Arial"/>
                <w:sz w:val="20"/>
              </w:rPr>
            </w:pPr>
            <w:r w:rsidRPr="00424274">
              <w:rPr>
                <w:rFonts w:ascii="Arial" w:hAnsi="Arial"/>
                <w:color w:val="000000"/>
                <w:sz w:val="20"/>
              </w:rPr>
              <w:t>1</w:t>
            </w:r>
          </w:p>
        </w:tc>
      </w:tr>
      <w:tr w:rsidR="00D56A22" w:rsidRPr="00424274" w14:paraId="4E8F8655" w14:textId="77777777" w:rsidTr="00472BE5">
        <w:trPr>
          <w:trHeight w:val="270"/>
        </w:trPr>
        <w:tc>
          <w:tcPr>
            <w:tcW w:w="3686" w:type="dxa"/>
            <w:tcBorders>
              <w:top w:val="nil"/>
              <w:left w:val="single" w:sz="8" w:space="0" w:color="auto"/>
              <w:bottom w:val="single" w:sz="8" w:space="0" w:color="auto"/>
              <w:right w:val="single" w:sz="8" w:space="0" w:color="auto"/>
            </w:tcBorders>
            <w:shd w:val="clear" w:color="000000" w:fill="99FF33"/>
            <w:noWrap/>
            <w:vAlign w:val="center"/>
            <w:hideMark/>
          </w:tcPr>
          <w:p w14:paraId="1571F557" w14:textId="77777777" w:rsidR="00D56A22" w:rsidRPr="00424274" w:rsidRDefault="00D56A22" w:rsidP="00D56A22">
            <w:pPr>
              <w:widowControl/>
              <w:jc w:val="left"/>
              <w:rPr>
                <w:rFonts w:ascii="Arial" w:hAnsi="Arial"/>
                <w:sz w:val="18"/>
                <w:szCs w:val="18"/>
                <w:lang w:eastAsia="sl-SI"/>
              </w:rPr>
            </w:pPr>
            <w:r w:rsidRPr="00424274">
              <w:rPr>
                <w:rFonts w:ascii="Arial" w:hAnsi="Arial"/>
                <w:sz w:val="18"/>
                <w:szCs w:val="18"/>
                <w:lang w:eastAsia="sl-SI"/>
              </w:rPr>
              <w:t>Sodišče: Obtožnica</w:t>
            </w:r>
          </w:p>
        </w:tc>
        <w:tc>
          <w:tcPr>
            <w:tcW w:w="992" w:type="dxa"/>
            <w:tcBorders>
              <w:top w:val="nil"/>
              <w:left w:val="nil"/>
              <w:bottom w:val="single" w:sz="8" w:space="0" w:color="auto"/>
              <w:right w:val="single" w:sz="8" w:space="0" w:color="auto"/>
            </w:tcBorders>
            <w:shd w:val="clear" w:color="auto" w:fill="auto"/>
            <w:noWrap/>
            <w:vAlign w:val="bottom"/>
            <w:hideMark/>
          </w:tcPr>
          <w:p w14:paraId="4FDDB6F6" w14:textId="77777777" w:rsidR="00D56A22" w:rsidRPr="00424274" w:rsidRDefault="00D56A22" w:rsidP="00D56A22">
            <w:pPr>
              <w:jc w:val="right"/>
              <w:rPr>
                <w:rFonts w:ascii="Arial" w:hAnsi="Arial"/>
                <w:sz w:val="20"/>
              </w:rPr>
            </w:pPr>
            <w:r w:rsidRPr="00424274">
              <w:rPr>
                <w:rFonts w:ascii="Arial" w:hAnsi="Arial"/>
                <w:color w:val="000000"/>
                <w:sz w:val="20"/>
              </w:rPr>
              <w:t>110</w:t>
            </w:r>
          </w:p>
        </w:tc>
        <w:tc>
          <w:tcPr>
            <w:tcW w:w="919" w:type="dxa"/>
            <w:tcBorders>
              <w:top w:val="nil"/>
              <w:left w:val="nil"/>
              <w:bottom w:val="single" w:sz="8" w:space="0" w:color="auto"/>
              <w:right w:val="single" w:sz="8" w:space="0" w:color="auto"/>
            </w:tcBorders>
            <w:shd w:val="clear" w:color="auto" w:fill="auto"/>
            <w:noWrap/>
            <w:vAlign w:val="bottom"/>
            <w:hideMark/>
          </w:tcPr>
          <w:p w14:paraId="07C0E997" w14:textId="77777777" w:rsidR="00D56A22" w:rsidRPr="00424274" w:rsidRDefault="00D56A22" w:rsidP="00D56A22">
            <w:pPr>
              <w:jc w:val="right"/>
              <w:rPr>
                <w:rFonts w:ascii="Arial" w:hAnsi="Arial"/>
                <w:sz w:val="20"/>
              </w:rPr>
            </w:pPr>
            <w:r w:rsidRPr="00424274">
              <w:rPr>
                <w:rFonts w:ascii="Arial" w:hAnsi="Arial"/>
                <w:color w:val="000000"/>
                <w:sz w:val="20"/>
              </w:rPr>
              <w:t>183</w:t>
            </w:r>
          </w:p>
        </w:tc>
        <w:tc>
          <w:tcPr>
            <w:tcW w:w="992" w:type="dxa"/>
            <w:tcBorders>
              <w:top w:val="nil"/>
              <w:left w:val="nil"/>
              <w:bottom w:val="single" w:sz="8" w:space="0" w:color="auto"/>
              <w:right w:val="single" w:sz="8" w:space="0" w:color="auto"/>
            </w:tcBorders>
            <w:shd w:val="clear" w:color="auto" w:fill="auto"/>
            <w:noWrap/>
            <w:vAlign w:val="bottom"/>
            <w:hideMark/>
          </w:tcPr>
          <w:p w14:paraId="0ECE00C1" w14:textId="77777777" w:rsidR="00D56A22" w:rsidRPr="00424274" w:rsidRDefault="00D56A22" w:rsidP="00D56A22">
            <w:pPr>
              <w:jc w:val="right"/>
              <w:rPr>
                <w:rFonts w:ascii="Arial" w:hAnsi="Arial"/>
                <w:sz w:val="20"/>
              </w:rPr>
            </w:pPr>
            <w:r w:rsidRPr="00424274">
              <w:rPr>
                <w:rFonts w:ascii="Arial" w:hAnsi="Arial"/>
                <w:color w:val="000000"/>
                <w:sz w:val="20"/>
              </w:rPr>
              <w:t>25</w:t>
            </w:r>
          </w:p>
        </w:tc>
        <w:tc>
          <w:tcPr>
            <w:tcW w:w="992" w:type="dxa"/>
            <w:tcBorders>
              <w:top w:val="nil"/>
              <w:left w:val="nil"/>
              <w:bottom w:val="single" w:sz="8" w:space="0" w:color="auto"/>
              <w:right w:val="single" w:sz="8" w:space="0" w:color="auto"/>
            </w:tcBorders>
            <w:shd w:val="clear" w:color="auto" w:fill="auto"/>
            <w:noWrap/>
            <w:vAlign w:val="bottom"/>
            <w:hideMark/>
          </w:tcPr>
          <w:p w14:paraId="0FFF96C0" w14:textId="77777777" w:rsidR="00D56A22" w:rsidRPr="00424274" w:rsidRDefault="00D56A22" w:rsidP="00D56A22">
            <w:pPr>
              <w:jc w:val="right"/>
              <w:rPr>
                <w:rFonts w:ascii="Arial" w:hAnsi="Arial"/>
                <w:sz w:val="20"/>
              </w:rPr>
            </w:pPr>
            <w:r w:rsidRPr="00424274">
              <w:rPr>
                <w:rFonts w:ascii="Arial" w:hAnsi="Arial"/>
                <w:color w:val="000000"/>
                <w:sz w:val="20"/>
              </w:rPr>
              <w:t>15</w:t>
            </w:r>
          </w:p>
        </w:tc>
        <w:tc>
          <w:tcPr>
            <w:tcW w:w="992" w:type="dxa"/>
            <w:tcBorders>
              <w:top w:val="nil"/>
              <w:left w:val="nil"/>
              <w:bottom w:val="single" w:sz="8" w:space="0" w:color="auto"/>
              <w:right w:val="single" w:sz="8" w:space="0" w:color="auto"/>
            </w:tcBorders>
            <w:shd w:val="clear" w:color="auto" w:fill="auto"/>
            <w:noWrap/>
            <w:vAlign w:val="bottom"/>
            <w:hideMark/>
          </w:tcPr>
          <w:p w14:paraId="5B4704C9" w14:textId="77777777" w:rsidR="00D56A22" w:rsidRPr="00424274" w:rsidRDefault="00D56A22" w:rsidP="00D56A22">
            <w:pPr>
              <w:jc w:val="right"/>
              <w:rPr>
                <w:rFonts w:ascii="Arial" w:hAnsi="Arial"/>
                <w:sz w:val="20"/>
              </w:rPr>
            </w:pPr>
            <w:r w:rsidRPr="00424274">
              <w:rPr>
                <w:rFonts w:ascii="Arial" w:hAnsi="Arial"/>
                <w:color w:val="000000"/>
                <w:sz w:val="20"/>
              </w:rPr>
              <w:t>7</w:t>
            </w:r>
          </w:p>
        </w:tc>
      </w:tr>
      <w:tr w:rsidR="00D56A22" w:rsidRPr="00424274" w14:paraId="6FC1608B" w14:textId="77777777" w:rsidTr="00472BE5">
        <w:trPr>
          <w:trHeight w:val="270"/>
        </w:trPr>
        <w:tc>
          <w:tcPr>
            <w:tcW w:w="3686" w:type="dxa"/>
            <w:tcBorders>
              <w:top w:val="nil"/>
              <w:left w:val="single" w:sz="8" w:space="0" w:color="auto"/>
              <w:bottom w:val="single" w:sz="8" w:space="0" w:color="auto"/>
              <w:right w:val="single" w:sz="8" w:space="0" w:color="auto"/>
            </w:tcBorders>
            <w:shd w:val="clear" w:color="000000" w:fill="99FF33"/>
            <w:noWrap/>
            <w:vAlign w:val="center"/>
            <w:hideMark/>
          </w:tcPr>
          <w:p w14:paraId="7321599F" w14:textId="77777777" w:rsidR="00D56A22" w:rsidRPr="00424274" w:rsidRDefault="00D56A22" w:rsidP="00D56A22">
            <w:pPr>
              <w:widowControl/>
              <w:jc w:val="left"/>
              <w:rPr>
                <w:rFonts w:ascii="Arial" w:hAnsi="Arial"/>
                <w:color w:val="7030A0"/>
                <w:sz w:val="18"/>
                <w:szCs w:val="18"/>
                <w:lang w:eastAsia="sl-SI"/>
              </w:rPr>
            </w:pPr>
            <w:r w:rsidRPr="00424274">
              <w:rPr>
                <w:rFonts w:ascii="Arial" w:hAnsi="Arial"/>
                <w:color w:val="7030A0"/>
                <w:sz w:val="18"/>
                <w:szCs w:val="18"/>
                <w:lang w:eastAsia="sl-SI"/>
              </w:rPr>
              <w:t>Sodišče: Obsodilna sodba</w:t>
            </w:r>
          </w:p>
        </w:tc>
        <w:tc>
          <w:tcPr>
            <w:tcW w:w="992" w:type="dxa"/>
            <w:tcBorders>
              <w:top w:val="nil"/>
              <w:left w:val="nil"/>
              <w:bottom w:val="single" w:sz="8" w:space="0" w:color="auto"/>
              <w:right w:val="single" w:sz="8" w:space="0" w:color="auto"/>
            </w:tcBorders>
            <w:shd w:val="clear" w:color="auto" w:fill="auto"/>
            <w:noWrap/>
            <w:vAlign w:val="bottom"/>
            <w:hideMark/>
          </w:tcPr>
          <w:p w14:paraId="6178146F" w14:textId="77777777" w:rsidR="00D56A22" w:rsidRPr="00424274" w:rsidRDefault="00D56A22" w:rsidP="00D56A22">
            <w:pPr>
              <w:jc w:val="right"/>
              <w:rPr>
                <w:rFonts w:ascii="Arial" w:hAnsi="Arial"/>
                <w:color w:val="7030A0"/>
                <w:sz w:val="20"/>
              </w:rPr>
            </w:pPr>
            <w:r w:rsidRPr="00424274">
              <w:rPr>
                <w:rFonts w:ascii="Arial" w:hAnsi="Arial"/>
                <w:color w:val="7030A0"/>
                <w:sz w:val="20"/>
              </w:rPr>
              <w:t>101</w:t>
            </w:r>
          </w:p>
        </w:tc>
        <w:tc>
          <w:tcPr>
            <w:tcW w:w="919" w:type="dxa"/>
            <w:tcBorders>
              <w:top w:val="nil"/>
              <w:left w:val="nil"/>
              <w:bottom w:val="single" w:sz="8" w:space="0" w:color="auto"/>
              <w:right w:val="single" w:sz="8" w:space="0" w:color="auto"/>
            </w:tcBorders>
            <w:shd w:val="clear" w:color="auto" w:fill="auto"/>
            <w:noWrap/>
            <w:vAlign w:val="bottom"/>
            <w:hideMark/>
          </w:tcPr>
          <w:p w14:paraId="56B4C0E9" w14:textId="77777777" w:rsidR="00D56A22" w:rsidRPr="00424274" w:rsidRDefault="00D56A22" w:rsidP="00D56A22">
            <w:pPr>
              <w:jc w:val="right"/>
              <w:rPr>
                <w:rFonts w:ascii="Arial" w:hAnsi="Arial"/>
                <w:color w:val="7030A0"/>
                <w:sz w:val="20"/>
              </w:rPr>
            </w:pPr>
            <w:r w:rsidRPr="00424274">
              <w:rPr>
                <w:rFonts w:ascii="Arial" w:hAnsi="Arial"/>
                <w:color w:val="7030A0"/>
                <w:sz w:val="20"/>
              </w:rPr>
              <w:t>130</w:t>
            </w:r>
          </w:p>
        </w:tc>
        <w:tc>
          <w:tcPr>
            <w:tcW w:w="992" w:type="dxa"/>
            <w:tcBorders>
              <w:top w:val="nil"/>
              <w:left w:val="nil"/>
              <w:bottom w:val="single" w:sz="8" w:space="0" w:color="auto"/>
              <w:right w:val="single" w:sz="8" w:space="0" w:color="auto"/>
            </w:tcBorders>
            <w:shd w:val="clear" w:color="auto" w:fill="auto"/>
            <w:noWrap/>
            <w:vAlign w:val="bottom"/>
            <w:hideMark/>
          </w:tcPr>
          <w:p w14:paraId="6F599BA2" w14:textId="77777777" w:rsidR="00D56A22" w:rsidRPr="00424274" w:rsidRDefault="00D56A22" w:rsidP="00D56A22">
            <w:pPr>
              <w:jc w:val="right"/>
              <w:rPr>
                <w:rFonts w:ascii="Arial" w:hAnsi="Arial"/>
                <w:color w:val="7030A0"/>
                <w:sz w:val="20"/>
              </w:rPr>
            </w:pPr>
            <w:r w:rsidRPr="00424274">
              <w:rPr>
                <w:rFonts w:ascii="Arial" w:hAnsi="Arial"/>
                <w:color w:val="7030A0"/>
                <w:sz w:val="20"/>
              </w:rPr>
              <w:t>16</w:t>
            </w:r>
          </w:p>
        </w:tc>
        <w:tc>
          <w:tcPr>
            <w:tcW w:w="992" w:type="dxa"/>
            <w:tcBorders>
              <w:top w:val="nil"/>
              <w:left w:val="nil"/>
              <w:bottom w:val="single" w:sz="8" w:space="0" w:color="auto"/>
              <w:right w:val="single" w:sz="8" w:space="0" w:color="auto"/>
            </w:tcBorders>
            <w:shd w:val="clear" w:color="auto" w:fill="auto"/>
            <w:noWrap/>
            <w:vAlign w:val="bottom"/>
            <w:hideMark/>
          </w:tcPr>
          <w:p w14:paraId="5BB492C1" w14:textId="77777777" w:rsidR="00D56A22" w:rsidRPr="00424274" w:rsidRDefault="00D56A22" w:rsidP="00D56A22">
            <w:pPr>
              <w:jc w:val="right"/>
              <w:rPr>
                <w:rFonts w:ascii="Arial" w:hAnsi="Arial"/>
                <w:color w:val="7030A0"/>
                <w:sz w:val="20"/>
              </w:rPr>
            </w:pPr>
            <w:r w:rsidRPr="00424274">
              <w:rPr>
                <w:rFonts w:ascii="Arial" w:hAnsi="Arial"/>
                <w:color w:val="7030A0"/>
                <w:sz w:val="20"/>
              </w:rPr>
              <w:t>6</w:t>
            </w:r>
          </w:p>
        </w:tc>
        <w:tc>
          <w:tcPr>
            <w:tcW w:w="992" w:type="dxa"/>
            <w:tcBorders>
              <w:top w:val="nil"/>
              <w:left w:val="nil"/>
              <w:bottom w:val="single" w:sz="8" w:space="0" w:color="auto"/>
              <w:right w:val="single" w:sz="8" w:space="0" w:color="auto"/>
            </w:tcBorders>
            <w:shd w:val="clear" w:color="auto" w:fill="auto"/>
            <w:noWrap/>
            <w:vAlign w:val="bottom"/>
            <w:hideMark/>
          </w:tcPr>
          <w:p w14:paraId="396EEE86" w14:textId="77777777" w:rsidR="00D56A22" w:rsidRPr="00424274" w:rsidRDefault="00D56A22" w:rsidP="00D56A22">
            <w:pPr>
              <w:jc w:val="right"/>
              <w:rPr>
                <w:rFonts w:ascii="Arial" w:hAnsi="Arial"/>
                <w:color w:val="7030A0"/>
                <w:sz w:val="20"/>
              </w:rPr>
            </w:pPr>
          </w:p>
        </w:tc>
      </w:tr>
      <w:tr w:rsidR="00D56A22" w:rsidRPr="00424274" w14:paraId="03EC09BD" w14:textId="77777777" w:rsidTr="00472BE5">
        <w:trPr>
          <w:trHeight w:val="270"/>
        </w:trPr>
        <w:tc>
          <w:tcPr>
            <w:tcW w:w="3686" w:type="dxa"/>
            <w:tcBorders>
              <w:top w:val="nil"/>
              <w:left w:val="single" w:sz="8" w:space="0" w:color="auto"/>
              <w:bottom w:val="single" w:sz="8" w:space="0" w:color="auto"/>
              <w:right w:val="single" w:sz="8" w:space="0" w:color="auto"/>
            </w:tcBorders>
            <w:shd w:val="clear" w:color="000000" w:fill="99FF33"/>
            <w:noWrap/>
            <w:vAlign w:val="center"/>
            <w:hideMark/>
          </w:tcPr>
          <w:p w14:paraId="68A1BAD7" w14:textId="6E6DB98B" w:rsidR="00D56A22" w:rsidRPr="00424274" w:rsidRDefault="00D56A22" w:rsidP="00656FBD">
            <w:pPr>
              <w:widowControl/>
              <w:jc w:val="left"/>
              <w:rPr>
                <w:rFonts w:ascii="Arial" w:hAnsi="Arial"/>
                <w:color w:val="7030A0"/>
                <w:sz w:val="18"/>
                <w:szCs w:val="18"/>
                <w:lang w:eastAsia="sl-SI"/>
              </w:rPr>
            </w:pPr>
            <w:r w:rsidRPr="00424274">
              <w:rPr>
                <w:rFonts w:ascii="Arial" w:hAnsi="Arial"/>
                <w:color w:val="7030A0"/>
                <w:sz w:val="18"/>
                <w:szCs w:val="18"/>
                <w:lang w:eastAsia="sl-SI"/>
              </w:rPr>
              <w:t>Sodišče</w:t>
            </w:r>
            <w:r w:rsidR="00656FBD">
              <w:rPr>
                <w:rFonts w:ascii="Arial" w:hAnsi="Arial"/>
                <w:color w:val="7030A0"/>
                <w:sz w:val="18"/>
                <w:szCs w:val="18"/>
                <w:lang w:eastAsia="sl-SI"/>
              </w:rPr>
              <w:t>:</w:t>
            </w:r>
            <w:r w:rsidRPr="00424274">
              <w:rPr>
                <w:rFonts w:ascii="Arial" w:hAnsi="Arial"/>
                <w:color w:val="7030A0"/>
                <w:sz w:val="18"/>
                <w:szCs w:val="18"/>
                <w:lang w:eastAsia="sl-SI"/>
              </w:rPr>
              <w:t xml:space="preserve"> Pravnomočna oprostilna sodba</w:t>
            </w:r>
          </w:p>
        </w:tc>
        <w:tc>
          <w:tcPr>
            <w:tcW w:w="992" w:type="dxa"/>
            <w:tcBorders>
              <w:top w:val="nil"/>
              <w:left w:val="nil"/>
              <w:bottom w:val="single" w:sz="8" w:space="0" w:color="auto"/>
              <w:right w:val="single" w:sz="8" w:space="0" w:color="auto"/>
            </w:tcBorders>
            <w:shd w:val="clear" w:color="auto" w:fill="auto"/>
            <w:noWrap/>
            <w:vAlign w:val="bottom"/>
            <w:hideMark/>
          </w:tcPr>
          <w:p w14:paraId="1F89BE2C" w14:textId="77777777" w:rsidR="00D56A22" w:rsidRPr="00424274" w:rsidRDefault="00D56A22" w:rsidP="00D56A22">
            <w:pPr>
              <w:jc w:val="right"/>
              <w:rPr>
                <w:rFonts w:ascii="Arial" w:hAnsi="Arial"/>
                <w:color w:val="7030A0"/>
                <w:sz w:val="20"/>
              </w:rPr>
            </w:pPr>
            <w:r w:rsidRPr="00424274">
              <w:rPr>
                <w:rFonts w:ascii="Arial" w:hAnsi="Arial"/>
                <w:color w:val="7030A0"/>
                <w:sz w:val="20"/>
              </w:rPr>
              <w:t>29</w:t>
            </w:r>
          </w:p>
        </w:tc>
        <w:tc>
          <w:tcPr>
            <w:tcW w:w="919" w:type="dxa"/>
            <w:tcBorders>
              <w:top w:val="nil"/>
              <w:left w:val="nil"/>
              <w:bottom w:val="single" w:sz="8" w:space="0" w:color="auto"/>
              <w:right w:val="single" w:sz="8" w:space="0" w:color="auto"/>
            </w:tcBorders>
            <w:shd w:val="clear" w:color="auto" w:fill="auto"/>
            <w:noWrap/>
            <w:vAlign w:val="bottom"/>
            <w:hideMark/>
          </w:tcPr>
          <w:p w14:paraId="02515F53" w14:textId="77777777" w:rsidR="00D56A22" w:rsidRPr="00424274" w:rsidRDefault="00D56A22" w:rsidP="00D56A22">
            <w:pPr>
              <w:jc w:val="right"/>
              <w:rPr>
                <w:rFonts w:ascii="Arial" w:hAnsi="Arial"/>
                <w:color w:val="7030A0"/>
                <w:sz w:val="20"/>
              </w:rPr>
            </w:pPr>
            <w:r w:rsidRPr="00424274">
              <w:rPr>
                <w:rFonts w:ascii="Arial" w:hAnsi="Arial"/>
                <w:color w:val="7030A0"/>
                <w:sz w:val="20"/>
              </w:rPr>
              <w:t>41</w:t>
            </w:r>
          </w:p>
        </w:tc>
        <w:tc>
          <w:tcPr>
            <w:tcW w:w="992" w:type="dxa"/>
            <w:tcBorders>
              <w:top w:val="nil"/>
              <w:left w:val="nil"/>
              <w:bottom w:val="single" w:sz="8" w:space="0" w:color="auto"/>
              <w:right w:val="single" w:sz="8" w:space="0" w:color="auto"/>
            </w:tcBorders>
            <w:shd w:val="clear" w:color="auto" w:fill="auto"/>
            <w:noWrap/>
            <w:vAlign w:val="bottom"/>
            <w:hideMark/>
          </w:tcPr>
          <w:p w14:paraId="06C2B59E" w14:textId="77777777" w:rsidR="00D56A22" w:rsidRPr="00424274" w:rsidRDefault="00D56A22" w:rsidP="00D56A22">
            <w:pPr>
              <w:jc w:val="right"/>
              <w:rPr>
                <w:rFonts w:ascii="Arial" w:hAnsi="Arial"/>
                <w:color w:val="7030A0"/>
                <w:sz w:val="20"/>
              </w:rPr>
            </w:pPr>
            <w:r w:rsidRPr="00424274">
              <w:rPr>
                <w:rFonts w:ascii="Arial" w:hAnsi="Arial"/>
                <w:color w:val="7030A0"/>
                <w:sz w:val="20"/>
              </w:rPr>
              <w:t>9</w:t>
            </w:r>
          </w:p>
        </w:tc>
        <w:tc>
          <w:tcPr>
            <w:tcW w:w="992" w:type="dxa"/>
            <w:tcBorders>
              <w:top w:val="nil"/>
              <w:left w:val="nil"/>
              <w:bottom w:val="single" w:sz="8" w:space="0" w:color="auto"/>
              <w:right w:val="single" w:sz="8" w:space="0" w:color="auto"/>
            </w:tcBorders>
            <w:shd w:val="clear" w:color="auto" w:fill="auto"/>
            <w:noWrap/>
            <w:vAlign w:val="bottom"/>
            <w:hideMark/>
          </w:tcPr>
          <w:p w14:paraId="76BE264B" w14:textId="77777777" w:rsidR="00D56A22" w:rsidRPr="00424274" w:rsidRDefault="00D56A22" w:rsidP="00D56A22">
            <w:pPr>
              <w:jc w:val="right"/>
              <w:rPr>
                <w:rFonts w:ascii="Arial" w:hAnsi="Arial"/>
                <w:color w:val="7030A0"/>
                <w:sz w:val="20"/>
              </w:rPr>
            </w:pPr>
            <w:r w:rsidRPr="00424274">
              <w:rPr>
                <w:rFonts w:ascii="Arial" w:hAnsi="Arial"/>
                <w:color w:val="7030A0"/>
                <w:sz w:val="20"/>
              </w:rPr>
              <w:t>7</w:t>
            </w:r>
          </w:p>
        </w:tc>
        <w:tc>
          <w:tcPr>
            <w:tcW w:w="992" w:type="dxa"/>
            <w:tcBorders>
              <w:top w:val="nil"/>
              <w:left w:val="nil"/>
              <w:bottom w:val="single" w:sz="8" w:space="0" w:color="auto"/>
              <w:right w:val="single" w:sz="8" w:space="0" w:color="auto"/>
            </w:tcBorders>
            <w:shd w:val="clear" w:color="auto" w:fill="auto"/>
            <w:noWrap/>
            <w:vAlign w:val="bottom"/>
            <w:hideMark/>
          </w:tcPr>
          <w:p w14:paraId="77D00F68" w14:textId="77777777" w:rsidR="00D56A22" w:rsidRPr="00424274" w:rsidRDefault="00D56A22" w:rsidP="00D56A22">
            <w:pPr>
              <w:jc w:val="right"/>
              <w:rPr>
                <w:rFonts w:ascii="Arial" w:hAnsi="Arial"/>
                <w:color w:val="7030A0"/>
                <w:sz w:val="20"/>
              </w:rPr>
            </w:pPr>
            <w:r w:rsidRPr="00424274">
              <w:rPr>
                <w:rFonts w:ascii="Arial" w:hAnsi="Arial"/>
                <w:color w:val="7030A0"/>
                <w:sz w:val="20"/>
              </w:rPr>
              <w:t>1</w:t>
            </w:r>
          </w:p>
        </w:tc>
      </w:tr>
      <w:tr w:rsidR="00D56A22" w:rsidRPr="00424274" w14:paraId="46C42F77" w14:textId="77777777" w:rsidTr="00472BE5">
        <w:trPr>
          <w:trHeight w:val="270"/>
        </w:trPr>
        <w:tc>
          <w:tcPr>
            <w:tcW w:w="3686" w:type="dxa"/>
            <w:tcBorders>
              <w:top w:val="nil"/>
              <w:left w:val="single" w:sz="8" w:space="0" w:color="auto"/>
              <w:bottom w:val="single" w:sz="8" w:space="0" w:color="auto"/>
              <w:right w:val="single" w:sz="8" w:space="0" w:color="auto"/>
            </w:tcBorders>
            <w:shd w:val="clear" w:color="000000" w:fill="99FF33"/>
            <w:noWrap/>
            <w:vAlign w:val="center"/>
            <w:hideMark/>
          </w:tcPr>
          <w:p w14:paraId="113E3C01" w14:textId="77777777" w:rsidR="00D56A22" w:rsidRPr="00424274" w:rsidRDefault="00D56A22" w:rsidP="00D56A22">
            <w:pPr>
              <w:widowControl/>
              <w:jc w:val="left"/>
              <w:rPr>
                <w:rFonts w:ascii="Arial" w:hAnsi="Arial"/>
                <w:color w:val="7030A0"/>
                <w:sz w:val="18"/>
                <w:szCs w:val="18"/>
                <w:lang w:eastAsia="sl-SI"/>
              </w:rPr>
            </w:pPr>
            <w:r w:rsidRPr="00424274">
              <w:rPr>
                <w:rFonts w:ascii="Arial" w:hAnsi="Arial"/>
                <w:color w:val="7030A0"/>
                <w:sz w:val="18"/>
                <w:szCs w:val="18"/>
                <w:lang w:eastAsia="sl-SI"/>
              </w:rPr>
              <w:t>Tožilstvo: Odstop od pregona</w:t>
            </w:r>
          </w:p>
        </w:tc>
        <w:tc>
          <w:tcPr>
            <w:tcW w:w="992" w:type="dxa"/>
            <w:tcBorders>
              <w:top w:val="nil"/>
              <w:left w:val="nil"/>
              <w:bottom w:val="single" w:sz="8" w:space="0" w:color="auto"/>
              <w:right w:val="single" w:sz="8" w:space="0" w:color="auto"/>
            </w:tcBorders>
            <w:shd w:val="clear" w:color="auto" w:fill="auto"/>
            <w:noWrap/>
            <w:vAlign w:val="bottom"/>
            <w:hideMark/>
          </w:tcPr>
          <w:p w14:paraId="1B90A983" w14:textId="77777777" w:rsidR="00D56A22" w:rsidRPr="00424274" w:rsidRDefault="00D56A22" w:rsidP="00D56A22">
            <w:pPr>
              <w:jc w:val="right"/>
              <w:rPr>
                <w:rFonts w:ascii="Arial" w:hAnsi="Arial"/>
                <w:color w:val="7030A0"/>
                <w:sz w:val="20"/>
              </w:rPr>
            </w:pPr>
            <w:r w:rsidRPr="00424274">
              <w:rPr>
                <w:rFonts w:ascii="Arial" w:hAnsi="Arial"/>
                <w:color w:val="7030A0"/>
                <w:sz w:val="20"/>
              </w:rPr>
              <w:t>46</w:t>
            </w:r>
          </w:p>
        </w:tc>
        <w:tc>
          <w:tcPr>
            <w:tcW w:w="919" w:type="dxa"/>
            <w:tcBorders>
              <w:top w:val="nil"/>
              <w:left w:val="nil"/>
              <w:bottom w:val="single" w:sz="8" w:space="0" w:color="auto"/>
              <w:right w:val="single" w:sz="8" w:space="0" w:color="auto"/>
            </w:tcBorders>
            <w:shd w:val="clear" w:color="auto" w:fill="auto"/>
            <w:noWrap/>
            <w:vAlign w:val="bottom"/>
            <w:hideMark/>
          </w:tcPr>
          <w:p w14:paraId="17C3D471" w14:textId="77777777" w:rsidR="00D56A22" w:rsidRPr="00424274" w:rsidRDefault="00D56A22" w:rsidP="00D56A22">
            <w:pPr>
              <w:jc w:val="right"/>
              <w:rPr>
                <w:rFonts w:ascii="Arial" w:hAnsi="Arial"/>
                <w:color w:val="7030A0"/>
                <w:sz w:val="20"/>
              </w:rPr>
            </w:pPr>
            <w:r w:rsidRPr="00424274">
              <w:rPr>
                <w:rFonts w:ascii="Arial" w:hAnsi="Arial"/>
                <w:color w:val="7030A0"/>
                <w:sz w:val="20"/>
              </w:rPr>
              <w:t>91</w:t>
            </w:r>
          </w:p>
        </w:tc>
        <w:tc>
          <w:tcPr>
            <w:tcW w:w="992" w:type="dxa"/>
            <w:tcBorders>
              <w:top w:val="nil"/>
              <w:left w:val="nil"/>
              <w:bottom w:val="single" w:sz="8" w:space="0" w:color="auto"/>
              <w:right w:val="single" w:sz="8" w:space="0" w:color="auto"/>
            </w:tcBorders>
            <w:shd w:val="clear" w:color="auto" w:fill="auto"/>
            <w:noWrap/>
            <w:vAlign w:val="bottom"/>
            <w:hideMark/>
          </w:tcPr>
          <w:p w14:paraId="4EB9C253" w14:textId="77777777" w:rsidR="00D56A22" w:rsidRPr="00424274" w:rsidRDefault="00D56A22" w:rsidP="00D56A22">
            <w:pPr>
              <w:jc w:val="right"/>
              <w:rPr>
                <w:rFonts w:ascii="Arial" w:hAnsi="Arial"/>
                <w:color w:val="7030A0"/>
                <w:sz w:val="20"/>
              </w:rPr>
            </w:pPr>
            <w:r w:rsidRPr="00424274">
              <w:rPr>
                <w:rFonts w:ascii="Arial" w:hAnsi="Arial"/>
                <w:color w:val="7030A0"/>
                <w:sz w:val="20"/>
              </w:rPr>
              <w:t>12</w:t>
            </w:r>
          </w:p>
        </w:tc>
        <w:tc>
          <w:tcPr>
            <w:tcW w:w="992" w:type="dxa"/>
            <w:tcBorders>
              <w:top w:val="nil"/>
              <w:left w:val="nil"/>
              <w:bottom w:val="single" w:sz="8" w:space="0" w:color="auto"/>
              <w:right w:val="single" w:sz="8" w:space="0" w:color="auto"/>
            </w:tcBorders>
            <w:shd w:val="clear" w:color="auto" w:fill="auto"/>
            <w:noWrap/>
            <w:vAlign w:val="bottom"/>
            <w:hideMark/>
          </w:tcPr>
          <w:p w14:paraId="4760CABC" w14:textId="77777777" w:rsidR="00D56A22" w:rsidRPr="00424274" w:rsidRDefault="00D56A22" w:rsidP="00D56A22">
            <w:pPr>
              <w:jc w:val="right"/>
              <w:rPr>
                <w:rFonts w:ascii="Arial" w:hAnsi="Arial"/>
                <w:color w:val="7030A0"/>
                <w:sz w:val="20"/>
              </w:rPr>
            </w:pPr>
            <w:r w:rsidRPr="00424274">
              <w:rPr>
                <w:rFonts w:ascii="Arial" w:hAnsi="Arial"/>
                <w:color w:val="7030A0"/>
                <w:sz w:val="20"/>
              </w:rPr>
              <w:t>4</w:t>
            </w:r>
          </w:p>
        </w:tc>
        <w:tc>
          <w:tcPr>
            <w:tcW w:w="992" w:type="dxa"/>
            <w:tcBorders>
              <w:top w:val="nil"/>
              <w:left w:val="nil"/>
              <w:bottom w:val="single" w:sz="8" w:space="0" w:color="auto"/>
              <w:right w:val="single" w:sz="8" w:space="0" w:color="auto"/>
            </w:tcBorders>
            <w:shd w:val="clear" w:color="auto" w:fill="auto"/>
            <w:noWrap/>
            <w:vAlign w:val="bottom"/>
            <w:hideMark/>
          </w:tcPr>
          <w:p w14:paraId="674E6D4E" w14:textId="77777777" w:rsidR="00D56A22" w:rsidRPr="00424274" w:rsidRDefault="00D56A22" w:rsidP="00D56A22">
            <w:pPr>
              <w:jc w:val="right"/>
              <w:rPr>
                <w:rFonts w:ascii="Arial" w:hAnsi="Arial"/>
                <w:color w:val="7030A0"/>
                <w:sz w:val="20"/>
              </w:rPr>
            </w:pPr>
          </w:p>
        </w:tc>
      </w:tr>
      <w:tr w:rsidR="00D56A22" w:rsidRPr="00424274" w14:paraId="1A59E210" w14:textId="77777777" w:rsidTr="00472BE5">
        <w:trPr>
          <w:trHeight w:val="270"/>
        </w:trPr>
        <w:tc>
          <w:tcPr>
            <w:tcW w:w="3686" w:type="dxa"/>
            <w:tcBorders>
              <w:top w:val="nil"/>
              <w:left w:val="single" w:sz="8" w:space="0" w:color="auto"/>
              <w:bottom w:val="single" w:sz="8" w:space="0" w:color="auto"/>
              <w:right w:val="single" w:sz="8" w:space="0" w:color="auto"/>
            </w:tcBorders>
            <w:shd w:val="clear" w:color="000000" w:fill="99FF33"/>
            <w:noWrap/>
            <w:vAlign w:val="center"/>
            <w:hideMark/>
          </w:tcPr>
          <w:p w14:paraId="6F5DB1CF" w14:textId="48D22ABE" w:rsidR="00D56A22" w:rsidRPr="00424274" w:rsidRDefault="00D56A22" w:rsidP="0039671B">
            <w:pPr>
              <w:widowControl/>
              <w:jc w:val="left"/>
              <w:rPr>
                <w:rFonts w:ascii="Arial" w:hAnsi="Arial"/>
                <w:color w:val="7030A0"/>
                <w:sz w:val="18"/>
                <w:szCs w:val="18"/>
                <w:lang w:eastAsia="sl-SI"/>
              </w:rPr>
            </w:pPr>
            <w:r w:rsidRPr="00424274">
              <w:rPr>
                <w:rFonts w:ascii="Arial" w:hAnsi="Arial"/>
                <w:color w:val="7030A0"/>
                <w:sz w:val="18"/>
                <w:szCs w:val="18"/>
                <w:lang w:eastAsia="sl-SI"/>
              </w:rPr>
              <w:t xml:space="preserve">Sodišče: </w:t>
            </w:r>
            <w:r w:rsidR="0039671B">
              <w:rPr>
                <w:rFonts w:ascii="Arial" w:hAnsi="Arial"/>
                <w:color w:val="7030A0"/>
                <w:sz w:val="18"/>
                <w:szCs w:val="18"/>
                <w:lang w:eastAsia="sl-SI"/>
              </w:rPr>
              <w:t>U</w:t>
            </w:r>
            <w:r w:rsidRPr="00424274">
              <w:rPr>
                <w:rFonts w:ascii="Arial" w:hAnsi="Arial"/>
                <w:color w:val="7030A0"/>
                <w:sz w:val="18"/>
                <w:szCs w:val="18"/>
                <w:lang w:eastAsia="sl-SI"/>
              </w:rPr>
              <w:t>stavitev kazenskega postopka</w:t>
            </w:r>
          </w:p>
        </w:tc>
        <w:tc>
          <w:tcPr>
            <w:tcW w:w="992" w:type="dxa"/>
            <w:tcBorders>
              <w:top w:val="nil"/>
              <w:left w:val="nil"/>
              <w:bottom w:val="single" w:sz="8" w:space="0" w:color="auto"/>
              <w:right w:val="single" w:sz="8" w:space="0" w:color="auto"/>
            </w:tcBorders>
            <w:shd w:val="clear" w:color="auto" w:fill="auto"/>
            <w:noWrap/>
            <w:vAlign w:val="bottom"/>
            <w:hideMark/>
          </w:tcPr>
          <w:p w14:paraId="787B3A46" w14:textId="77777777" w:rsidR="00D56A22" w:rsidRPr="00424274" w:rsidRDefault="00D56A22" w:rsidP="00D56A22">
            <w:pPr>
              <w:jc w:val="right"/>
              <w:rPr>
                <w:rFonts w:ascii="Arial" w:hAnsi="Arial"/>
                <w:color w:val="7030A0"/>
                <w:sz w:val="20"/>
              </w:rPr>
            </w:pPr>
            <w:r w:rsidRPr="00424274">
              <w:rPr>
                <w:rFonts w:ascii="Arial" w:hAnsi="Arial"/>
                <w:color w:val="7030A0"/>
                <w:sz w:val="20"/>
              </w:rPr>
              <w:t>24</w:t>
            </w:r>
          </w:p>
        </w:tc>
        <w:tc>
          <w:tcPr>
            <w:tcW w:w="919" w:type="dxa"/>
            <w:tcBorders>
              <w:top w:val="nil"/>
              <w:left w:val="nil"/>
              <w:bottom w:val="single" w:sz="8" w:space="0" w:color="auto"/>
              <w:right w:val="single" w:sz="8" w:space="0" w:color="auto"/>
            </w:tcBorders>
            <w:shd w:val="clear" w:color="auto" w:fill="auto"/>
            <w:noWrap/>
            <w:vAlign w:val="bottom"/>
            <w:hideMark/>
          </w:tcPr>
          <w:p w14:paraId="2A7774CF" w14:textId="77777777" w:rsidR="00D56A22" w:rsidRPr="00424274" w:rsidRDefault="00D56A22" w:rsidP="00D56A22">
            <w:pPr>
              <w:ind w:firstLineChars="100" w:firstLine="200"/>
              <w:jc w:val="right"/>
              <w:rPr>
                <w:rFonts w:ascii="Arial" w:hAnsi="Arial"/>
                <w:color w:val="7030A0"/>
                <w:sz w:val="20"/>
              </w:rPr>
            </w:pPr>
            <w:r w:rsidRPr="00424274">
              <w:rPr>
                <w:rFonts w:ascii="Arial" w:hAnsi="Arial"/>
                <w:color w:val="7030A0"/>
                <w:sz w:val="20"/>
              </w:rPr>
              <w:t>31</w:t>
            </w:r>
          </w:p>
        </w:tc>
        <w:tc>
          <w:tcPr>
            <w:tcW w:w="992" w:type="dxa"/>
            <w:tcBorders>
              <w:top w:val="nil"/>
              <w:left w:val="nil"/>
              <w:bottom w:val="single" w:sz="8" w:space="0" w:color="auto"/>
              <w:right w:val="single" w:sz="8" w:space="0" w:color="auto"/>
            </w:tcBorders>
            <w:shd w:val="clear" w:color="auto" w:fill="auto"/>
            <w:noWrap/>
            <w:vAlign w:val="bottom"/>
            <w:hideMark/>
          </w:tcPr>
          <w:p w14:paraId="43C8F9E6" w14:textId="77777777" w:rsidR="00D56A22" w:rsidRPr="00424274" w:rsidRDefault="00D56A22" w:rsidP="00D56A22">
            <w:pPr>
              <w:ind w:firstLineChars="100" w:firstLine="200"/>
              <w:jc w:val="right"/>
              <w:rPr>
                <w:rFonts w:ascii="Arial" w:hAnsi="Arial"/>
                <w:color w:val="7030A0"/>
                <w:sz w:val="20"/>
              </w:rPr>
            </w:pPr>
            <w:r w:rsidRPr="00424274">
              <w:rPr>
                <w:rFonts w:ascii="Arial" w:hAnsi="Arial"/>
                <w:color w:val="7030A0"/>
                <w:sz w:val="20"/>
              </w:rPr>
              <w:t>6</w:t>
            </w:r>
          </w:p>
        </w:tc>
        <w:tc>
          <w:tcPr>
            <w:tcW w:w="992" w:type="dxa"/>
            <w:tcBorders>
              <w:top w:val="nil"/>
              <w:left w:val="nil"/>
              <w:bottom w:val="single" w:sz="8" w:space="0" w:color="auto"/>
              <w:right w:val="single" w:sz="8" w:space="0" w:color="auto"/>
            </w:tcBorders>
            <w:shd w:val="clear" w:color="auto" w:fill="auto"/>
            <w:noWrap/>
            <w:vAlign w:val="bottom"/>
            <w:hideMark/>
          </w:tcPr>
          <w:p w14:paraId="1027B816" w14:textId="77777777" w:rsidR="00D56A22" w:rsidRPr="00424274" w:rsidRDefault="00D56A22" w:rsidP="00D56A22">
            <w:pPr>
              <w:ind w:firstLineChars="100" w:firstLine="200"/>
              <w:jc w:val="right"/>
              <w:rPr>
                <w:rFonts w:ascii="Arial" w:hAnsi="Arial"/>
                <w:color w:val="7030A0"/>
                <w:sz w:val="20"/>
              </w:rPr>
            </w:pPr>
            <w:r w:rsidRPr="00424274">
              <w:rPr>
                <w:rFonts w:ascii="Arial" w:hAnsi="Arial"/>
                <w:color w:val="7030A0"/>
                <w:sz w:val="20"/>
              </w:rPr>
              <w:t>2</w:t>
            </w:r>
          </w:p>
        </w:tc>
        <w:tc>
          <w:tcPr>
            <w:tcW w:w="992" w:type="dxa"/>
            <w:tcBorders>
              <w:top w:val="nil"/>
              <w:left w:val="nil"/>
              <w:bottom w:val="single" w:sz="8" w:space="0" w:color="auto"/>
              <w:right w:val="single" w:sz="8" w:space="0" w:color="auto"/>
            </w:tcBorders>
            <w:shd w:val="clear" w:color="auto" w:fill="auto"/>
            <w:noWrap/>
            <w:vAlign w:val="bottom"/>
            <w:hideMark/>
          </w:tcPr>
          <w:p w14:paraId="5ECDDB10" w14:textId="77777777" w:rsidR="00D56A22" w:rsidRPr="00424274" w:rsidRDefault="00D56A22" w:rsidP="00D56A22">
            <w:pPr>
              <w:ind w:firstLineChars="100" w:firstLine="200"/>
              <w:jc w:val="right"/>
              <w:rPr>
                <w:rFonts w:ascii="Arial" w:hAnsi="Arial"/>
                <w:color w:val="7030A0"/>
                <w:sz w:val="20"/>
              </w:rPr>
            </w:pPr>
          </w:p>
        </w:tc>
      </w:tr>
      <w:tr w:rsidR="00D56A22" w:rsidRPr="00424274" w14:paraId="3F276967" w14:textId="77777777" w:rsidTr="00472BE5">
        <w:trPr>
          <w:trHeight w:val="270"/>
        </w:trPr>
        <w:tc>
          <w:tcPr>
            <w:tcW w:w="3686" w:type="dxa"/>
            <w:tcBorders>
              <w:top w:val="nil"/>
              <w:left w:val="single" w:sz="8" w:space="0" w:color="auto"/>
              <w:bottom w:val="single" w:sz="8" w:space="0" w:color="auto"/>
              <w:right w:val="single" w:sz="8" w:space="0" w:color="auto"/>
            </w:tcBorders>
            <w:shd w:val="clear" w:color="000000" w:fill="99FF33"/>
            <w:noWrap/>
            <w:vAlign w:val="center"/>
            <w:hideMark/>
          </w:tcPr>
          <w:p w14:paraId="05422CD9" w14:textId="77777777" w:rsidR="00D56A22" w:rsidRPr="00424274" w:rsidRDefault="00D56A22" w:rsidP="00D56A22">
            <w:pPr>
              <w:widowControl/>
              <w:jc w:val="left"/>
              <w:rPr>
                <w:rFonts w:ascii="Arial" w:hAnsi="Arial"/>
                <w:color w:val="7030A0"/>
                <w:sz w:val="18"/>
                <w:szCs w:val="18"/>
                <w:lang w:eastAsia="sl-SI"/>
              </w:rPr>
            </w:pPr>
            <w:r w:rsidRPr="00424274">
              <w:rPr>
                <w:rFonts w:ascii="Arial" w:hAnsi="Arial"/>
                <w:color w:val="7030A0"/>
                <w:sz w:val="18"/>
                <w:szCs w:val="18"/>
                <w:lang w:eastAsia="sl-SI"/>
              </w:rPr>
              <w:t>Sodišče: Odstop pregona v tujino</w:t>
            </w:r>
          </w:p>
        </w:tc>
        <w:tc>
          <w:tcPr>
            <w:tcW w:w="992" w:type="dxa"/>
            <w:tcBorders>
              <w:top w:val="nil"/>
              <w:left w:val="nil"/>
              <w:bottom w:val="single" w:sz="8" w:space="0" w:color="auto"/>
              <w:right w:val="single" w:sz="8" w:space="0" w:color="auto"/>
            </w:tcBorders>
            <w:shd w:val="clear" w:color="auto" w:fill="auto"/>
            <w:noWrap/>
            <w:vAlign w:val="bottom"/>
            <w:hideMark/>
          </w:tcPr>
          <w:p w14:paraId="56BF3AAD" w14:textId="77777777" w:rsidR="00D56A22" w:rsidRPr="00424274" w:rsidRDefault="00D56A22" w:rsidP="00D56A22">
            <w:pPr>
              <w:jc w:val="right"/>
              <w:rPr>
                <w:rFonts w:ascii="Arial" w:hAnsi="Arial"/>
                <w:color w:val="7030A0"/>
                <w:sz w:val="20"/>
              </w:rPr>
            </w:pPr>
            <w:r w:rsidRPr="00424274">
              <w:rPr>
                <w:rFonts w:ascii="Arial" w:hAnsi="Arial"/>
                <w:color w:val="7030A0"/>
                <w:sz w:val="20"/>
              </w:rPr>
              <w:t>6</w:t>
            </w:r>
          </w:p>
        </w:tc>
        <w:tc>
          <w:tcPr>
            <w:tcW w:w="919" w:type="dxa"/>
            <w:tcBorders>
              <w:top w:val="nil"/>
              <w:left w:val="nil"/>
              <w:bottom w:val="single" w:sz="8" w:space="0" w:color="auto"/>
              <w:right w:val="single" w:sz="8" w:space="0" w:color="auto"/>
            </w:tcBorders>
            <w:shd w:val="clear" w:color="auto" w:fill="auto"/>
            <w:noWrap/>
            <w:vAlign w:val="bottom"/>
            <w:hideMark/>
          </w:tcPr>
          <w:p w14:paraId="013AE162" w14:textId="77777777" w:rsidR="00D56A22" w:rsidRPr="00424274" w:rsidRDefault="00D56A22" w:rsidP="00D56A22">
            <w:pPr>
              <w:ind w:firstLineChars="100" w:firstLine="200"/>
              <w:jc w:val="right"/>
              <w:rPr>
                <w:rFonts w:ascii="Arial" w:hAnsi="Arial"/>
                <w:color w:val="7030A0"/>
                <w:sz w:val="20"/>
              </w:rPr>
            </w:pPr>
          </w:p>
        </w:tc>
        <w:tc>
          <w:tcPr>
            <w:tcW w:w="992" w:type="dxa"/>
            <w:tcBorders>
              <w:top w:val="nil"/>
              <w:left w:val="nil"/>
              <w:bottom w:val="single" w:sz="8" w:space="0" w:color="auto"/>
              <w:right w:val="single" w:sz="8" w:space="0" w:color="auto"/>
            </w:tcBorders>
            <w:shd w:val="clear" w:color="auto" w:fill="auto"/>
            <w:noWrap/>
            <w:vAlign w:val="bottom"/>
            <w:hideMark/>
          </w:tcPr>
          <w:p w14:paraId="4AE51A9B" w14:textId="77777777" w:rsidR="00D56A22" w:rsidRPr="00424274" w:rsidRDefault="00D56A22" w:rsidP="00D56A22">
            <w:pPr>
              <w:ind w:firstLineChars="100" w:firstLine="200"/>
              <w:jc w:val="right"/>
              <w:rPr>
                <w:rFonts w:ascii="Arial" w:hAnsi="Arial"/>
                <w:color w:val="7030A0"/>
                <w:sz w:val="20"/>
              </w:rPr>
            </w:pPr>
            <w:r w:rsidRPr="00424274">
              <w:rPr>
                <w:rFonts w:ascii="Arial" w:hAnsi="Arial"/>
                <w:color w:val="7030A0"/>
                <w:sz w:val="20"/>
              </w:rPr>
              <w:t>8</w:t>
            </w:r>
          </w:p>
        </w:tc>
        <w:tc>
          <w:tcPr>
            <w:tcW w:w="992" w:type="dxa"/>
            <w:tcBorders>
              <w:top w:val="nil"/>
              <w:left w:val="nil"/>
              <w:bottom w:val="single" w:sz="8" w:space="0" w:color="auto"/>
              <w:right w:val="single" w:sz="8" w:space="0" w:color="auto"/>
            </w:tcBorders>
            <w:shd w:val="clear" w:color="auto" w:fill="auto"/>
            <w:noWrap/>
            <w:vAlign w:val="bottom"/>
            <w:hideMark/>
          </w:tcPr>
          <w:p w14:paraId="523A9A61" w14:textId="77777777" w:rsidR="00D56A22" w:rsidRPr="00424274" w:rsidRDefault="00D56A22" w:rsidP="00D56A22">
            <w:pPr>
              <w:ind w:firstLineChars="100" w:firstLine="200"/>
              <w:jc w:val="right"/>
              <w:rPr>
                <w:rFonts w:ascii="Arial" w:hAnsi="Arial"/>
                <w:color w:val="7030A0"/>
                <w:sz w:val="20"/>
              </w:rPr>
            </w:pPr>
            <w:r w:rsidRPr="00424274">
              <w:rPr>
                <w:rFonts w:ascii="Arial" w:hAnsi="Arial"/>
                <w:color w:val="7030A0"/>
                <w:sz w:val="20"/>
              </w:rPr>
              <w:t>1</w:t>
            </w:r>
          </w:p>
        </w:tc>
        <w:tc>
          <w:tcPr>
            <w:tcW w:w="992" w:type="dxa"/>
            <w:tcBorders>
              <w:top w:val="nil"/>
              <w:left w:val="nil"/>
              <w:bottom w:val="single" w:sz="8" w:space="0" w:color="auto"/>
              <w:right w:val="single" w:sz="8" w:space="0" w:color="auto"/>
            </w:tcBorders>
            <w:shd w:val="clear" w:color="auto" w:fill="auto"/>
            <w:noWrap/>
            <w:vAlign w:val="bottom"/>
            <w:hideMark/>
          </w:tcPr>
          <w:p w14:paraId="2D415A06" w14:textId="77777777" w:rsidR="00D56A22" w:rsidRPr="00424274" w:rsidRDefault="00D56A22" w:rsidP="00D56A22">
            <w:pPr>
              <w:ind w:firstLineChars="100" w:firstLine="200"/>
              <w:jc w:val="right"/>
              <w:rPr>
                <w:rFonts w:ascii="Arial" w:hAnsi="Arial"/>
                <w:color w:val="7030A0"/>
                <w:sz w:val="20"/>
              </w:rPr>
            </w:pPr>
          </w:p>
        </w:tc>
      </w:tr>
      <w:tr w:rsidR="00D56A22" w:rsidRPr="00424274" w14:paraId="4BD164A9" w14:textId="77777777" w:rsidTr="00472BE5">
        <w:trPr>
          <w:trHeight w:val="270"/>
        </w:trPr>
        <w:tc>
          <w:tcPr>
            <w:tcW w:w="3686" w:type="dxa"/>
            <w:tcBorders>
              <w:top w:val="nil"/>
              <w:left w:val="single" w:sz="8" w:space="0" w:color="auto"/>
              <w:bottom w:val="single" w:sz="8" w:space="0" w:color="auto"/>
              <w:right w:val="single" w:sz="8" w:space="0" w:color="auto"/>
            </w:tcBorders>
            <w:shd w:val="clear" w:color="000000" w:fill="99FF33"/>
            <w:noWrap/>
            <w:vAlign w:val="center"/>
            <w:hideMark/>
          </w:tcPr>
          <w:p w14:paraId="66036A5C" w14:textId="77777777" w:rsidR="00D56A22" w:rsidRPr="00424274" w:rsidRDefault="00D56A22" w:rsidP="00D56A22">
            <w:pPr>
              <w:widowControl/>
              <w:jc w:val="left"/>
              <w:rPr>
                <w:rFonts w:ascii="Arial" w:hAnsi="Arial"/>
                <w:color w:val="7030A0"/>
                <w:sz w:val="18"/>
                <w:szCs w:val="18"/>
                <w:lang w:eastAsia="sl-SI"/>
              </w:rPr>
            </w:pPr>
            <w:r w:rsidRPr="00424274">
              <w:rPr>
                <w:rFonts w:ascii="Arial" w:hAnsi="Arial"/>
                <w:color w:val="7030A0"/>
                <w:sz w:val="18"/>
                <w:szCs w:val="18"/>
                <w:lang w:eastAsia="sl-SI"/>
              </w:rPr>
              <w:t>Prekvalifikacija kaznivega dejanja</w:t>
            </w:r>
          </w:p>
        </w:tc>
        <w:tc>
          <w:tcPr>
            <w:tcW w:w="992" w:type="dxa"/>
            <w:tcBorders>
              <w:top w:val="nil"/>
              <w:left w:val="nil"/>
              <w:bottom w:val="single" w:sz="8" w:space="0" w:color="auto"/>
              <w:right w:val="single" w:sz="8" w:space="0" w:color="auto"/>
            </w:tcBorders>
            <w:shd w:val="clear" w:color="auto" w:fill="auto"/>
            <w:noWrap/>
            <w:vAlign w:val="bottom"/>
            <w:hideMark/>
          </w:tcPr>
          <w:p w14:paraId="2C143260" w14:textId="77777777" w:rsidR="00D56A22" w:rsidRPr="00424274" w:rsidRDefault="00D56A22" w:rsidP="00D56A22">
            <w:pPr>
              <w:jc w:val="right"/>
              <w:rPr>
                <w:rFonts w:ascii="Arial" w:hAnsi="Arial"/>
                <w:color w:val="7030A0"/>
                <w:sz w:val="20"/>
              </w:rPr>
            </w:pPr>
            <w:r w:rsidRPr="00424274">
              <w:rPr>
                <w:rFonts w:ascii="Arial" w:hAnsi="Arial"/>
                <w:color w:val="7030A0"/>
                <w:sz w:val="20"/>
              </w:rPr>
              <w:t>5</w:t>
            </w:r>
          </w:p>
        </w:tc>
        <w:tc>
          <w:tcPr>
            <w:tcW w:w="919" w:type="dxa"/>
            <w:tcBorders>
              <w:top w:val="nil"/>
              <w:left w:val="nil"/>
              <w:bottom w:val="single" w:sz="8" w:space="0" w:color="auto"/>
              <w:right w:val="single" w:sz="8" w:space="0" w:color="auto"/>
            </w:tcBorders>
            <w:shd w:val="clear" w:color="auto" w:fill="auto"/>
            <w:noWrap/>
            <w:vAlign w:val="bottom"/>
            <w:hideMark/>
          </w:tcPr>
          <w:p w14:paraId="1DDD5662" w14:textId="77777777" w:rsidR="00D56A22" w:rsidRPr="00424274" w:rsidRDefault="00D56A22" w:rsidP="00D56A22">
            <w:pPr>
              <w:ind w:firstLineChars="100" w:firstLine="200"/>
              <w:jc w:val="right"/>
              <w:rPr>
                <w:rFonts w:ascii="Arial" w:hAnsi="Arial"/>
                <w:color w:val="7030A0"/>
                <w:sz w:val="20"/>
              </w:rPr>
            </w:pPr>
            <w:r w:rsidRPr="00424274">
              <w:rPr>
                <w:rFonts w:ascii="Arial" w:hAnsi="Arial"/>
                <w:color w:val="7030A0"/>
                <w:sz w:val="20"/>
              </w:rPr>
              <w:t>11</w:t>
            </w:r>
          </w:p>
        </w:tc>
        <w:tc>
          <w:tcPr>
            <w:tcW w:w="992" w:type="dxa"/>
            <w:tcBorders>
              <w:top w:val="nil"/>
              <w:left w:val="nil"/>
              <w:bottom w:val="single" w:sz="8" w:space="0" w:color="auto"/>
              <w:right w:val="single" w:sz="8" w:space="0" w:color="auto"/>
            </w:tcBorders>
            <w:shd w:val="clear" w:color="auto" w:fill="auto"/>
            <w:noWrap/>
            <w:vAlign w:val="bottom"/>
            <w:hideMark/>
          </w:tcPr>
          <w:p w14:paraId="4F47A858" w14:textId="77777777" w:rsidR="00D56A22" w:rsidRPr="00424274" w:rsidRDefault="00D56A22" w:rsidP="00D56A22">
            <w:pPr>
              <w:ind w:firstLineChars="100" w:firstLine="200"/>
              <w:jc w:val="right"/>
              <w:rPr>
                <w:rFonts w:ascii="Arial" w:hAnsi="Arial"/>
                <w:color w:val="7030A0"/>
                <w:sz w:val="20"/>
              </w:rPr>
            </w:pPr>
          </w:p>
        </w:tc>
        <w:tc>
          <w:tcPr>
            <w:tcW w:w="992" w:type="dxa"/>
            <w:tcBorders>
              <w:top w:val="nil"/>
              <w:left w:val="nil"/>
              <w:bottom w:val="single" w:sz="8" w:space="0" w:color="auto"/>
              <w:right w:val="single" w:sz="8" w:space="0" w:color="auto"/>
            </w:tcBorders>
            <w:shd w:val="clear" w:color="auto" w:fill="auto"/>
            <w:noWrap/>
            <w:vAlign w:val="bottom"/>
            <w:hideMark/>
          </w:tcPr>
          <w:p w14:paraId="0B122165" w14:textId="77777777" w:rsidR="00D56A22" w:rsidRPr="00424274" w:rsidRDefault="00D56A22" w:rsidP="00D56A22">
            <w:pPr>
              <w:ind w:firstLineChars="100" w:firstLine="200"/>
              <w:jc w:val="right"/>
              <w:rPr>
                <w:rFonts w:ascii="Arial" w:hAnsi="Arial"/>
                <w:color w:val="7030A0"/>
                <w:sz w:val="20"/>
              </w:rPr>
            </w:pPr>
          </w:p>
        </w:tc>
        <w:tc>
          <w:tcPr>
            <w:tcW w:w="992" w:type="dxa"/>
            <w:tcBorders>
              <w:top w:val="nil"/>
              <w:left w:val="nil"/>
              <w:bottom w:val="single" w:sz="8" w:space="0" w:color="auto"/>
              <w:right w:val="single" w:sz="8" w:space="0" w:color="auto"/>
            </w:tcBorders>
            <w:shd w:val="clear" w:color="auto" w:fill="auto"/>
            <w:noWrap/>
            <w:vAlign w:val="bottom"/>
            <w:hideMark/>
          </w:tcPr>
          <w:p w14:paraId="5197E8F8" w14:textId="77777777" w:rsidR="00D56A22" w:rsidRPr="00424274" w:rsidRDefault="00D56A22" w:rsidP="00D56A22">
            <w:pPr>
              <w:ind w:firstLineChars="100" w:firstLine="200"/>
              <w:jc w:val="right"/>
              <w:rPr>
                <w:rFonts w:ascii="Arial" w:hAnsi="Arial"/>
                <w:color w:val="7030A0"/>
                <w:sz w:val="20"/>
              </w:rPr>
            </w:pPr>
          </w:p>
        </w:tc>
      </w:tr>
      <w:tr w:rsidR="00D56A22" w:rsidRPr="00424274" w14:paraId="293F11A3" w14:textId="77777777" w:rsidTr="00472BE5">
        <w:trPr>
          <w:trHeight w:val="270"/>
        </w:trPr>
        <w:tc>
          <w:tcPr>
            <w:tcW w:w="3686" w:type="dxa"/>
            <w:tcBorders>
              <w:top w:val="nil"/>
              <w:left w:val="single" w:sz="8" w:space="0" w:color="auto"/>
              <w:bottom w:val="single" w:sz="8" w:space="0" w:color="auto"/>
              <w:right w:val="single" w:sz="8" w:space="0" w:color="auto"/>
            </w:tcBorders>
            <w:shd w:val="clear" w:color="000000" w:fill="99FF33"/>
            <w:noWrap/>
            <w:vAlign w:val="center"/>
            <w:hideMark/>
          </w:tcPr>
          <w:p w14:paraId="3B0F76D2" w14:textId="77777777" w:rsidR="00D56A22" w:rsidRPr="00424274" w:rsidRDefault="00D56A22" w:rsidP="00D56A22">
            <w:pPr>
              <w:widowControl/>
              <w:jc w:val="left"/>
              <w:rPr>
                <w:rFonts w:ascii="Arial" w:hAnsi="Arial"/>
                <w:color w:val="7030A0"/>
                <w:sz w:val="18"/>
                <w:szCs w:val="18"/>
                <w:lang w:eastAsia="sl-SI"/>
              </w:rPr>
            </w:pPr>
            <w:r w:rsidRPr="00424274">
              <w:rPr>
                <w:rFonts w:ascii="Arial" w:hAnsi="Arial"/>
                <w:color w:val="7030A0"/>
                <w:sz w:val="18"/>
                <w:szCs w:val="18"/>
                <w:lang w:eastAsia="sl-SI"/>
              </w:rPr>
              <w:t>Združitev postopkov</w:t>
            </w:r>
          </w:p>
        </w:tc>
        <w:tc>
          <w:tcPr>
            <w:tcW w:w="992" w:type="dxa"/>
            <w:tcBorders>
              <w:top w:val="nil"/>
              <w:left w:val="nil"/>
              <w:bottom w:val="single" w:sz="8" w:space="0" w:color="auto"/>
              <w:right w:val="single" w:sz="8" w:space="0" w:color="auto"/>
            </w:tcBorders>
            <w:shd w:val="clear" w:color="auto" w:fill="auto"/>
            <w:noWrap/>
            <w:vAlign w:val="bottom"/>
            <w:hideMark/>
          </w:tcPr>
          <w:p w14:paraId="5B4E1E72" w14:textId="77777777" w:rsidR="00D56A22" w:rsidRPr="00424274" w:rsidRDefault="00D56A22" w:rsidP="00D56A22">
            <w:pPr>
              <w:jc w:val="right"/>
              <w:rPr>
                <w:rFonts w:ascii="Arial" w:hAnsi="Arial"/>
                <w:color w:val="7030A0"/>
                <w:sz w:val="20"/>
              </w:rPr>
            </w:pPr>
            <w:r w:rsidRPr="00424274">
              <w:rPr>
                <w:rFonts w:ascii="Arial" w:hAnsi="Arial"/>
                <w:color w:val="7030A0"/>
                <w:sz w:val="20"/>
              </w:rPr>
              <w:t>13</w:t>
            </w:r>
          </w:p>
        </w:tc>
        <w:tc>
          <w:tcPr>
            <w:tcW w:w="919" w:type="dxa"/>
            <w:tcBorders>
              <w:top w:val="nil"/>
              <w:left w:val="nil"/>
              <w:bottom w:val="single" w:sz="8" w:space="0" w:color="auto"/>
              <w:right w:val="single" w:sz="8" w:space="0" w:color="auto"/>
            </w:tcBorders>
            <w:shd w:val="clear" w:color="auto" w:fill="auto"/>
            <w:noWrap/>
            <w:vAlign w:val="bottom"/>
            <w:hideMark/>
          </w:tcPr>
          <w:p w14:paraId="5EF2D22E" w14:textId="77777777" w:rsidR="00D56A22" w:rsidRPr="00424274" w:rsidRDefault="00D56A22" w:rsidP="00D56A22">
            <w:pPr>
              <w:ind w:firstLineChars="100" w:firstLine="200"/>
              <w:jc w:val="right"/>
              <w:rPr>
                <w:rFonts w:ascii="Arial" w:hAnsi="Arial"/>
                <w:color w:val="7030A0"/>
                <w:sz w:val="20"/>
              </w:rPr>
            </w:pPr>
          </w:p>
        </w:tc>
        <w:tc>
          <w:tcPr>
            <w:tcW w:w="992" w:type="dxa"/>
            <w:tcBorders>
              <w:top w:val="nil"/>
              <w:left w:val="nil"/>
              <w:bottom w:val="single" w:sz="8" w:space="0" w:color="auto"/>
              <w:right w:val="single" w:sz="8" w:space="0" w:color="auto"/>
            </w:tcBorders>
            <w:shd w:val="clear" w:color="auto" w:fill="auto"/>
            <w:noWrap/>
            <w:vAlign w:val="bottom"/>
            <w:hideMark/>
          </w:tcPr>
          <w:p w14:paraId="24761597" w14:textId="77777777" w:rsidR="00D56A22" w:rsidRPr="00424274" w:rsidRDefault="00D56A22" w:rsidP="00D56A22">
            <w:pPr>
              <w:ind w:firstLineChars="100" w:firstLine="200"/>
              <w:jc w:val="right"/>
              <w:rPr>
                <w:rFonts w:ascii="Arial" w:hAnsi="Arial"/>
                <w:color w:val="7030A0"/>
                <w:sz w:val="20"/>
              </w:rPr>
            </w:pPr>
          </w:p>
        </w:tc>
        <w:tc>
          <w:tcPr>
            <w:tcW w:w="992" w:type="dxa"/>
            <w:tcBorders>
              <w:top w:val="nil"/>
              <w:left w:val="nil"/>
              <w:bottom w:val="single" w:sz="8" w:space="0" w:color="auto"/>
              <w:right w:val="single" w:sz="8" w:space="0" w:color="auto"/>
            </w:tcBorders>
            <w:shd w:val="clear" w:color="auto" w:fill="auto"/>
            <w:noWrap/>
            <w:vAlign w:val="bottom"/>
            <w:hideMark/>
          </w:tcPr>
          <w:p w14:paraId="61270464" w14:textId="77777777" w:rsidR="00D56A22" w:rsidRPr="00424274" w:rsidRDefault="00D56A22" w:rsidP="00D56A22">
            <w:pPr>
              <w:ind w:firstLineChars="100" w:firstLine="200"/>
              <w:jc w:val="right"/>
              <w:rPr>
                <w:rFonts w:ascii="Arial" w:hAnsi="Arial"/>
                <w:color w:val="7030A0"/>
                <w:sz w:val="20"/>
              </w:rPr>
            </w:pPr>
          </w:p>
        </w:tc>
        <w:tc>
          <w:tcPr>
            <w:tcW w:w="992" w:type="dxa"/>
            <w:tcBorders>
              <w:top w:val="nil"/>
              <w:left w:val="nil"/>
              <w:bottom w:val="single" w:sz="8" w:space="0" w:color="auto"/>
              <w:right w:val="single" w:sz="8" w:space="0" w:color="auto"/>
            </w:tcBorders>
            <w:shd w:val="clear" w:color="auto" w:fill="auto"/>
            <w:noWrap/>
            <w:vAlign w:val="bottom"/>
            <w:hideMark/>
          </w:tcPr>
          <w:p w14:paraId="30E0558F" w14:textId="77777777" w:rsidR="00D56A22" w:rsidRPr="00424274" w:rsidRDefault="00D56A22" w:rsidP="00D56A22">
            <w:pPr>
              <w:ind w:firstLineChars="100" w:firstLine="200"/>
              <w:jc w:val="right"/>
              <w:rPr>
                <w:rFonts w:ascii="Arial" w:hAnsi="Arial"/>
                <w:color w:val="7030A0"/>
                <w:sz w:val="20"/>
              </w:rPr>
            </w:pPr>
          </w:p>
        </w:tc>
      </w:tr>
      <w:tr w:rsidR="00D56A22" w:rsidRPr="00424274" w14:paraId="5EC922BC" w14:textId="77777777" w:rsidTr="00472BE5">
        <w:trPr>
          <w:trHeight w:val="270"/>
        </w:trPr>
        <w:tc>
          <w:tcPr>
            <w:tcW w:w="3686" w:type="dxa"/>
            <w:tcBorders>
              <w:top w:val="nil"/>
              <w:left w:val="single" w:sz="8" w:space="0" w:color="auto"/>
              <w:bottom w:val="single" w:sz="8" w:space="0" w:color="auto"/>
              <w:right w:val="single" w:sz="8" w:space="0" w:color="auto"/>
            </w:tcBorders>
            <w:shd w:val="clear" w:color="000000" w:fill="00CCFF"/>
            <w:noWrap/>
            <w:vAlign w:val="center"/>
            <w:hideMark/>
          </w:tcPr>
          <w:p w14:paraId="73946703" w14:textId="77777777" w:rsidR="00D56A22" w:rsidRPr="00424274" w:rsidRDefault="00D56A22" w:rsidP="00D56A22">
            <w:pPr>
              <w:widowControl/>
              <w:jc w:val="left"/>
              <w:rPr>
                <w:rFonts w:ascii="Arial" w:hAnsi="Arial"/>
                <w:b/>
                <w:bCs/>
                <w:sz w:val="20"/>
                <w:lang w:eastAsia="sl-SI"/>
              </w:rPr>
            </w:pPr>
            <w:r w:rsidRPr="00424274">
              <w:rPr>
                <w:rFonts w:ascii="Arial" w:hAnsi="Arial"/>
                <w:b/>
                <w:bCs/>
                <w:sz w:val="20"/>
                <w:lang w:eastAsia="sl-SI"/>
              </w:rPr>
              <w:t>SKUPAJ</w:t>
            </w:r>
          </w:p>
        </w:tc>
        <w:tc>
          <w:tcPr>
            <w:tcW w:w="992" w:type="dxa"/>
            <w:tcBorders>
              <w:top w:val="nil"/>
              <w:left w:val="nil"/>
              <w:bottom w:val="single" w:sz="8" w:space="0" w:color="auto"/>
              <w:right w:val="single" w:sz="8" w:space="0" w:color="auto"/>
            </w:tcBorders>
            <w:shd w:val="clear" w:color="000000" w:fill="00CCFF"/>
            <w:noWrap/>
            <w:vAlign w:val="center"/>
            <w:hideMark/>
          </w:tcPr>
          <w:p w14:paraId="1F40E543" w14:textId="77777777" w:rsidR="00D56A22" w:rsidRPr="00424274" w:rsidRDefault="00D56A22" w:rsidP="00D56A22">
            <w:pPr>
              <w:widowControl/>
              <w:ind w:firstLineChars="100" w:firstLine="201"/>
              <w:jc w:val="right"/>
              <w:rPr>
                <w:rFonts w:ascii="Arial" w:hAnsi="Arial"/>
                <w:b/>
                <w:bCs/>
                <w:sz w:val="20"/>
                <w:lang w:eastAsia="sl-SI"/>
              </w:rPr>
            </w:pPr>
            <w:r w:rsidRPr="00424274">
              <w:rPr>
                <w:rFonts w:ascii="Arial" w:hAnsi="Arial"/>
                <w:b/>
                <w:bCs/>
                <w:sz w:val="20"/>
                <w:lang w:eastAsia="sl-SI"/>
              </w:rPr>
              <w:t>667</w:t>
            </w:r>
          </w:p>
        </w:tc>
        <w:tc>
          <w:tcPr>
            <w:tcW w:w="919" w:type="dxa"/>
            <w:tcBorders>
              <w:top w:val="nil"/>
              <w:left w:val="nil"/>
              <w:bottom w:val="single" w:sz="8" w:space="0" w:color="auto"/>
              <w:right w:val="single" w:sz="8" w:space="0" w:color="auto"/>
            </w:tcBorders>
            <w:shd w:val="clear" w:color="000000" w:fill="00CCFF"/>
            <w:noWrap/>
            <w:vAlign w:val="center"/>
            <w:hideMark/>
          </w:tcPr>
          <w:p w14:paraId="17A808E5" w14:textId="77777777" w:rsidR="00D56A22" w:rsidRPr="00424274" w:rsidRDefault="00D56A22" w:rsidP="00D56A22">
            <w:pPr>
              <w:widowControl/>
              <w:ind w:firstLineChars="100" w:firstLine="201"/>
              <w:jc w:val="right"/>
              <w:rPr>
                <w:rFonts w:ascii="Arial" w:hAnsi="Arial"/>
                <w:b/>
                <w:bCs/>
                <w:sz w:val="20"/>
                <w:lang w:eastAsia="sl-SI"/>
              </w:rPr>
            </w:pPr>
            <w:r w:rsidRPr="00424274">
              <w:rPr>
                <w:rFonts w:ascii="Arial" w:hAnsi="Arial"/>
                <w:b/>
                <w:bCs/>
                <w:sz w:val="20"/>
                <w:lang w:eastAsia="sl-SI"/>
              </w:rPr>
              <w:t>966</w:t>
            </w:r>
          </w:p>
        </w:tc>
        <w:tc>
          <w:tcPr>
            <w:tcW w:w="992" w:type="dxa"/>
            <w:tcBorders>
              <w:top w:val="nil"/>
              <w:left w:val="nil"/>
              <w:bottom w:val="single" w:sz="8" w:space="0" w:color="auto"/>
              <w:right w:val="single" w:sz="8" w:space="0" w:color="auto"/>
            </w:tcBorders>
            <w:shd w:val="clear" w:color="000000" w:fill="00CCFF"/>
            <w:noWrap/>
            <w:vAlign w:val="center"/>
            <w:hideMark/>
          </w:tcPr>
          <w:p w14:paraId="2469EC98" w14:textId="77777777" w:rsidR="00D56A22" w:rsidRPr="00424274" w:rsidRDefault="00D56A22" w:rsidP="00D56A22">
            <w:pPr>
              <w:widowControl/>
              <w:ind w:firstLineChars="100" w:firstLine="201"/>
              <w:jc w:val="right"/>
              <w:rPr>
                <w:rFonts w:ascii="Arial" w:hAnsi="Arial"/>
                <w:b/>
                <w:bCs/>
                <w:sz w:val="20"/>
                <w:lang w:eastAsia="sl-SI"/>
              </w:rPr>
            </w:pPr>
            <w:r w:rsidRPr="00424274">
              <w:rPr>
                <w:rFonts w:ascii="Arial" w:hAnsi="Arial"/>
                <w:b/>
                <w:bCs/>
                <w:sz w:val="20"/>
                <w:lang w:eastAsia="sl-SI"/>
              </w:rPr>
              <w:t>267</w:t>
            </w:r>
          </w:p>
        </w:tc>
        <w:tc>
          <w:tcPr>
            <w:tcW w:w="992" w:type="dxa"/>
            <w:tcBorders>
              <w:top w:val="nil"/>
              <w:left w:val="nil"/>
              <w:bottom w:val="single" w:sz="8" w:space="0" w:color="auto"/>
              <w:right w:val="single" w:sz="8" w:space="0" w:color="auto"/>
            </w:tcBorders>
            <w:shd w:val="clear" w:color="000000" w:fill="00CCFF"/>
            <w:noWrap/>
            <w:vAlign w:val="center"/>
            <w:hideMark/>
          </w:tcPr>
          <w:p w14:paraId="0EA64DED" w14:textId="77777777" w:rsidR="00D56A22" w:rsidRPr="00424274" w:rsidRDefault="00D56A22" w:rsidP="00D56A22">
            <w:pPr>
              <w:widowControl/>
              <w:ind w:firstLineChars="100" w:firstLine="201"/>
              <w:jc w:val="right"/>
              <w:rPr>
                <w:rFonts w:ascii="Arial" w:hAnsi="Arial"/>
                <w:b/>
                <w:bCs/>
                <w:sz w:val="20"/>
                <w:lang w:eastAsia="sl-SI"/>
              </w:rPr>
            </w:pPr>
            <w:r w:rsidRPr="00424274">
              <w:rPr>
                <w:rFonts w:ascii="Arial" w:hAnsi="Arial"/>
                <w:b/>
                <w:bCs/>
                <w:sz w:val="20"/>
                <w:lang w:eastAsia="sl-SI"/>
              </w:rPr>
              <w:t>120</w:t>
            </w:r>
          </w:p>
        </w:tc>
        <w:tc>
          <w:tcPr>
            <w:tcW w:w="992" w:type="dxa"/>
            <w:tcBorders>
              <w:top w:val="nil"/>
              <w:left w:val="nil"/>
              <w:bottom w:val="single" w:sz="8" w:space="0" w:color="auto"/>
              <w:right w:val="single" w:sz="8" w:space="0" w:color="auto"/>
            </w:tcBorders>
            <w:shd w:val="clear" w:color="000000" w:fill="00CCFF"/>
            <w:noWrap/>
            <w:vAlign w:val="center"/>
            <w:hideMark/>
          </w:tcPr>
          <w:p w14:paraId="1D08343F" w14:textId="77777777" w:rsidR="00D56A22" w:rsidRPr="00424274" w:rsidRDefault="00D56A22" w:rsidP="00D56A22">
            <w:pPr>
              <w:widowControl/>
              <w:ind w:firstLineChars="100" w:firstLine="201"/>
              <w:jc w:val="right"/>
              <w:rPr>
                <w:rFonts w:ascii="Arial" w:hAnsi="Arial"/>
                <w:b/>
                <w:bCs/>
                <w:sz w:val="20"/>
                <w:lang w:eastAsia="sl-SI"/>
              </w:rPr>
            </w:pPr>
            <w:r w:rsidRPr="00424274">
              <w:rPr>
                <w:rFonts w:ascii="Arial" w:hAnsi="Arial"/>
                <w:b/>
                <w:bCs/>
                <w:sz w:val="20"/>
                <w:lang w:eastAsia="sl-SI"/>
              </w:rPr>
              <w:t>27</w:t>
            </w:r>
          </w:p>
        </w:tc>
      </w:tr>
    </w:tbl>
    <w:p w14:paraId="6DBA0167" w14:textId="13D4BB51" w:rsidR="00D56A22" w:rsidRPr="00424274" w:rsidRDefault="00D56A22" w:rsidP="00631096">
      <w:pPr>
        <w:widowControl/>
        <w:spacing w:line="276" w:lineRule="auto"/>
        <w:ind w:left="1140" w:right="-22" w:hanging="1140"/>
        <w:rPr>
          <w:rFonts w:ascii="Arial" w:hAnsi="Arial"/>
          <w:b/>
          <w:i/>
          <w:sz w:val="20"/>
        </w:rPr>
      </w:pPr>
    </w:p>
    <w:p w14:paraId="6322BF4E" w14:textId="47120BF8" w:rsidR="00D56A22" w:rsidRPr="00424274" w:rsidRDefault="00D56A22" w:rsidP="00631096">
      <w:pPr>
        <w:widowControl/>
        <w:spacing w:line="276" w:lineRule="auto"/>
        <w:ind w:left="1140" w:right="-22" w:hanging="1140"/>
        <w:rPr>
          <w:rFonts w:ascii="Arial" w:hAnsi="Arial"/>
          <w:b/>
          <w:i/>
          <w:sz w:val="20"/>
        </w:rPr>
      </w:pPr>
    </w:p>
    <w:p w14:paraId="19809213" w14:textId="3A5936D4" w:rsidR="004468B0" w:rsidRPr="00424274" w:rsidRDefault="004468B0" w:rsidP="00C34013">
      <w:pPr>
        <w:widowControl/>
        <w:spacing w:line="276" w:lineRule="auto"/>
        <w:ind w:right="-22"/>
        <w:rPr>
          <w:rFonts w:ascii="Arial" w:hAnsi="Arial"/>
          <w:sz w:val="20"/>
        </w:rPr>
      </w:pPr>
      <w:r w:rsidRPr="00424274">
        <w:rPr>
          <w:rFonts w:ascii="Arial" w:hAnsi="Arial"/>
          <w:sz w:val="20"/>
        </w:rPr>
        <w:t xml:space="preserve">Iz </w:t>
      </w:r>
      <w:r w:rsidR="00656FBD">
        <w:rPr>
          <w:rFonts w:ascii="Arial" w:hAnsi="Arial"/>
          <w:sz w:val="20"/>
        </w:rPr>
        <w:t>p</w:t>
      </w:r>
      <w:r w:rsidR="00814A21">
        <w:rPr>
          <w:rFonts w:ascii="Arial" w:hAnsi="Arial"/>
          <w:sz w:val="20"/>
        </w:rPr>
        <w:t>reglednic</w:t>
      </w:r>
      <w:r w:rsidRPr="00424274">
        <w:rPr>
          <w:rFonts w:ascii="Arial" w:hAnsi="Arial"/>
          <w:sz w:val="20"/>
        </w:rPr>
        <w:t>e 11 izhaja, da se je do 31. 12. 2020 od 667 zadev</w:t>
      </w:r>
      <w:r w:rsidR="00656FBD">
        <w:rPr>
          <w:rFonts w:ascii="Arial" w:hAnsi="Arial"/>
          <w:sz w:val="20"/>
        </w:rPr>
        <w:t>,</w:t>
      </w:r>
      <w:r w:rsidRPr="00424274">
        <w:rPr>
          <w:rFonts w:ascii="Arial" w:hAnsi="Arial"/>
          <w:sz w:val="20"/>
        </w:rPr>
        <w:t xml:space="preserve"> povezanih s kaznivim dejanjem pranja denarja</w:t>
      </w:r>
      <w:r w:rsidR="00656FBD">
        <w:rPr>
          <w:rFonts w:ascii="Arial" w:hAnsi="Arial"/>
          <w:sz w:val="20"/>
        </w:rPr>
        <w:t>,</w:t>
      </w:r>
      <w:r w:rsidRPr="00424274">
        <w:rPr>
          <w:rFonts w:ascii="Arial" w:hAnsi="Arial"/>
          <w:sz w:val="20"/>
        </w:rPr>
        <w:t xml:space="preserve"> </w:t>
      </w:r>
      <w:r w:rsidRPr="00424274">
        <w:rPr>
          <w:rFonts w:ascii="Arial" w:hAnsi="Arial"/>
          <w:b/>
          <w:sz w:val="20"/>
        </w:rPr>
        <w:t>pravnomočno končalo že 336 zadev</w:t>
      </w:r>
      <w:r w:rsidR="00A72785">
        <w:rPr>
          <w:rFonts w:ascii="Arial" w:hAnsi="Arial"/>
          <w:b/>
          <w:sz w:val="20"/>
        </w:rPr>
        <w:t xml:space="preserve">, </w:t>
      </w:r>
      <w:r w:rsidR="00A72785" w:rsidRPr="00C95485">
        <w:rPr>
          <w:rFonts w:ascii="Arial" w:hAnsi="Arial"/>
          <w:sz w:val="20"/>
        </w:rPr>
        <w:t>in sicer tako</w:t>
      </w:r>
      <w:r w:rsidRPr="00424274">
        <w:rPr>
          <w:rFonts w:ascii="Arial" w:hAnsi="Arial"/>
          <w:sz w:val="20"/>
        </w:rPr>
        <w:t>:</w:t>
      </w:r>
    </w:p>
    <w:p w14:paraId="7470B432" w14:textId="77777777" w:rsidR="004468B0" w:rsidRPr="00424274" w:rsidRDefault="004468B0" w:rsidP="004468B0">
      <w:pPr>
        <w:widowControl/>
        <w:numPr>
          <w:ilvl w:val="0"/>
          <w:numId w:val="13"/>
        </w:numPr>
        <w:spacing w:line="276" w:lineRule="auto"/>
        <w:ind w:right="-22"/>
        <w:rPr>
          <w:rFonts w:ascii="Arial" w:hAnsi="Arial"/>
          <w:sz w:val="20"/>
        </w:rPr>
      </w:pPr>
      <w:r w:rsidRPr="00424274">
        <w:rPr>
          <w:rFonts w:ascii="Arial" w:hAnsi="Arial"/>
          <w:b/>
          <w:bCs/>
          <w:i/>
          <w:iCs/>
          <w:sz w:val="20"/>
          <w:u w:val="single"/>
        </w:rPr>
        <w:t>v 112 zadevah je tožilstvo zavrglo kazensko ovadbo</w:t>
      </w:r>
      <w:r w:rsidRPr="00424274">
        <w:rPr>
          <w:rFonts w:ascii="Arial" w:hAnsi="Arial"/>
          <w:sz w:val="20"/>
        </w:rPr>
        <w:t>,</w:t>
      </w:r>
    </w:p>
    <w:p w14:paraId="22BDE571" w14:textId="77777777" w:rsidR="004468B0" w:rsidRPr="00424274" w:rsidRDefault="004468B0" w:rsidP="004468B0">
      <w:pPr>
        <w:widowControl/>
        <w:numPr>
          <w:ilvl w:val="0"/>
          <w:numId w:val="13"/>
        </w:numPr>
        <w:spacing w:line="276" w:lineRule="auto"/>
        <w:ind w:right="-22"/>
        <w:rPr>
          <w:rFonts w:ascii="Arial" w:hAnsi="Arial"/>
          <w:b/>
          <w:i/>
          <w:sz w:val="20"/>
          <w:u w:val="single"/>
        </w:rPr>
      </w:pPr>
      <w:r w:rsidRPr="00424274">
        <w:rPr>
          <w:rFonts w:ascii="Arial" w:hAnsi="Arial"/>
          <w:b/>
          <w:i/>
          <w:sz w:val="20"/>
          <w:u w:val="single"/>
        </w:rPr>
        <w:t>v 29 zadevah je bila izrečena pravnomočna oprostilna sodba,</w:t>
      </w:r>
    </w:p>
    <w:p w14:paraId="6A17DC84" w14:textId="0B9943C0" w:rsidR="004468B0" w:rsidRPr="00424274" w:rsidRDefault="004468B0" w:rsidP="004468B0">
      <w:pPr>
        <w:widowControl/>
        <w:numPr>
          <w:ilvl w:val="0"/>
          <w:numId w:val="13"/>
        </w:numPr>
        <w:spacing w:line="276" w:lineRule="auto"/>
        <w:ind w:right="-22"/>
        <w:rPr>
          <w:rFonts w:ascii="Arial" w:hAnsi="Arial"/>
          <w:b/>
          <w:i/>
          <w:sz w:val="20"/>
          <w:u w:val="single"/>
        </w:rPr>
      </w:pPr>
      <w:r w:rsidRPr="00424274">
        <w:rPr>
          <w:rFonts w:ascii="Arial" w:hAnsi="Arial"/>
          <w:b/>
          <w:i/>
          <w:sz w:val="20"/>
          <w:u w:val="single"/>
        </w:rPr>
        <w:t>101 zadeva se je končal</w:t>
      </w:r>
      <w:r w:rsidR="00A72785">
        <w:rPr>
          <w:rFonts w:ascii="Arial" w:hAnsi="Arial"/>
          <w:b/>
          <w:i/>
          <w:sz w:val="20"/>
          <w:u w:val="single"/>
        </w:rPr>
        <w:t>a</w:t>
      </w:r>
      <w:r w:rsidRPr="00424274">
        <w:rPr>
          <w:rFonts w:ascii="Arial" w:hAnsi="Arial"/>
          <w:b/>
          <w:i/>
          <w:sz w:val="20"/>
          <w:u w:val="single"/>
        </w:rPr>
        <w:t xml:space="preserve"> s pravnomočno obsodilno sodbo,</w:t>
      </w:r>
    </w:p>
    <w:p w14:paraId="3073A432" w14:textId="77777777" w:rsidR="004468B0" w:rsidRPr="00424274" w:rsidRDefault="004468B0" w:rsidP="004468B0">
      <w:pPr>
        <w:widowControl/>
        <w:numPr>
          <w:ilvl w:val="0"/>
          <w:numId w:val="13"/>
        </w:numPr>
        <w:spacing w:line="276" w:lineRule="auto"/>
        <w:ind w:right="-22"/>
        <w:rPr>
          <w:rFonts w:ascii="Arial" w:hAnsi="Arial"/>
          <w:sz w:val="20"/>
        </w:rPr>
      </w:pPr>
      <w:r w:rsidRPr="00424274">
        <w:rPr>
          <w:rFonts w:ascii="Arial" w:hAnsi="Arial"/>
          <w:sz w:val="20"/>
        </w:rPr>
        <w:t>v 70 zadevah je tožilstvo odstopilo od pregona ali pa je sodišče ustavilo kazenski pregon,</w:t>
      </w:r>
    </w:p>
    <w:p w14:paraId="5F6EEFBF" w14:textId="62C611C3" w:rsidR="004468B0" w:rsidRPr="00424274" w:rsidRDefault="00656FBD" w:rsidP="004468B0">
      <w:pPr>
        <w:widowControl/>
        <w:numPr>
          <w:ilvl w:val="0"/>
          <w:numId w:val="13"/>
        </w:numPr>
        <w:spacing w:line="276" w:lineRule="auto"/>
        <w:ind w:right="-22"/>
        <w:rPr>
          <w:rFonts w:ascii="Arial" w:hAnsi="Arial"/>
          <w:sz w:val="20"/>
        </w:rPr>
      </w:pPr>
      <w:r>
        <w:rPr>
          <w:rFonts w:ascii="Arial" w:hAnsi="Arial"/>
          <w:sz w:val="20"/>
        </w:rPr>
        <w:t>šest</w:t>
      </w:r>
      <w:r w:rsidR="004468B0" w:rsidRPr="00424274">
        <w:rPr>
          <w:rFonts w:ascii="Arial" w:hAnsi="Arial"/>
          <w:sz w:val="20"/>
        </w:rPr>
        <w:t xml:space="preserve"> zadev je bilo v nadaljnje reševanje odstopljen</w:t>
      </w:r>
      <w:r>
        <w:rPr>
          <w:rFonts w:ascii="Arial" w:hAnsi="Arial"/>
          <w:sz w:val="20"/>
        </w:rPr>
        <w:t>ih</w:t>
      </w:r>
      <w:r w:rsidR="004468B0" w:rsidRPr="00424274">
        <w:rPr>
          <w:rFonts w:ascii="Arial" w:hAnsi="Arial"/>
          <w:sz w:val="20"/>
        </w:rPr>
        <w:t xml:space="preserve"> v tujino,</w:t>
      </w:r>
    </w:p>
    <w:p w14:paraId="3DF06D92" w14:textId="63A45688" w:rsidR="004468B0" w:rsidRPr="00424274" w:rsidRDefault="00656FBD" w:rsidP="004468B0">
      <w:pPr>
        <w:widowControl/>
        <w:numPr>
          <w:ilvl w:val="0"/>
          <w:numId w:val="13"/>
        </w:numPr>
        <w:spacing w:line="276" w:lineRule="auto"/>
        <w:ind w:right="-22"/>
        <w:rPr>
          <w:rFonts w:ascii="Arial" w:hAnsi="Arial"/>
          <w:sz w:val="20"/>
        </w:rPr>
      </w:pPr>
      <w:r>
        <w:rPr>
          <w:rFonts w:ascii="Arial" w:hAnsi="Arial"/>
          <w:sz w:val="20"/>
        </w:rPr>
        <w:t>pet</w:t>
      </w:r>
      <w:r w:rsidR="004468B0" w:rsidRPr="00424274">
        <w:rPr>
          <w:rFonts w:ascii="Arial" w:hAnsi="Arial"/>
          <w:sz w:val="20"/>
        </w:rPr>
        <w:t xml:space="preserve"> zadev se je končalo s prekvalifikacijo v drugo kaznivo dejanje,</w:t>
      </w:r>
    </w:p>
    <w:p w14:paraId="4BA84531" w14:textId="77777777" w:rsidR="004468B0" w:rsidRPr="00424274" w:rsidRDefault="004468B0" w:rsidP="004468B0">
      <w:pPr>
        <w:widowControl/>
        <w:numPr>
          <w:ilvl w:val="0"/>
          <w:numId w:val="13"/>
        </w:numPr>
        <w:spacing w:line="276" w:lineRule="auto"/>
        <w:ind w:right="-22"/>
        <w:rPr>
          <w:rFonts w:ascii="Arial" w:hAnsi="Arial"/>
          <w:sz w:val="20"/>
        </w:rPr>
      </w:pPr>
      <w:r w:rsidRPr="00424274">
        <w:rPr>
          <w:rFonts w:ascii="Arial" w:hAnsi="Arial"/>
          <w:sz w:val="20"/>
        </w:rPr>
        <w:t>v 13 zadevah so tožilstva ali sodišča sklenila, da združijo predkazenske ali kazenske postopke.</w:t>
      </w:r>
    </w:p>
    <w:p w14:paraId="117349C3" w14:textId="77777777" w:rsidR="004468B0" w:rsidRPr="00424274" w:rsidRDefault="004468B0" w:rsidP="004468B0">
      <w:pPr>
        <w:widowControl/>
        <w:spacing w:line="276" w:lineRule="auto"/>
        <w:ind w:right="-22"/>
        <w:rPr>
          <w:rFonts w:ascii="Arial" w:hAnsi="Arial"/>
          <w:sz w:val="20"/>
          <w:highlight w:val="yellow"/>
        </w:rPr>
      </w:pPr>
    </w:p>
    <w:p w14:paraId="0EE172F8" w14:textId="6A4328EE" w:rsidR="004468B0" w:rsidRPr="00424274" w:rsidRDefault="004468B0" w:rsidP="004468B0">
      <w:pPr>
        <w:widowControl/>
        <w:spacing w:line="276" w:lineRule="auto"/>
        <w:ind w:right="-22"/>
        <w:rPr>
          <w:rFonts w:ascii="Arial" w:hAnsi="Arial"/>
          <w:sz w:val="20"/>
        </w:rPr>
      </w:pPr>
      <w:r w:rsidRPr="00424274">
        <w:rPr>
          <w:rFonts w:ascii="Arial" w:hAnsi="Arial"/>
          <w:sz w:val="20"/>
        </w:rPr>
        <w:t xml:space="preserve">V nadaljnjih </w:t>
      </w:r>
      <w:r w:rsidRPr="00424274">
        <w:rPr>
          <w:rFonts w:ascii="Arial" w:hAnsi="Arial"/>
          <w:b/>
          <w:sz w:val="20"/>
          <w:u w:val="single"/>
        </w:rPr>
        <w:t>147</w:t>
      </w:r>
      <w:r w:rsidRPr="00424274">
        <w:rPr>
          <w:rFonts w:ascii="Arial" w:hAnsi="Arial"/>
          <w:b/>
          <w:bCs/>
          <w:sz w:val="20"/>
          <w:u w:val="single"/>
        </w:rPr>
        <w:t xml:space="preserve"> z</w:t>
      </w:r>
      <w:r w:rsidRPr="00424274">
        <w:rPr>
          <w:rFonts w:ascii="Arial" w:hAnsi="Arial"/>
          <w:b/>
          <w:sz w:val="20"/>
          <w:u w:val="single"/>
        </w:rPr>
        <w:t>adevah tožilstvo še ni sprejelo odločitve</w:t>
      </w:r>
      <w:r w:rsidRPr="00424274">
        <w:rPr>
          <w:rFonts w:ascii="Arial" w:hAnsi="Arial"/>
          <w:sz w:val="20"/>
        </w:rPr>
        <w:t xml:space="preserve"> o kazenskem pregonu in v </w:t>
      </w:r>
      <w:r w:rsidR="00656FBD">
        <w:rPr>
          <w:rFonts w:ascii="Arial" w:hAnsi="Arial"/>
          <w:b/>
          <w:sz w:val="20"/>
          <w:u w:val="single"/>
        </w:rPr>
        <w:t>eni</w:t>
      </w:r>
      <w:r w:rsidRPr="00424274">
        <w:rPr>
          <w:rFonts w:ascii="Arial" w:hAnsi="Arial"/>
          <w:b/>
          <w:sz w:val="20"/>
          <w:u w:val="single"/>
        </w:rPr>
        <w:t xml:space="preserve"> zadevi odložilo pregon</w:t>
      </w:r>
      <w:r w:rsidRPr="00424274">
        <w:rPr>
          <w:rFonts w:ascii="Arial" w:hAnsi="Arial"/>
          <w:sz w:val="20"/>
        </w:rPr>
        <w:t xml:space="preserve">, medtem ko je v </w:t>
      </w:r>
      <w:r w:rsidRPr="00424274">
        <w:rPr>
          <w:rFonts w:ascii="Arial" w:hAnsi="Arial"/>
          <w:b/>
          <w:sz w:val="20"/>
          <w:u w:val="single"/>
        </w:rPr>
        <w:t xml:space="preserve">183 zadevah tožilstvo že </w:t>
      </w:r>
      <w:r w:rsidR="00D62C41">
        <w:rPr>
          <w:rFonts w:ascii="Arial" w:hAnsi="Arial"/>
          <w:b/>
          <w:sz w:val="20"/>
          <w:u w:val="single"/>
        </w:rPr>
        <w:t>za</w:t>
      </w:r>
      <w:r w:rsidRPr="00424274">
        <w:rPr>
          <w:rFonts w:ascii="Arial" w:hAnsi="Arial"/>
          <w:b/>
          <w:sz w:val="20"/>
          <w:u w:val="single"/>
        </w:rPr>
        <w:t>čelo predkazensk</w:t>
      </w:r>
      <w:r w:rsidR="00093FD6">
        <w:rPr>
          <w:rFonts w:ascii="Arial" w:hAnsi="Arial"/>
          <w:b/>
          <w:sz w:val="20"/>
          <w:u w:val="single"/>
        </w:rPr>
        <w:t>e</w:t>
      </w:r>
      <w:r w:rsidRPr="00424274">
        <w:rPr>
          <w:rFonts w:ascii="Arial" w:hAnsi="Arial"/>
          <w:b/>
          <w:sz w:val="20"/>
          <w:u w:val="single"/>
        </w:rPr>
        <w:t xml:space="preserve"> in kazensk</w:t>
      </w:r>
      <w:r w:rsidR="00093FD6">
        <w:rPr>
          <w:rFonts w:ascii="Arial" w:hAnsi="Arial"/>
          <w:b/>
          <w:sz w:val="20"/>
          <w:u w:val="single"/>
        </w:rPr>
        <w:t>e</w:t>
      </w:r>
      <w:r w:rsidRPr="00424274">
        <w:rPr>
          <w:rFonts w:ascii="Arial" w:hAnsi="Arial"/>
          <w:b/>
          <w:sz w:val="20"/>
          <w:u w:val="single"/>
        </w:rPr>
        <w:t xml:space="preserve"> postopk</w:t>
      </w:r>
      <w:r w:rsidR="00093FD6">
        <w:rPr>
          <w:rFonts w:ascii="Arial" w:hAnsi="Arial"/>
          <w:b/>
          <w:sz w:val="20"/>
          <w:u w:val="single"/>
        </w:rPr>
        <w:t>e</w:t>
      </w:r>
      <w:r w:rsidRPr="00424274">
        <w:rPr>
          <w:rFonts w:ascii="Arial" w:hAnsi="Arial"/>
          <w:sz w:val="20"/>
        </w:rPr>
        <w:t xml:space="preserve"> na sodišču, ki so </w:t>
      </w:r>
      <w:r w:rsidR="00093FD6">
        <w:rPr>
          <w:rFonts w:ascii="Arial" w:hAnsi="Arial"/>
          <w:sz w:val="20"/>
        </w:rPr>
        <w:t>bili</w:t>
      </w:r>
      <w:r w:rsidR="00093FD6" w:rsidRPr="00424274">
        <w:rPr>
          <w:rFonts w:ascii="Arial" w:hAnsi="Arial"/>
          <w:sz w:val="20"/>
        </w:rPr>
        <w:t xml:space="preserve"> </w:t>
      </w:r>
      <w:r w:rsidRPr="00424274">
        <w:rPr>
          <w:rFonts w:ascii="Arial" w:hAnsi="Arial"/>
          <w:sz w:val="20"/>
        </w:rPr>
        <w:t>na dan 31. 12. 2020 v naslednjih fazah:</w:t>
      </w:r>
    </w:p>
    <w:p w14:paraId="7A043F40" w14:textId="77777777" w:rsidR="004468B0" w:rsidRPr="00424274" w:rsidRDefault="004468B0" w:rsidP="004468B0">
      <w:pPr>
        <w:widowControl/>
        <w:numPr>
          <w:ilvl w:val="0"/>
          <w:numId w:val="14"/>
        </w:numPr>
        <w:spacing w:line="276" w:lineRule="auto"/>
        <w:ind w:right="-22"/>
        <w:rPr>
          <w:rFonts w:ascii="Arial" w:hAnsi="Arial"/>
          <w:b/>
          <w:bCs/>
          <w:sz w:val="20"/>
          <w:u w:val="single"/>
        </w:rPr>
      </w:pPr>
      <w:r w:rsidRPr="00424274">
        <w:rPr>
          <w:rFonts w:ascii="Arial" w:hAnsi="Arial"/>
          <w:b/>
          <w:bCs/>
          <w:sz w:val="20"/>
          <w:u w:val="single"/>
        </w:rPr>
        <w:t>45 zadev je bilo v fazi zahteve za preiskavo,</w:t>
      </w:r>
    </w:p>
    <w:p w14:paraId="0FFB6C12" w14:textId="77777777" w:rsidR="004468B0" w:rsidRPr="00424274" w:rsidRDefault="004468B0" w:rsidP="004468B0">
      <w:pPr>
        <w:widowControl/>
        <w:numPr>
          <w:ilvl w:val="0"/>
          <w:numId w:val="14"/>
        </w:numPr>
        <w:spacing w:line="276" w:lineRule="auto"/>
        <w:ind w:right="-22"/>
        <w:rPr>
          <w:rFonts w:ascii="Arial" w:hAnsi="Arial"/>
          <w:b/>
          <w:bCs/>
          <w:sz w:val="20"/>
          <w:u w:val="single"/>
        </w:rPr>
      </w:pPr>
      <w:r w:rsidRPr="00424274">
        <w:rPr>
          <w:rFonts w:ascii="Arial" w:hAnsi="Arial"/>
          <w:b/>
          <w:bCs/>
          <w:sz w:val="20"/>
          <w:u w:val="single"/>
        </w:rPr>
        <w:t>v 28 zadevah je bila preiskava že uvedena,</w:t>
      </w:r>
    </w:p>
    <w:p w14:paraId="3B6D9EB8" w14:textId="77777777" w:rsidR="004468B0" w:rsidRPr="00424274" w:rsidRDefault="004468B0" w:rsidP="004468B0">
      <w:pPr>
        <w:widowControl/>
        <w:numPr>
          <w:ilvl w:val="0"/>
          <w:numId w:val="14"/>
        </w:numPr>
        <w:spacing w:line="276" w:lineRule="auto"/>
        <w:ind w:right="-22"/>
        <w:rPr>
          <w:rFonts w:ascii="Arial" w:hAnsi="Arial"/>
          <w:b/>
          <w:bCs/>
          <w:sz w:val="20"/>
          <w:u w:val="single"/>
        </w:rPr>
      </w:pPr>
      <w:r w:rsidRPr="00424274">
        <w:rPr>
          <w:rFonts w:ascii="Arial" w:hAnsi="Arial"/>
          <w:b/>
          <w:bCs/>
          <w:sz w:val="20"/>
          <w:u w:val="single"/>
        </w:rPr>
        <w:t>110 zadev je bilo v fazi obtožnice.</w:t>
      </w:r>
    </w:p>
    <w:p w14:paraId="776ECAD0" w14:textId="77777777" w:rsidR="004468B0" w:rsidRPr="00424274" w:rsidRDefault="004468B0" w:rsidP="004468B0">
      <w:pPr>
        <w:widowControl/>
        <w:spacing w:line="276" w:lineRule="auto"/>
        <w:ind w:right="-22"/>
        <w:rPr>
          <w:rFonts w:ascii="Arial" w:hAnsi="Arial"/>
          <w:sz w:val="20"/>
        </w:rPr>
      </w:pPr>
    </w:p>
    <w:p w14:paraId="706782D3" w14:textId="2D862D6B" w:rsidR="004468B0" w:rsidRPr="00424274" w:rsidRDefault="004468B0" w:rsidP="004468B0">
      <w:pPr>
        <w:widowControl/>
        <w:spacing w:line="276" w:lineRule="auto"/>
        <w:ind w:right="-22"/>
        <w:rPr>
          <w:rFonts w:ascii="Arial" w:hAnsi="Arial"/>
          <w:sz w:val="20"/>
        </w:rPr>
      </w:pPr>
      <w:r w:rsidRPr="00424274">
        <w:rPr>
          <w:rFonts w:ascii="Arial" w:hAnsi="Arial"/>
          <w:sz w:val="20"/>
        </w:rPr>
        <w:t xml:space="preserve">V naslednji </w:t>
      </w:r>
      <w:r w:rsidR="00814A21">
        <w:rPr>
          <w:rFonts w:ascii="Arial" w:hAnsi="Arial"/>
          <w:sz w:val="20"/>
        </w:rPr>
        <w:t>preglednici</w:t>
      </w:r>
      <w:r w:rsidRPr="00424274">
        <w:rPr>
          <w:rFonts w:ascii="Arial" w:hAnsi="Arial"/>
          <w:sz w:val="20"/>
        </w:rPr>
        <w:t xml:space="preserve"> prikazujemo število vseh zadev, v katerih potekajo kazenski postopki zaradi kaznivega dejanja pranja denarja, na zadnji dan posameznega leta, iz katere je razvidno, da so se v zadnjih desetih letih povprečno na leto začeli postopki v skoraj 51 novih zadevah</w:t>
      </w:r>
      <w:r w:rsidR="00093FD6">
        <w:rPr>
          <w:rFonts w:ascii="Arial" w:hAnsi="Arial"/>
          <w:sz w:val="20"/>
        </w:rPr>
        <w:t>,</w:t>
      </w:r>
      <w:r w:rsidRPr="00424274">
        <w:rPr>
          <w:rFonts w:ascii="Arial" w:hAnsi="Arial"/>
          <w:sz w:val="20"/>
        </w:rPr>
        <w:t xml:space="preserve"> povezanih s storitvijo kaznivega dejanja pranja denarja. </w:t>
      </w:r>
    </w:p>
    <w:p w14:paraId="2CA723FB" w14:textId="3BB9CD8D" w:rsidR="00E260AF" w:rsidRDefault="00E260AF" w:rsidP="002771F1">
      <w:pPr>
        <w:pStyle w:val="Telobesedila"/>
        <w:spacing w:line="276" w:lineRule="auto"/>
        <w:ind w:right="-22"/>
        <w:rPr>
          <w:rFonts w:ascii="Arial" w:hAnsi="Arial"/>
          <w:sz w:val="20"/>
        </w:rPr>
      </w:pPr>
    </w:p>
    <w:p w14:paraId="620F6693" w14:textId="03DEF2C4" w:rsidR="00D3083D" w:rsidRDefault="00D3083D" w:rsidP="002771F1">
      <w:pPr>
        <w:pStyle w:val="Telobesedila"/>
        <w:spacing w:line="276" w:lineRule="auto"/>
        <w:ind w:right="-22"/>
        <w:rPr>
          <w:rFonts w:ascii="Arial" w:hAnsi="Arial"/>
          <w:sz w:val="20"/>
        </w:rPr>
      </w:pPr>
    </w:p>
    <w:p w14:paraId="1B14091F" w14:textId="6AAE9B6A" w:rsidR="00D3083D" w:rsidRDefault="00D3083D" w:rsidP="002771F1">
      <w:pPr>
        <w:pStyle w:val="Telobesedila"/>
        <w:spacing w:line="276" w:lineRule="auto"/>
        <w:ind w:right="-22"/>
        <w:rPr>
          <w:rFonts w:ascii="Arial" w:hAnsi="Arial"/>
          <w:sz w:val="20"/>
        </w:rPr>
      </w:pPr>
    </w:p>
    <w:p w14:paraId="478D1157" w14:textId="09DF1CA9" w:rsidR="00D3083D" w:rsidRDefault="00D3083D" w:rsidP="002771F1">
      <w:pPr>
        <w:pStyle w:val="Telobesedila"/>
        <w:spacing w:line="276" w:lineRule="auto"/>
        <w:ind w:right="-22"/>
        <w:rPr>
          <w:rFonts w:ascii="Arial" w:hAnsi="Arial"/>
          <w:sz w:val="20"/>
        </w:rPr>
      </w:pPr>
    </w:p>
    <w:p w14:paraId="4F5B4201" w14:textId="7B000C8E" w:rsidR="00D3083D" w:rsidRDefault="00D3083D" w:rsidP="002771F1">
      <w:pPr>
        <w:pStyle w:val="Telobesedila"/>
        <w:spacing w:line="276" w:lineRule="auto"/>
        <w:ind w:right="-22"/>
        <w:rPr>
          <w:rFonts w:ascii="Arial" w:hAnsi="Arial"/>
          <w:sz w:val="20"/>
        </w:rPr>
      </w:pPr>
    </w:p>
    <w:p w14:paraId="4BEEAEE1" w14:textId="1EB7BAFE" w:rsidR="00D3083D" w:rsidRDefault="00D3083D" w:rsidP="002771F1">
      <w:pPr>
        <w:pStyle w:val="Telobesedila"/>
        <w:spacing w:line="276" w:lineRule="auto"/>
        <w:ind w:right="-22"/>
        <w:rPr>
          <w:rFonts w:ascii="Arial" w:hAnsi="Arial"/>
          <w:sz w:val="20"/>
        </w:rPr>
      </w:pPr>
    </w:p>
    <w:p w14:paraId="098D602B" w14:textId="0FAF0673" w:rsidR="00D3083D" w:rsidRDefault="00D3083D" w:rsidP="002771F1">
      <w:pPr>
        <w:pStyle w:val="Telobesedila"/>
        <w:spacing w:line="276" w:lineRule="auto"/>
        <w:ind w:right="-22"/>
        <w:rPr>
          <w:rFonts w:ascii="Arial" w:hAnsi="Arial"/>
          <w:sz w:val="20"/>
        </w:rPr>
      </w:pPr>
    </w:p>
    <w:p w14:paraId="48971F6D" w14:textId="689D7488" w:rsidR="00D3083D" w:rsidRDefault="00D3083D" w:rsidP="002771F1">
      <w:pPr>
        <w:pStyle w:val="Telobesedila"/>
        <w:spacing w:line="276" w:lineRule="auto"/>
        <w:ind w:right="-22"/>
        <w:rPr>
          <w:rFonts w:ascii="Arial" w:hAnsi="Arial"/>
          <w:sz w:val="20"/>
        </w:rPr>
      </w:pPr>
    </w:p>
    <w:p w14:paraId="7B8C80BC" w14:textId="77777777" w:rsidR="00D3083D" w:rsidRPr="00424274" w:rsidRDefault="00D3083D" w:rsidP="002771F1">
      <w:pPr>
        <w:pStyle w:val="Telobesedila"/>
        <w:spacing w:line="276" w:lineRule="auto"/>
        <w:ind w:right="-22"/>
        <w:rPr>
          <w:rFonts w:ascii="Arial" w:hAnsi="Arial"/>
          <w:sz w:val="20"/>
        </w:rPr>
      </w:pPr>
    </w:p>
    <w:p w14:paraId="145F12E0" w14:textId="77777777" w:rsidR="00710289" w:rsidRPr="00424274" w:rsidRDefault="00710289" w:rsidP="00D21F86">
      <w:pPr>
        <w:pStyle w:val="Telobesedila"/>
        <w:spacing w:line="276" w:lineRule="auto"/>
        <w:ind w:right="-22"/>
        <w:rPr>
          <w:rFonts w:ascii="Arial" w:hAnsi="Arial"/>
          <w:sz w:val="20"/>
        </w:rPr>
      </w:pPr>
    </w:p>
    <w:p w14:paraId="549B6445" w14:textId="37553968" w:rsidR="00FF277B" w:rsidRPr="00424274" w:rsidRDefault="00814A21" w:rsidP="00FF277B">
      <w:pPr>
        <w:widowControl/>
        <w:spacing w:line="276" w:lineRule="auto"/>
        <w:ind w:left="1140" w:right="-22" w:hanging="1140"/>
        <w:rPr>
          <w:rFonts w:ascii="Arial" w:hAnsi="Arial"/>
          <w:b/>
          <w:i/>
          <w:sz w:val="20"/>
        </w:rPr>
      </w:pPr>
      <w:r>
        <w:rPr>
          <w:rFonts w:ascii="Arial" w:hAnsi="Arial"/>
          <w:b/>
          <w:i/>
          <w:sz w:val="20"/>
        </w:rPr>
        <w:t>Preglednica</w:t>
      </w:r>
      <w:r w:rsidR="00FF277B" w:rsidRPr="00424274">
        <w:rPr>
          <w:rFonts w:ascii="Arial" w:hAnsi="Arial"/>
          <w:b/>
          <w:i/>
          <w:sz w:val="20"/>
        </w:rPr>
        <w:t xml:space="preserve"> 12: Primerjava števila zadev</w:t>
      </w:r>
      <w:r w:rsidR="00093FD6">
        <w:rPr>
          <w:rFonts w:ascii="Arial" w:hAnsi="Arial"/>
          <w:b/>
          <w:i/>
          <w:sz w:val="20"/>
        </w:rPr>
        <w:t>,</w:t>
      </w:r>
      <w:r w:rsidR="00FF277B" w:rsidRPr="00424274">
        <w:rPr>
          <w:rFonts w:ascii="Arial" w:hAnsi="Arial"/>
          <w:b/>
          <w:i/>
          <w:sz w:val="20"/>
        </w:rPr>
        <w:t xml:space="preserve"> povezanih s storitvijo kaznivega dejanja pranja denarja</w:t>
      </w:r>
      <w:r w:rsidR="00093FD6">
        <w:rPr>
          <w:rFonts w:ascii="Arial" w:hAnsi="Arial"/>
          <w:b/>
          <w:i/>
          <w:sz w:val="20"/>
        </w:rPr>
        <w:t>,</w:t>
      </w:r>
      <w:r w:rsidR="00FF277B" w:rsidRPr="00424274">
        <w:rPr>
          <w:rFonts w:ascii="Arial" w:hAnsi="Arial"/>
          <w:b/>
          <w:i/>
          <w:sz w:val="20"/>
        </w:rPr>
        <w:t xml:space="preserve"> po fazah postopkov na zadnji dan posameznega leta za obdobje 2011–2020</w:t>
      </w:r>
    </w:p>
    <w:p w14:paraId="34481997" w14:textId="4D0A892D" w:rsidR="00937C64" w:rsidRPr="00424274" w:rsidRDefault="00937C64" w:rsidP="00602A4D">
      <w:pPr>
        <w:widowControl/>
        <w:spacing w:line="276" w:lineRule="auto"/>
        <w:ind w:right="-22"/>
        <w:rPr>
          <w:rFonts w:ascii="Arial" w:hAnsi="Arial"/>
          <w:b/>
          <w:i/>
          <w:sz w:val="20"/>
        </w:rPr>
      </w:pPr>
    </w:p>
    <w:p w14:paraId="283D5C97" w14:textId="5515CD25" w:rsidR="00937C64" w:rsidRPr="00424274" w:rsidRDefault="00937C64" w:rsidP="00FF277B">
      <w:pPr>
        <w:widowControl/>
        <w:spacing w:line="276" w:lineRule="auto"/>
        <w:ind w:left="1140" w:right="-22" w:hanging="1140"/>
        <w:rPr>
          <w:rFonts w:ascii="Arial" w:hAnsi="Arial"/>
          <w:b/>
          <w:i/>
          <w:sz w:val="20"/>
        </w:rPr>
      </w:pPr>
    </w:p>
    <w:tbl>
      <w:tblPr>
        <w:tblW w:w="9608" w:type="dxa"/>
        <w:tblInd w:w="-40" w:type="dxa"/>
        <w:tblCellMar>
          <w:left w:w="70" w:type="dxa"/>
          <w:right w:w="70" w:type="dxa"/>
        </w:tblCellMar>
        <w:tblLook w:val="04A0" w:firstRow="1" w:lastRow="0" w:firstColumn="1" w:lastColumn="0" w:noHBand="0" w:noVBand="1"/>
      </w:tblPr>
      <w:tblGrid>
        <w:gridCol w:w="3688"/>
        <w:gridCol w:w="603"/>
        <w:gridCol w:w="603"/>
        <w:gridCol w:w="603"/>
        <w:gridCol w:w="604"/>
        <w:gridCol w:w="604"/>
        <w:gridCol w:w="560"/>
        <w:gridCol w:w="560"/>
        <w:gridCol w:w="560"/>
        <w:gridCol w:w="560"/>
        <w:gridCol w:w="663"/>
      </w:tblGrid>
      <w:tr w:rsidR="00937C64" w:rsidRPr="00424274" w14:paraId="512920D0" w14:textId="77777777" w:rsidTr="00472BE5">
        <w:trPr>
          <w:trHeight w:val="360"/>
        </w:trPr>
        <w:tc>
          <w:tcPr>
            <w:tcW w:w="3688" w:type="dxa"/>
            <w:tcBorders>
              <w:top w:val="single" w:sz="8" w:space="0" w:color="auto"/>
              <w:left w:val="single" w:sz="8" w:space="0" w:color="auto"/>
              <w:bottom w:val="single" w:sz="8" w:space="0" w:color="auto"/>
              <w:right w:val="single" w:sz="8" w:space="0" w:color="auto"/>
            </w:tcBorders>
            <w:shd w:val="clear" w:color="auto" w:fill="00CCFF"/>
            <w:noWrap/>
            <w:vAlign w:val="bottom"/>
            <w:hideMark/>
          </w:tcPr>
          <w:p w14:paraId="45CF6382" w14:textId="138B2DA9" w:rsidR="00937C64" w:rsidRPr="00424274" w:rsidRDefault="00937C64" w:rsidP="00937C64">
            <w:pPr>
              <w:widowControl/>
              <w:jc w:val="center"/>
              <w:rPr>
                <w:rFonts w:ascii="Arial" w:hAnsi="Arial"/>
                <w:b/>
                <w:bCs/>
                <w:sz w:val="18"/>
                <w:szCs w:val="18"/>
                <w:lang w:eastAsia="sl-SI"/>
              </w:rPr>
            </w:pPr>
            <w:r w:rsidRPr="00424274">
              <w:rPr>
                <w:rFonts w:ascii="Arial" w:hAnsi="Arial"/>
                <w:b/>
                <w:bCs/>
                <w:sz w:val="18"/>
                <w:szCs w:val="18"/>
                <w:lang w:eastAsia="sl-SI"/>
              </w:rPr>
              <w:lastRenderedPageBreak/>
              <w:t>FAZE POSTOPKOV</w:t>
            </w:r>
          </w:p>
        </w:tc>
        <w:tc>
          <w:tcPr>
            <w:tcW w:w="603" w:type="dxa"/>
            <w:tcBorders>
              <w:top w:val="single" w:sz="8" w:space="0" w:color="auto"/>
              <w:left w:val="nil"/>
              <w:bottom w:val="single" w:sz="8" w:space="0" w:color="auto"/>
              <w:right w:val="single" w:sz="8" w:space="0" w:color="auto"/>
            </w:tcBorders>
            <w:shd w:val="clear" w:color="auto" w:fill="00CCFF"/>
            <w:noWrap/>
            <w:vAlign w:val="bottom"/>
            <w:hideMark/>
          </w:tcPr>
          <w:p w14:paraId="40295761" w14:textId="77777777" w:rsidR="00937C64" w:rsidRPr="00424274" w:rsidRDefault="00937C64" w:rsidP="00937C64">
            <w:pPr>
              <w:widowControl/>
              <w:jc w:val="center"/>
              <w:rPr>
                <w:rFonts w:ascii="Arial" w:hAnsi="Arial"/>
                <w:b/>
                <w:bCs/>
                <w:sz w:val="18"/>
                <w:szCs w:val="18"/>
                <w:lang w:eastAsia="sl-SI"/>
              </w:rPr>
            </w:pPr>
            <w:r w:rsidRPr="00424274">
              <w:rPr>
                <w:rFonts w:ascii="Arial" w:hAnsi="Arial"/>
                <w:b/>
                <w:bCs/>
                <w:sz w:val="18"/>
                <w:szCs w:val="18"/>
                <w:lang w:eastAsia="sl-SI"/>
              </w:rPr>
              <w:t>2011</w:t>
            </w:r>
          </w:p>
        </w:tc>
        <w:tc>
          <w:tcPr>
            <w:tcW w:w="603" w:type="dxa"/>
            <w:tcBorders>
              <w:top w:val="single" w:sz="8" w:space="0" w:color="auto"/>
              <w:left w:val="nil"/>
              <w:bottom w:val="single" w:sz="8" w:space="0" w:color="auto"/>
              <w:right w:val="single" w:sz="8" w:space="0" w:color="auto"/>
            </w:tcBorders>
            <w:shd w:val="clear" w:color="auto" w:fill="00CCFF"/>
            <w:noWrap/>
            <w:vAlign w:val="bottom"/>
            <w:hideMark/>
          </w:tcPr>
          <w:p w14:paraId="0D0A0653" w14:textId="77777777" w:rsidR="00937C64" w:rsidRPr="00424274" w:rsidRDefault="00937C64" w:rsidP="00937C64">
            <w:pPr>
              <w:widowControl/>
              <w:jc w:val="center"/>
              <w:rPr>
                <w:rFonts w:ascii="Arial" w:hAnsi="Arial"/>
                <w:b/>
                <w:bCs/>
                <w:sz w:val="18"/>
                <w:szCs w:val="18"/>
                <w:lang w:eastAsia="sl-SI"/>
              </w:rPr>
            </w:pPr>
            <w:r w:rsidRPr="00424274">
              <w:rPr>
                <w:rFonts w:ascii="Arial" w:hAnsi="Arial"/>
                <w:b/>
                <w:bCs/>
                <w:sz w:val="18"/>
                <w:szCs w:val="18"/>
                <w:lang w:eastAsia="sl-SI"/>
              </w:rPr>
              <w:t>2012</w:t>
            </w:r>
          </w:p>
        </w:tc>
        <w:tc>
          <w:tcPr>
            <w:tcW w:w="603" w:type="dxa"/>
            <w:tcBorders>
              <w:top w:val="single" w:sz="8" w:space="0" w:color="auto"/>
              <w:left w:val="nil"/>
              <w:bottom w:val="single" w:sz="8" w:space="0" w:color="auto"/>
              <w:right w:val="single" w:sz="8" w:space="0" w:color="auto"/>
            </w:tcBorders>
            <w:shd w:val="clear" w:color="auto" w:fill="00CCFF"/>
            <w:noWrap/>
            <w:vAlign w:val="bottom"/>
            <w:hideMark/>
          </w:tcPr>
          <w:p w14:paraId="54A148B6" w14:textId="77777777" w:rsidR="00937C64" w:rsidRPr="00424274" w:rsidRDefault="00937C64" w:rsidP="00937C64">
            <w:pPr>
              <w:widowControl/>
              <w:jc w:val="center"/>
              <w:rPr>
                <w:rFonts w:ascii="Arial" w:hAnsi="Arial"/>
                <w:b/>
                <w:bCs/>
                <w:sz w:val="18"/>
                <w:szCs w:val="18"/>
                <w:lang w:eastAsia="sl-SI"/>
              </w:rPr>
            </w:pPr>
            <w:r w:rsidRPr="00424274">
              <w:rPr>
                <w:rFonts w:ascii="Arial" w:hAnsi="Arial"/>
                <w:b/>
                <w:bCs/>
                <w:sz w:val="18"/>
                <w:szCs w:val="18"/>
                <w:lang w:eastAsia="sl-SI"/>
              </w:rPr>
              <w:t>2013</w:t>
            </w:r>
          </w:p>
        </w:tc>
        <w:tc>
          <w:tcPr>
            <w:tcW w:w="604" w:type="dxa"/>
            <w:tcBorders>
              <w:top w:val="single" w:sz="8" w:space="0" w:color="auto"/>
              <w:left w:val="nil"/>
              <w:bottom w:val="single" w:sz="8" w:space="0" w:color="auto"/>
              <w:right w:val="single" w:sz="8" w:space="0" w:color="auto"/>
            </w:tcBorders>
            <w:shd w:val="clear" w:color="auto" w:fill="00CCFF"/>
            <w:noWrap/>
            <w:vAlign w:val="bottom"/>
            <w:hideMark/>
          </w:tcPr>
          <w:p w14:paraId="4A6F4E8D" w14:textId="77777777" w:rsidR="00937C64" w:rsidRPr="00424274" w:rsidRDefault="00937C64" w:rsidP="00937C64">
            <w:pPr>
              <w:widowControl/>
              <w:jc w:val="center"/>
              <w:rPr>
                <w:rFonts w:ascii="Arial" w:hAnsi="Arial"/>
                <w:b/>
                <w:bCs/>
                <w:sz w:val="18"/>
                <w:szCs w:val="18"/>
                <w:lang w:eastAsia="sl-SI"/>
              </w:rPr>
            </w:pPr>
            <w:r w:rsidRPr="00424274">
              <w:rPr>
                <w:rFonts w:ascii="Arial" w:hAnsi="Arial"/>
                <w:b/>
                <w:bCs/>
                <w:sz w:val="18"/>
                <w:szCs w:val="18"/>
                <w:lang w:eastAsia="sl-SI"/>
              </w:rPr>
              <w:t>2014</w:t>
            </w:r>
          </w:p>
        </w:tc>
        <w:tc>
          <w:tcPr>
            <w:tcW w:w="604" w:type="dxa"/>
            <w:tcBorders>
              <w:top w:val="single" w:sz="8" w:space="0" w:color="auto"/>
              <w:left w:val="nil"/>
              <w:bottom w:val="single" w:sz="8" w:space="0" w:color="auto"/>
              <w:right w:val="single" w:sz="4" w:space="0" w:color="auto"/>
            </w:tcBorders>
            <w:shd w:val="clear" w:color="auto" w:fill="00CCFF"/>
            <w:noWrap/>
            <w:vAlign w:val="bottom"/>
            <w:hideMark/>
          </w:tcPr>
          <w:p w14:paraId="2B25484C" w14:textId="77777777" w:rsidR="00937C64" w:rsidRPr="00424274" w:rsidRDefault="00937C64" w:rsidP="00937C64">
            <w:pPr>
              <w:widowControl/>
              <w:jc w:val="center"/>
              <w:rPr>
                <w:rFonts w:ascii="Arial" w:hAnsi="Arial"/>
                <w:b/>
                <w:bCs/>
                <w:sz w:val="18"/>
                <w:szCs w:val="18"/>
                <w:lang w:eastAsia="sl-SI"/>
              </w:rPr>
            </w:pPr>
            <w:r w:rsidRPr="00424274">
              <w:rPr>
                <w:rFonts w:ascii="Arial" w:hAnsi="Arial"/>
                <w:b/>
                <w:bCs/>
                <w:sz w:val="18"/>
                <w:szCs w:val="18"/>
                <w:lang w:eastAsia="sl-SI"/>
              </w:rPr>
              <w:t>2015</w:t>
            </w:r>
          </w:p>
        </w:tc>
        <w:tc>
          <w:tcPr>
            <w:tcW w:w="560" w:type="dxa"/>
            <w:tcBorders>
              <w:top w:val="single" w:sz="4" w:space="0" w:color="auto"/>
              <w:left w:val="single" w:sz="4" w:space="0" w:color="auto"/>
              <w:bottom w:val="single" w:sz="4" w:space="0" w:color="auto"/>
              <w:right w:val="single" w:sz="4" w:space="0" w:color="auto"/>
            </w:tcBorders>
            <w:shd w:val="clear" w:color="auto" w:fill="00CCFF"/>
            <w:vAlign w:val="bottom"/>
          </w:tcPr>
          <w:p w14:paraId="5053539D" w14:textId="77777777" w:rsidR="00937C64" w:rsidRPr="00424274" w:rsidRDefault="00937C64" w:rsidP="00937C64">
            <w:pPr>
              <w:widowControl/>
              <w:jc w:val="center"/>
              <w:rPr>
                <w:rFonts w:ascii="Arial" w:hAnsi="Arial"/>
                <w:b/>
                <w:bCs/>
                <w:sz w:val="18"/>
                <w:szCs w:val="18"/>
                <w:lang w:eastAsia="sl-SI"/>
              </w:rPr>
            </w:pPr>
            <w:r w:rsidRPr="00424274">
              <w:rPr>
                <w:rFonts w:ascii="Arial" w:hAnsi="Arial"/>
                <w:b/>
                <w:bCs/>
                <w:sz w:val="18"/>
                <w:szCs w:val="18"/>
                <w:lang w:eastAsia="sl-SI"/>
              </w:rPr>
              <w:t>2016</w:t>
            </w:r>
          </w:p>
        </w:tc>
        <w:tc>
          <w:tcPr>
            <w:tcW w:w="560" w:type="dxa"/>
            <w:tcBorders>
              <w:top w:val="single" w:sz="4" w:space="0" w:color="auto"/>
              <w:left w:val="single" w:sz="4" w:space="0" w:color="auto"/>
              <w:bottom w:val="single" w:sz="4" w:space="0" w:color="auto"/>
              <w:right w:val="single" w:sz="4" w:space="0" w:color="auto"/>
            </w:tcBorders>
            <w:shd w:val="clear" w:color="auto" w:fill="00CCFF"/>
            <w:vAlign w:val="bottom"/>
          </w:tcPr>
          <w:p w14:paraId="27BB9D3B" w14:textId="77777777" w:rsidR="00937C64" w:rsidRPr="00424274" w:rsidRDefault="00937C64" w:rsidP="00937C64">
            <w:pPr>
              <w:jc w:val="center"/>
              <w:rPr>
                <w:rFonts w:ascii="Arial" w:hAnsi="Arial"/>
                <w:b/>
                <w:bCs/>
                <w:sz w:val="18"/>
                <w:szCs w:val="18"/>
                <w:lang w:eastAsia="sl-SI"/>
              </w:rPr>
            </w:pPr>
            <w:r w:rsidRPr="00424274">
              <w:rPr>
                <w:rFonts w:ascii="Arial" w:hAnsi="Arial"/>
                <w:b/>
                <w:bCs/>
                <w:sz w:val="18"/>
                <w:szCs w:val="18"/>
                <w:lang w:eastAsia="sl-SI"/>
              </w:rPr>
              <w:t>2017</w:t>
            </w:r>
          </w:p>
        </w:tc>
        <w:tc>
          <w:tcPr>
            <w:tcW w:w="560" w:type="dxa"/>
            <w:tcBorders>
              <w:top w:val="single" w:sz="4" w:space="0" w:color="auto"/>
              <w:left w:val="single" w:sz="4" w:space="0" w:color="auto"/>
              <w:bottom w:val="single" w:sz="4" w:space="0" w:color="auto"/>
              <w:right w:val="single" w:sz="4" w:space="0" w:color="auto"/>
            </w:tcBorders>
            <w:shd w:val="clear" w:color="auto" w:fill="00CCFF"/>
            <w:vAlign w:val="bottom"/>
          </w:tcPr>
          <w:p w14:paraId="638BA930" w14:textId="77777777" w:rsidR="00937C64" w:rsidRPr="00424274" w:rsidRDefault="00937C64" w:rsidP="00937C64">
            <w:pPr>
              <w:jc w:val="center"/>
              <w:rPr>
                <w:rFonts w:ascii="Arial" w:hAnsi="Arial"/>
                <w:b/>
                <w:bCs/>
                <w:sz w:val="18"/>
                <w:szCs w:val="18"/>
              </w:rPr>
            </w:pPr>
            <w:r w:rsidRPr="00424274">
              <w:rPr>
                <w:rFonts w:ascii="Arial" w:hAnsi="Arial"/>
                <w:b/>
                <w:bCs/>
                <w:sz w:val="18"/>
                <w:szCs w:val="18"/>
              </w:rPr>
              <w:t>2018</w:t>
            </w:r>
          </w:p>
        </w:tc>
        <w:tc>
          <w:tcPr>
            <w:tcW w:w="560" w:type="dxa"/>
            <w:tcBorders>
              <w:top w:val="single" w:sz="4" w:space="0" w:color="auto"/>
              <w:left w:val="single" w:sz="4" w:space="0" w:color="auto"/>
              <w:bottom w:val="single" w:sz="4" w:space="0" w:color="auto"/>
              <w:right w:val="single" w:sz="4" w:space="0" w:color="auto"/>
            </w:tcBorders>
            <w:shd w:val="clear" w:color="auto" w:fill="00CCFF"/>
            <w:vAlign w:val="bottom"/>
          </w:tcPr>
          <w:p w14:paraId="7FE67E96" w14:textId="77777777" w:rsidR="00937C64" w:rsidRPr="00424274" w:rsidRDefault="00937C64" w:rsidP="00937C64">
            <w:pPr>
              <w:jc w:val="center"/>
              <w:rPr>
                <w:rFonts w:ascii="Arial" w:hAnsi="Arial"/>
                <w:b/>
                <w:bCs/>
                <w:sz w:val="18"/>
                <w:szCs w:val="18"/>
              </w:rPr>
            </w:pPr>
            <w:r w:rsidRPr="00424274">
              <w:rPr>
                <w:rFonts w:ascii="Arial" w:hAnsi="Arial"/>
                <w:b/>
                <w:bCs/>
                <w:sz w:val="18"/>
                <w:szCs w:val="18"/>
              </w:rPr>
              <w:t>2019</w:t>
            </w:r>
          </w:p>
        </w:tc>
        <w:tc>
          <w:tcPr>
            <w:tcW w:w="663" w:type="dxa"/>
            <w:tcBorders>
              <w:top w:val="single" w:sz="4" w:space="0" w:color="auto"/>
              <w:left w:val="single" w:sz="4" w:space="0" w:color="auto"/>
              <w:bottom w:val="single" w:sz="4" w:space="0" w:color="auto"/>
              <w:right w:val="single" w:sz="4" w:space="0" w:color="auto"/>
            </w:tcBorders>
            <w:shd w:val="clear" w:color="auto" w:fill="00CCFF"/>
            <w:vAlign w:val="bottom"/>
          </w:tcPr>
          <w:p w14:paraId="48932CC3" w14:textId="77777777" w:rsidR="00937C64" w:rsidRPr="00424274" w:rsidRDefault="00937C64" w:rsidP="00937C64">
            <w:pPr>
              <w:jc w:val="center"/>
              <w:rPr>
                <w:rFonts w:ascii="Arial" w:hAnsi="Arial"/>
                <w:b/>
                <w:bCs/>
                <w:sz w:val="18"/>
                <w:szCs w:val="18"/>
              </w:rPr>
            </w:pPr>
            <w:r w:rsidRPr="00424274">
              <w:rPr>
                <w:rFonts w:ascii="Arial" w:hAnsi="Arial"/>
                <w:b/>
                <w:bCs/>
                <w:sz w:val="18"/>
                <w:szCs w:val="18"/>
              </w:rPr>
              <w:t>2020</w:t>
            </w:r>
          </w:p>
        </w:tc>
      </w:tr>
      <w:tr w:rsidR="00937C64" w:rsidRPr="00424274" w14:paraId="01455F46" w14:textId="77777777" w:rsidTr="00472BE5">
        <w:trPr>
          <w:trHeight w:val="360"/>
        </w:trPr>
        <w:tc>
          <w:tcPr>
            <w:tcW w:w="3688" w:type="dxa"/>
            <w:tcBorders>
              <w:top w:val="nil"/>
              <w:left w:val="single" w:sz="8" w:space="0" w:color="auto"/>
              <w:bottom w:val="single" w:sz="8" w:space="0" w:color="auto"/>
              <w:right w:val="single" w:sz="8" w:space="0" w:color="auto"/>
            </w:tcBorders>
            <w:shd w:val="clear" w:color="auto" w:fill="auto"/>
            <w:noWrap/>
            <w:vAlign w:val="bottom"/>
            <w:hideMark/>
          </w:tcPr>
          <w:p w14:paraId="31DC9B96" w14:textId="5D6368EF" w:rsidR="00937C64" w:rsidRPr="00424274" w:rsidRDefault="00937C64" w:rsidP="00937C64">
            <w:pPr>
              <w:widowControl/>
              <w:jc w:val="left"/>
              <w:rPr>
                <w:rFonts w:ascii="Arial" w:hAnsi="Arial"/>
                <w:sz w:val="18"/>
                <w:szCs w:val="18"/>
                <w:lang w:eastAsia="sl-SI"/>
              </w:rPr>
            </w:pPr>
            <w:r w:rsidRPr="00424274">
              <w:rPr>
                <w:rFonts w:ascii="Arial" w:hAnsi="Arial"/>
                <w:sz w:val="18"/>
                <w:szCs w:val="18"/>
                <w:lang w:eastAsia="sl-SI"/>
              </w:rPr>
              <w:t xml:space="preserve">Tožilstvo: </w:t>
            </w:r>
            <w:r w:rsidR="008126B7">
              <w:rPr>
                <w:rFonts w:ascii="Arial" w:hAnsi="Arial"/>
                <w:sz w:val="18"/>
                <w:szCs w:val="18"/>
                <w:lang w:eastAsia="sl-SI"/>
              </w:rPr>
              <w:t>Š</w:t>
            </w:r>
            <w:r w:rsidRPr="00424274">
              <w:rPr>
                <w:rFonts w:ascii="Arial" w:hAnsi="Arial"/>
                <w:sz w:val="18"/>
                <w:szCs w:val="18"/>
                <w:lang w:eastAsia="sl-SI"/>
              </w:rPr>
              <w:t>e ni odločitve</w:t>
            </w:r>
          </w:p>
        </w:tc>
        <w:tc>
          <w:tcPr>
            <w:tcW w:w="603" w:type="dxa"/>
            <w:tcBorders>
              <w:top w:val="nil"/>
              <w:left w:val="nil"/>
              <w:bottom w:val="single" w:sz="8" w:space="0" w:color="auto"/>
              <w:right w:val="single" w:sz="8" w:space="0" w:color="auto"/>
            </w:tcBorders>
            <w:shd w:val="clear" w:color="auto" w:fill="auto"/>
            <w:noWrap/>
            <w:vAlign w:val="bottom"/>
            <w:hideMark/>
          </w:tcPr>
          <w:p w14:paraId="7749A307" w14:textId="77777777" w:rsidR="00937C64" w:rsidRPr="00424274" w:rsidRDefault="00937C64" w:rsidP="00937C64">
            <w:pPr>
              <w:widowControl/>
              <w:jc w:val="right"/>
              <w:rPr>
                <w:rFonts w:ascii="Arial" w:hAnsi="Arial"/>
                <w:sz w:val="18"/>
                <w:szCs w:val="18"/>
                <w:lang w:eastAsia="sl-SI"/>
              </w:rPr>
            </w:pPr>
            <w:r w:rsidRPr="00424274">
              <w:rPr>
                <w:rFonts w:ascii="Arial" w:hAnsi="Arial"/>
                <w:sz w:val="18"/>
                <w:szCs w:val="18"/>
                <w:lang w:eastAsia="sl-SI"/>
              </w:rPr>
              <w:t>75</w:t>
            </w:r>
          </w:p>
        </w:tc>
        <w:tc>
          <w:tcPr>
            <w:tcW w:w="603" w:type="dxa"/>
            <w:tcBorders>
              <w:top w:val="nil"/>
              <w:left w:val="nil"/>
              <w:bottom w:val="single" w:sz="8" w:space="0" w:color="auto"/>
              <w:right w:val="single" w:sz="8" w:space="0" w:color="auto"/>
            </w:tcBorders>
            <w:shd w:val="clear" w:color="auto" w:fill="auto"/>
            <w:noWrap/>
            <w:vAlign w:val="bottom"/>
            <w:hideMark/>
          </w:tcPr>
          <w:p w14:paraId="5F004611" w14:textId="77777777" w:rsidR="00937C64" w:rsidRPr="00424274" w:rsidRDefault="00937C64" w:rsidP="00937C64">
            <w:pPr>
              <w:widowControl/>
              <w:jc w:val="right"/>
              <w:rPr>
                <w:rFonts w:ascii="Arial" w:hAnsi="Arial"/>
                <w:sz w:val="18"/>
                <w:szCs w:val="18"/>
                <w:lang w:eastAsia="sl-SI"/>
              </w:rPr>
            </w:pPr>
            <w:r w:rsidRPr="00424274">
              <w:rPr>
                <w:rFonts w:ascii="Arial" w:hAnsi="Arial"/>
                <w:sz w:val="18"/>
                <w:szCs w:val="18"/>
                <w:lang w:eastAsia="sl-SI"/>
              </w:rPr>
              <w:t>64</w:t>
            </w:r>
          </w:p>
        </w:tc>
        <w:tc>
          <w:tcPr>
            <w:tcW w:w="603" w:type="dxa"/>
            <w:tcBorders>
              <w:top w:val="nil"/>
              <w:left w:val="nil"/>
              <w:bottom w:val="single" w:sz="8" w:space="0" w:color="auto"/>
              <w:right w:val="single" w:sz="8" w:space="0" w:color="auto"/>
            </w:tcBorders>
            <w:shd w:val="clear" w:color="auto" w:fill="auto"/>
            <w:noWrap/>
            <w:vAlign w:val="bottom"/>
            <w:hideMark/>
          </w:tcPr>
          <w:p w14:paraId="288CE433" w14:textId="77777777" w:rsidR="00937C64" w:rsidRPr="00424274" w:rsidRDefault="00937C64" w:rsidP="00937C64">
            <w:pPr>
              <w:widowControl/>
              <w:jc w:val="right"/>
              <w:rPr>
                <w:rFonts w:ascii="Arial" w:hAnsi="Arial"/>
                <w:sz w:val="18"/>
                <w:szCs w:val="18"/>
                <w:lang w:eastAsia="sl-SI"/>
              </w:rPr>
            </w:pPr>
            <w:r w:rsidRPr="00424274">
              <w:rPr>
                <w:rFonts w:ascii="Arial" w:hAnsi="Arial"/>
                <w:sz w:val="18"/>
                <w:szCs w:val="18"/>
                <w:lang w:eastAsia="sl-SI"/>
              </w:rPr>
              <w:t>80</w:t>
            </w:r>
          </w:p>
        </w:tc>
        <w:tc>
          <w:tcPr>
            <w:tcW w:w="604" w:type="dxa"/>
            <w:tcBorders>
              <w:top w:val="nil"/>
              <w:left w:val="nil"/>
              <w:bottom w:val="single" w:sz="8" w:space="0" w:color="auto"/>
              <w:right w:val="single" w:sz="8" w:space="0" w:color="auto"/>
            </w:tcBorders>
            <w:shd w:val="clear" w:color="auto" w:fill="auto"/>
            <w:noWrap/>
            <w:vAlign w:val="bottom"/>
            <w:hideMark/>
          </w:tcPr>
          <w:p w14:paraId="401B5331" w14:textId="77777777" w:rsidR="00937C64" w:rsidRPr="00424274" w:rsidRDefault="00937C64" w:rsidP="00937C64">
            <w:pPr>
              <w:jc w:val="right"/>
              <w:rPr>
                <w:rFonts w:ascii="Arial" w:hAnsi="Arial"/>
                <w:sz w:val="18"/>
                <w:szCs w:val="18"/>
              </w:rPr>
            </w:pPr>
            <w:r w:rsidRPr="00424274">
              <w:rPr>
                <w:rFonts w:ascii="Arial" w:hAnsi="Arial"/>
                <w:sz w:val="18"/>
                <w:szCs w:val="18"/>
              </w:rPr>
              <w:t>104</w:t>
            </w:r>
          </w:p>
        </w:tc>
        <w:tc>
          <w:tcPr>
            <w:tcW w:w="604" w:type="dxa"/>
            <w:tcBorders>
              <w:top w:val="nil"/>
              <w:left w:val="nil"/>
              <w:bottom w:val="single" w:sz="8" w:space="0" w:color="auto"/>
              <w:right w:val="single" w:sz="4" w:space="0" w:color="auto"/>
            </w:tcBorders>
            <w:shd w:val="clear" w:color="auto" w:fill="auto"/>
            <w:noWrap/>
            <w:vAlign w:val="bottom"/>
            <w:hideMark/>
          </w:tcPr>
          <w:p w14:paraId="73535065" w14:textId="77777777" w:rsidR="00937C64" w:rsidRPr="00424274" w:rsidRDefault="00937C64" w:rsidP="00937C64">
            <w:pPr>
              <w:jc w:val="right"/>
              <w:rPr>
                <w:rFonts w:ascii="Arial" w:hAnsi="Arial"/>
                <w:sz w:val="18"/>
                <w:szCs w:val="18"/>
              </w:rPr>
            </w:pPr>
            <w:r w:rsidRPr="00424274">
              <w:rPr>
                <w:rFonts w:ascii="Arial" w:hAnsi="Arial"/>
                <w:sz w:val="18"/>
                <w:szCs w:val="18"/>
              </w:rPr>
              <w:t>94</w:t>
            </w:r>
          </w:p>
        </w:tc>
        <w:tc>
          <w:tcPr>
            <w:tcW w:w="560" w:type="dxa"/>
            <w:tcBorders>
              <w:top w:val="single" w:sz="4" w:space="0" w:color="auto"/>
              <w:left w:val="single" w:sz="4" w:space="0" w:color="auto"/>
              <w:bottom w:val="single" w:sz="4" w:space="0" w:color="auto"/>
              <w:right w:val="single" w:sz="4" w:space="0" w:color="auto"/>
            </w:tcBorders>
            <w:vAlign w:val="bottom"/>
          </w:tcPr>
          <w:p w14:paraId="5E402B79" w14:textId="77777777" w:rsidR="00937C64" w:rsidRPr="00424274" w:rsidRDefault="00937C64" w:rsidP="00937C64">
            <w:pPr>
              <w:jc w:val="right"/>
              <w:rPr>
                <w:rFonts w:ascii="Arial" w:hAnsi="Arial"/>
                <w:sz w:val="18"/>
                <w:szCs w:val="18"/>
              </w:rPr>
            </w:pPr>
            <w:r w:rsidRPr="00424274">
              <w:rPr>
                <w:rFonts w:ascii="Arial" w:hAnsi="Arial"/>
                <w:sz w:val="18"/>
                <w:szCs w:val="18"/>
              </w:rPr>
              <w:t>112</w:t>
            </w:r>
          </w:p>
        </w:tc>
        <w:tc>
          <w:tcPr>
            <w:tcW w:w="560" w:type="dxa"/>
            <w:tcBorders>
              <w:top w:val="single" w:sz="4" w:space="0" w:color="auto"/>
              <w:left w:val="single" w:sz="4" w:space="0" w:color="auto"/>
              <w:bottom w:val="single" w:sz="4" w:space="0" w:color="auto"/>
              <w:right w:val="single" w:sz="4" w:space="0" w:color="auto"/>
            </w:tcBorders>
            <w:vAlign w:val="bottom"/>
          </w:tcPr>
          <w:p w14:paraId="5ED0B9AA" w14:textId="77777777" w:rsidR="00937C64" w:rsidRPr="00424274" w:rsidRDefault="00937C64" w:rsidP="00937C64">
            <w:pPr>
              <w:jc w:val="right"/>
              <w:rPr>
                <w:rFonts w:ascii="Arial" w:hAnsi="Arial"/>
                <w:sz w:val="18"/>
                <w:szCs w:val="18"/>
              </w:rPr>
            </w:pPr>
            <w:r w:rsidRPr="00424274">
              <w:rPr>
                <w:rFonts w:ascii="Arial" w:hAnsi="Arial"/>
                <w:sz w:val="18"/>
                <w:szCs w:val="18"/>
              </w:rPr>
              <w:t>135</w:t>
            </w:r>
          </w:p>
        </w:tc>
        <w:tc>
          <w:tcPr>
            <w:tcW w:w="560" w:type="dxa"/>
            <w:tcBorders>
              <w:top w:val="single" w:sz="4" w:space="0" w:color="auto"/>
              <w:left w:val="single" w:sz="4" w:space="0" w:color="auto"/>
              <w:bottom w:val="single" w:sz="4" w:space="0" w:color="auto"/>
              <w:right w:val="single" w:sz="4" w:space="0" w:color="auto"/>
            </w:tcBorders>
            <w:vAlign w:val="bottom"/>
          </w:tcPr>
          <w:p w14:paraId="086FA081" w14:textId="77777777" w:rsidR="00937C64" w:rsidRPr="00424274" w:rsidRDefault="00937C64" w:rsidP="00937C64">
            <w:pPr>
              <w:jc w:val="right"/>
              <w:rPr>
                <w:rFonts w:ascii="Arial" w:hAnsi="Arial"/>
                <w:sz w:val="18"/>
                <w:szCs w:val="18"/>
              </w:rPr>
            </w:pPr>
            <w:r w:rsidRPr="00424274">
              <w:rPr>
                <w:rFonts w:ascii="Arial" w:hAnsi="Arial"/>
                <w:sz w:val="18"/>
                <w:szCs w:val="18"/>
              </w:rPr>
              <w:t>141</w:t>
            </w:r>
          </w:p>
        </w:tc>
        <w:tc>
          <w:tcPr>
            <w:tcW w:w="560" w:type="dxa"/>
            <w:tcBorders>
              <w:top w:val="single" w:sz="4" w:space="0" w:color="auto"/>
              <w:left w:val="single" w:sz="4" w:space="0" w:color="auto"/>
              <w:bottom w:val="single" w:sz="4" w:space="0" w:color="auto"/>
              <w:right w:val="single" w:sz="4" w:space="0" w:color="auto"/>
            </w:tcBorders>
            <w:vAlign w:val="bottom"/>
          </w:tcPr>
          <w:p w14:paraId="3D6D1E00" w14:textId="77777777" w:rsidR="00937C64" w:rsidRPr="00424274" w:rsidRDefault="00937C64" w:rsidP="00937C64">
            <w:pPr>
              <w:jc w:val="right"/>
              <w:rPr>
                <w:rFonts w:ascii="Arial" w:hAnsi="Arial"/>
                <w:sz w:val="18"/>
                <w:szCs w:val="18"/>
              </w:rPr>
            </w:pPr>
            <w:r w:rsidRPr="00424274">
              <w:rPr>
                <w:rFonts w:ascii="Arial" w:hAnsi="Arial"/>
                <w:sz w:val="18"/>
                <w:szCs w:val="18"/>
              </w:rPr>
              <w:t>138</w:t>
            </w:r>
          </w:p>
        </w:tc>
        <w:tc>
          <w:tcPr>
            <w:tcW w:w="663" w:type="dxa"/>
            <w:tcBorders>
              <w:top w:val="single" w:sz="4" w:space="0" w:color="auto"/>
              <w:left w:val="single" w:sz="4" w:space="0" w:color="auto"/>
              <w:bottom w:val="single" w:sz="4" w:space="0" w:color="auto"/>
              <w:right w:val="single" w:sz="4" w:space="0" w:color="auto"/>
            </w:tcBorders>
            <w:vAlign w:val="bottom"/>
          </w:tcPr>
          <w:p w14:paraId="1E24B520" w14:textId="77777777" w:rsidR="00937C64" w:rsidRPr="00424274" w:rsidRDefault="00937C64" w:rsidP="00937C64">
            <w:pPr>
              <w:jc w:val="right"/>
              <w:rPr>
                <w:rFonts w:ascii="Arial" w:hAnsi="Arial"/>
                <w:sz w:val="18"/>
                <w:szCs w:val="18"/>
              </w:rPr>
            </w:pPr>
            <w:r w:rsidRPr="00424274">
              <w:rPr>
                <w:rFonts w:ascii="Arial" w:hAnsi="Arial"/>
                <w:sz w:val="18"/>
                <w:szCs w:val="18"/>
              </w:rPr>
              <w:t>147</w:t>
            </w:r>
          </w:p>
        </w:tc>
      </w:tr>
      <w:tr w:rsidR="00937C64" w:rsidRPr="00424274" w14:paraId="28EFAB0B" w14:textId="77777777" w:rsidTr="00472BE5">
        <w:trPr>
          <w:trHeight w:val="360"/>
        </w:trPr>
        <w:tc>
          <w:tcPr>
            <w:tcW w:w="3688" w:type="dxa"/>
            <w:tcBorders>
              <w:top w:val="nil"/>
              <w:left w:val="single" w:sz="8" w:space="0" w:color="auto"/>
              <w:bottom w:val="single" w:sz="8" w:space="0" w:color="auto"/>
              <w:right w:val="single" w:sz="8" w:space="0" w:color="auto"/>
            </w:tcBorders>
            <w:shd w:val="clear" w:color="auto" w:fill="auto"/>
            <w:noWrap/>
            <w:vAlign w:val="bottom"/>
            <w:hideMark/>
          </w:tcPr>
          <w:p w14:paraId="5D64C151" w14:textId="77777777" w:rsidR="00937C64" w:rsidRPr="00424274" w:rsidRDefault="00937C64" w:rsidP="00937C64">
            <w:pPr>
              <w:widowControl/>
              <w:jc w:val="left"/>
              <w:rPr>
                <w:rFonts w:ascii="Arial" w:hAnsi="Arial"/>
                <w:sz w:val="18"/>
                <w:szCs w:val="18"/>
                <w:lang w:eastAsia="sl-SI"/>
              </w:rPr>
            </w:pPr>
            <w:r w:rsidRPr="00424274">
              <w:rPr>
                <w:rFonts w:ascii="Arial" w:hAnsi="Arial"/>
                <w:sz w:val="18"/>
                <w:szCs w:val="18"/>
                <w:lang w:eastAsia="sl-SI"/>
              </w:rPr>
              <w:t>Tožilstvo: Ovadba zavržena</w:t>
            </w:r>
          </w:p>
        </w:tc>
        <w:tc>
          <w:tcPr>
            <w:tcW w:w="603" w:type="dxa"/>
            <w:tcBorders>
              <w:top w:val="nil"/>
              <w:left w:val="nil"/>
              <w:bottom w:val="single" w:sz="8" w:space="0" w:color="auto"/>
              <w:right w:val="single" w:sz="8" w:space="0" w:color="auto"/>
            </w:tcBorders>
            <w:shd w:val="clear" w:color="auto" w:fill="auto"/>
            <w:noWrap/>
            <w:vAlign w:val="bottom"/>
            <w:hideMark/>
          </w:tcPr>
          <w:p w14:paraId="7D5925CD" w14:textId="77777777" w:rsidR="00937C64" w:rsidRPr="00424274" w:rsidRDefault="00937C64" w:rsidP="00937C64">
            <w:pPr>
              <w:widowControl/>
              <w:jc w:val="right"/>
              <w:rPr>
                <w:rFonts w:ascii="Arial" w:hAnsi="Arial"/>
                <w:sz w:val="18"/>
                <w:szCs w:val="18"/>
                <w:lang w:eastAsia="sl-SI"/>
              </w:rPr>
            </w:pPr>
            <w:r w:rsidRPr="00424274">
              <w:rPr>
                <w:rFonts w:ascii="Arial" w:hAnsi="Arial"/>
                <w:sz w:val="18"/>
                <w:szCs w:val="18"/>
                <w:lang w:eastAsia="sl-SI"/>
              </w:rPr>
              <w:t>17</w:t>
            </w:r>
          </w:p>
        </w:tc>
        <w:tc>
          <w:tcPr>
            <w:tcW w:w="603" w:type="dxa"/>
            <w:tcBorders>
              <w:top w:val="nil"/>
              <w:left w:val="nil"/>
              <w:bottom w:val="single" w:sz="8" w:space="0" w:color="auto"/>
              <w:right w:val="single" w:sz="8" w:space="0" w:color="auto"/>
            </w:tcBorders>
            <w:shd w:val="clear" w:color="auto" w:fill="auto"/>
            <w:noWrap/>
            <w:vAlign w:val="bottom"/>
            <w:hideMark/>
          </w:tcPr>
          <w:p w14:paraId="600C2BEC" w14:textId="77777777" w:rsidR="00937C64" w:rsidRPr="00424274" w:rsidRDefault="00937C64" w:rsidP="00937C64">
            <w:pPr>
              <w:widowControl/>
              <w:jc w:val="right"/>
              <w:rPr>
                <w:rFonts w:ascii="Arial" w:hAnsi="Arial"/>
                <w:sz w:val="18"/>
                <w:szCs w:val="18"/>
                <w:lang w:eastAsia="sl-SI"/>
              </w:rPr>
            </w:pPr>
            <w:r w:rsidRPr="00424274">
              <w:rPr>
                <w:rFonts w:ascii="Arial" w:hAnsi="Arial"/>
                <w:sz w:val="18"/>
                <w:szCs w:val="18"/>
                <w:lang w:eastAsia="sl-SI"/>
              </w:rPr>
              <w:t>50</w:t>
            </w:r>
          </w:p>
        </w:tc>
        <w:tc>
          <w:tcPr>
            <w:tcW w:w="603" w:type="dxa"/>
            <w:tcBorders>
              <w:top w:val="nil"/>
              <w:left w:val="nil"/>
              <w:bottom w:val="single" w:sz="8" w:space="0" w:color="auto"/>
              <w:right w:val="single" w:sz="8" w:space="0" w:color="auto"/>
            </w:tcBorders>
            <w:shd w:val="clear" w:color="auto" w:fill="auto"/>
            <w:noWrap/>
            <w:vAlign w:val="bottom"/>
            <w:hideMark/>
          </w:tcPr>
          <w:p w14:paraId="4DFDDFB7" w14:textId="77777777" w:rsidR="00937C64" w:rsidRPr="00424274" w:rsidRDefault="00937C64" w:rsidP="00937C64">
            <w:pPr>
              <w:widowControl/>
              <w:jc w:val="right"/>
              <w:rPr>
                <w:rFonts w:ascii="Arial" w:hAnsi="Arial"/>
                <w:sz w:val="18"/>
                <w:szCs w:val="18"/>
                <w:lang w:eastAsia="sl-SI"/>
              </w:rPr>
            </w:pPr>
            <w:r w:rsidRPr="00424274">
              <w:rPr>
                <w:rFonts w:ascii="Arial" w:hAnsi="Arial"/>
                <w:sz w:val="18"/>
                <w:szCs w:val="18"/>
                <w:lang w:eastAsia="sl-SI"/>
              </w:rPr>
              <w:t>55</w:t>
            </w:r>
          </w:p>
        </w:tc>
        <w:tc>
          <w:tcPr>
            <w:tcW w:w="604" w:type="dxa"/>
            <w:tcBorders>
              <w:top w:val="nil"/>
              <w:left w:val="nil"/>
              <w:bottom w:val="single" w:sz="8" w:space="0" w:color="auto"/>
              <w:right w:val="single" w:sz="8" w:space="0" w:color="auto"/>
            </w:tcBorders>
            <w:shd w:val="clear" w:color="auto" w:fill="auto"/>
            <w:noWrap/>
            <w:vAlign w:val="bottom"/>
            <w:hideMark/>
          </w:tcPr>
          <w:p w14:paraId="1F7C474C" w14:textId="77777777" w:rsidR="00937C64" w:rsidRPr="00424274" w:rsidRDefault="00937C64" w:rsidP="00937C64">
            <w:pPr>
              <w:jc w:val="right"/>
              <w:rPr>
                <w:rFonts w:ascii="Arial" w:hAnsi="Arial"/>
                <w:sz w:val="18"/>
                <w:szCs w:val="18"/>
              </w:rPr>
            </w:pPr>
            <w:r w:rsidRPr="00424274">
              <w:rPr>
                <w:rFonts w:ascii="Arial" w:hAnsi="Arial"/>
                <w:sz w:val="18"/>
                <w:szCs w:val="18"/>
              </w:rPr>
              <w:t>55</w:t>
            </w:r>
          </w:p>
        </w:tc>
        <w:tc>
          <w:tcPr>
            <w:tcW w:w="604" w:type="dxa"/>
            <w:tcBorders>
              <w:top w:val="nil"/>
              <w:left w:val="nil"/>
              <w:bottom w:val="single" w:sz="8" w:space="0" w:color="auto"/>
              <w:right w:val="single" w:sz="4" w:space="0" w:color="auto"/>
            </w:tcBorders>
            <w:shd w:val="clear" w:color="auto" w:fill="auto"/>
            <w:noWrap/>
            <w:vAlign w:val="bottom"/>
            <w:hideMark/>
          </w:tcPr>
          <w:p w14:paraId="7DC803F3" w14:textId="77777777" w:rsidR="00937C64" w:rsidRPr="00424274" w:rsidRDefault="00937C64" w:rsidP="00937C64">
            <w:pPr>
              <w:jc w:val="right"/>
              <w:rPr>
                <w:rFonts w:ascii="Arial" w:hAnsi="Arial"/>
                <w:sz w:val="18"/>
                <w:szCs w:val="18"/>
              </w:rPr>
            </w:pPr>
            <w:r w:rsidRPr="00424274">
              <w:rPr>
                <w:rFonts w:ascii="Arial" w:hAnsi="Arial"/>
                <w:sz w:val="18"/>
                <w:szCs w:val="18"/>
              </w:rPr>
              <w:t>65</w:t>
            </w:r>
          </w:p>
        </w:tc>
        <w:tc>
          <w:tcPr>
            <w:tcW w:w="560" w:type="dxa"/>
            <w:tcBorders>
              <w:top w:val="single" w:sz="4" w:space="0" w:color="auto"/>
              <w:left w:val="single" w:sz="4" w:space="0" w:color="auto"/>
              <w:bottom w:val="single" w:sz="4" w:space="0" w:color="auto"/>
              <w:right w:val="single" w:sz="4" w:space="0" w:color="auto"/>
            </w:tcBorders>
            <w:vAlign w:val="bottom"/>
          </w:tcPr>
          <w:p w14:paraId="7D4C7D35" w14:textId="77777777" w:rsidR="00937C64" w:rsidRPr="00424274" w:rsidRDefault="00937C64" w:rsidP="00937C64">
            <w:pPr>
              <w:jc w:val="right"/>
              <w:rPr>
                <w:rFonts w:ascii="Arial" w:hAnsi="Arial"/>
                <w:sz w:val="18"/>
                <w:szCs w:val="18"/>
              </w:rPr>
            </w:pPr>
            <w:r w:rsidRPr="00424274">
              <w:rPr>
                <w:rFonts w:ascii="Arial" w:hAnsi="Arial"/>
                <w:sz w:val="18"/>
                <w:szCs w:val="18"/>
              </w:rPr>
              <w:t>74</w:t>
            </w:r>
          </w:p>
        </w:tc>
        <w:tc>
          <w:tcPr>
            <w:tcW w:w="560" w:type="dxa"/>
            <w:tcBorders>
              <w:top w:val="single" w:sz="4" w:space="0" w:color="auto"/>
              <w:left w:val="single" w:sz="4" w:space="0" w:color="auto"/>
              <w:bottom w:val="single" w:sz="4" w:space="0" w:color="auto"/>
              <w:right w:val="single" w:sz="4" w:space="0" w:color="auto"/>
            </w:tcBorders>
            <w:vAlign w:val="bottom"/>
          </w:tcPr>
          <w:p w14:paraId="7A6C44E0" w14:textId="77777777" w:rsidR="00937C64" w:rsidRPr="00424274" w:rsidRDefault="00937C64" w:rsidP="00937C64">
            <w:pPr>
              <w:jc w:val="right"/>
              <w:rPr>
                <w:rFonts w:ascii="Arial" w:hAnsi="Arial"/>
                <w:sz w:val="18"/>
                <w:szCs w:val="18"/>
              </w:rPr>
            </w:pPr>
            <w:r w:rsidRPr="00424274">
              <w:rPr>
                <w:rFonts w:ascii="Arial" w:hAnsi="Arial"/>
                <w:sz w:val="18"/>
                <w:szCs w:val="18"/>
              </w:rPr>
              <w:t>82</w:t>
            </w:r>
          </w:p>
        </w:tc>
        <w:tc>
          <w:tcPr>
            <w:tcW w:w="560" w:type="dxa"/>
            <w:tcBorders>
              <w:top w:val="single" w:sz="4" w:space="0" w:color="auto"/>
              <w:left w:val="single" w:sz="4" w:space="0" w:color="auto"/>
              <w:bottom w:val="single" w:sz="4" w:space="0" w:color="auto"/>
              <w:right w:val="single" w:sz="4" w:space="0" w:color="auto"/>
            </w:tcBorders>
            <w:vAlign w:val="bottom"/>
          </w:tcPr>
          <w:p w14:paraId="269B3180" w14:textId="77777777" w:rsidR="00937C64" w:rsidRPr="00424274" w:rsidRDefault="00937C64" w:rsidP="00937C64">
            <w:pPr>
              <w:jc w:val="right"/>
              <w:rPr>
                <w:rFonts w:ascii="Arial" w:hAnsi="Arial"/>
                <w:sz w:val="18"/>
                <w:szCs w:val="18"/>
              </w:rPr>
            </w:pPr>
            <w:r w:rsidRPr="00424274">
              <w:rPr>
                <w:rFonts w:ascii="Arial" w:hAnsi="Arial"/>
                <w:sz w:val="18"/>
                <w:szCs w:val="18"/>
              </w:rPr>
              <w:t>87</w:t>
            </w:r>
          </w:p>
        </w:tc>
        <w:tc>
          <w:tcPr>
            <w:tcW w:w="560" w:type="dxa"/>
            <w:tcBorders>
              <w:top w:val="single" w:sz="4" w:space="0" w:color="auto"/>
              <w:left w:val="single" w:sz="4" w:space="0" w:color="auto"/>
              <w:bottom w:val="single" w:sz="4" w:space="0" w:color="auto"/>
              <w:right w:val="single" w:sz="4" w:space="0" w:color="auto"/>
            </w:tcBorders>
            <w:vAlign w:val="bottom"/>
          </w:tcPr>
          <w:p w14:paraId="2AC6B32C" w14:textId="77777777" w:rsidR="00937C64" w:rsidRPr="00424274" w:rsidRDefault="00937C64" w:rsidP="00937C64">
            <w:pPr>
              <w:jc w:val="right"/>
              <w:rPr>
                <w:rFonts w:ascii="Arial" w:hAnsi="Arial"/>
                <w:sz w:val="18"/>
                <w:szCs w:val="18"/>
              </w:rPr>
            </w:pPr>
            <w:r w:rsidRPr="00424274">
              <w:rPr>
                <w:rFonts w:ascii="Arial" w:hAnsi="Arial"/>
                <w:sz w:val="18"/>
                <w:szCs w:val="18"/>
              </w:rPr>
              <w:t>103</w:t>
            </w:r>
          </w:p>
        </w:tc>
        <w:tc>
          <w:tcPr>
            <w:tcW w:w="663" w:type="dxa"/>
            <w:tcBorders>
              <w:top w:val="single" w:sz="4" w:space="0" w:color="auto"/>
              <w:left w:val="single" w:sz="4" w:space="0" w:color="auto"/>
              <w:bottom w:val="single" w:sz="4" w:space="0" w:color="auto"/>
              <w:right w:val="single" w:sz="4" w:space="0" w:color="auto"/>
            </w:tcBorders>
            <w:vAlign w:val="bottom"/>
          </w:tcPr>
          <w:p w14:paraId="23D47740" w14:textId="77777777" w:rsidR="00937C64" w:rsidRPr="00424274" w:rsidRDefault="00937C64" w:rsidP="00937C64">
            <w:pPr>
              <w:jc w:val="right"/>
              <w:rPr>
                <w:rFonts w:ascii="Arial" w:hAnsi="Arial"/>
                <w:sz w:val="18"/>
                <w:szCs w:val="18"/>
              </w:rPr>
            </w:pPr>
            <w:r w:rsidRPr="00424274">
              <w:rPr>
                <w:rFonts w:ascii="Arial" w:hAnsi="Arial"/>
                <w:sz w:val="18"/>
                <w:szCs w:val="18"/>
              </w:rPr>
              <w:t>112</w:t>
            </w:r>
          </w:p>
        </w:tc>
      </w:tr>
      <w:tr w:rsidR="00937C64" w:rsidRPr="00424274" w14:paraId="49EC9C7F" w14:textId="77777777" w:rsidTr="00472BE5">
        <w:trPr>
          <w:trHeight w:val="360"/>
        </w:trPr>
        <w:tc>
          <w:tcPr>
            <w:tcW w:w="3688" w:type="dxa"/>
            <w:tcBorders>
              <w:top w:val="nil"/>
              <w:left w:val="single" w:sz="8" w:space="0" w:color="auto"/>
              <w:bottom w:val="single" w:sz="8" w:space="0" w:color="auto"/>
              <w:right w:val="single" w:sz="8" w:space="0" w:color="auto"/>
            </w:tcBorders>
            <w:shd w:val="clear" w:color="auto" w:fill="auto"/>
            <w:noWrap/>
            <w:vAlign w:val="bottom"/>
            <w:hideMark/>
          </w:tcPr>
          <w:p w14:paraId="0D8181D7" w14:textId="77777777" w:rsidR="00937C64" w:rsidRPr="00424274" w:rsidRDefault="00937C64" w:rsidP="00937C64">
            <w:pPr>
              <w:widowControl/>
              <w:jc w:val="left"/>
              <w:rPr>
                <w:rFonts w:ascii="Arial" w:hAnsi="Arial"/>
                <w:sz w:val="18"/>
                <w:szCs w:val="18"/>
                <w:lang w:eastAsia="sl-SI"/>
              </w:rPr>
            </w:pPr>
            <w:r w:rsidRPr="00424274">
              <w:rPr>
                <w:rFonts w:ascii="Arial" w:hAnsi="Arial"/>
                <w:sz w:val="18"/>
                <w:szCs w:val="18"/>
                <w:lang w:eastAsia="sl-SI"/>
              </w:rPr>
              <w:t>Tožilstvo: Odložen pregon</w:t>
            </w:r>
          </w:p>
        </w:tc>
        <w:tc>
          <w:tcPr>
            <w:tcW w:w="603" w:type="dxa"/>
            <w:tcBorders>
              <w:top w:val="nil"/>
              <w:left w:val="nil"/>
              <w:bottom w:val="single" w:sz="8" w:space="0" w:color="auto"/>
              <w:right w:val="single" w:sz="8" w:space="0" w:color="auto"/>
            </w:tcBorders>
            <w:shd w:val="clear" w:color="auto" w:fill="auto"/>
            <w:noWrap/>
            <w:vAlign w:val="bottom"/>
            <w:hideMark/>
          </w:tcPr>
          <w:p w14:paraId="3C5EDB77" w14:textId="77777777" w:rsidR="00937C64" w:rsidRPr="00424274" w:rsidRDefault="00937C64" w:rsidP="00937C64">
            <w:pPr>
              <w:widowControl/>
              <w:jc w:val="right"/>
              <w:rPr>
                <w:rFonts w:ascii="Arial" w:hAnsi="Arial"/>
                <w:sz w:val="18"/>
                <w:szCs w:val="18"/>
                <w:lang w:eastAsia="sl-SI"/>
              </w:rPr>
            </w:pPr>
            <w:r w:rsidRPr="00424274">
              <w:rPr>
                <w:rFonts w:ascii="Arial" w:hAnsi="Arial"/>
                <w:sz w:val="18"/>
                <w:szCs w:val="18"/>
                <w:lang w:eastAsia="sl-SI"/>
              </w:rPr>
              <w:t> </w:t>
            </w:r>
          </w:p>
        </w:tc>
        <w:tc>
          <w:tcPr>
            <w:tcW w:w="603" w:type="dxa"/>
            <w:tcBorders>
              <w:top w:val="nil"/>
              <w:left w:val="nil"/>
              <w:bottom w:val="single" w:sz="8" w:space="0" w:color="auto"/>
              <w:right w:val="single" w:sz="8" w:space="0" w:color="auto"/>
            </w:tcBorders>
            <w:shd w:val="clear" w:color="auto" w:fill="auto"/>
            <w:noWrap/>
            <w:vAlign w:val="bottom"/>
            <w:hideMark/>
          </w:tcPr>
          <w:p w14:paraId="1E162D37" w14:textId="77777777" w:rsidR="00937C64" w:rsidRPr="00424274" w:rsidRDefault="00937C64" w:rsidP="00937C64">
            <w:pPr>
              <w:widowControl/>
              <w:jc w:val="right"/>
              <w:rPr>
                <w:rFonts w:ascii="Arial" w:hAnsi="Arial"/>
                <w:sz w:val="18"/>
                <w:szCs w:val="18"/>
                <w:lang w:eastAsia="sl-SI"/>
              </w:rPr>
            </w:pPr>
            <w:r w:rsidRPr="00424274">
              <w:rPr>
                <w:rFonts w:ascii="Arial" w:hAnsi="Arial"/>
                <w:sz w:val="18"/>
                <w:szCs w:val="18"/>
                <w:lang w:eastAsia="sl-SI"/>
              </w:rPr>
              <w:t>1</w:t>
            </w:r>
          </w:p>
        </w:tc>
        <w:tc>
          <w:tcPr>
            <w:tcW w:w="603" w:type="dxa"/>
            <w:tcBorders>
              <w:top w:val="nil"/>
              <w:left w:val="nil"/>
              <w:bottom w:val="single" w:sz="8" w:space="0" w:color="auto"/>
              <w:right w:val="single" w:sz="8" w:space="0" w:color="auto"/>
            </w:tcBorders>
            <w:shd w:val="clear" w:color="auto" w:fill="auto"/>
            <w:noWrap/>
            <w:vAlign w:val="bottom"/>
            <w:hideMark/>
          </w:tcPr>
          <w:p w14:paraId="53D1474F" w14:textId="77777777" w:rsidR="00937C64" w:rsidRPr="00424274" w:rsidRDefault="00937C64" w:rsidP="00937C64">
            <w:pPr>
              <w:widowControl/>
              <w:jc w:val="right"/>
              <w:rPr>
                <w:rFonts w:ascii="Arial" w:hAnsi="Arial"/>
                <w:sz w:val="18"/>
                <w:szCs w:val="18"/>
                <w:lang w:eastAsia="sl-SI"/>
              </w:rPr>
            </w:pPr>
            <w:r w:rsidRPr="00424274">
              <w:rPr>
                <w:rFonts w:ascii="Arial" w:hAnsi="Arial"/>
                <w:sz w:val="18"/>
                <w:szCs w:val="18"/>
                <w:lang w:eastAsia="sl-SI"/>
              </w:rPr>
              <w:t>1</w:t>
            </w:r>
          </w:p>
        </w:tc>
        <w:tc>
          <w:tcPr>
            <w:tcW w:w="604" w:type="dxa"/>
            <w:tcBorders>
              <w:top w:val="nil"/>
              <w:left w:val="nil"/>
              <w:bottom w:val="single" w:sz="8" w:space="0" w:color="auto"/>
              <w:right w:val="single" w:sz="8" w:space="0" w:color="auto"/>
            </w:tcBorders>
            <w:shd w:val="clear" w:color="auto" w:fill="auto"/>
            <w:noWrap/>
            <w:vAlign w:val="bottom"/>
            <w:hideMark/>
          </w:tcPr>
          <w:p w14:paraId="1EA9819C" w14:textId="77777777" w:rsidR="00937C64" w:rsidRPr="00424274" w:rsidRDefault="00937C64" w:rsidP="00937C64">
            <w:pPr>
              <w:jc w:val="right"/>
              <w:rPr>
                <w:rFonts w:ascii="Arial" w:hAnsi="Arial"/>
                <w:sz w:val="18"/>
                <w:szCs w:val="18"/>
              </w:rPr>
            </w:pPr>
            <w:r w:rsidRPr="00424274">
              <w:rPr>
                <w:rFonts w:ascii="Arial" w:hAnsi="Arial"/>
                <w:sz w:val="18"/>
                <w:szCs w:val="18"/>
              </w:rPr>
              <w:t>1</w:t>
            </w:r>
          </w:p>
        </w:tc>
        <w:tc>
          <w:tcPr>
            <w:tcW w:w="604" w:type="dxa"/>
            <w:tcBorders>
              <w:top w:val="nil"/>
              <w:left w:val="nil"/>
              <w:bottom w:val="single" w:sz="8" w:space="0" w:color="auto"/>
              <w:right w:val="single" w:sz="4" w:space="0" w:color="auto"/>
            </w:tcBorders>
            <w:shd w:val="clear" w:color="auto" w:fill="auto"/>
            <w:noWrap/>
            <w:vAlign w:val="bottom"/>
            <w:hideMark/>
          </w:tcPr>
          <w:p w14:paraId="67DE0454" w14:textId="77777777" w:rsidR="00937C64" w:rsidRPr="00424274" w:rsidRDefault="00937C64" w:rsidP="00937C64">
            <w:pPr>
              <w:jc w:val="right"/>
              <w:rPr>
                <w:rFonts w:ascii="Arial" w:hAnsi="Arial"/>
                <w:sz w:val="18"/>
                <w:szCs w:val="18"/>
              </w:rPr>
            </w:pPr>
            <w:r w:rsidRPr="00424274">
              <w:rPr>
                <w:rFonts w:ascii="Arial" w:hAnsi="Arial"/>
                <w:sz w:val="18"/>
                <w:szCs w:val="18"/>
              </w:rPr>
              <w:t>1</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14:paraId="4B58EF5E" w14:textId="77777777" w:rsidR="00937C64" w:rsidRPr="00424274" w:rsidRDefault="00937C64" w:rsidP="00937C64">
            <w:pPr>
              <w:jc w:val="right"/>
              <w:rPr>
                <w:rFonts w:ascii="Arial" w:hAnsi="Arial"/>
                <w:sz w:val="18"/>
                <w:szCs w:val="18"/>
              </w:rPr>
            </w:pPr>
            <w:r w:rsidRPr="00424274">
              <w:rPr>
                <w:rFonts w:ascii="Arial" w:hAnsi="Arial"/>
                <w:sz w:val="18"/>
                <w:szCs w:val="18"/>
              </w:rPr>
              <w:t>1</w:t>
            </w:r>
          </w:p>
        </w:tc>
        <w:tc>
          <w:tcPr>
            <w:tcW w:w="560" w:type="dxa"/>
            <w:tcBorders>
              <w:top w:val="single" w:sz="4" w:space="0" w:color="auto"/>
              <w:left w:val="single" w:sz="4" w:space="0" w:color="auto"/>
              <w:bottom w:val="single" w:sz="4" w:space="0" w:color="auto"/>
              <w:right w:val="single" w:sz="4" w:space="0" w:color="auto"/>
            </w:tcBorders>
            <w:vAlign w:val="bottom"/>
          </w:tcPr>
          <w:p w14:paraId="2DE3D5B9" w14:textId="77777777" w:rsidR="00937C64" w:rsidRPr="00424274" w:rsidRDefault="00937C64" w:rsidP="00937C64">
            <w:pPr>
              <w:jc w:val="right"/>
              <w:rPr>
                <w:rFonts w:ascii="Arial" w:hAnsi="Arial"/>
                <w:sz w:val="18"/>
                <w:szCs w:val="18"/>
              </w:rPr>
            </w:pPr>
            <w:r w:rsidRPr="00424274">
              <w:rPr>
                <w:rFonts w:ascii="Arial" w:hAnsi="Arial"/>
                <w:sz w:val="18"/>
                <w:szCs w:val="18"/>
              </w:rPr>
              <w:t>1</w:t>
            </w:r>
          </w:p>
        </w:tc>
        <w:tc>
          <w:tcPr>
            <w:tcW w:w="560" w:type="dxa"/>
            <w:tcBorders>
              <w:top w:val="single" w:sz="4" w:space="0" w:color="auto"/>
              <w:left w:val="single" w:sz="4" w:space="0" w:color="auto"/>
              <w:bottom w:val="single" w:sz="4" w:space="0" w:color="auto"/>
              <w:right w:val="single" w:sz="4" w:space="0" w:color="auto"/>
            </w:tcBorders>
            <w:vAlign w:val="bottom"/>
          </w:tcPr>
          <w:p w14:paraId="188AD541" w14:textId="77777777" w:rsidR="00937C64" w:rsidRPr="00424274" w:rsidRDefault="00937C64" w:rsidP="00937C64">
            <w:pPr>
              <w:jc w:val="right"/>
              <w:rPr>
                <w:rFonts w:ascii="Arial" w:hAnsi="Arial"/>
                <w:sz w:val="18"/>
                <w:szCs w:val="18"/>
              </w:rPr>
            </w:pPr>
            <w:r w:rsidRPr="00424274">
              <w:rPr>
                <w:rFonts w:ascii="Arial" w:hAnsi="Arial"/>
                <w:sz w:val="18"/>
                <w:szCs w:val="18"/>
              </w:rPr>
              <w:t>1</w:t>
            </w:r>
          </w:p>
        </w:tc>
        <w:tc>
          <w:tcPr>
            <w:tcW w:w="560" w:type="dxa"/>
            <w:tcBorders>
              <w:top w:val="single" w:sz="4" w:space="0" w:color="auto"/>
              <w:left w:val="single" w:sz="4" w:space="0" w:color="auto"/>
              <w:bottom w:val="single" w:sz="4" w:space="0" w:color="auto"/>
              <w:right w:val="single" w:sz="4" w:space="0" w:color="auto"/>
            </w:tcBorders>
            <w:vAlign w:val="bottom"/>
          </w:tcPr>
          <w:p w14:paraId="2123D730" w14:textId="77777777" w:rsidR="00937C64" w:rsidRPr="00424274" w:rsidRDefault="00937C64" w:rsidP="00937C64">
            <w:pPr>
              <w:jc w:val="right"/>
              <w:rPr>
                <w:rFonts w:ascii="Arial" w:hAnsi="Arial"/>
                <w:sz w:val="18"/>
                <w:szCs w:val="18"/>
              </w:rPr>
            </w:pPr>
            <w:r w:rsidRPr="00424274">
              <w:rPr>
                <w:rFonts w:ascii="Arial" w:hAnsi="Arial"/>
                <w:sz w:val="18"/>
                <w:szCs w:val="18"/>
              </w:rPr>
              <w:t>1</w:t>
            </w:r>
          </w:p>
        </w:tc>
        <w:tc>
          <w:tcPr>
            <w:tcW w:w="663" w:type="dxa"/>
            <w:tcBorders>
              <w:top w:val="single" w:sz="4" w:space="0" w:color="auto"/>
              <w:left w:val="single" w:sz="4" w:space="0" w:color="auto"/>
              <w:bottom w:val="single" w:sz="4" w:space="0" w:color="auto"/>
              <w:right w:val="single" w:sz="4" w:space="0" w:color="auto"/>
            </w:tcBorders>
            <w:vAlign w:val="bottom"/>
          </w:tcPr>
          <w:p w14:paraId="7703053B" w14:textId="77777777" w:rsidR="00937C64" w:rsidRPr="00424274" w:rsidRDefault="00937C64" w:rsidP="00937C64">
            <w:pPr>
              <w:jc w:val="right"/>
              <w:rPr>
                <w:rFonts w:ascii="Arial" w:hAnsi="Arial"/>
                <w:sz w:val="18"/>
                <w:szCs w:val="18"/>
              </w:rPr>
            </w:pPr>
            <w:r w:rsidRPr="00424274">
              <w:rPr>
                <w:rFonts w:ascii="Arial" w:hAnsi="Arial"/>
                <w:sz w:val="18"/>
                <w:szCs w:val="18"/>
              </w:rPr>
              <w:t>1</w:t>
            </w:r>
          </w:p>
        </w:tc>
      </w:tr>
      <w:tr w:rsidR="00937C64" w:rsidRPr="00424274" w14:paraId="13B4DB80" w14:textId="77777777" w:rsidTr="00472BE5">
        <w:trPr>
          <w:trHeight w:val="360"/>
        </w:trPr>
        <w:tc>
          <w:tcPr>
            <w:tcW w:w="3688" w:type="dxa"/>
            <w:tcBorders>
              <w:top w:val="nil"/>
              <w:left w:val="single" w:sz="8" w:space="0" w:color="auto"/>
              <w:bottom w:val="single" w:sz="8" w:space="0" w:color="auto"/>
              <w:right w:val="single" w:sz="8" w:space="0" w:color="auto"/>
            </w:tcBorders>
            <w:shd w:val="clear" w:color="auto" w:fill="99FF33"/>
            <w:noWrap/>
            <w:vAlign w:val="bottom"/>
            <w:hideMark/>
          </w:tcPr>
          <w:p w14:paraId="153C9BEA" w14:textId="77777777" w:rsidR="00937C64" w:rsidRPr="00424274" w:rsidRDefault="00937C64" w:rsidP="00937C64">
            <w:pPr>
              <w:widowControl/>
              <w:jc w:val="left"/>
              <w:rPr>
                <w:rFonts w:ascii="Arial" w:hAnsi="Arial"/>
                <w:sz w:val="18"/>
                <w:szCs w:val="18"/>
                <w:lang w:eastAsia="sl-SI"/>
              </w:rPr>
            </w:pPr>
            <w:r w:rsidRPr="00424274">
              <w:rPr>
                <w:rFonts w:ascii="Arial" w:hAnsi="Arial"/>
                <w:sz w:val="18"/>
                <w:szCs w:val="18"/>
                <w:lang w:eastAsia="sl-SI"/>
              </w:rPr>
              <w:t>Tožilstvo: Zahteva za preiskavo</w:t>
            </w:r>
          </w:p>
        </w:tc>
        <w:tc>
          <w:tcPr>
            <w:tcW w:w="603" w:type="dxa"/>
            <w:tcBorders>
              <w:top w:val="nil"/>
              <w:left w:val="nil"/>
              <w:bottom w:val="single" w:sz="8" w:space="0" w:color="auto"/>
              <w:right w:val="single" w:sz="8" w:space="0" w:color="auto"/>
            </w:tcBorders>
            <w:shd w:val="clear" w:color="auto" w:fill="99FF33"/>
            <w:noWrap/>
            <w:vAlign w:val="bottom"/>
            <w:hideMark/>
          </w:tcPr>
          <w:p w14:paraId="51362970" w14:textId="77777777" w:rsidR="00937C64" w:rsidRPr="00424274" w:rsidRDefault="00937C64" w:rsidP="00937C64">
            <w:pPr>
              <w:widowControl/>
              <w:jc w:val="right"/>
              <w:rPr>
                <w:rFonts w:ascii="Arial" w:hAnsi="Arial"/>
                <w:sz w:val="18"/>
                <w:szCs w:val="18"/>
                <w:lang w:eastAsia="sl-SI"/>
              </w:rPr>
            </w:pPr>
            <w:r w:rsidRPr="00424274">
              <w:rPr>
                <w:rFonts w:ascii="Arial" w:hAnsi="Arial"/>
                <w:sz w:val="18"/>
                <w:szCs w:val="18"/>
                <w:lang w:eastAsia="sl-SI"/>
              </w:rPr>
              <w:t>30</w:t>
            </w:r>
          </w:p>
        </w:tc>
        <w:tc>
          <w:tcPr>
            <w:tcW w:w="603" w:type="dxa"/>
            <w:tcBorders>
              <w:top w:val="nil"/>
              <w:left w:val="nil"/>
              <w:bottom w:val="single" w:sz="8" w:space="0" w:color="auto"/>
              <w:right w:val="single" w:sz="8" w:space="0" w:color="auto"/>
            </w:tcBorders>
            <w:shd w:val="clear" w:color="auto" w:fill="99FF33"/>
            <w:noWrap/>
            <w:vAlign w:val="bottom"/>
            <w:hideMark/>
          </w:tcPr>
          <w:p w14:paraId="25E087D4" w14:textId="77777777" w:rsidR="00937C64" w:rsidRPr="00424274" w:rsidRDefault="00937C64" w:rsidP="00937C64">
            <w:pPr>
              <w:widowControl/>
              <w:jc w:val="right"/>
              <w:rPr>
                <w:rFonts w:ascii="Arial" w:hAnsi="Arial"/>
                <w:sz w:val="18"/>
                <w:szCs w:val="18"/>
                <w:lang w:eastAsia="sl-SI"/>
              </w:rPr>
            </w:pPr>
            <w:r w:rsidRPr="00424274">
              <w:rPr>
                <w:rFonts w:ascii="Arial" w:hAnsi="Arial"/>
                <w:sz w:val="18"/>
                <w:szCs w:val="18"/>
                <w:lang w:eastAsia="sl-SI"/>
              </w:rPr>
              <w:t>21</w:t>
            </w:r>
          </w:p>
        </w:tc>
        <w:tc>
          <w:tcPr>
            <w:tcW w:w="603" w:type="dxa"/>
            <w:tcBorders>
              <w:top w:val="nil"/>
              <w:left w:val="nil"/>
              <w:bottom w:val="single" w:sz="8" w:space="0" w:color="auto"/>
              <w:right w:val="single" w:sz="8" w:space="0" w:color="auto"/>
            </w:tcBorders>
            <w:shd w:val="clear" w:color="auto" w:fill="99FF33"/>
            <w:noWrap/>
            <w:vAlign w:val="bottom"/>
            <w:hideMark/>
          </w:tcPr>
          <w:p w14:paraId="31C79733" w14:textId="77777777" w:rsidR="00937C64" w:rsidRPr="00424274" w:rsidRDefault="00937C64" w:rsidP="00937C64">
            <w:pPr>
              <w:widowControl/>
              <w:jc w:val="right"/>
              <w:rPr>
                <w:rFonts w:ascii="Arial" w:hAnsi="Arial"/>
                <w:sz w:val="18"/>
                <w:szCs w:val="18"/>
                <w:lang w:eastAsia="sl-SI"/>
              </w:rPr>
            </w:pPr>
            <w:r w:rsidRPr="00424274">
              <w:rPr>
                <w:rFonts w:ascii="Arial" w:hAnsi="Arial"/>
                <w:sz w:val="18"/>
                <w:szCs w:val="18"/>
                <w:lang w:eastAsia="sl-SI"/>
              </w:rPr>
              <w:t>27</w:t>
            </w:r>
          </w:p>
        </w:tc>
        <w:tc>
          <w:tcPr>
            <w:tcW w:w="604" w:type="dxa"/>
            <w:tcBorders>
              <w:top w:val="nil"/>
              <w:left w:val="nil"/>
              <w:bottom w:val="single" w:sz="8" w:space="0" w:color="auto"/>
              <w:right w:val="single" w:sz="8" w:space="0" w:color="auto"/>
            </w:tcBorders>
            <w:shd w:val="clear" w:color="auto" w:fill="99FF33"/>
            <w:noWrap/>
            <w:vAlign w:val="bottom"/>
            <w:hideMark/>
          </w:tcPr>
          <w:p w14:paraId="5100486F" w14:textId="77777777" w:rsidR="00937C64" w:rsidRPr="00424274" w:rsidRDefault="00937C64" w:rsidP="00937C64">
            <w:pPr>
              <w:jc w:val="right"/>
              <w:rPr>
                <w:rFonts w:ascii="Arial" w:hAnsi="Arial"/>
                <w:sz w:val="18"/>
                <w:szCs w:val="18"/>
              </w:rPr>
            </w:pPr>
            <w:r w:rsidRPr="00424274">
              <w:rPr>
                <w:rFonts w:ascii="Arial" w:hAnsi="Arial"/>
                <w:sz w:val="18"/>
                <w:szCs w:val="18"/>
              </w:rPr>
              <w:t>20</w:t>
            </w:r>
          </w:p>
        </w:tc>
        <w:tc>
          <w:tcPr>
            <w:tcW w:w="604" w:type="dxa"/>
            <w:tcBorders>
              <w:top w:val="nil"/>
              <w:left w:val="nil"/>
              <w:bottom w:val="single" w:sz="8" w:space="0" w:color="auto"/>
              <w:right w:val="single" w:sz="4" w:space="0" w:color="auto"/>
            </w:tcBorders>
            <w:shd w:val="clear" w:color="auto" w:fill="99FF33"/>
            <w:noWrap/>
            <w:vAlign w:val="bottom"/>
            <w:hideMark/>
          </w:tcPr>
          <w:p w14:paraId="12E79A0D" w14:textId="77777777" w:rsidR="00937C64" w:rsidRPr="00424274" w:rsidRDefault="00937C64" w:rsidP="00937C64">
            <w:pPr>
              <w:jc w:val="right"/>
              <w:rPr>
                <w:rFonts w:ascii="Arial" w:hAnsi="Arial"/>
                <w:sz w:val="18"/>
                <w:szCs w:val="18"/>
              </w:rPr>
            </w:pPr>
            <w:r w:rsidRPr="00424274">
              <w:rPr>
                <w:rFonts w:ascii="Arial" w:hAnsi="Arial"/>
                <w:sz w:val="18"/>
                <w:szCs w:val="18"/>
              </w:rPr>
              <w:t>27</w:t>
            </w:r>
          </w:p>
        </w:tc>
        <w:tc>
          <w:tcPr>
            <w:tcW w:w="560" w:type="dxa"/>
            <w:tcBorders>
              <w:top w:val="single" w:sz="4" w:space="0" w:color="auto"/>
              <w:left w:val="single" w:sz="4" w:space="0" w:color="auto"/>
              <w:bottom w:val="single" w:sz="4" w:space="0" w:color="auto"/>
              <w:right w:val="single" w:sz="4" w:space="0" w:color="auto"/>
            </w:tcBorders>
            <w:shd w:val="clear" w:color="auto" w:fill="99FF33"/>
            <w:vAlign w:val="bottom"/>
          </w:tcPr>
          <w:p w14:paraId="5A0DA263" w14:textId="77777777" w:rsidR="00937C64" w:rsidRPr="00424274" w:rsidRDefault="00937C64" w:rsidP="00937C64">
            <w:pPr>
              <w:jc w:val="right"/>
              <w:rPr>
                <w:rFonts w:ascii="Arial" w:hAnsi="Arial"/>
                <w:sz w:val="18"/>
                <w:szCs w:val="18"/>
              </w:rPr>
            </w:pPr>
            <w:r w:rsidRPr="00424274">
              <w:rPr>
                <w:rFonts w:ascii="Arial" w:hAnsi="Arial"/>
                <w:sz w:val="18"/>
                <w:szCs w:val="18"/>
              </w:rPr>
              <w:t>31</w:t>
            </w:r>
          </w:p>
        </w:tc>
        <w:tc>
          <w:tcPr>
            <w:tcW w:w="560" w:type="dxa"/>
            <w:tcBorders>
              <w:top w:val="single" w:sz="4" w:space="0" w:color="auto"/>
              <w:left w:val="single" w:sz="4" w:space="0" w:color="auto"/>
              <w:bottom w:val="single" w:sz="4" w:space="0" w:color="auto"/>
              <w:right w:val="single" w:sz="4" w:space="0" w:color="auto"/>
            </w:tcBorders>
            <w:shd w:val="clear" w:color="auto" w:fill="99FF33"/>
            <w:vAlign w:val="bottom"/>
          </w:tcPr>
          <w:p w14:paraId="581B9C9C" w14:textId="77777777" w:rsidR="00937C64" w:rsidRPr="00424274" w:rsidRDefault="00937C64" w:rsidP="00937C64">
            <w:pPr>
              <w:jc w:val="right"/>
              <w:rPr>
                <w:rFonts w:ascii="Arial" w:hAnsi="Arial"/>
                <w:sz w:val="18"/>
                <w:szCs w:val="18"/>
              </w:rPr>
            </w:pPr>
            <w:r w:rsidRPr="00424274">
              <w:rPr>
                <w:rFonts w:ascii="Arial" w:hAnsi="Arial"/>
                <w:sz w:val="18"/>
                <w:szCs w:val="18"/>
              </w:rPr>
              <w:t>31</w:t>
            </w:r>
          </w:p>
        </w:tc>
        <w:tc>
          <w:tcPr>
            <w:tcW w:w="560" w:type="dxa"/>
            <w:tcBorders>
              <w:top w:val="single" w:sz="4" w:space="0" w:color="auto"/>
              <w:left w:val="single" w:sz="4" w:space="0" w:color="auto"/>
              <w:bottom w:val="single" w:sz="4" w:space="0" w:color="auto"/>
              <w:right w:val="single" w:sz="4" w:space="0" w:color="auto"/>
            </w:tcBorders>
            <w:shd w:val="clear" w:color="auto" w:fill="99FF33"/>
            <w:vAlign w:val="bottom"/>
          </w:tcPr>
          <w:p w14:paraId="3653F50C" w14:textId="77777777" w:rsidR="00937C64" w:rsidRPr="00424274" w:rsidRDefault="00937C64" w:rsidP="00937C64">
            <w:pPr>
              <w:jc w:val="right"/>
              <w:rPr>
                <w:rFonts w:ascii="Arial" w:hAnsi="Arial"/>
                <w:sz w:val="18"/>
                <w:szCs w:val="18"/>
              </w:rPr>
            </w:pPr>
            <w:r w:rsidRPr="00424274">
              <w:rPr>
                <w:rFonts w:ascii="Arial" w:hAnsi="Arial"/>
                <w:sz w:val="18"/>
                <w:szCs w:val="18"/>
              </w:rPr>
              <w:t>34</w:t>
            </w:r>
          </w:p>
        </w:tc>
        <w:tc>
          <w:tcPr>
            <w:tcW w:w="560" w:type="dxa"/>
            <w:tcBorders>
              <w:top w:val="single" w:sz="4" w:space="0" w:color="auto"/>
              <w:left w:val="single" w:sz="4" w:space="0" w:color="auto"/>
              <w:bottom w:val="single" w:sz="4" w:space="0" w:color="auto"/>
              <w:right w:val="single" w:sz="4" w:space="0" w:color="auto"/>
            </w:tcBorders>
            <w:shd w:val="clear" w:color="auto" w:fill="99FF33"/>
            <w:vAlign w:val="bottom"/>
          </w:tcPr>
          <w:p w14:paraId="4DECA82C" w14:textId="77777777" w:rsidR="00937C64" w:rsidRPr="00424274" w:rsidRDefault="00937C64" w:rsidP="00937C64">
            <w:pPr>
              <w:jc w:val="right"/>
              <w:rPr>
                <w:rFonts w:ascii="Arial" w:hAnsi="Arial"/>
                <w:sz w:val="18"/>
                <w:szCs w:val="18"/>
              </w:rPr>
            </w:pPr>
            <w:r w:rsidRPr="00424274">
              <w:rPr>
                <w:rFonts w:ascii="Arial" w:hAnsi="Arial"/>
                <w:sz w:val="18"/>
                <w:szCs w:val="18"/>
              </w:rPr>
              <w:t>48</w:t>
            </w:r>
          </w:p>
        </w:tc>
        <w:tc>
          <w:tcPr>
            <w:tcW w:w="663" w:type="dxa"/>
            <w:tcBorders>
              <w:top w:val="single" w:sz="4" w:space="0" w:color="auto"/>
              <w:left w:val="single" w:sz="4" w:space="0" w:color="auto"/>
              <w:bottom w:val="single" w:sz="4" w:space="0" w:color="auto"/>
              <w:right w:val="single" w:sz="4" w:space="0" w:color="auto"/>
            </w:tcBorders>
            <w:shd w:val="clear" w:color="auto" w:fill="99FF33"/>
            <w:vAlign w:val="bottom"/>
          </w:tcPr>
          <w:p w14:paraId="0AFC7F86" w14:textId="77777777" w:rsidR="00937C64" w:rsidRPr="00424274" w:rsidRDefault="00937C64" w:rsidP="00937C64">
            <w:pPr>
              <w:jc w:val="right"/>
              <w:rPr>
                <w:rFonts w:ascii="Arial" w:hAnsi="Arial"/>
                <w:sz w:val="18"/>
                <w:szCs w:val="18"/>
              </w:rPr>
            </w:pPr>
            <w:r w:rsidRPr="00424274">
              <w:rPr>
                <w:rFonts w:ascii="Arial" w:hAnsi="Arial"/>
                <w:sz w:val="18"/>
                <w:szCs w:val="18"/>
              </w:rPr>
              <w:t>45</w:t>
            </w:r>
          </w:p>
        </w:tc>
      </w:tr>
      <w:tr w:rsidR="00937C64" w:rsidRPr="00424274" w14:paraId="3B4D0D36" w14:textId="77777777" w:rsidTr="00472BE5">
        <w:trPr>
          <w:trHeight w:val="360"/>
        </w:trPr>
        <w:tc>
          <w:tcPr>
            <w:tcW w:w="3688" w:type="dxa"/>
            <w:tcBorders>
              <w:top w:val="nil"/>
              <w:left w:val="single" w:sz="8" w:space="0" w:color="auto"/>
              <w:bottom w:val="single" w:sz="8" w:space="0" w:color="auto"/>
              <w:right w:val="single" w:sz="8" w:space="0" w:color="auto"/>
            </w:tcBorders>
            <w:shd w:val="clear" w:color="auto" w:fill="99FF33"/>
            <w:noWrap/>
            <w:vAlign w:val="bottom"/>
            <w:hideMark/>
          </w:tcPr>
          <w:p w14:paraId="1C556A3C" w14:textId="77777777" w:rsidR="00937C64" w:rsidRPr="00424274" w:rsidRDefault="00937C64" w:rsidP="00937C64">
            <w:pPr>
              <w:widowControl/>
              <w:jc w:val="left"/>
              <w:rPr>
                <w:rFonts w:ascii="Arial" w:hAnsi="Arial"/>
                <w:sz w:val="18"/>
                <w:szCs w:val="18"/>
                <w:lang w:eastAsia="sl-SI"/>
              </w:rPr>
            </w:pPr>
            <w:r w:rsidRPr="00424274">
              <w:rPr>
                <w:rFonts w:ascii="Arial" w:hAnsi="Arial"/>
                <w:sz w:val="18"/>
                <w:szCs w:val="18"/>
                <w:lang w:eastAsia="sl-SI"/>
              </w:rPr>
              <w:t>Preiskovalni sodnik: Preiskava uvedena</w:t>
            </w:r>
          </w:p>
        </w:tc>
        <w:tc>
          <w:tcPr>
            <w:tcW w:w="603" w:type="dxa"/>
            <w:tcBorders>
              <w:top w:val="nil"/>
              <w:left w:val="nil"/>
              <w:bottom w:val="single" w:sz="8" w:space="0" w:color="auto"/>
              <w:right w:val="single" w:sz="8" w:space="0" w:color="auto"/>
            </w:tcBorders>
            <w:shd w:val="clear" w:color="auto" w:fill="99FF33"/>
            <w:noWrap/>
            <w:vAlign w:val="bottom"/>
            <w:hideMark/>
          </w:tcPr>
          <w:p w14:paraId="13D94422" w14:textId="77777777" w:rsidR="00937C64" w:rsidRPr="00424274" w:rsidRDefault="00937C64" w:rsidP="00937C64">
            <w:pPr>
              <w:widowControl/>
              <w:jc w:val="right"/>
              <w:rPr>
                <w:rFonts w:ascii="Arial" w:hAnsi="Arial"/>
                <w:sz w:val="18"/>
                <w:szCs w:val="18"/>
                <w:lang w:eastAsia="sl-SI"/>
              </w:rPr>
            </w:pPr>
            <w:r w:rsidRPr="00424274">
              <w:rPr>
                <w:rFonts w:ascii="Arial" w:hAnsi="Arial"/>
                <w:sz w:val="18"/>
                <w:szCs w:val="18"/>
                <w:lang w:eastAsia="sl-SI"/>
              </w:rPr>
              <w:t>25</w:t>
            </w:r>
          </w:p>
        </w:tc>
        <w:tc>
          <w:tcPr>
            <w:tcW w:w="603" w:type="dxa"/>
            <w:tcBorders>
              <w:top w:val="nil"/>
              <w:left w:val="nil"/>
              <w:bottom w:val="single" w:sz="8" w:space="0" w:color="auto"/>
              <w:right w:val="single" w:sz="8" w:space="0" w:color="auto"/>
            </w:tcBorders>
            <w:shd w:val="clear" w:color="auto" w:fill="99FF33"/>
            <w:noWrap/>
            <w:vAlign w:val="bottom"/>
            <w:hideMark/>
          </w:tcPr>
          <w:p w14:paraId="11179902" w14:textId="77777777" w:rsidR="00937C64" w:rsidRPr="00424274" w:rsidRDefault="00937C64" w:rsidP="00937C64">
            <w:pPr>
              <w:widowControl/>
              <w:jc w:val="right"/>
              <w:rPr>
                <w:rFonts w:ascii="Arial" w:hAnsi="Arial"/>
                <w:sz w:val="18"/>
                <w:szCs w:val="18"/>
                <w:lang w:eastAsia="sl-SI"/>
              </w:rPr>
            </w:pPr>
            <w:r w:rsidRPr="00424274">
              <w:rPr>
                <w:rFonts w:ascii="Arial" w:hAnsi="Arial"/>
                <w:sz w:val="18"/>
                <w:szCs w:val="18"/>
                <w:lang w:eastAsia="sl-SI"/>
              </w:rPr>
              <w:t>37</w:t>
            </w:r>
          </w:p>
        </w:tc>
        <w:tc>
          <w:tcPr>
            <w:tcW w:w="603" w:type="dxa"/>
            <w:tcBorders>
              <w:top w:val="nil"/>
              <w:left w:val="nil"/>
              <w:bottom w:val="single" w:sz="8" w:space="0" w:color="auto"/>
              <w:right w:val="single" w:sz="8" w:space="0" w:color="auto"/>
            </w:tcBorders>
            <w:shd w:val="clear" w:color="auto" w:fill="99FF33"/>
            <w:noWrap/>
            <w:vAlign w:val="bottom"/>
            <w:hideMark/>
          </w:tcPr>
          <w:p w14:paraId="51558E3C" w14:textId="77777777" w:rsidR="00937C64" w:rsidRPr="00424274" w:rsidRDefault="00937C64" w:rsidP="00937C64">
            <w:pPr>
              <w:widowControl/>
              <w:jc w:val="right"/>
              <w:rPr>
                <w:rFonts w:ascii="Arial" w:hAnsi="Arial"/>
                <w:sz w:val="18"/>
                <w:szCs w:val="18"/>
                <w:lang w:eastAsia="sl-SI"/>
              </w:rPr>
            </w:pPr>
            <w:r w:rsidRPr="00424274">
              <w:rPr>
                <w:rFonts w:ascii="Arial" w:hAnsi="Arial"/>
                <w:sz w:val="18"/>
                <w:szCs w:val="18"/>
                <w:lang w:eastAsia="sl-SI"/>
              </w:rPr>
              <w:t>54</w:t>
            </w:r>
          </w:p>
        </w:tc>
        <w:tc>
          <w:tcPr>
            <w:tcW w:w="604" w:type="dxa"/>
            <w:tcBorders>
              <w:top w:val="nil"/>
              <w:left w:val="nil"/>
              <w:bottom w:val="single" w:sz="8" w:space="0" w:color="auto"/>
              <w:right w:val="single" w:sz="8" w:space="0" w:color="auto"/>
            </w:tcBorders>
            <w:shd w:val="clear" w:color="auto" w:fill="99FF33"/>
            <w:noWrap/>
            <w:vAlign w:val="bottom"/>
            <w:hideMark/>
          </w:tcPr>
          <w:p w14:paraId="5A3E6997" w14:textId="77777777" w:rsidR="00937C64" w:rsidRPr="00424274" w:rsidRDefault="00937C64" w:rsidP="00937C64">
            <w:pPr>
              <w:jc w:val="right"/>
              <w:rPr>
                <w:rFonts w:ascii="Arial" w:hAnsi="Arial"/>
                <w:sz w:val="18"/>
                <w:szCs w:val="18"/>
              </w:rPr>
            </w:pPr>
            <w:r w:rsidRPr="00424274">
              <w:rPr>
                <w:rFonts w:ascii="Arial" w:hAnsi="Arial"/>
                <w:sz w:val="18"/>
                <w:szCs w:val="18"/>
              </w:rPr>
              <w:t>60</w:t>
            </w:r>
          </w:p>
        </w:tc>
        <w:tc>
          <w:tcPr>
            <w:tcW w:w="604" w:type="dxa"/>
            <w:tcBorders>
              <w:top w:val="nil"/>
              <w:left w:val="nil"/>
              <w:bottom w:val="single" w:sz="8" w:space="0" w:color="auto"/>
              <w:right w:val="single" w:sz="4" w:space="0" w:color="auto"/>
            </w:tcBorders>
            <w:shd w:val="clear" w:color="auto" w:fill="99FF33"/>
            <w:noWrap/>
            <w:vAlign w:val="bottom"/>
            <w:hideMark/>
          </w:tcPr>
          <w:p w14:paraId="27659EDF" w14:textId="77777777" w:rsidR="00937C64" w:rsidRPr="00424274" w:rsidRDefault="00937C64" w:rsidP="00937C64">
            <w:pPr>
              <w:jc w:val="right"/>
              <w:rPr>
                <w:rFonts w:ascii="Arial" w:hAnsi="Arial"/>
                <w:sz w:val="18"/>
                <w:szCs w:val="18"/>
              </w:rPr>
            </w:pPr>
            <w:r w:rsidRPr="00424274">
              <w:rPr>
                <w:rFonts w:ascii="Arial" w:hAnsi="Arial"/>
                <w:sz w:val="18"/>
                <w:szCs w:val="18"/>
              </w:rPr>
              <w:t>53</w:t>
            </w:r>
          </w:p>
        </w:tc>
        <w:tc>
          <w:tcPr>
            <w:tcW w:w="560" w:type="dxa"/>
            <w:tcBorders>
              <w:top w:val="single" w:sz="4" w:space="0" w:color="auto"/>
              <w:left w:val="single" w:sz="4" w:space="0" w:color="auto"/>
              <w:bottom w:val="single" w:sz="4" w:space="0" w:color="auto"/>
              <w:right w:val="single" w:sz="4" w:space="0" w:color="auto"/>
            </w:tcBorders>
            <w:shd w:val="clear" w:color="auto" w:fill="99FF33"/>
            <w:vAlign w:val="bottom"/>
          </w:tcPr>
          <w:p w14:paraId="008CA2C3" w14:textId="77777777" w:rsidR="00937C64" w:rsidRPr="00424274" w:rsidRDefault="00937C64" w:rsidP="00937C64">
            <w:pPr>
              <w:jc w:val="right"/>
              <w:rPr>
                <w:rFonts w:ascii="Arial" w:hAnsi="Arial"/>
                <w:sz w:val="18"/>
                <w:szCs w:val="18"/>
              </w:rPr>
            </w:pPr>
            <w:r w:rsidRPr="00424274">
              <w:rPr>
                <w:rFonts w:ascii="Arial" w:hAnsi="Arial"/>
                <w:sz w:val="18"/>
                <w:szCs w:val="18"/>
              </w:rPr>
              <w:t>57</w:t>
            </w:r>
          </w:p>
        </w:tc>
        <w:tc>
          <w:tcPr>
            <w:tcW w:w="560" w:type="dxa"/>
            <w:tcBorders>
              <w:top w:val="single" w:sz="4" w:space="0" w:color="auto"/>
              <w:left w:val="single" w:sz="4" w:space="0" w:color="auto"/>
              <w:bottom w:val="single" w:sz="4" w:space="0" w:color="auto"/>
              <w:right w:val="single" w:sz="4" w:space="0" w:color="auto"/>
            </w:tcBorders>
            <w:shd w:val="clear" w:color="auto" w:fill="99FF33"/>
            <w:vAlign w:val="bottom"/>
          </w:tcPr>
          <w:p w14:paraId="2E4CCCD6" w14:textId="77777777" w:rsidR="00937C64" w:rsidRPr="00424274" w:rsidRDefault="00937C64" w:rsidP="00937C64">
            <w:pPr>
              <w:jc w:val="right"/>
              <w:rPr>
                <w:rFonts w:ascii="Arial" w:hAnsi="Arial"/>
                <w:sz w:val="18"/>
                <w:szCs w:val="18"/>
              </w:rPr>
            </w:pPr>
            <w:r w:rsidRPr="00424274">
              <w:rPr>
                <w:rFonts w:ascii="Arial" w:hAnsi="Arial"/>
                <w:sz w:val="18"/>
                <w:szCs w:val="18"/>
              </w:rPr>
              <w:t>58</w:t>
            </w:r>
          </w:p>
        </w:tc>
        <w:tc>
          <w:tcPr>
            <w:tcW w:w="560" w:type="dxa"/>
            <w:tcBorders>
              <w:top w:val="single" w:sz="4" w:space="0" w:color="auto"/>
              <w:left w:val="single" w:sz="4" w:space="0" w:color="auto"/>
              <w:bottom w:val="single" w:sz="4" w:space="0" w:color="auto"/>
              <w:right w:val="single" w:sz="4" w:space="0" w:color="auto"/>
            </w:tcBorders>
            <w:shd w:val="clear" w:color="auto" w:fill="99FF33"/>
            <w:vAlign w:val="bottom"/>
          </w:tcPr>
          <w:p w14:paraId="535AF7D9" w14:textId="77777777" w:rsidR="00937C64" w:rsidRPr="00424274" w:rsidRDefault="00937C64" w:rsidP="00937C64">
            <w:pPr>
              <w:jc w:val="right"/>
              <w:rPr>
                <w:rFonts w:ascii="Arial" w:hAnsi="Arial"/>
                <w:sz w:val="18"/>
                <w:szCs w:val="18"/>
              </w:rPr>
            </w:pPr>
            <w:r w:rsidRPr="00424274">
              <w:rPr>
                <w:rFonts w:ascii="Arial" w:hAnsi="Arial"/>
                <w:sz w:val="18"/>
                <w:szCs w:val="18"/>
              </w:rPr>
              <w:t>57</w:t>
            </w:r>
          </w:p>
        </w:tc>
        <w:tc>
          <w:tcPr>
            <w:tcW w:w="560" w:type="dxa"/>
            <w:tcBorders>
              <w:top w:val="single" w:sz="4" w:space="0" w:color="auto"/>
              <w:left w:val="single" w:sz="4" w:space="0" w:color="auto"/>
              <w:bottom w:val="single" w:sz="4" w:space="0" w:color="auto"/>
              <w:right w:val="single" w:sz="4" w:space="0" w:color="auto"/>
            </w:tcBorders>
            <w:shd w:val="clear" w:color="auto" w:fill="99FF33"/>
            <w:vAlign w:val="bottom"/>
          </w:tcPr>
          <w:p w14:paraId="63E31775" w14:textId="77777777" w:rsidR="00937C64" w:rsidRPr="00424274" w:rsidRDefault="00937C64" w:rsidP="00937C64">
            <w:pPr>
              <w:jc w:val="right"/>
              <w:rPr>
                <w:rFonts w:ascii="Arial" w:hAnsi="Arial"/>
                <w:sz w:val="18"/>
                <w:szCs w:val="18"/>
              </w:rPr>
            </w:pPr>
            <w:r w:rsidRPr="00424274">
              <w:rPr>
                <w:rFonts w:ascii="Arial" w:hAnsi="Arial"/>
                <w:sz w:val="18"/>
                <w:szCs w:val="18"/>
              </w:rPr>
              <w:t>32</w:t>
            </w:r>
          </w:p>
        </w:tc>
        <w:tc>
          <w:tcPr>
            <w:tcW w:w="663" w:type="dxa"/>
            <w:tcBorders>
              <w:top w:val="single" w:sz="4" w:space="0" w:color="auto"/>
              <w:left w:val="single" w:sz="4" w:space="0" w:color="auto"/>
              <w:bottom w:val="single" w:sz="4" w:space="0" w:color="auto"/>
              <w:right w:val="single" w:sz="4" w:space="0" w:color="auto"/>
            </w:tcBorders>
            <w:shd w:val="clear" w:color="auto" w:fill="99FF33"/>
            <w:vAlign w:val="bottom"/>
          </w:tcPr>
          <w:p w14:paraId="1A07E0F0" w14:textId="77777777" w:rsidR="00937C64" w:rsidRPr="00424274" w:rsidRDefault="00937C64" w:rsidP="00937C64">
            <w:pPr>
              <w:jc w:val="right"/>
              <w:rPr>
                <w:rFonts w:ascii="Arial" w:hAnsi="Arial"/>
                <w:sz w:val="18"/>
                <w:szCs w:val="18"/>
              </w:rPr>
            </w:pPr>
            <w:r w:rsidRPr="00424274">
              <w:rPr>
                <w:rFonts w:ascii="Arial" w:hAnsi="Arial"/>
                <w:sz w:val="18"/>
                <w:szCs w:val="18"/>
              </w:rPr>
              <w:t>28</w:t>
            </w:r>
          </w:p>
        </w:tc>
      </w:tr>
      <w:tr w:rsidR="00937C64" w:rsidRPr="00424274" w14:paraId="6E7DEC1A" w14:textId="77777777" w:rsidTr="00472BE5">
        <w:trPr>
          <w:trHeight w:val="360"/>
        </w:trPr>
        <w:tc>
          <w:tcPr>
            <w:tcW w:w="3688" w:type="dxa"/>
            <w:tcBorders>
              <w:top w:val="nil"/>
              <w:left w:val="single" w:sz="8" w:space="0" w:color="auto"/>
              <w:bottom w:val="single" w:sz="8" w:space="0" w:color="auto"/>
              <w:right w:val="single" w:sz="8" w:space="0" w:color="auto"/>
            </w:tcBorders>
            <w:shd w:val="clear" w:color="auto" w:fill="99FF33"/>
            <w:noWrap/>
            <w:vAlign w:val="bottom"/>
            <w:hideMark/>
          </w:tcPr>
          <w:p w14:paraId="1600A909" w14:textId="77777777" w:rsidR="00937C64" w:rsidRPr="00424274" w:rsidRDefault="00937C64" w:rsidP="00937C64">
            <w:pPr>
              <w:widowControl/>
              <w:jc w:val="left"/>
              <w:rPr>
                <w:rFonts w:ascii="Arial" w:hAnsi="Arial"/>
                <w:sz w:val="18"/>
                <w:szCs w:val="18"/>
                <w:lang w:eastAsia="sl-SI"/>
              </w:rPr>
            </w:pPr>
            <w:r w:rsidRPr="00424274">
              <w:rPr>
                <w:rFonts w:ascii="Arial" w:hAnsi="Arial"/>
                <w:sz w:val="18"/>
                <w:szCs w:val="18"/>
                <w:lang w:eastAsia="sl-SI"/>
              </w:rPr>
              <w:t>Sodišče: Obtožnica</w:t>
            </w:r>
          </w:p>
        </w:tc>
        <w:tc>
          <w:tcPr>
            <w:tcW w:w="603" w:type="dxa"/>
            <w:tcBorders>
              <w:top w:val="nil"/>
              <w:left w:val="nil"/>
              <w:bottom w:val="single" w:sz="8" w:space="0" w:color="auto"/>
              <w:right w:val="single" w:sz="8" w:space="0" w:color="auto"/>
            </w:tcBorders>
            <w:shd w:val="clear" w:color="auto" w:fill="99FF33"/>
            <w:noWrap/>
            <w:vAlign w:val="bottom"/>
            <w:hideMark/>
          </w:tcPr>
          <w:p w14:paraId="32617EA2" w14:textId="77777777" w:rsidR="00937C64" w:rsidRPr="00424274" w:rsidRDefault="00937C64" w:rsidP="00937C64">
            <w:pPr>
              <w:widowControl/>
              <w:jc w:val="right"/>
              <w:rPr>
                <w:rFonts w:ascii="Arial" w:hAnsi="Arial"/>
                <w:sz w:val="18"/>
                <w:szCs w:val="18"/>
                <w:lang w:eastAsia="sl-SI"/>
              </w:rPr>
            </w:pPr>
            <w:r w:rsidRPr="00424274">
              <w:rPr>
                <w:rFonts w:ascii="Arial" w:hAnsi="Arial"/>
                <w:sz w:val="18"/>
                <w:szCs w:val="18"/>
                <w:lang w:eastAsia="sl-SI"/>
              </w:rPr>
              <w:t>27</w:t>
            </w:r>
          </w:p>
        </w:tc>
        <w:tc>
          <w:tcPr>
            <w:tcW w:w="603" w:type="dxa"/>
            <w:tcBorders>
              <w:top w:val="nil"/>
              <w:left w:val="nil"/>
              <w:bottom w:val="single" w:sz="8" w:space="0" w:color="auto"/>
              <w:right w:val="single" w:sz="8" w:space="0" w:color="auto"/>
            </w:tcBorders>
            <w:shd w:val="clear" w:color="auto" w:fill="99FF33"/>
            <w:noWrap/>
            <w:vAlign w:val="bottom"/>
            <w:hideMark/>
          </w:tcPr>
          <w:p w14:paraId="6143E7D0" w14:textId="77777777" w:rsidR="00937C64" w:rsidRPr="00424274" w:rsidRDefault="00937C64" w:rsidP="00937C64">
            <w:pPr>
              <w:widowControl/>
              <w:jc w:val="right"/>
              <w:rPr>
                <w:rFonts w:ascii="Arial" w:hAnsi="Arial"/>
                <w:sz w:val="18"/>
                <w:szCs w:val="18"/>
                <w:lang w:eastAsia="sl-SI"/>
              </w:rPr>
            </w:pPr>
            <w:r w:rsidRPr="00424274">
              <w:rPr>
                <w:rFonts w:ascii="Arial" w:hAnsi="Arial"/>
                <w:sz w:val="18"/>
                <w:szCs w:val="18"/>
                <w:lang w:eastAsia="sl-SI"/>
              </w:rPr>
              <w:t>39</w:t>
            </w:r>
          </w:p>
        </w:tc>
        <w:tc>
          <w:tcPr>
            <w:tcW w:w="603" w:type="dxa"/>
            <w:tcBorders>
              <w:top w:val="nil"/>
              <w:left w:val="nil"/>
              <w:bottom w:val="single" w:sz="8" w:space="0" w:color="auto"/>
              <w:right w:val="single" w:sz="8" w:space="0" w:color="auto"/>
            </w:tcBorders>
            <w:shd w:val="clear" w:color="auto" w:fill="99FF33"/>
            <w:noWrap/>
            <w:vAlign w:val="bottom"/>
            <w:hideMark/>
          </w:tcPr>
          <w:p w14:paraId="05210409" w14:textId="77777777" w:rsidR="00937C64" w:rsidRPr="00424274" w:rsidRDefault="00937C64" w:rsidP="00937C64">
            <w:pPr>
              <w:widowControl/>
              <w:jc w:val="right"/>
              <w:rPr>
                <w:rFonts w:ascii="Arial" w:hAnsi="Arial"/>
                <w:sz w:val="18"/>
                <w:szCs w:val="18"/>
                <w:lang w:eastAsia="sl-SI"/>
              </w:rPr>
            </w:pPr>
            <w:r w:rsidRPr="00424274">
              <w:rPr>
                <w:rFonts w:ascii="Arial" w:hAnsi="Arial"/>
                <w:sz w:val="18"/>
                <w:szCs w:val="18"/>
                <w:lang w:eastAsia="sl-SI"/>
              </w:rPr>
              <w:t>50</w:t>
            </w:r>
          </w:p>
        </w:tc>
        <w:tc>
          <w:tcPr>
            <w:tcW w:w="604" w:type="dxa"/>
            <w:tcBorders>
              <w:top w:val="nil"/>
              <w:left w:val="nil"/>
              <w:bottom w:val="single" w:sz="8" w:space="0" w:color="auto"/>
              <w:right w:val="single" w:sz="8" w:space="0" w:color="auto"/>
            </w:tcBorders>
            <w:shd w:val="clear" w:color="auto" w:fill="99FF33"/>
            <w:noWrap/>
            <w:vAlign w:val="bottom"/>
            <w:hideMark/>
          </w:tcPr>
          <w:p w14:paraId="5EA48F34" w14:textId="77777777" w:rsidR="00937C64" w:rsidRPr="00424274" w:rsidRDefault="00937C64" w:rsidP="00937C64">
            <w:pPr>
              <w:jc w:val="right"/>
              <w:rPr>
                <w:rFonts w:ascii="Arial" w:hAnsi="Arial"/>
                <w:sz w:val="18"/>
                <w:szCs w:val="18"/>
              </w:rPr>
            </w:pPr>
            <w:r w:rsidRPr="00424274">
              <w:rPr>
                <w:rFonts w:ascii="Arial" w:hAnsi="Arial"/>
                <w:sz w:val="18"/>
                <w:szCs w:val="18"/>
              </w:rPr>
              <w:t>60</w:t>
            </w:r>
          </w:p>
        </w:tc>
        <w:tc>
          <w:tcPr>
            <w:tcW w:w="604" w:type="dxa"/>
            <w:tcBorders>
              <w:top w:val="nil"/>
              <w:left w:val="nil"/>
              <w:bottom w:val="single" w:sz="8" w:space="0" w:color="auto"/>
              <w:right w:val="single" w:sz="4" w:space="0" w:color="auto"/>
            </w:tcBorders>
            <w:shd w:val="clear" w:color="auto" w:fill="99FF33"/>
            <w:noWrap/>
            <w:vAlign w:val="bottom"/>
            <w:hideMark/>
          </w:tcPr>
          <w:p w14:paraId="6A16B819" w14:textId="77777777" w:rsidR="00937C64" w:rsidRPr="00424274" w:rsidRDefault="00937C64" w:rsidP="00937C64">
            <w:pPr>
              <w:jc w:val="right"/>
              <w:rPr>
                <w:rFonts w:ascii="Arial" w:hAnsi="Arial"/>
                <w:sz w:val="18"/>
                <w:szCs w:val="18"/>
              </w:rPr>
            </w:pPr>
            <w:r w:rsidRPr="00424274">
              <w:rPr>
                <w:rFonts w:ascii="Arial" w:hAnsi="Arial"/>
                <w:sz w:val="18"/>
                <w:szCs w:val="18"/>
              </w:rPr>
              <w:t>73</w:t>
            </w:r>
          </w:p>
        </w:tc>
        <w:tc>
          <w:tcPr>
            <w:tcW w:w="560" w:type="dxa"/>
            <w:tcBorders>
              <w:top w:val="single" w:sz="4" w:space="0" w:color="auto"/>
              <w:left w:val="single" w:sz="4" w:space="0" w:color="auto"/>
              <w:bottom w:val="single" w:sz="4" w:space="0" w:color="auto"/>
              <w:right w:val="single" w:sz="4" w:space="0" w:color="auto"/>
            </w:tcBorders>
            <w:shd w:val="clear" w:color="auto" w:fill="99FF33"/>
            <w:vAlign w:val="bottom"/>
          </w:tcPr>
          <w:p w14:paraId="04A17ABE" w14:textId="77777777" w:rsidR="00937C64" w:rsidRPr="00424274" w:rsidRDefault="00937C64" w:rsidP="00937C64">
            <w:pPr>
              <w:jc w:val="right"/>
              <w:rPr>
                <w:rFonts w:ascii="Arial" w:hAnsi="Arial"/>
                <w:sz w:val="18"/>
                <w:szCs w:val="18"/>
              </w:rPr>
            </w:pPr>
            <w:r w:rsidRPr="00424274">
              <w:rPr>
                <w:rFonts w:ascii="Arial" w:hAnsi="Arial"/>
                <w:sz w:val="18"/>
                <w:szCs w:val="18"/>
              </w:rPr>
              <w:t>77</w:t>
            </w:r>
          </w:p>
        </w:tc>
        <w:tc>
          <w:tcPr>
            <w:tcW w:w="560" w:type="dxa"/>
            <w:tcBorders>
              <w:top w:val="single" w:sz="4" w:space="0" w:color="auto"/>
              <w:left w:val="single" w:sz="4" w:space="0" w:color="auto"/>
              <w:bottom w:val="single" w:sz="4" w:space="0" w:color="auto"/>
              <w:right w:val="single" w:sz="4" w:space="0" w:color="auto"/>
            </w:tcBorders>
            <w:shd w:val="clear" w:color="auto" w:fill="99FF33"/>
            <w:vAlign w:val="bottom"/>
          </w:tcPr>
          <w:p w14:paraId="41EE6E77" w14:textId="77777777" w:rsidR="00937C64" w:rsidRPr="00424274" w:rsidRDefault="00937C64" w:rsidP="00937C64">
            <w:pPr>
              <w:jc w:val="right"/>
              <w:rPr>
                <w:rFonts w:ascii="Arial" w:hAnsi="Arial"/>
                <w:sz w:val="18"/>
                <w:szCs w:val="18"/>
              </w:rPr>
            </w:pPr>
            <w:r w:rsidRPr="00424274">
              <w:rPr>
                <w:rFonts w:ascii="Arial" w:hAnsi="Arial"/>
                <w:sz w:val="18"/>
                <w:szCs w:val="18"/>
              </w:rPr>
              <w:t>74</w:t>
            </w:r>
          </w:p>
        </w:tc>
        <w:tc>
          <w:tcPr>
            <w:tcW w:w="560" w:type="dxa"/>
            <w:tcBorders>
              <w:top w:val="single" w:sz="4" w:space="0" w:color="auto"/>
              <w:left w:val="single" w:sz="4" w:space="0" w:color="auto"/>
              <w:bottom w:val="single" w:sz="4" w:space="0" w:color="auto"/>
              <w:right w:val="single" w:sz="4" w:space="0" w:color="auto"/>
            </w:tcBorders>
            <w:shd w:val="clear" w:color="auto" w:fill="99FF33"/>
            <w:vAlign w:val="bottom"/>
          </w:tcPr>
          <w:p w14:paraId="7310A1D8" w14:textId="77777777" w:rsidR="00937C64" w:rsidRPr="00424274" w:rsidRDefault="00937C64" w:rsidP="00937C64">
            <w:pPr>
              <w:jc w:val="right"/>
              <w:rPr>
                <w:rFonts w:ascii="Arial" w:hAnsi="Arial"/>
                <w:sz w:val="18"/>
                <w:szCs w:val="18"/>
              </w:rPr>
            </w:pPr>
            <w:r w:rsidRPr="00424274">
              <w:rPr>
                <w:rFonts w:ascii="Arial" w:hAnsi="Arial"/>
                <w:sz w:val="18"/>
                <w:szCs w:val="18"/>
              </w:rPr>
              <w:t>78</w:t>
            </w:r>
          </w:p>
        </w:tc>
        <w:tc>
          <w:tcPr>
            <w:tcW w:w="560" w:type="dxa"/>
            <w:tcBorders>
              <w:top w:val="single" w:sz="4" w:space="0" w:color="auto"/>
              <w:left w:val="single" w:sz="4" w:space="0" w:color="auto"/>
              <w:bottom w:val="single" w:sz="4" w:space="0" w:color="auto"/>
              <w:right w:val="single" w:sz="4" w:space="0" w:color="auto"/>
            </w:tcBorders>
            <w:shd w:val="clear" w:color="auto" w:fill="99FF33"/>
            <w:vAlign w:val="bottom"/>
          </w:tcPr>
          <w:p w14:paraId="601DDAC5" w14:textId="77777777" w:rsidR="00937C64" w:rsidRPr="00424274" w:rsidRDefault="00937C64" w:rsidP="00937C64">
            <w:pPr>
              <w:jc w:val="right"/>
              <w:rPr>
                <w:rFonts w:ascii="Arial" w:hAnsi="Arial"/>
                <w:sz w:val="18"/>
                <w:szCs w:val="18"/>
              </w:rPr>
            </w:pPr>
            <w:r w:rsidRPr="00424274">
              <w:rPr>
                <w:rFonts w:ascii="Arial" w:hAnsi="Arial"/>
                <w:sz w:val="18"/>
                <w:szCs w:val="18"/>
              </w:rPr>
              <w:t>101</w:t>
            </w:r>
          </w:p>
        </w:tc>
        <w:tc>
          <w:tcPr>
            <w:tcW w:w="663" w:type="dxa"/>
            <w:tcBorders>
              <w:top w:val="single" w:sz="4" w:space="0" w:color="auto"/>
              <w:left w:val="single" w:sz="4" w:space="0" w:color="auto"/>
              <w:bottom w:val="single" w:sz="4" w:space="0" w:color="auto"/>
              <w:right w:val="single" w:sz="4" w:space="0" w:color="auto"/>
            </w:tcBorders>
            <w:shd w:val="clear" w:color="auto" w:fill="99FF33"/>
            <w:vAlign w:val="bottom"/>
          </w:tcPr>
          <w:p w14:paraId="745EA8C8" w14:textId="77777777" w:rsidR="00937C64" w:rsidRPr="00424274" w:rsidRDefault="00937C64" w:rsidP="00937C64">
            <w:pPr>
              <w:jc w:val="right"/>
              <w:rPr>
                <w:rFonts w:ascii="Arial" w:hAnsi="Arial"/>
                <w:sz w:val="18"/>
                <w:szCs w:val="18"/>
              </w:rPr>
            </w:pPr>
            <w:r w:rsidRPr="00424274">
              <w:rPr>
                <w:rFonts w:ascii="Arial" w:hAnsi="Arial"/>
                <w:sz w:val="18"/>
                <w:szCs w:val="18"/>
              </w:rPr>
              <w:t>110</w:t>
            </w:r>
          </w:p>
        </w:tc>
      </w:tr>
      <w:tr w:rsidR="00937C64" w:rsidRPr="00424274" w14:paraId="4825E6F3" w14:textId="77777777" w:rsidTr="00472BE5">
        <w:trPr>
          <w:trHeight w:val="360"/>
        </w:trPr>
        <w:tc>
          <w:tcPr>
            <w:tcW w:w="3688" w:type="dxa"/>
            <w:tcBorders>
              <w:top w:val="nil"/>
              <w:left w:val="single" w:sz="8" w:space="0" w:color="auto"/>
              <w:bottom w:val="single" w:sz="8" w:space="0" w:color="auto"/>
              <w:right w:val="single" w:sz="8" w:space="0" w:color="auto"/>
            </w:tcBorders>
            <w:shd w:val="clear" w:color="000000" w:fill="FFEB9C"/>
            <w:noWrap/>
            <w:vAlign w:val="bottom"/>
            <w:hideMark/>
          </w:tcPr>
          <w:p w14:paraId="6FD78D90" w14:textId="77777777" w:rsidR="00937C64" w:rsidRPr="00424274" w:rsidRDefault="00937C64" w:rsidP="00937C64">
            <w:pPr>
              <w:widowControl/>
              <w:jc w:val="left"/>
              <w:rPr>
                <w:rFonts w:ascii="Arial" w:hAnsi="Arial"/>
                <w:sz w:val="18"/>
                <w:szCs w:val="18"/>
                <w:lang w:eastAsia="sl-SI"/>
              </w:rPr>
            </w:pPr>
            <w:r w:rsidRPr="00424274">
              <w:rPr>
                <w:rFonts w:ascii="Arial" w:hAnsi="Arial"/>
                <w:sz w:val="18"/>
                <w:szCs w:val="18"/>
                <w:lang w:eastAsia="sl-SI"/>
              </w:rPr>
              <w:t>Sodišče: Obsodilna sodba</w:t>
            </w:r>
          </w:p>
        </w:tc>
        <w:tc>
          <w:tcPr>
            <w:tcW w:w="603" w:type="dxa"/>
            <w:tcBorders>
              <w:top w:val="nil"/>
              <w:left w:val="nil"/>
              <w:bottom w:val="single" w:sz="8" w:space="0" w:color="auto"/>
              <w:right w:val="single" w:sz="8" w:space="0" w:color="auto"/>
            </w:tcBorders>
            <w:shd w:val="clear" w:color="000000" w:fill="FFEB9C"/>
            <w:noWrap/>
            <w:vAlign w:val="bottom"/>
            <w:hideMark/>
          </w:tcPr>
          <w:p w14:paraId="3B5ED1B6" w14:textId="77777777" w:rsidR="00937C64" w:rsidRPr="00424274" w:rsidRDefault="00937C64" w:rsidP="00937C64">
            <w:pPr>
              <w:widowControl/>
              <w:jc w:val="right"/>
              <w:rPr>
                <w:rFonts w:ascii="Arial" w:hAnsi="Arial"/>
                <w:sz w:val="18"/>
                <w:szCs w:val="18"/>
                <w:lang w:eastAsia="sl-SI"/>
              </w:rPr>
            </w:pPr>
            <w:r w:rsidRPr="00424274">
              <w:rPr>
                <w:rFonts w:ascii="Arial" w:hAnsi="Arial"/>
                <w:sz w:val="18"/>
                <w:szCs w:val="18"/>
                <w:lang w:eastAsia="sl-SI"/>
              </w:rPr>
              <w:t>5</w:t>
            </w:r>
          </w:p>
        </w:tc>
        <w:tc>
          <w:tcPr>
            <w:tcW w:w="603" w:type="dxa"/>
            <w:tcBorders>
              <w:top w:val="nil"/>
              <w:left w:val="nil"/>
              <w:bottom w:val="single" w:sz="8" w:space="0" w:color="auto"/>
              <w:right w:val="single" w:sz="8" w:space="0" w:color="auto"/>
            </w:tcBorders>
            <w:shd w:val="clear" w:color="000000" w:fill="FFEB9C"/>
            <w:noWrap/>
            <w:vAlign w:val="bottom"/>
            <w:hideMark/>
          </w:tcPr>
          <w:p w14:paraId="3FA00B75" w14:textId="77777777" w:rsidR="00937C64" w:rsidRPr="00424274" w:rsidRDefault="00937C64" w:rsidP="00937C64">
            <w:pPr>
              <w:widowControl/>
              <w:jc w:val="right"/>
              <w:rPr>
                <w:rFonts w:ascii="Arial" w:hAnsi="Arial"/>
                <w:sz w:val="18"/>
                <w:szCs w:val="18"/>
                <w:lang w:eastAsia="sl-SI"/>
              </w:rPr>
            </w:pPr>
            <w:r w:rsidRPr="00424274">
              <w:rPr>
                <w:rFonts w:ascii="Arial" w:hAnsi="Arial"/>
                <w:sz w:val="18"/>
                <w:szCs w:val="18"/>
                <w:lang w:eastAsia="sl-SI"/>
              </w:rPr>
              <w:t>9</w:t>
            </w:r>
          </w:p>
        </w:tc>
        <w:tc>
          <w:tcPr>
            <w:tcW w:w="603" w:type="dxa"/>
            <w:tcBorders>
              <w:top w:val="nil"/>
              <w:left w:val="nil"/>
              <w:bottom w:val="single" w:sz="8" w:space="0" w:color="auto"/>
              <w:right w:val="single" w:sz="8" w:space="0" w:color="auto"/>
            </w:tcBorders>
            <w:shd w:val="clear" w:color="000000" w:fill="FFEB9C"/>
            <w:noWrap/>
            <w:vAlign w:val="bottom"/>
            <w:hideMark/>
          </w:tcPr>
          <w:p w14:paraId="79E46742" w14:textId="77777777" w:rsidR="00937C64" w:rsidRPr="00424274" w:rsidRDefault="00937C64" w:rsidP="00937C64">
            <w:pPr>
              <w:widowControl/>
              <w:jc w:val="right"/>
              <w:rPr>
                <w:rFonts w:ascii="Arial" w:hAnsi="Arial"/>
                <w:sz w:val="18"/>
                <w:szCs w:val="18"/>
                <w:lang w:eastAsia="sl-SI"/>
              </w:rPr>
            </w:pPr>
            <w:r w:rsidRPr="00424274">
              <w:rPr>
                <w:rFonts w:ascii="Arial" w:hAnsi="Arial"/>
                <w:sz w:val="18"/>
                <w:szCs w:val="18"/>
                <w:lang w:eastAsia="sl-SI"/>
              </w:rPr>
              <w:t>26</w:t>
            </w:r>
          </w:p>
        </w:tc>
        <w:tc>
          <w:tcPr>
            <w:tcW w:w="604" w:type="dxa"/>
            <w:tcBorders>
              <w:top w:val="nil"/>
              <w:left w:val="nil"/>
              <w:bottom w:val="single" w:sz="8" w:space="0" w:color="auto"/>
              <w:right w:val="single" w:sz="8" w:space="0" w:color="auto"/>
            </w:tcBorders>
            <w:shd w:val="clear" w:color="000000" w:fill="FFEB9C"/>
            <w:noWrap/>
            <w:vAlign w:val="bottom"/>
            <w:hideMark/>
          </w:tcPr>
          <w:p w14:paraId="4A5A546C" w14:textId="77777777" w:rsidR="00937C64" w:rsidRPr="00424274" w:rsidRDefault="00937C64" w:rsidP="00937C64">
            <w:pPr>
              <w:jc w:val="right"/>
              <w:rPr>
                <w:rFonts w:ascii="Arial" w:hAnsi="Arial"/>
                <w:sz w:val="18"/>
                <w:szCs w:val="18"/>
              </w:rPr>
            </w:pPr>
            <w:r w:rsidRPr="00424274">
              <w:rPr>
                <w:rFonts w:ascii="Arial" w:hAnsi="Arial"/>
                <w:sz w:val="18"/>
                <w:szCs w:val="18"/>
              </w:rPr>
              <w:t>42</w:t>
            </w:r>
          </w:p>
        </w:tc>
        <w:tc>
          <w:tcPr>
            <w:tcW w:w="604" w:type="dxa"/>
            <w:tcBorders>
              <w:top w:val="nil"/>
              <w:left w:val="nil"/>
              <w:bottom w:val="single" w:sz="8" w:space="0" w:color="auto"/>
              <w:right w:val="single" w:sz="4" w:space="0" w:color="auto"/>
            </w:tcBorders>
            <w:shd w:val="clear" w:color="000000" w:fill="FFEB9C"/>
            <w:noWrap/>
            <w:vAlign w:val="bottom"/>
            <w:hideMark/>
          </w:tcPr>
          <w:p w14:paraId="0665A069" w14:textId="77777777" w:rsidR="00937C64" w:rsidRPr="00424274" w:rsidRDefault="00937C64" w:rsidP="00937C64">
            <w:pPr>
              <w:jc w:val="right"/>
              <w:rPr>
                <w:rFonts w:ascii="Arial" w:hAnsi="Arial"/>
                <w:sz w:val="18"/>
                <w:szCs w:val="18"/>
              </w:rPr>
            </w:pPr>
            <w:r w:rsidRPr="00424274">
              <w:rPr>
                <w:rFonts w:ascii="Arial" w:hAnsi="Arial"/>
                <w:sz w:val="18"/>
                <w:szCs w:val="18"/>
              </w:rPr>
              <w:t>60</w:t>
            </w:r>
          </w:p>
        </w:tc>
        <w:tc>
          <w:tcPr>
            <w:tcW w:w="560" w:type="dxa"/>
            <w:tcBorders>
              <w:top w:val="single" w:sz="4" w:space="0" w:color="auto"/>
              <w:left w:val="single" w:sz="4" w:space="0" w:color="auto"/>
              <w:bottom w:val="single" w:sz="4" w:space="0" w:color="auto"/>
              <w:right w:val="single" w:sz="4" w:space="0" w:color="auto"/>
            </w:tcBorders>
            <w:shd w:val="clear" w:color="000000" w:fill="FFEB9C"/>
            <w:vAlign w:val="bottom"/>
          </w:tcPr>
          <w:p w14:paraId="03C78236" w14:textId="77777777" w:rsidR="00937C64" w:rsidRPr="00424274" w:rsidRDefault="00937C64" w:rsidP="00937C64">
            <w:pPr>
              <w:jc w:val="right"/>
              <w:rPr>
                <w:rFonts w:ascii="Arial" w:hAnsi="Arial"/>
                <w:sz w:val="18"/>
                <w:szCs w:val="18"/>
              </w:rPr>
            </w:pPr>
            <w:r w:rsidRPr="00424274">
              <w:rPr>
                <w:rFonts w:ascii="Arial" w:hAnsi="Arial"/>
                <w:sz w:val="18"/>
                <w:szCs w:val="18"/>
              </w:rPr>
              <w:t>68</w:t>
            </w:r>
          </w:p>
        </w:tc>
        <w:tc>
          <w:tcPr>
            <w:tcW w:w="560" w:type="dxa"/>
            <w:tcBorders>
              <w:top w:val="single" w:sz="4" w:space="0" w:color="auto"/>
              <w:left w:val="single" w:sz="4" w:space="0" w:color="auto"/>
              <w:bottom w:val="single" w:sz="4" w:space="0" w:color="auto"/>
              <w:right w:val="single" w:sz="4" w:space="0" w:color="auto"/>
            </w:tcBorders>
            <w:shd w:val="clear" w:color="000000" w:fill="FFEB9C"/>
            <w:vAlign w:val="bottom"/>
          </w:tcPr>
          <w:p w14:paraId="17DB0F96" w14:textId="77777777" w:rsidR="00937C64" w:rsidRPr="00424274" w:rsidRDefault="00937C64" w:rsidP="00937C64">
            <w:pPr>
              <w:jc w:val="right"/>
              <w:rPr>
                <w:rFonts w:ascii="Arial" w:hAnsi="Arial"/>
                <w:sz w:val="18"/>
                <w:szCs w:val="18"/>
              </w:rPr>
            </w:pPr>
            <w:r w:rsidRPr="00424274">
              <w:rPr>
                <w:rFonts w:ascii="Arial" w:hAnsi="Arial"/>
                <w:sz w:val="18"/>
                <w:szCs w:val="18"/>
              </w:rPr>
              <w:t>78</w:t>
            </w:r>
          </w:p>
        </w:tc>
        <w:tc>
          <w:tcPr>
            <w:tcW w:w="560" w:type="dxa"/>
            <w:tcBorders>
              <w:top w:val="single" w:sz="4" w:space="0" w:color="auto"/>
              <w:left w:val="single" w:sz="4" w:space="0" w:color="auto"/>
              <w:bottom w:val="single" w:sz="4" w:space="0" w:color="auto"/>
              <w:right w:val="single" w:sz="4" w:space="0" w:color="auto"/>
            </w:tcBorders>
            <w:shd w:val="clear" w:color="000000" w:fill="FFEB9C"/>
            <w:vAlign w:val="bottom"/>
          </w:tcPr>
          <w:p w14:paraId="49F1A949" w14:textId="77777777" w:rsidR="00937C64" w:rsidRPr="00424274" w:rsidRDefault="00937C64" w:rsidP="00937C64">
            <w:pPr>
              <w:jc w:val="right"/>
              <w:rPr>
                <w:rFonts w:ascii="Arial" w:hAnsi="Arial"/>
                <w:sz w:val="18"/>
                <w:szCs w:val="18"/>
              </w:rPr>
            </w:pPr>
            <w:r w:rsidRPr="00424274">
              <w:rPr>
                <w:rFonts w:ascii="Arial" w:hAnsi="Arial"/>
                <w:sz w:val="18"/>
                <w:szCs w:val="18"/>
              </w:rPr>
              <w:t>83</w:t>
            </w:r>
          </w:p>
        </w:tc>
        <w:tc>
          <w:tcPr>
            <w:tcW w:w="560" w:type="dxa"/>
            <w:tcBorders>
              <w:top w:val="single" w:sz="4" w:space="0" w:color="auto"/>
              <w:left w:val="single" w:sz="4" w:space="0" w:color="auto"/>
              <w:bottom w:val="single" w:sz="4" w:space="0" w:color="auto"/>
              <w:right w:val="single" w:sz="4" w:space="0" w:color="auto"/>
            </w:tcBorders>
            <w:shd w:val="clear" w:color="000000" w:fill="FFEB9C"/>
            <w:vAlign w:val="bottom"/>
          </w:tcPr>
          <w:p w14:paraId="56F82D69" w14:textId="77777777" w:rsidR="00937C64" w:rsidRPr="00424274" w:rsidRDefault="00937C64" w:rsidP="00937C64">
            <w:pPr>
              <w:jc w:val="right"/>
              <w:rPr>
                <w:rFonts w:ascii="Arial" w:hAnsi="Arial"/>
                <w:sz w:val="18"/>
                <w:szCs w:val="18"/>
              </w:rPr>
            </w:pPr>
            <w:r w:rsidRPr="00424274">
              <w:rPr>
                <w:rFonts w:ascii="Arial" w:hAnsi="Arial"/>
                <w:sz w:val="18"/>
                <w:szCs w:val="18"/>
              </w:rPr>
              <w:t>93</w:t>
            </w:r>
          </w:p>
        </w:tc>
        <w:tc>
          <w:tcPr>
            <w:tcW w:w="663" w:type="dxa"/>
            <w:tcBorders>
              <w:top w:val="single" w:sz="4" w:space="0" w:color="auto"/>
              <w:left w:val="single" w:sz="4" w:space="0" w:color="auto"/>
              <w:bottom w:val="single" w:sz="4" w:space="0" w:color="auto"/>
              <w:right w:val="single" w:sz="4" w:space="0" w:color="auto"/>
            </w:tcBorders>
            <w:shd w:val="clear" w:color="000000" w:fill="FFEB9C"/>
            <w:vAlign w:val="bottom"/>
          </w:tcPr>
          <w:p w14:paraId="09F2F176" w14:textId="77777777" w:rsidR="00937C64" w:rsidRPr="00424274" w:rsidRDefault="00937C64" w:rsidP="00937C64">
            <w:pPr>
              <w:jc w:val="right"/>
              <w:rPr>
                <w:rFonts w:ascii="Arial" w:hAnsi="Arial"/>
                <w:sz w:val="18"/>
                <w:szCs w:val="18"/>
              </w:rPr>
            </w:pPr>
            <w:r w:rsidRPr="00424274">
              <w:rPr>
                <w:rFonts w:ascii="Arial" w:hAnsi="Arial"/>
                <w:sz w:val="18"/>
                <w:szCs w:val="18"/>
              </w:rPr>
              <w:t>101</w:t>
            </w:r>
          </w:p>
        </w:tc>
      </w:tr>
      <w:tr w:rsidR="00937C64" w:rsidRPr="00424274" w14:paraId="2EDC332F" w14:textId="77777777" w:rsidTr="00472BE5">
        <w:trPr>
          <w:trHeight w:val="360"/>
        </w:trPr>
        <w:tc>
          <w:tcPr>
            <w:tcW w:w="3688" w:type="dxa"/>
            <w:tcBorders>
              <w:top w:val="nil"/>
              <w:left w:val="single" w:sz="8" w:space="0" w:color="auto"/>
              <w:bottom w:val="single" w:sz="8" w:space="0" w:color="auto"/>
              <w:right w:val="single" w:sz="8" w:space="0" w:color="auto"/>
            </w:tcBorders>
            <w:shd w:val="clear" w:color="000000" w:fill="FFEB9C"/>
            <w:noWrap/>
            <w:vAlign w:val="bottom"/>
            <w:hideMark/>
          </w:tcPr>
          <w:p w14:paraId="7119E31F" w14:textId="77777777" w:rsidR="00937C64" w:rsidRPr="00424274" w:rsidRDefault="00937C64" w:rsidP="00937C64">
            <w:pPr>
              <w:widowControl/>
              <w:jc w:val="left"/>
              <w:rPr>
                <w:rFonts w:ascii="Arial" w:hAnsi="Arial"/>
                <w:sz w:val="18"/>
                <w:szCs w:val="18"/>
                <w:lang w:eastAsia="sl-SI"/>
              </w:rPr>
            </w:pPr>
            <w:r w:rsidRPr="00424274">
              <w:rPr>
                <w:rFonts w:ascii="Arial" w:hAnsi="Arial"/>
                <w:sz w:val="18"/>
                <w:szCs w:val="18"/>
                <w:lang w:eastAsia="sl-SI"/>
              </w:rPr>
              <w:t>Sodišče: Pravnomočna oprostilna sodba</w:t>
            </w:r>
          </w:p>
        </w:tc>
        <w:tc>
          <w:tcPr>
            <w:tcW w:w="603" w:type="dxa"/>
            <w:tcBorders>
              <w:top w:val="nil"/>
              <w:left w:val="nil"/>
              <w:bottom w:val="single" w:sz="8" w:space="0" w:color="auto"/>
              <w:right w:val="single" w:sz="8" w:space="0" w:color="auto"/>
            </w:tcBorders>
            <w:shd w:val="clear" w:color="000000" w:fill="FFEB9C"/>
            <w:noWrap/>
            <w:vAlign w:val="bottom"/>
            <w:hideMark/>
          </w:tcPr>
          <w:p w14:paraId="092B1D38" w14:textId="77777777" w:rsidR="00937C64" w:rsidRPr="00424274" w:rsidRDefault="00937C64" w:rsidP="00937C64">
            <w:pPr>
              <w:widowControl/>
              <w:jc w:val="right"/>
              <w:rPr>
                <w:rFonts w:ascii="Arial" w:hAnsi="Arial"/>
                <w:sz w:val="18"/>
                <w:szCs w:val="18"/>
                <w:lang w:eastAsia="sl-SI"/>
              </w:rPr>
            </w:pPr>
            <w:r w:rsidRPr="00424274">
              <w:rPr>
                <w:rFonts w:ascii="Arial" w:hAnsi="Arial"/>
                <w:sz w:val="18"/>
                <w:szCs w:val="18"/>
                <w:lang w:eastAsia="sl-SI"/>
              </w:rPr>
              <w:t>10</w:t>
            </w:r>
          </w:p>
        </w:tc>
        <w:tc>
          <w:tcPr>
            <w:tcW w:w="603" w:type="dxa"/>
            <w:tcBorders>
              <w:top w:val="nil"/>
              <w:left w:val="nil"/>
              <w:bottom w:val="single" w:sz="8" w:space="0" w:color="auto"/>
              <w:right w:val="single" w:sz="8" w:space="0" w:color="auto"/>
            </w:tcBorders>
            <w:shd w:val="clear" w:color="000000" w:fill="FFEB9C"/>
            <w:noWrap/>
            <w:vAlign w:val="bottom"/>
            <w:hideMark/>
          </w:tcPr>
          <w:p w14:paraId="560C91AF" w14:textId="77777777" w:rsidR="00937C64" w:rsidRPr="00424274" w:rsidRDefault="00937C64" w:rsidP="00937C64">
            <w:pPr>
              <w:widowControl/>
              <w:jc w:val="right"/>
              <w:rPr>
                <w:rFonts w:ascii="Arial" w:hAnsi="Arial"/>
                <w:sz w:val="18"/>
                <w:szCs w:val="18"/>
                <w:lang w:eastAsia="sl-SI"/>
              </w:rPr>
            </w:pPr>
            <w:r w:rsidRPr="00424274">
              <w:rPr>
                <w:rFonts w:ascii="Arial" w:hAnsi="Arial"/>
                <w:sz w:val="18"/>
                <w:szCs w:val="18"/>
                <w:lang w:eastAsia="sl-SI"/>
              </w:rPr>
              <w:t>13</w:t>
            </w:r>
          </w:p>
        </w:tc>
        <w:tc>
          <w:tcPr>
            <w:tcW w:w="603" w:type="dxa"/>
            <w:tcBorders>
              <w:top w:val="nil"/>
              <w:left w:val="nil"/>
              <w:bottom w:val="single" w:sz="8" w:space="0" w:color="auto"/>
              <w:right w:val="single" w:sz="8" w:space="0" w:color="auto"/>
            </w:tcBorders>
            <w:shd w:val="clear" w:color="000000" w:fill="FFEB9C"/>
            <w:noWrap/>
            <w:vAlign w:val="bottom"/>
            <w:hideMark/>
          </w:tcPr>
          <w:p w14:paraId="3B3DC416" w14:textId="77777777" w:rsidR="00937C64" w:rsidRPr="00424274" w:rsidRDefault="00937C64" w:rsidP="00937C64">
            <w:pPr>
              <w:widowControl/>
              <w:jc w:val="right"/>
              <w:rPr>
                <w:rFonts w:ascii="Arial" w:hAnsi="Arial"/>
                <w:sz w:val="18"/>
                <w:szCs w:val="18"/>
                <w:lang w:eastAsia="sl-SI"/>
              </w:rPr>
            </w:pPr>
            <w:r w:rsidRPr="00424274">
              <w:rPr>
                <w:rFonts w:ascii="Arial" w:hAnsi="Arial"/>
                <w:sz w:val="18"/>
                <w:szCs w:val="18"/>
                <w:lang w:eastAsia="sl-SI"/>
              </w:rPr>
              <w:t>15</w:t>
            </w:r>
          </w:p>
        </w:tc>
        <w:tc>
          <w:tcPr>
            <w:tcW w:w="604" w:type="dxa"/>
            <w:tcBorders>
              <w:top w:val="nil"/>
              <w:left w:val="nil"/>
              <w:bottom w:val="single" w:sz="8" w:space="0" w:color="auto"/>
              <w:right w:val="single" w:sz="8" w:space="0" w:color="auto"/>
            </w:tcBorders>
            <w:shd w:val="clear" w:color="000000" w:fill="FFEB9C"/>
            <w:noWrap/>
            <w:vAlign w:val="bottom"/>
            <w:hideMark/>
          </w:tcPr>
          <w:p w14:paraId="4B984DD8" w14:textId="77777777" w:rsidR="00937C64" w:rsidRPr="00424274" w:rsidRDefault="00937C64" w:rsidP="00937C64">
            <w:pPr>
              <w:jc w:val="right"/>
              <w:rPr>
                <w:rFonts w:ascii="Arial" w:hAnsi="Arial"/>
                <w:sz w:val="18"/>
                <w:szCs w:val="18"/>
              </w:rPr>
            </w:pPr>
            <w:r w:rsidRPr="00424274">
              <w:rPr>
                <w:rFonts w:ascii="Arial" w:hAnsi="Arial"/>
                <w:sz w:val="18"/>
                <w:szCs w:val="18"/>
              </w:rPr>
              <w:t>16</w:t>
            </w:r>
          </w:p>
        </w:tc>
        <w:tc>
          <w:tcPr>
            <w:tcW w:w="604" w:type="dxa"/>
            <w:tcBorders>
              <w:top w:val="nil"/>
              <w:left w:val="nil"/>
              <w:bottom w:val="single" w:sz="8" w:space="0" w:color="auto"/>
              <w:right w:val="single" w:sz="4" w:space="0" w:color="auto"/>
            </w:tcBorders>
            <w:shd w:val="clear" w:color="000000" w:fill="FFEB9C"/>
            <w:noWrap/>
            <w:vAlign w:val="bottom"/>
            <w:hideMark/>
          </w:tcPr>
          <w:p w14:paraId="2CEF26BF" w14:textId="77777777" w:rsidR="00937C64" w:rsidRPr="00424274" w:rsidRDefault="00937C64" w:rsidP="00937C64">
            <w:pPr>
              <w:jc w:val="right"/>
              <w:rPr>
                <w:rFonts w:ascii="Arial" w:hAnsi="Arial"/>
                <w:sz w:val="18"/>
                <w:szCs w:val="18"/>
              </w:rPr>
            </w:pPr>
            <w:r w:rsidRPr="00424274">
              <w:rPr>
                <w:rFonts w:ascii="Arial" w:hAnsi="Arial"/>
                <w:sz w:val="18"/>
                <w:szCs w:val="18"/>
              </w:rPr>
              <w:t>19</w:t>
            </w:r>
          </w:p>
        </w:tc>
        <w:tc>
          <w:tcPr>
            <w:tcW w:w="560" w:type="dxa"/>
            <w:tcBorders>
              <w:top w:val="single" w:sz="4" w:space="0" w:color="auto"/>
              <w:left w:val="single" w:sz="4" w:space="0" w:color="auto"/>
              <w:bottom w:val="single" w:sz="4" w:space="0" w:color="auto"/>
              <w:right w:val="single" w:sz="4" w:space="0" w:color="auto"/>
            </w:tcBorders>
            <w:shd w:val="clear" w:color="000000" w:fill="FFEB9C"/>
            <w:vAlign w:val="bottom"/>
          </w:tcPr>
          <w:p w14:paraId="6DAE279B" w14:textId="77777777" w:rsidR="00937C64" w:rsidRPr="00424274" w:rsidRDefault="00937C64" w:rsidP="00937C64">
            <w:pPr>
              <w:jc w:val="right"/>
              <w:rPr>
                <w:rFonts w:ascii="Arial" w:hAnsi="Arial"/>
                <w:sz w:val="18"/>
                <w:szCs w:val="18"/>
              </w:rPr>
            </w:pPr>
            <w:r w:rsidRPr="00424274">
              <w:rPr>
                <w:rFonts w:ascii="Arial" w:hAnsi="Arial"/>
                <w:sz w:val="18"/>
                <w:szCs w:val="18"/>
              </w:rPr>
              <w:t>22</w:t>
            </w:r>
          </w:p>
        </w:tc>
        <w:tc>
          <w:tcPr>
            <w:tcW w:w="560" w:type="dxa"/>
            <w:tcBorders>
              <w:top w:val="single" w:sz="4" w:space="0" w:color="auto"/>
              <w:left w:val="single" w:sz="4" w:space="0" w:color="auto"/>
              <w:bottom w:val="single" w:sz="4" w:space="0" w:color="auto"/>
              <w:right w:val="single" w:sz="4" w:space="0" w:color="auto"/>
            </w:tcBorders>
            <w:shd w:val="clear" w:color="000000" w:fill="FFEB9C"/>
            <w:vAlign w:val="bottom"/>
          </w:tcPr>
          <w:p w14:paraId="4D324451" w14:textId="77777777" w:rsidR="00937C64" w:rsidRPr="00424274" w:rsidRDefault="00937C64" w:rsidP="00937C64">
            <w:pPr>
              <w:jc w:val="right"/>
              <w:rPr>
                <w:rFonts w:ascii="Arial" w:hAnsi="Arial"/>
                <w:sz w:val="18"/>
                <w:szCs w:val="18"/>
              </w:rPr>
            </w:pPr>
            <w:r w:rsidRPr="00424274">
              <w:rPr>
                <w:rFonts w:ascii="Arial" w:hAnsi="Arial"/>
                <w:sz w:val="18"/>
                <w:szCs w:val="18"/>
              </w:rPr>
              <w:t>26</w:t>
            </w:r>
          </w:p>
        </w:tc>
        <w:tc>
          <w:tcPr>
            <w:tcW w:w="560" w:type="dxa"/>
            <w:tcBorders>
              <w:top w:val="single" w:sz="4" w:space="0" w:color="auto"/>
              <w:left w:val="single" w:sz="4" w:space="0" w:color="auto"/>
              <w:bottom w:val="single" w:sz="4" w:space="0" w:color="auto"/>
              <w:right w:val="single" w:sz="4" w:space="0" w:color="auto"/>
            </w:tcBorders>
            <w:shd w:val="clear" w:color="000000" w:fill="FFEB9C"/>
            <w:vAlign w:val="bottom"/>
          </w:tcPr>
          <w:p w14:paraId="1C73BD8E" w14:textId="77777777" w:rsidR="00937C64" w:rsidRPr="00424274" w:rsidRDefault="00937C64" w:rsidP="00937C64">
            <w:pPr>
              <w:jc w:val="right"/>
              <w:rPr>
                <w:rFonts w:ascii="Arial" w:hAnsi="Arial"/>
                <w:sz w:val="18"/>
                <w:szCs w:val="18"/>
              </w:rPr>
            </w:pPr>
            <w:r w:rsidRPr="00424274">
              <w:rPr>
                <w:rFonts w:ascii="Arial" w:hAnsi="Arial"/>
                <w:sz w:val="18"/>
                <w:szCs w:val="18"/>
              </w:rPr>
              <w:t>27</w:t>
            </w:r>
          </w:p>
        </w:tc>
        <w:tc>
          <w:tcPr>
            <w:tcW w:w="560" w:type="dxa"/>
            <w:tcBorders>
              <w:top w:val="single" w:sz="4" w:space="0" w:color="auto"/>
              <w:left w:val="single" w:sz="4" w:space="0" w:color="auto"/>
              <w:bottom w:val="single" w:sz="4" w:space="0" w:color="auto"/>
              <w:right w:val="single" w:sz="4" w:space="0" w:color="auto"/>
            </w:tcBorders>
            <w:shd w:val="clear" w:color="000000" w:fill="FFEB9C"/>
            <w:vAlign w:val="bottom"/>
          </w:tcPr>
          <w:p w14:paraId="1F3BBA2B" w14:textId="77777777" w:rsidR="00937C64" w:rsidRPr="00424274" w:rsidRDefault="00937C64" w:rsidP="00937C64">
            <w:pPr>
              <w:jc w:val="right"/>
              <w:rPr>
                <w:rFonts w:ascii="Arial" w:hAnsi="Arial"/>
                <w:sz w:val="18"/>
                <w:szCs w:val="18"/>
              </w:rPr>
            </w:pPr>
            <w:r w:rsidRPr="00424274">
              <w:rPr>
                <w:rFonts w:ascii="Arial" w:hAnsi="Arial"/>
                <w:sz w:val="18"/>
                <w:szCs w:val="18"/>
              </w:rPr>
              <w:t>28</w:t>
            </w:r>
          </w:p>
        </w:tc>
        <w:tc>
          <w:tcPr>
            <w:tcW w:w="663" w:type="dxa"/>
            <w:tcBorders>
              <w:top w:val="single" w:sz="4" w:space="0" w:color="auto"/>
              <w:left w:val="single" w:sz="4" w:space="0" w:color="auto"/>
              <w:bottom w:val="single" w:sz="4" w:space="0" w:color="auto"/>
              <w:right w:val="single" w:sz="4" w:space="0" w:color="auto"/>
            </w:tcBorders>
            <w:shd w:val="clear" w:color="000000" w:fill="FFEB9C"/>
            <w:vAlign w:val="bottom"/>
          </w:tcPr>
          <w:p w14:paraId="5161C555" w14:textId="77777777" w:rsidR="00937C64" w:rsidRPr="00424274" w:rsidRDefault="00937C64" w:rsidP="00937C64">
            <w:pPr>
              <w:jc w:val="right"/>
              <w:rPr>
                <w:rFonts w:ascii="Arial" w:hAnsi="Arial"/>
                <w:sz w:val="18"/>
                <w:szCs w:val="18"/>
              </w:rPr>
            </w:pPr>
            <w:r w:rsidRPr="00424274">
              <w:rPr>
                <w:rFonts w:ascii="Arial" w:hAnsi="Arial"/>
                <w:sz w:val="18"/>
                <w:szCs w:val="18"/>
              </w:rPr>
              <w:t>29</w:t>
            </w:r>
          </w:p>
        </w:tc>
      </w:tr>
      <w:tr w:rsidR="00937C64" w:rsidRPr="00424274" w14:paraId="0699FC8A" w14:textId="77777777" w:rsidTr="00472BE5">
        <w:trPr>
          <w:trHeight w:val="360"/>
        </w:trPr>
        <w:tc>
          <w:tcPr>
            <w:tcW w:w="3688" w:type="dxa"/>
            <w:tcBorders>
              <w:top w:val="nil"/>
              <w:left w:val="single" w:sz="8" w:space="0" w:color="auto"/>
              <w:bottom w:val="single" w:sz="8" w:space="0" w:color="auto"/>
              <w:right w:val="single" w:sz="8" w:space="0" w:color="auto"/>
            </w:tcBorders>
            <w:shd w:val="clear" w:color="auto" w:fill="auto"/>
            <w:noWrap/>
            <w:vAlign w:val="bottom"/>
            <w:hideMark/>
          </w:tcPr>
          <w:p w14:paraId="50A45BBA" w14:textId="77777777" w:rsidR="00937C64" w:rsidRPr="00424274" w:rsidRDefault="00937C64" w:rsidP="00937C64">
            <w:pPr>
              <w:widowControl/>
              <w:jc w:val="left"/>
              <w:rPr>
                <w:rFonts w:ascii="Arial" w:hAnsi="Arial"/>
                <w:sz w:val="18"/>
                <w:szCs w:val="18"/>
                <w:lang w:eastAsia="sl-SI"/>
              </w:rPr>
            </w:pPr>
            <w:r w:rsidRPr="00424274">
              <w:rPr>
                <w:rFonts w:ascii="Arial" w:hAnsi="Arial"/>
                <w:sz w:val="18"/>
                <w:szCs w:val="18"/>
                <w:lang w:eastAsia="sl-SI"/>
              </w:rPr>
              <w:t>Tožilstvo: Odstop od pregona</w:t>
            </w:r>
          </w:p>
        </w:tc>
        <w:tc>
          <w:tcPr>
            <w:tcW w:w="603" w:type="dxa"/>
            <w:tcBorders>
              <w:top w:val="nil"/>
              <w:left w:val="nil"/>
              <w:bottom w:val="single" w:sz="8" w:space="0" w:color="auto"/>
              <w:right w:val="single" w:sz="8" w:space="0" w:color="auto"/>
            </w:tcBorders>
            <w:shd w:val="clear" w:color="auto" w:fill="auto"/>
            <w:noWrap/>
            <w:vAlign w:val="bottom"/>
            <w:hideMark/>
          </w:tcPr>
          <w:p w14:paraId="4C5FDD9D" w14:textId="77777777" w:rsidR="00937C64" w:rsidRPr="00424274" w:rsidRDefault="00937C64" w:rsidP="00937C64">
            <w:pPr>
              <w:widowControl/>
              <w:jc w:val="right"/>
              <w:rPr>
                <w:rFonts w:ascii="Arial" w:hAnsi="Arial"/>
                <w:sz w:val="18"/>
                <w:szCs w:val="18"/>
                <w:lang w:eastAsia="sl-SI"/>
              </w:rPr>
            </w:pPr>
            <w:r w:rsidRPr="00424274">
              <w:rPr>
                <w:rFonts w:ascii="Arial" w:hAnsi="Arial"/>
                <w:sz w:val="18"/>
                <w:szCs w:val="18"/>
                <w:lang w:eastAsia="sl-SI"/>
              </w:rPr>
              <w:t>15</w:t>
            </w:r>
          </w:p>
        </w:tc>
        <w:tc>
          <w:tcPr>
            <w:tcW w:w="603" w:type="dxa"/>
            <w:tcBorders>
              <w:top w:val="nil"/>
              <w:left w:val="nil"/>
              <w:bottom w:val="single" w:sz="8" w:space="0" w:color="auto"/>
              <w:right w:val="single" w:sz="8" w:space="0" w:color="auto"/>
            </w:tcBorders>
            <w:shd w:val="clear" w:color="auto" w:fill="auto"/>
            <w:noWrap/>
            <w:vAlign w:val="bottom"/>
            <w:hideMark/>
          </w:tcPr>
          <w:p w14:paraId="14C5B138" w14:textId="77777777" w:rsidR="00937C64" w:rsidRPr="00424274" w:rsidRDefault="00937C64" w:rsidP="00937C64">
            <w:pPr>
              <w:widowControl/>
              <w:jc w:val="right"/>
              <w:rPr>
                <w:rFonts w:ascii="Arial" w:hAnsi="Arial"/>
                <w:sz w:val="18"/>
                <w:szCs w:val="18"/>
                <w:lang w:eastAsia="sl-SI"/>
              </w:rPr>
            </w:pPr>
            <w:r w:rsidRPr="00424274">
              <w:rPr>
                <w:rFonts w:ascii="Arial" w:hAnsi="Arial"/>
                <w:sz w:val="18"/>
                <w:szCs w:val="18"/>
                <w:lang w:eastAsia="sl-SI"/>
              </w:rPr>
              <w:t>24</w:t>
            </w:r>
          </w:p>
        </w:tc>
        <w:tc>
          <w:tcPr>
            <w:tcW w:w="603" w:type="dxa"/>
            <w:tcBorders>
              <w:top w:val="nil"/>
              <w:left w:val="nil"/>
              <w:bottom w:val="single" w:sz="8" w:space="0" w:color="auto"/>
              <w:right w:val="single" w:sz="8" w:space="0" w:color="auto"/>
            </w:tcBorders>
            <w:shd w:val="clear" w:color="auto" w:fill="auto"/>
            <w:noWrap/>
            <w:vAlign w:val="bottom"/>
            <w:hideMark/>
          </w:tcPr>
          <w:p w14:paraId="7F2C7B5F" w14:textId="77777777" w:rsidR="00937C64" w:rsidRPr="00424274" w:rsidRDefault="00937C64" w:rsidP="00937C64">
            <w:pPr>
              <w:widowControl/>
              <w:jc w:val="right"/>
              <w:rPr>
                <w:rFonts w:ascii="Arial" w:hAnsi="Arial"/>
                <w:sz w:val="18"/>
                <w:szCs w:val="18"/>
                <w:lang w:eastAsia="sl-SI"/>
              </w:rPr>
            </w:pPr>
            <w:r w:rsidRPr="00424274">
              <w:rPr>
                <w:rFonts w:ascii="Arial" w:hAnsi="Arial"/>
                <w:sz w:val="18"/>
                <w:szCs w:val="18"/>
                <w:lang w:eastAsia="sl-SI"/>
              </w:rPr>
              <w:t>29</w:t>
            </w:r>
          </w:p>
        </w:tc>
        <w:tc>
          <w:tcPr>
            <w:tcW w:w="604" w:type="dxa"/>
            <w:tcBorders>
              <w:top w:val="nil"/>
              <w:left w:val="nil"/>
              <w:bottom w:val="single" w:sz="8" w:space="0" w:color="auto"/>
              <w:right w:val="single" w:sz="8" w:space="0" w:color="auto"/>
            </w:tcBorders>
            <w:shd w:val="clear" w:color="auto" w:fill="auto"/>
            <w:noWrap/>
            <w:vAlign w:val="bottom"/>
            <w:hideMark/>
          </w:tcPr>
          <w:p w14:paraId="6885D708" w14:textId="77777777" w:rsidR="00937C64" w:rsidRPr="00424274" w:rsidRDefault="00937C64" w:rsidP="00937C64">
            <w:pPr>
              <w:jc w:val="right"/>
              <w:rPr>
                <w:rFonts w:ascii="Arial" w:hAnsi="Arial"/>
                <w:sz w:val="18"/>
                <w:szCs w:val="18"/>
              </w:rPr>
            </w:pPr>
            <w:r w:rsidRPr="00424274">
              <w:rPr>
                <w:rFonts w:ascii="Arial" w:hAnsi="Arial"/>
                <w:sz w:val="18"/>
                <w:szCs w:val="18"/>
              </w:rPr>
              <w:t>20</w:t>
            </w:r>
          </w:p>
        </w:tc>
        <w:tc>
          <w:tcPr>
            <w:tcW w:w="604" w:type="dxa"/>
            <w:tcBorders>
              <w:top w:val="nil"/>
              <w:left w:val="nil"/>
              <w:bottom w:val="single" w:sz="8" w:space="0" w:color="auto"/>
              <w:right w:val="single" w:sz="4" w:space="0" w:color="auto"/>
            </w:tcBorders>
            <w:shd w:val="clear" w:color="auto" w:fill="auto"/>
            <w:noWrap/>
            <w:vAlign w:val="bottom"/>
            <w:hideMark/>
          </w:tcPr>
          <w:p w14:paraId="719740EB" w14:textId="77777777" w:rsidR="00937C64" w:rsidRPr="00424274" w:rsidRDefault="00937C64" w:rsidP="00937C64">
            <w:pPr>
              <w:jc w:val="right"/>
              <w:rPr>
                <w:rFonts w:ascii="Arial" w:hAnsi="Arial"/>
                <w:sz w:val="18"/>
                <w:szCs w:val="18"/>
              </w:rPr>
            </w:pPr>
            <w:r w:rsidRPr="00424274">
              <w:rPr>
                <w:rFonts w:ascii="Arial" w:hAnsi="Arial"/>
                <w:sz w:val="18"/>
                <w:szCs w:val="18"/>
              </w:rPr>
              <w:t>25</w:t>
            </w:r>
          </w:p>
        </w:tc>
        <w:tc>
          <w:tcPr>
            <w:tcW w:w="560" w:type="dxa"/>
            <w:tcBorders>
              <w:top w:val="single" w:sz="4" w:space="0" w:color="auto"/>
              <w:left w:val="single" w:sz="4" w:space="0" w:color="auto"/>
              <w:bottom w:val="single" w:sz="4" w:space="0" w:color="auto"/>
              <w:right w:val="single" w:sz="4" w:space="0" w:color="auto"/>
            </w:tcBorders>
            <w:vAlign w:val="bottom"/>
          </w:tcPr>
          <w:p w14:paraId="52A2709B" w14:textId="77777777" w:rsidR="00937C64" w:rsidRPr="00424274" w:rsidRDefault="00937C64" w:rsidP="00937C64">
            <w:pPr>
              <w:jc w:val="right"/>
              <w:rPr>
                <w:rFonts w:ascii="Arial" w:hAnsi="Arial"/>
                <w:sz w:val="18"/>
                <w:szCs w:val="18"/>
              </w:rPr>
            </w:pPr>
            <w:r w:rsidRPr="00424274">
              <w:rPr>
                <w:rFonts w:ascii="Arial" w:hAnsi="Arial"/>
                <w:sz w:val="18"/>
                <w:szCs w:val="18"/>
              </w:rPr>
              <w:t>28</w:t>
            </w:r>
          </w:p>
        </w:tc>
        <w:tc>
          <w:tcPr>
            <w:tcW w:w="560" w:type="dxa"/>
            <w:tcBorders>
              <w:top w:val="single" w:sz="4" w:space="0" w:color="auto"/>
              <w:left w:val="single" w:sz="4" w:space="0" w:color="auto"/>
              <w:bottom w:val="single" w:sz="4" w:space="0" w:color="auto"/>
              <w:right w:val="single" w:sz="4" w:space="0" w:color="auto"/>
            </w:tcBorders>
            <w:vAlign w:val="bottom"/>
          </w:tcPr>
          <w:p w14:paraId="3CC6C040" w14:textId="77777777" w:rsidR="00937C64" w:rsidRPr="00424274" w:rsidRDefault="00937C64" w:rsidP="00937C64">
            <w:pPr>
              <w:jc w:val="right"/>
              <w:rPr>
                <w:rFonts w:ascii="Arial" w:hAnsi="Arial"/>
                <w:sz w:val="18"/>
                <w:szCs w:val="18"/>
              </w:rPr>
            </w:pPr>
            <w:r w:rsidRPr="00424274">
              <w:rPr>
                <w:rFonts w:ascii="Arial" w:hAnsi="Arial"/>
                <w:sz w:val="18"/>
                <w:szCs w:val="18"/>
              </w:rPr>
              <w:t>30</w:t>
            </w:r>
          </w:p>
        </w:tc>
        <w:tc>
          <w:tcPr>
            <w:tcW w:w="560" w:type="dxa"/>
            <w:tcBorders>
              <w:top w:val="single" w:sz="4" w:space="0" w:color="auto"/>
              <w:left w:val="single" w:sz="4" w:space="0" w:color="auto"/>
              <w:bottom w:val="single" w:sz="4" w:space="0" w:color="auto"/>
              <w:right w:val="single" w:sz="4" w:space="0" w:color="auto"/>
            </w:tcBorders>
            <w:vAlign w:val="bottom"/>
          </w:tcPr>
          <w:p w14:paraId="2FCA3E34" w14:textId="77777777" w:rsidR="00937C64" w:rsidRPr="00424274" w:rsidRDefault="00937C64" w:rsidP="00937C64">
            <w:pPr>
              <w:jc w:val="right"/>
              <w:rPr>
                <w:rFonts w:ascii="Arial" w:hAnsi="Arial"/>
                <w:sz w:val="18"/>
                <w:szCs w:val="18"/>
              </w:rPr>
            </w:pPr>
            <w:r w:rsidRPr="00424274">
              <w:rPr>
                <w:rFonts w:ascii="Arial" w:hAnsi="Arial"/>
                <w:sz w:val="18"/>
                <w:szCs w:val="18"/>
              </w:rPr>
              <w:t>31</w:t>
            </w:r>
          </w:p>
        </w:tc>
        <w:tc>
          <w:tcPr>
            <w:tcW w:w="560" w:type="dxa"/>
            <w:tcBorders>
              <w:top w:val="single" w:sz="4" w:space="0" w:color="auto"/>
              <w:left w:val="single" w:sz="4" w:space="0" w:color="auto"/>
              <w:bottom w:val="single" w:sz="4" w:space="0" w:color="auto"/>
              <w:right w:val="single" w:sz="4" w:space="0" w:color="auto"/>
            </w:tcBorders>
            <w:vAlign w:val="bottom"/>
          </w:tcPr>
          <w:p w14:paraId="7CC11A64" w14:textId="77777777" w:rsidR="00937C64" w:rsidRPr="00424274" w:rsidRDefault="00937C64" w:rsidP="00937C64">
            <w:pPr>
              <w:jc w:val="right"/>
              <w:rPr>
                <w:rFonts w:ascii="Arial" w:hAnsi="Arial"/>
                <w:sz w:val="18"/>
                <w:szCs w:val="18"/>
              </w:rPr>
            </w:pPr>
            <w:r w:rsidRPr="00424274">
              <w:rPr>
                <w:rFonts w:ascii="Arial" w:hAnsi="Arial"/>
                <w:sz w:val="18"/>
                <w:szCs w:val="18"/>
              </w:rPr>
              <w:t>45</w:t>
            </w:r>
          </w:p>
        </w:tc>
        <w:tc>
          <w:tcPr>
            <w:tcW w:w="663" w:type="dxa"/>
            <w:tcBorders>
              <w:top w:val="single" w:sz="4" w:space="0" w:color="auto"/>
              <w:left w:val="single" w:sz="4" w:space="0" w:color="auto"/>
              <w:bottom w:val="single" w:sz="4" w:space="0" w:color="auto"/>
              <w:right w:val="single" w:sz="4" w:space="0" w:color="auto"/>
            </w:tcBorders>
            <w:vAlign w:val="bottom"/>
          </w:tcPr>
          <w:p w14:paraId="171E75CD" w14:textId="77777777" w:rsidR="00937C64" w:rsidRPr="00424274" w:rsidRDefault="00937C64" w:rsidP="00937C64">
            <w:pPr>
              <w:jc w:val="right"/>
              <w:rPr>
                <w:rFonts w:ascii="Arial" w:hAnsi="Arial"/>
                <w:sz w:val="18"/>
                <w:szCs w:val="18"/>
              </w:rPr>
            </w:pPr>
            <w:r w:rsidRPr="00424274">
              <w:rPr>
                <w:rFonts w:ascii="Arial" w:hAnsi="Arial"/>
                <w:sz w:val="18"/>
                <w:szCs w:val="18"/>
              </w:rPr>
              <w:t>46</w:t>
            </w:r>
          </w:p>
        </w:tc>
      </w:tr>
      <w:tr w:rsidR="00937C64" w:rsidRPr="00424274" w14:paraId="7E176BB9" w14:textId="77777777" w:rsidTr="00472BE5">
        <w:trPr>
          <w:trHeight w:val="360"/>
        </w:trPr>
        <w:tc>
          <w:tcPr>
            <w:tcW w:w="3688" w:type="dxa"/>
            <w:tcBorders>
              <w:top w:val="nil"/>
              <w:left w:val="single" w:sz="8" w:space="0" w:color="auto"/>
              <w:bottom w:val="single" w:sz="8" w:space="0" w:color="auto"/>
              <w:right w:val="single" w:sz="8" w:space="0" w:color="auto"/>
            </w:tcBorders>
            <w:shd w:val="clear" w:color="auto" w:fill="auto"/>
            <w:noWrap/>
            <w:vAlign w:val="bottom"/>
            <w:hideMark/>
          </w:tcPr>
          <w:p w14:paraId="5C79DD0C" w14:textId="49BD9009" w:rsidR="00937C64" w:rsidRPr="00424274" w:rsidRDefault="00937C64" w:rsidP="0039671B">
            <w:pPr>
              <w:widowControl/>
              <w:jc w:val="left"/>
              <w:rPr>
                <w:rFonts w:ascii="Arial" w:hAnsi="Arial"/>
                <w:sz w:val="18"/>
                <w:szCs w:val="18"/>
                <w:lang w:eastAsia="sl-SI"/>
              </w:rPr>
            </w:pPr>
            <w:r w:rsidRPr="00424274">
              <w:rPr>
                <w:rFonts w:ascii="Arial" w:hAnsi="Arial"/>
                <w:sz w:val="18"/>
                <w:szCs w:val="18"/>
                <w:lang w:eastAsia="sl-SI"/>
              </w:rPr>
              <w:t xml:space="preserve">Sodišče: </w:t>
            </w:r>
            <w:r w:rsidR="0039671B">
              <w:rPr>
                <w:rFonts w:ascii="Arial" w:hAnsi="Arial"/>
                <w:sz w:val="18"/>
                <w:szCs w:val="18"/>
                <w:lang w:eastAsia="sl-SI"/>
              </w:rPr>
              <w:t>U</w:t>
            </w:r>
            <w:r w:rsidRPr="00424274">
              <w:rPr>
                <w:rFonts w:ascii="Arial" w:hAnsi="Arial"/>
                <w:sz w:val="18"/>
                <w:szCs w:val="18"/>
                <w:lang w:eastAsia="sl-SI"/>
              </w:rPr>
              <w:t>stavitev kazenskega postopka</w:t>
            </w:r>
          </w:p>
        </w:tc>
        <w:tc>
          <w:tcPr>
            <w:tcW w:w="603" w:type="dxa"/>
            <w:tcBorders>
              <w:top w:val="nil"/>
              <w:left w:val="nil"/>
              <w:bottom w:val="single" w:sz="8" w:space="0" w:color="auto"/>
              <w:right w:val="single" w:sz="8" w:space="0" w:color="auto"/>
            </w:tcBorders>
            <w:shd w:val="clear" w:color="auto" w:fill="auto"/>
            <w:noWrap/>
            <w:vAlign w:val="bottom"/>
            <w:hideMark/>
          </w:tcPr>
          <w:p w14:paraId="4A2207ED" w14:textId="77777777" w:rsidR="00937C64" w:rsidRPr="00424274" w:rsidRDefault="00937C64" w:rsidP="00937C64">
            <w:pPr>
              <w:widowControl/>
              <w:jc w:val="right"/>
              <w:rPr>
                <w:rFonts w:ascii="Arial" w:hAnsi="Arial"/>
                <w:sz w:val="18"/>
                <w:szCs w:val="18"/>
                <w:lang w:eastAsia="sl-SI"/>
              </w:rPr>
            </w:pPr>
            <w:r w:rsidRPr="00424274">
              <w:rPr>
                <w:rFonts w:ascii="Arial" w:hAnsi="Arial"/>
                <w:sz w:val="18"/>
                <w:szCs w:val="18"/>
                <w:lang w:eastAsia="sl-SI"/>
              </w:rPr>
              <w:t> </w:t>
            </w:r>
          </w:p>
        </w:tc>
        <w:tc>
          <w:tcPr>
            <w:tcW w:w="603" w:type="dxa"/>
            <w:tcBorders>
              <w:top w:val="nil"/>
              <w:left w:val="nil"/>
              <w:bottom w:val="single" w:sz="8" w:space="0" w:color="auto"/>
              <w:right w:val="single" w:sz="8" w:space="0" w:color="auto"/>
            </w:tcBorders>
            <w:shd w:val="clear" w:color="auto" w:fill="auto"/>
            <w:noWrap/>
            <w:vAlign w:val="bottom"/>
            <w:hideMark/>
          </w:tcPr>
          <w:p w14:paraId="1696DE86" w14:textId="77777777" w:rsidR="00937C64" w:rsidRPr="00424274" w:rsidRDefault="00937C64" w:rsidP="00937C64">
            <w:pPr>
              <w:widowControl/>
              <w:jc w:val="right"/>
              <w:rPr>
                <w:rFonts w:ascii="Arial" w:hAnsi="Arial"/>
                <w:sz w:val="18"/>
                <w:szCs w:val="18"/>
                <w:lang w:eastAsia="sl-SI"/>
              </w:rPr>
            </w:pPr>
            <w:r w:rsidRPr="00424274">
              <w:rPr>
                <w:rFonts w:ascii="Arial" w:hAnsi="Arial"/>
                <w:sz w:val="18"/>
                <w:szCs w:val="18"/>
                <w:lang w:eastAsia="sl-SI"/>
              </w:rPr>
              <w:t> </w:t>
            </w:r>
          </w:p>
        </w:tc>
        <w:tc>
          <w:tcPr>
            <w:tcW w:w="603" w:type="dxa"/>
            <w:tcBorders>
              <w:top w:val="nil"/>
              <w:left w:val="nil"/>
              <w:bottom w:val="single" w:sz="8" w:space="0" w:color="auto"/>
              <w:right w:val="single" w:sz="8" w:space="0" w:color="auto"/>
            </w:tcBorders>
            <w:shd w:val="clear" w:color="auto" w:fill="auto"/>
            <w:noWrap/>
            <w:vAlign w:val="bottom"/>
            <w:hideMark/>
          </w:tcPr>
          <w:p w14:paraId="34E382D6" w14:textId="77777777" w:rsidR="00937C64" w:rsidRPr="00424274" w:rsidRDefault="00937C64" w:rsidP="00937C64">
            <w:pPr>
              <w:widowControl/>
              <w:jc w:val="right"/>
              <w:rPr>
                <w:rFonts w:ascii="Arial" w:hAnsi="Arial"/>
                <w:sz w:val="18"/>
                <w:szCs w:val="18"/>
                <w:lang w:eastAsia="sl-SI"/>
              </w:rPr>
            </w:pPr>
            <w:r w:rsidRPr="00424274">
              <w:rPr>
                <w:rFonts w:ascii="Arial" w:hAnsi="Arial"/>
                <w:sz w:val="18"/>
                <w:szCs w:val="18"/>
                <w:lang w:eastAsia="sl-SI"/>
              </w:rPr>
              <w:t> </w:t>
            </w:r>
          </w:p>
        </w:tc>
        <w:tc>
          <w:tcPr>
            <w:tcW w:w="604" w:type="dxa"/>
            <w:tcBorders>
              <w:top w:val="nil"/>
              <w:left w:val="nil"/>
              <w:bottom w:val="single" w:sz="8" w:space="0" w:color="auto"/>
              <w:right w:val="single" w:sz="8" w:space="0" w:color="auto"/>
            </w:tcBorders>
            <w:shd w:val="clear" w:color="auto" w:fill="auto"/>
            <w:noWrap/>
            <w:vAlign w:val="bottom"/>
            <w:hideMark/>
          </w:tcPr>
          <w:p w14:paraId="171F2283" w14:textId="77777777" w:rsidR="00937C64" w:rsidRPr="00424274" w:rsidRDefault="00937C64" w:rsidP="00937C64">
            <w:pPr>
              <w:jc w:val="right"/>
              <w:rPr>
                <w:rFonts w:ascii="Arial" w:hAnsi="Arial"/>
                <w:sz w:val="18"/>
                <w:szCs w:val="18"/>
              </w:rPr>
            </w:pPr>
            <w:r w:rsidRPr="00424274">
              <w:rPr>
                <w:rFonts w:ascii="Arial" w:hAnsi="Arial"/>
                <w:sz w:val="18"/>
                <w:szCs w:val="18"/>
              </w:rPr>
              <w:t>13</w:t>
            </w:r>
          </w:p>
        </w:tc>
        <w:tc>
          <w:tcPr>
            <w:tcW w:w="604" w:type="dxa"/>
            <w:tcBorders>
              <w:top w:val="nil"/>
              <w:left w:val="nil"/>
              <w:bottom w:val="single" w:sz="8" w:space="0" w:color="auto"/>
              <w:right w:val="single" w:sz="4" w:space="0" w:color="auto"/>
            </w:tcBorders>
            <w:shd w:val="clear" w:color="auto" w:fill="auto"/>
            <w:noWrap/>
            <w:vAlign w:val="bottom"/>
            <w:hideMark/>
          </w:tcPr>
          <w:p w14:paraId="207BBC1B" w14:textId="77777777" w:rsidR="00937C64" w:rsidRPr="00424274" w:rsidRDefault="00937C64" w:rsidP="00937C64">
            <w:pPr>
              <w:jc w:val="right"/>
              <w:rPr>
                <w:rFonts w:ascii="Arial" w:hAnsi="Arial"/>
                <w:sz w:val="18"/>
                <w:szCs w:val="18"/>
              </w:rPr>
            </w:pPr>
            <w:r w:rsidRPr="00424274">
              <w:rPr>
                <w:rFonts w:ascii="Arial" w:hAnsi="Arial"/>
                <w:sz w:val="18"/>
                <w:szCs w:val="18"/>
              </w:rPr>
              <w:t>17</w:t>
            </w:r>
          </w:p>
        </w:tc>
        <w:tc>
          <w:tcPr>
            <w:tcW w:w="560" w:type="dxa"/>
            <w:tcBorders>
              <w:top w:val="single" w:sz="4" w:space="0" w:color="auto"/>
              <w:left w:val="single" w:sz="4" w:space="0" w:color="auto"/>
              <w:bottom w:val="single" w:sz="4" w:space="0" w:color="auto"/>
              <w:right w:val="single" w:sz="4" w:space="0" w:color="auto"/>
            </w:tcBorders>
            <w:vAlign w:val="bottom"/>
          </w:tcPr>
          <w:p w14:paraId="45EC1A58" w14:textId="77777777" w:rsidR="00937C64" w:rsidRPr="00424274" w:rsidRDefault="00937C64" w:rsidP="00937C64">
            <w:pPr>
              <w:jc w:val="right"/>
              <w:rPr>
                <w:rFonts w:ascii="Arial" w:hAnsi="Arial"/>
                <w:sz w:val="18"/>
                <w:szCs w:val="18"/>
              </w:rPr>
            </w:pPr>
            <w:r w:rsidRPr="00424274">
              <w:rPr>
                <w:rFonts w:ascii="Arial" w:hAnsi="Arial"/>
                <w:sz w:val="18"/>
                <w:szCs w:val="18"/>
              </w:rPr>
              <w:t>20</w:t>
            </w:r>
          </w:p>
        </w:tc>
        <w:tc>
          <w:tcPr>
            <w:tcW w:w="560" w:type="dxa"/>
            <w:tcBorders>
              <w:top w:val="single" w:sz="4" w:space="0" w:color="auto"/>
              <w:left w:val="single" w:sz="4" w:space="0" w:color="auto"/>
              <w:bottom w:val="single" w:sz="4" w:space="0" w:color="auto"/>
              <w:right w:val="single" w:sz="4" w:space="0" w:color="auto"/>
            </w:tcBorders>
            <w:vAlign w:val="bottom"/>
          </w:tcPr>
          <w:p w14:paraId="0DBB8733" w14:textId="77777777" w:rsidR="00937C64" w:rsidRPr="00424274" w:rsidRDefault="00937C64" w:rsidP="00937C64">
            <w:pPr>
              <w:jc w:val="right"/>
              <w:rPr>
                <w:rFonts w:ascii="Arial" w:hAnsi="Arial"/>
                <w:sz w:val="18"/>
                <w:szCs w:val="18"/>
              </w:rPr>
            </w:pPr>
            <w:r w:rsidRPr="00424274">
              <w:rPr>
                <w:rFonts w:ascii="Arial" w:hAnsi="Arial"/>
                <w:sz w:val="18"/>
                <w:szCs w:val="18"/>
              </w:rPr>
              <w:t>21</w:t>
            </w:r>
          </w:p>
        </w:tc>
        <w:tc>
          <w:tcPr>
            <w:tcW w:w="560" w:type="dxa"/>
            <w:tcBorders>
              <w:top w:val="single" w:sz="4" w:space="0" w:color="auto"/>
              <w:left w:val="single" w:sz="4" w:space="0" w:color="auto"/>
              <w:bottom w:val="single" w:sz="4" w:space="0" w:color="auto"/>
              <w:right w:val="single" w:sz="4" w:space="0" w:color="auto"/>
            </w:tcBorders>
            <w:vAlign w:val="bottom"/>
          </w:tcPr>
          <w:p w14:paraId="6E3E7236" w14:textId="77777777" w:rsidR="00937C64" w:rsidRPr="00424274" w:rsidRDefault="00937C64" w:rsidP="00937C64">
            <w:pPr>
              <w:jc w:val="right"/>
              <w:rPr>
                <w:rFonts w:ascii="Arial" w:hAnsi="Arial"/>
                <w:sz w:val="18"/>
                <w:szCs w:val="18"/>
              </w:rPr>
            </w:pPr>
            <w:r w:rsidRPr="00424274">
              <w:rPr>
                <w:rFonts w:ascii="Arial" w:hAnsi="Arial"/>
                <w:sz w:val="18"/>
                <w:szCs w:val="18"/>
              </w:rPr>
              <w:t>21</w:t>
            </w:r>
          </w:p>
        </w:tc>
        <w:tc>
          <w:tcPr>
            <w:tcW w:w="560" w:type="dxa"/>
            <w:tcBorders>
              <w:top w:val="single" w:sz="4" w:space="0" w:color="auto"/>
              <w:left w:val="single" w:sz="4" w:space="0" w:color="auto"/>
              <w:bottom w:val="single" w:sz="4" w:space="0" w:color="auto"/>
              <w:right w:val="single" w:sz="4" w:space="0" w:color="auto"/>
            </w:tcBorders>
            <w:vAlign w:val="bottom"/>
          </w:tcPr>
          <w:p w14:paraId="6CB074C8" w14:textId="77777777" w:rsidR="00937C64" w:rsidRPr="00424274" w:rsidRDefault="00937C64" w:rsidP="00937C64">
            <w:pPr>
              <w:jc w:val="right"/>
              <w:rPr>
                <w:rFonts w:ascii="Arial" w:hAnsi="Arial"/>
                <w:sz w:val="18"/>
                <w:szCs w:val="18"/>
              </w:rPr>
            </w:pPr>
            <w:r w:rsidRPr="00424274">
              <w:rPr>
                <w:rFonts w:ascii="Arial" w:hAnsi="Arial"/>
                <w:sz w:val="18"/>
                <w:szCs w:val="18"/>
              </w:rPr>
              <w:t>24</w:t>
            </w:r>
          </w:p>
        </w:tc>
        <w:tc>
          <w:tcPr>
            <w:tcW w:w="663" w:type="dxa"/>
            <w:tcBorders>
              <w:top w:val="single" w:sz="4" w:space="0" w:color="auto"/>
              <w:left w:val="single" w:sz="4" w:space="0" w:color="auto"/>
              <w:bottom w:val="single" w:sz="4" w:space="0" w:color="auto"/>
              <w:right w:val="single" w:sz="4" w:space="0" w:color="auto"/>
            </w:tcBorders>
            <w:vAlign w:val="bottom"/>
          </w:tcPr>
          <w:p w14:paraId="487CFD8A" w14:textId="77777777" w:rsidR="00937C64" w:rsidRPr="00424274" w:rsidRDefault="00937C64" w:rsidP="00937C64">
            <w:pPr>
              <w:jc w:val="right"/>
              <w:rPr>
                <w:rFonts w:ascii="Arial" w:hAnsi="Arial"/>
                <w:sz w:val="18"/>
                <w:szCs w:val="18"/>
              </w:rPr>
            </w:pPr>
            <w:r w:rsidRPr="00424274">
              <w:rPr>
                <w:rFonts w:ascii="Arial" w:hAnsi="Arial"/>
                <w:sz w:val="18"/>
                <w:szCs w:val="18"/>
              </w:rPr>
              <w:t>24</w:t>
            </w:r>
          </w:p>
        </w:tc>
      </w:tr>
      <w:tr w:rsidR="00937C64" w:rsidRPr="00424274" w14:paraId="154E9A8F" w14:textId="77777777" w:rsidTr="00472BE5">
        <w:trPr>
          <w:trHeight w:val="360"/>
        </w:trPr>
        <w:tc>
          <w:tcPr>
            <w:tcW w:w="3688" w:type="dxa"/>
            <w:tcBorders>
              <w:top w:val="nil"/>
              <w:left w:val="single" w:sz="8" w:space="0" w:color="auto"/>
              <w:bottom w:val="single" w:sz="8" w:space="0" w:color="auto"/>
              <w:right w:val="single" w:sz="8" w:space="0" w:color="auto"/>
            </w:tcBorders>
            <w:shd w:val="clear" w:color="auto" w:fill="auto"/>
            <w:noWrap/>
            <w:vAlign w:val="bottom"/>
            <w:hideMark/>
          </w:tcPr>
          <w:p w14:paraId="638C9B2E" w14:textId="77777777" w:rsidR="00937C64" w:rsidRPr="00424274" w:rsidRDefault="00937C64" w:rsidP="00937C64">
            <w:pPr>
              <w:widowControl/>
              <w:jc w:val="left"/>
              <w:rPr>
                <w:rFonts w:ascii="Arial" w:hAnsi="Arial"/>
                <w:sz w:val="18"/>
                <w:szCs w:val="18"/>
                <w:lang w:eastAsia="sl-SI"/>
              </w:rPr>
            </w:pPr>
            <w:r w:rsidRPr="00424274">
              <w:rPr>
                <w:rFonts w:ascii="Arial" w:hAnsi="Arial"/>
                <w:sz w:val="18"/>
                <w:szCs w:val="18"/>
                <w:lang w:eastAsia="sl-SI"/>
              </w:rPr>
              <w:t>Sodišče: Odstop pregona v tujino</w:t>
            </w:r>
          </w:p>
        </w:tc>
        <w:tc>
          <w:tcPr>
            <w:tcW w:w="603" w:type="dxa"/>
            <w:tcBorders>
              <w:top w:val="nil"/>
              <w:left w:val="nil"/>
              <w:bottom w:val="single" w:sz="8" w:space="0" w:color="auto"/>
              <w:right w:val="single" w:sz="8" w:space="0" w:color="auto"/>
            </w:tcBorders>
            <w:shd w:val="clear" w:color="auto" w:fill="auto"/>
            <w:noWrap/>
            <w:vAlign w:val="bottom"/>
            <w:hideMark/>
          </w:tcPr>
          <w:p w14:paraId="242A2109" w14:textId="77777777" w:rsidR="00937C64" w:rsidRPr="00424274" w:rsidRDefault="00937C64" w:rsidP="00937C64">
            <w:pPr>
              <w:widowControl/>
              <w:jc w:val="right"/>
              <w:rPr>
                <w:rFonts w:ascii="Arial" w:hAnsi="Arial"/>
                <w:sz w:val="18"/>
                <w:szCs w:val="18"/>
                <w:lang w:eastAsia="sl-SI"/>
              </w:rPr>
            </w:pPr>
            <w:r w:rsidRPr="00424274">
              <w:rPr>
                <w:rFonts w:ascii="Arial" w:hAnsi="Arial"/>
                <w:sz w:val="18"/>
                <w:szCs w:val="18"/>
                <w:lang w:eastAsia="sl-SI"/>
              </w:rPr>
              <w:t>4</w:t>
            </w:r>
          </w:p>
        </w:tc>
        <w:tc>
          <w:tcPr>
            <w:tcW w:w="603" w:type="dxa"/>
            <w:tcBorders>
              <w:top w:val="nil"/>
              <w:left w:val="nil"/>
              <w:bottom w:val="single" w:sz="8" w:space="0" w:color="auto"/>
              <w:right w:val="single" w:sz="8" w:space="0" w:color="auto"/>
            </w:tcBorders>
            <w:shd w:val="clear" w:color="auto" w:fill="auto"/>
            <w:noWrap/>
            <w:vAlign w:val="bottom"/>
            <w:hideMark/>
          </w:tcPr>
          <w:p w14:paraId="7F420A44" w14:textId="77777777" w:rsidR="00937C64" w:rsidRPr="00424274" w:rsidRDefault="00937C64" w:rsidP="00937C64">
            <w:pPr>
              <w:widowControl/>
              <w:jc w:val="right"/>
              <w:rPr>
                <w:rFonts w:ascii="Arial" w:hAnsi="Arial"/>
                <w:sz w:val="18"/>
                <w:szCs w:val="18"/>
                <w:lang w:eastAsia="sl-SI"/>
              </w:rPr>
            </w:pPr>
            <w:r w:rsidRPr="00424274">
              <w:rPr>
                <w:rFonts w:ascii="Arial" w:hAnsi="Arial"/>
                <w:sz w:val="18"/>
                <w:szCs w:val="18"/>
                <w:lang w:eastAsia="sl-SI"/>
              </w:rPr>
              <w:t>4</w:t>
            </w:r>
          </w:p>
        </w:tc>
        <w:tc>
          <w:tcPr>
            <w:tcW w:w="603" w:type="dxa"/>
            <w:tcBorders>
              <w:top w:val="nil"/>
              <w:left w:val="nil"/>
              <w:bottom w:val="single" w:sz="8" w:space="0" w:color="auto"/>
              <w:right w:val="single" w:sz="8" w:space="0" w:color="auto"/>
            </w:tcBorders>
            <w:shd w:val="clear" w:color="auto" w:fill="auto"/>
            <w:noWrap/>
            <w:vAlign w:val="bottom"/>
            <w:hideMark/>
          </w:tcPr>
          <w:p w14:paraId="2390D528" w14:textId="77777777" w:rsidR="00937C64" w:rsidRPr="00424274" w:rsidRDefault="00937C64" w:rsidP="00937C64">
            <w:pPr>
              <w:widowControl/>
              <w:jc w:val="right"/>
              <w:rPr>
                <w:rFonts w:ascii="Arial" w:hAnsi="Arial"/>
                <w:sz w:val="18"/>
                <w:szCs w:val="18"/>
                <w:lang w:eastAsia="sl-SI"/>
              </w:rPr>
            </w:pPr>
            <w:r w:rsidRPr="00424274">
              <w:rPr>
                <w:rFonts w:ascii="Arial" w:hAnsi="Arial"/>
                <w:sz w:val="18"/>
                <w:szCs w:val="18"/>
                <w:lang w:eastAsia="sl-SI"/>
              </w:rPr>
              <w:t>5</w:t>
            </w:r>
          </w:p>
        </w:tc>
        <w:tc>
          <w:tcPr>
            <w:tcW w:w="604" w:type="dxa"/>
            <w:tcBorders>
              <w:top w:val="nil"/>
              <w:left w:val="nil"/>
              <w:bottom w:val="single" w:sz="8" w:space="0" w:color="auto"/>
              <w:right w:val="single" w:sz="8" w:space="0" w:color="auto"/>
            </w:tcBorders>
            <w:shd w:val="clear" w:color="auto" w:fill="auto"/>
            <w:noWrap/>
            <w:vAlign w:val="bottom"/>
            <w:hideMark/>
          </w:tcPr>
          <w:p w14:paraId="064E1C27" w14:textId="77777777" w:rsidR="00937C64" w:rsidRPr="00424274" w:rsidRDefault="00937C64" w:rsidP="00937C64">
            <w:pPr>
              <w:jc w:val="right"/>
              <w:rPr>
                <w:rFonts w:ascii="Arial" w:hAnsi="Arial"/>
                <w:sz w:val="18"/>
                <w:szCs w:val="18"/>
              </w:rPr>
            </w:pPr>
            <w:r w:rsidRPr="00424274">
              <w:rPr>
                <w:rFonts w:ascii="Arial" w:hAnsi="Arial"/>
                <w:sz w:val="18"/>
                <w:szCs w:val="18"/>
              </w:rPr>
              <w:t>6</w:t>
            </w:r>
          </w:p>
        </w:tc>
        <w:tc>
          <w:tcPr>
            <w:tcW w:w="604" w:type="dxa"/>
            <w:tcBorders>
              <w:top w:val="nil"/>
              <w:left w:val="nil"/>
              <w:bottom w:val="single" w:sz="8" w:space="0" w:color="auto"/>
              <w:right w:val="single" w:sz="4" w:space="0" w:color="auto"/>
            </w:tcBorders>
            <w:shd w:val="clear" w:color="auto" w:fill="auto"/>
            <w:noWrap/>
            <w:vAlign w:val="bottom"/>
            <w:hideMark/>
          </w:tcPr>
          <w:p w14:paraId="7D9AB59E" w14:textId="77777777" w:rsidR="00937C64" w:rsidRPr="00424274" w:rsidRDefault="00937C64" w:rsidP="00937C64">
            <w:pPr>
              <w:jc w:val="right"/>
              <w:rPr>
                <w:rFonts w:ascii="Arial" w:hAnsi="Arial"/>
                <w:sz w:val="18"/>
                <w:szCs w:val="18"/>
              </w:rPr>
            </w:pPr>
            <w:r w:rsidRPr="00424274">
              <w:rPr>
                <w:rFonts w:ascii="Arial" w:hAnsi="Arial"/>
                <w:sz w:val="18"/>
                <w:szCs w:val="18"/>
              </w:rPr>
              <w:t>6</w:t>
            </w:r>
          </w:p>
        </w:tc>
        <w:tc>
          <w:tcPr>
            <w:tcW w:w="560" w:type="dxa"/>
            <w:tcBorders>
              <w:top w:val="single" w:sz="4" w:space="0" w:color="auto"/>
              <w:left w:val="single" w:sz="4" w:space="0" w:color="auto"/>
              <w:bottom w:val="single" w:sz="4" w:space="0" w:color="auto"/>
              <w:right w:val="single" w:sz="4" w:space="0" w:color="auto"/>
            </w:tcBorders>
            <w:vAlign w:val="bottom"/>
          </w:tcPr>
          <w:p w14:paraId="33366A1B" w14:textId="77777777" w:rsidR="00937C64" w:rsidRPr="00424274" w:rsidRDefault="00937C64" w:rsidP="00937C64">
            <w:pPr>
              <w:jc w:val="right"/>
              <w:rPr>
                <w:rFonts w:ascii="Arial" w:hAnsi="Arial"/>
                <w:sz w:val="18"/>
                <w:szCs w:val="18"/>
              </w:rPr>
            </w:pPr>
            <w:r w:rsidRPr="00424274">
              <w:rPr>
                <w:rFonts w:ascii="Arial" w:hAnsi="Arial"/>
                <w:sz w:val="18"/>
                <w:szCs w:val="18"/>
              </w:rPr>
              <w:t>6</w:t>
            </w:r>
          </w:p>
        </w:tc>
        <w:tc>
          <w:tcPr>
            <w:tcW w:w="560" w:type="dxa"/>
            <w:tcBorders>
              <w:top w:val="single" w:sz="4" w:space="0" w:color="auto"/>
              <w:left w:val="single" w:sz="4" w:space="0" w:color="auto"/>
              <w:bottom w:val="single" w:sz="4" w:space="0" w:color="auto"/>
              <w:right w:val="single" w:sz="4" w:space="0" w:color="auto"/>
            </w:tcBorders>
            <w:vAlign w:val="bottom"/>
          </w:tcPr>
          <w:p w14:paraId="49916374" w14:textId="77777777" w:rsidR="00937C64" w:rsidRPr="00424274" w:rsidRDefault="00937C64" w:rsidP="00937C64">
            <w:pPr>
              <w:jc w:val="right"/>
              <w:rPr>
                <w:rFonts w:ascii="Arial" w:hAnsi="Arial"/>
                <w:sz w:val="18"/>
                <w:szCs w:val="18"/>
              </w:rPr>
            </w:pPr>
            <w:r w:rsidRPr="00424274">
              <w:rPr>
                <w:rFonts w:ascii="Arial" w:hAnsi="Arial"/>
                <w:sz w:val="18"/>
                <w:szCs w:val="18"/>
              </w:rPr>
              <w:t>6</w:t>
            </w:r>
          </w:p>
        </w:tc>
        <w:tc>
          <w:tcPr>
            <w:tcW w:w="560" w:type="dxa"/>
            <w:tcBorders>
              <w:top w:val="single" w:sz="4" w:space="0" w:color="auto"/>
              <w:left w:val="single" w:sz="4" w:space="0" w:color="auto"/>
              <w:bottom w:val="single" w:sz="4" w:space="0" w:color="auto"/>
              <w:right w:val="single" w:sz="4" w:space="0" w:color="auto"/>
            </w:tcBorders>
            <w:vAlign w:val="bottom"/>
          </w:tcPr>
          <w:p w14:paraId="69A12437" w14:textId="77777777" w:rsidR="00937C64" w:rsidRPr="00424274" w:rsidRDefault="00937C64" w:rsidP="00937C64">
            <w:pPr>
              <w:jc w:val="right"/>
              <w:rPr>
                <w:rFonts w:ascii="Arial" w:hAnsi="Arial"/>
                <w:sz w:val="18"/>
                <w:szCs w:val="18"/>
              </w:rPr>
            </w:pPr>
            <w:r w:rsidRPr="00424274">
              <w:rPr>
                <w:rFonts w:ascii="Arial" w:hAnsi="Arial"/>
                <w:sz w:val="18"/>
                <w:szCs w:val="18"/>
              </w:rPr>
              <w:t>6</w:t>
            </w:r>
          </w:p>
        </w:tc>
        <w:tc>
          <w:tcPr>
            <w:tcW w:w="560" w:type="dxa"/>
            <w:tcBorders>
              <w:top w:val="single" w:sz="4" w:space="0" w:color="auto"/>
              <w:left w:val="single" w:sz="4" w:space="0" w:color="auto"/>
              <w:bottom w:val="single" w:sz="4" w:space="0" w:color="auto"/>
              <w:right w:val="single" w:sz="4" w:space="0" w:color="auto"/>
            </w:tcBorders>
            <w:vAlign w:val="bottom"/>
          </w:tcPr>
          <w:p w14:paraId="65F75255" w14:textId="77777777" w:rsidR="00937C64" w:rsidRPr="00424274" w:rsidRDefault="00937C64" w:rsidP="00937C64">
            <w:pPr>
              <w:jc w:val="right"/>
              <w:rPr>
                <w:rFonts w:ascii="Arial" w:hAnsi="Arial"/>
                <w:sz w:val="18"/>
                <w:szCs w:val="18"/>
              </w:rPr>
            </w:pPr>
            <w:r w:rsidRPr="00424274">
              <w:rPr>
                <w:rFonts w:ascii="Arial" w:hAnsi="Arial"/>
                <w:sz w:val="18"/>
                <w:szCs w:val="18"/>
              </w:rPr>
              <w:t>6</w:t>
            </w:r>
          </w:p>
        </w:tc>
        <w:tc>
          <w:tcPr>
            <w:tcW w:w="663" w:type="dxa"/>
            <w:tcBorders>
              <w:top w:val="single" w:sz="4" w:space="0" w:color="auto"/>
              <w:left w:val="single" w:sz="4" w:space="0" w:color="auto"/>
              <w:bottom w:val="single" w:sz="4" w:space="0" w:color="auto"/>
              <w:right w:val="single" w:sz="4" w:space="0" w:color="auto"/>
            </w:tcBorders>
            <w:vAlign w:val="bottom"/>
          </w:tcPr>
          <w:p w14:paraId="5C1E667C" w14:textId="77777777" w:rsidR="00937C64" w:rsidRPr="00424274" w:rsidRDefault="00937C64" w:rsidP="00937C64">
            <w:pPr>
              <w:jc w:val="right"/>
              <w:rPr>
                <w:rFonts w:ascii="Arial" w:hAnsi="Arial"/>
                <w:sz w:val="18"/>
                <w:szCs w:val="18"/>
              </w:rPr>
            </w:pPr>
            <w:r w:rsidRPr="00424274">
              <w:rPr>
                <w:rFonts w:ascii="Arial" w:hAnsi="Arial"/>
                <w:sz w:val="18"/>
                <w:szCs w:val="18"/>
              </w:rPr>
              <w:t>6</w:t>
            </w:r>
          </w:p>
        </w:tc>
      </w:tr>
      <w:tr w:rsidR="00937C64" w:rsidRPr="00424274" w14:paraId="38613C8B" w14:textId="77777777" w:rsidTr="00472BE5">
        <w:trPr>
          <w:trHeight w:val="360"/>
        </w:trPr>
        <w:tc>
          <w:tcPr>
            <w:tcW w:w="3688" w:type="dxa"/>
            <w:tcBorders>
              <w:top w:val="nil"/>
              <w:left w:val="single" w:sz="8" w:space="0" w:color="auto"/>
              <w:bottom w:val="single" w:sz="8" w:space="0" w:color="auto"/>
              <w:right w:val="single" w:sz="8" w:space="0" w:color="auto"/>
            </w:tcBorders>
            <w:shd w:val="clear" w:color="auto" w:fill="auto"/>
            <w:noWrap/>
            <w:vAlign w:val="bottom"/>
            <w:hideMark/>
          </w:tcPr>
          <w:p w14:paraId="038C2EED" w14:textId="77777777" w:rsidR="00937C64" w:rsidRPr="00424274" w:rsidRDefault="00937C64" w:rsidP="00937C64">
            <w:pPr>
              <w:widowControl/>
              <w:jc w:val="left"/>
              <w:rPr>
                <w:rFonts w:ascii="Arial" w:hAnsi="Arial"/>
                <w:sz w:val="18"/>
                <w:szCs w:val="18"/>
                <w:lang w:eastAsia="sl-SI"/>
              </w:rPr>
            </w:pPr>
            <w:r w:rsidRPr="00424274">
              <w:rPr>
                <w:rFonts w:ascii="Arial" w:hAnsi="Arial"/>
                <w:sz w:val="18"/>
                <w:szCs w:val="18"/>
                <w:lang w:eastAsia="sl-SI"/>
              </w:rPr>
              <w:t>Prekvalifikacija kaznivega dejanja</w:t>
            </w:r>
          </w:p>
        </w:tc>
        <w:tc>
          <w:tcPr>
            <w:tcW w:w="603" w:type="dxa"/>
            <w:tcBorders>
              <w:top w:val="nil"/>
              <w:left w:val="nil"/>
              <w:bottom w:val="single" w:sz="8" w:space="0" w:color="auto"/>
              <w:right w:val="single" w:sz="8" w:space="0" w:color="auto"/>
            </w:tcBorders>
            <w:shd w:val="clear" w:color="auto" w:fill="auto"/>
            <w:noWrap/>
            <w:vAlign w:val="bottom"/>
            <w:hideMark/>
          </w:tcPr>
          <w:p w14:paraId="33F0FECF" w14:textId="77777777" w:rsidR="00937C64" w:rsidRPr="00424274" w:rsidRDefault="00937C64" w:rsidP="00937C64">
            <w:pPr>
              <w:widowControl/>
              <w:jc w:val="right"/>
              <w:rPr>
                <w:rFonts w:ascii="Arial" w:hAnsi="Arial"/>
                <w:sz w:val="18"/>
                <w:szCs w:val="18"/>
                <w:lang w:eastAsia="sl-SI"/>
              </w:rPr>
            </w:pPr>
            <w:r w:rsidRPr="00424274">
              <w:rPr>
                <w:rFonts w:ascii="Arial" w:hAnsi="Arial"/>
                <w:sz w:val="18"/>
                <w:szCs w:val="18"/>
                <w:lang w:eastAsia="sl-SI"/>
              </w:rPr>
              <w:t> </w:t>
            </w:r>
          </w:p>
        </w:tc>
        <w:tc>
          <w:tcPr>
            <w:tcW w:w="603" w:type="dxa"/>
            <w:tcBorders>
              <w:top w:val="nil"/>
              <w:left w:val="nil"/>
              <w:bottom w:val="single" w:sz="8" w:space="0" w:color="auto"/>
              <w:right w:val="single" w:sz="8" w:space="0" w:color="auto"/>
            </w:tcBorders>
            <w:shd w:val="clear" w:color="auto" w:fill="auto"/>
            <w:noWrap/>
            <w:vAlign w:val="bottom"/>
            <w:hideMark/>
          </w:tcPr>
          <w:p w14:paraId="3F6C1454" w14:textId="77777777" w:rsidR="00937C64" w:rsidRPr="00424274" w:rsidRDefault="00937C64" w:rsidP="00937C64">
            <w:pPr>
              <w:widowControl/>
              <w:jc w:val="right"/>
              <w:rPr>
                <w:rFonts w:ascii="Arial" w:hAnsi="Arial"/>
                <w:sz w:val="18"/>
                <w:szCs w:val="18"/>
                <w:lang w:eastAsia="sl-SI"/>
              </w:rPr>
            </w:pPr>
            <w:r w:rsidRPr="00424274">
              <w:rPr>
                <w:rFonts w:ascii="Arial" w:hAnsi="Arial"/>
                <w:sz w:val="18"/>
                <w:szCs w:val="18"/>
                <w:lang w:eastAsia="sl-SI"/>
              </w:rPr>
              <w:t> 3</w:t>
            </w:r>
          </w:p>
        </w:tc>
        <w:tc>
          <w:tcPr>
            <w:tcW w:w="603" w:type="dxa"/>
            <w:tcBorders>
              <w:top w:val="nil"/>
              <w:left w:val="nil"/>
              <w:bottom w:val="single" w:sz="8" w:space="0" w:color="auto"/>
              <w:right w:val="single" w:sz="8" w:space="0" w:color="auto"/>
            </w:tcBorders>
            <w:shd w:val="clear" w:color="auto" w:fill="auto"/>
            <w:noWrap/>
            <w:vAlign w:val="bottom"/>
            <w:hideMark/>
          </w:tcPr>
          <w:p w14:paraId="3054BF25" w14:textId="77777777" w:rsidR="00937C64" w:rsidRPr="00424274" w:rsidRDefault="00937C64" w:rsidP="00937C64">
            <w:pPr>
              <w:widowControl/>
              <w:jc w:val="right"/>
              <w:rPr>
                <w:rFonts w:ascii="Arial" w:hAnsi="Arial"/>
                <w:sz w:val="18"/>
                <w:szCs w:val="18"/>
                <w:lang w:eastAsia="sl-SI"/>
              </w:rPr>
            </w:pPr>
            <w:r w:rsidRPr="00424274">
              <w:rPr>
                <w:rFonts w:ascii="Arial" w:hAnsi="Arial"/>
                <w:sz w:val="18"/>
                <w:szCs w:val="18"/>
                <w:lang w:eastAsia="sl-SI"/>
              </w:rPr>
              <w:t>3</w:t>
            </w:r>
          </w:p>
        </w:tc>
        <w:tc>
          <w:tcPr>
            <w:tcW w:w="604" w:type="dxa"/>
            <w:tcBorders>
              <w:top w:val="nil"/>
              <w:left w:val="nil"/>
              <w:bottom w:val="single" w:sz="8" w:space="0" w:color="auto"/>
              <w:right w:val="single" w:sz="8" w:space="0" w:color="auto"/>
            </w:tcBorders>
            <w:shd w:val="clear" w:color="auto" w:fill="auto"/>
            <w:noWrap/>
            <w:vAlign w:val="bottom"/>
            <w:hideMark/>
          </w:tcPr>
          <w:p w14:paraId="3E35C61C" w14:textId="77777777" w:rsidR="00937C64" w:rsidRPr="00424274" w:rsidRDefault="00937C64" w:rsidP="00937C64">
            <w:pPr>
              <w:jc w:val="right"/>
              <w:rPr>
                <w:rFonts w:ascii="Arial" w:hAnsi="Arial"/>
                <w:sz w:val="18"/>
                <w:szCs w:val="18"/>
              </w:rPr>
            </w:pPr>
            <w:r w:rsidRPr="00424274">
              <w:rPr>
                <w:rFonts w:ascii="Arial" w:hAnsi="Arial"/>
                <w:sz w:val="18"/>
                <w:szCs w:val="18"/>
              </w:rPr>
              <w:t>5</w:t>
            </w:r>
          </w:p>
        </w:tc>
        <w:tc>
          <w:tcPr>
            <w:tcW w:w="604" w:type="dxa"/>
            <w:tcBorders>
              <w:top w:val="nil"/>
              <w:left w:val="nil"/>
              <w:bottom w:val="single" w:sz="8" w:space="0" w:color="auto"/>
              <w:right w:val="single" w:sz="4" w:space="0" w:color="auto"/>
            </w:tcBorders>
            <w:shd w:val="clear" w:color="auto" w:fill="auto"/>
            <w:noWrap/>
            <w:vAlign w:val="bottom"/>
            <w:hideMark/>
          </w:tcPr>
          <w:p w14:paraId="2FFDE794" w14:textId="77777777" w:rsidR="00937C64" w:rsidRPr="00424274" w:rsidRDefault="00937C64" w:rsidP="00937C64">
            <w:pPr>
              <w:jc w:val="right"/>
              <w:rPr>
                <w:rFonts w:ascii="Arial" w:hAnsi="Arial"/>
                <w:sz w:val="18"/>
                <w:szCs w:val="18"/>
              </w:rPr>
            </w:pPr>
            <w:r w:rsidRPr="00424274">
              <w:rPr>
                <w:rFonts w:ascii="Arial" w:hAnsi="Arial"/>
                <w:sz w:val="18"/>
                <w:szCs w:val="18"/>
              </w:rPr>
              <w:t>5</w:t>
            </w:r>
          </w:p>
        </w:tc>
        <w:tc>
          <w:tcPr>
            <w:tcW w:w="560" w:type="dxa"/>
            <w:tcBorders>
              <w:top w:val="single" w:sz="4" w:space="0" w:color="auto"/>
              <w:left w:val="single" w:sz="4" w:space="0" w:color="auto"/>
              <w:bottom w:val="single" w:sz="4" w:space="0" w:color="auto"/>
              <w:right w:val="single" w:sz="4" w:space="0" w:color="auto"/>
            </w:tcBorders>
            <w:vAlign w:val="bottom"/>
          </w:tcPr>
          <w:p w14:paraId="3AA9F694" w14:textId="77777777" w:rsidR="00937C64" w:rsidRPr="00424274" w:rsidRDefault="00937C64" w:rsidP="00937C64">
            <w:pPr>
              <w:jc w:val="right"/>
              <w:rPr>
                <w:rFonts w:ascii="Arial" w:hAnsi="Arial"/>
                <w:sz w:val="18"/>
                <w:szCs w:val="18"/>
              </w:rPr>
            </w:pPr>
            <w:r w:rsidRPr="00424274">
              <w:rPr>
                <w:rFonts w:ascii="Arial" w:hAnsi="Arial"/>
                <w:sz w:val="18"/>
                <w:szCs w:val="18"/>
              </w:rPr>
              <w:t>5</w:t>
            </w:r>
          </w:p>
        </w:tc>
        <w:tc>
          <w:tcPr>
            <w:tcW w:w="560" w:type="dxa"/>
            <w:tcBorders>
              <w:top w:val="single" w:sz="4" w:space="0" w:color="auto"/>
              <w:left w:val="single" w:sz="4" w:space="0" w:color="auto"/>
              <w:bottom w:val="single" w:sz="4" w:space="0" w:color="auto"/>
              <w:right w:val="single" w:sz="4" w:space="0" w:color="auto"/>
            </w:tcBorders>
            <w:vAlign w:val="bottom"/>
          </w:tcPr>
          <w:p w14:paraId="25654F21" w14:textId="77777777" w:rsidR="00937C64" w:rsidRPr="00424274" w:rsidRDefault="00937C64" w:rsidP="00937C64">
            <w:pPr>
              <w:jc w:val="right"/>
              <w:rPr>
                <w:rFonts w:ascii="Arial" w:hAnsi="Arial"/>
                <w:sz w:val="18"/>
                <w:szCs w:val="18"/>
              </w:rPr>
            </w:pPr>
            <w:r w:rsidRPr="00424274">
              <w:rPr>
                <w:rFonts w:ascii="Arial" w:hAnsi="Arial"/>
                <w:sz w:val="18"/>
                <w:szCs w:val="18"/>
              </w:rPr>
              <w:t>5</w:t>
            </w:r>
          </w:p>
        </w:tc>
        <w:tc>
          <w:tcPr>
            <w:tcW w:w="560" w:type="dxa"/>
            <w:tcBorders>
              <w:top w:val="single" w:sz="4" w:space="0" w:color="auto"/>
              <w:left w:val="single" w:sz="4" w:space="0" w:color="auto"/>
              <w:bottom w:val="single" w:sz="4" w:space="0" w:color="auto"/>
              <w:right w:val="single" w:sz="4" w:space="0" w:color="auto"/>
            </w:tcBorders>
            <w:vAlign w:val="bottom"/>
          </w:tcPr>
          <w:p w14:paraId="3A9963C7" w14:textId="77777777" w:rsidR="00937C64" w:rsidRPr="00424274" w:rsidRDefault="00937C64" w:rsidP="00937C64">
            <w:pPr>
              <w:jc w:val="right"/>
              <w:rPr>
                <w:rFonts w:ascii="Arial" w:hAnsi="Arial"/>
                <w:sz w:val="18"/>
                <w:szCs w:val="18"/>
              </w:rPr>
            </w:pPr>
            <w:r w:rsidRPr="00424274">
              <w:rPr>
                <w:rFonts w:ascii="Arial" w:hAnsi="Arial"/>
                <w:sz w:val="18"/>
                <w:szCs w:val="18"/>
              </w:rPr>
              <w:t>5</w:t>
            </w:r>
          </w:p>
        </w:tc>
        <w:tc>
          <w:tcPr>
            <w:tcW w:w="560" w:type="dxa"/>
            <w:tcBorders>
              <w:top w:val="single" w:sz="4" w:space="0" w:color="auto"/>
              <w:left w:val="single" w:sz="4" w:space="0" w:color="auto"/>
              <w:bottom w:val="single" w:sz="4" w:space="0" w:color="auto"/>
              <w:right w:val="single" w:sz="4" w:space="0" w:color="auto"/>
            </w:tcBorders>
            <w:vAlign w:val="bottom"/>
          </w:tcPr>
          <w:p w14:paraId="2995AB60" w14:textId="77777777" w:rsidR="00937C64" w:rsidRPr="00424274" w:rsidRDefault="00937C64" w:rsidP="00937C64">
            <w:pPr>
              <w:jc w:val="right"/>
              <w:rPr>
                <w:rFonts w:ascii="Arial" w:hAnsi="Arial"/>
                <w:sz w:val="18"/>
                <w:szCs w:val="18"/>
              </w:rPr>
            </w:pPr>
            <w:r w:rsidRPr="00424274">
              <w:rPr>
                <w:rFonts w:ascii="Arial" w:hAnsi="Arial"/>
                <w:sz w:val="18"/>
                <w:szCs w:val="18"/>
              </w:rPr>
              <w:t>5</w:t>
            </w:r>
          </w:p>
        </w:tc>
        <w:tc>
          <w:tcPr>
            <w:tcW w:w="663" w:type="dxa"/>
            <w:tcBorders>
              <w:top w:val="single" w:sz="4" w:space="0" w:color="auto"/>
              <w:left w:val="single" w:sz="4" w:space="0" w:color="auto"/>
              <w:bottom w:val="single" w:sz="4" w:space="0" w:color="auto"/>
              <w:right w:val="single" w:sz="4" w:space="0" w:color="auto"/>
            </w:tcBorders>
            <w:vAlign w:val="bottom"/>
          </w:tcPr>
          <w:p w14:paraId="6DDC52CC" w14:textId="77777777" w:rsidR="00937C64" w:rsidRPr="00424274" w:rsidRDefault="00937C64" w:rsidP="00937C64">
            <w:pPr>
              <w:jc w:val="right"/>
              <w:rPr>
                <w:rFonts w:ascii="Arial" w:hAnsi="Arial"/>
                <w:sz w:val="18"/>
                <w:szCs w:val="18"/>
              </w:rPr>
            </w:pPr>
            <w:r w:rsidRPr="00424274">
              <w:rPr>
                <w:rFonts w:ascii="Arial" w:hAnsi="Arial"/>
                <w:sz w:val="18"/>
                <w:szCs w:val="18"/>
              </w:rPr>
              <w:t>5</w:t>
            </w:r>
          </w:p>
        </w:tc>
      </w:tr>
      <w:tr w:rsidR="00937C64" w:rsidRPr="00424274" w14:paraId="214E8259" w14:textId="77777777" w:rsidTr="00472BE5">
        <w:trPr>
          <w:trHeight w:val="360"/>
        </w:trPr>
        <w:tc>
          <w:tcPr>
            <w:tcW w:w="3688" w:type="dxa"/>
            <w:tcBorders>
              <w:top w:val="nil"/>
              <w:left w:val="single" w:sz="8" w:space="0" w:color="auto"/>
              <w:bottom w:val="single" w:sz="8" w:space="0" w:color="auto"/>
              <w:right w:val="single" w:sz="8" w:space="0" w:color="auto"/>
            </w:tcBorders>
            <w:shd w:val="clear" w:color="auto" w:fill="auto"/>
            <w:noWrap/>
            <w:vAlign w:val="bottom"/>
            <w:hideMark/>
          </w:tcPr>
          <w:p w14:paraId="055C71A6" w14:textId="77777777" w:rsidR="00937C64" w:rsidRPr="00424274" w:rsidRDefault="00937C64" w:rsidP="00937C64">
            <w:pPr>
              <w:widowControl/>
              <w:jc w:val="left"/>
              <w:rPr>
                <w:rFonts w:ascii="Arial" w:hAnsi="Arial"/>
                <w:sz w:val="18"/>
                <w:szCs w:val="18"/>
                <w:lang w:eastAsia="sl-SI"/>
              </w:rPr>
            </w:pPr>
            <w:r w:rsidRPr="00424274">
              <w:rPr>
                <w:rFonts w:ascii="Arial" w:hAnsi="Arial"/>
                <w:sz w:val="18"/>
                <w:szCs w:val="18"/>
                <w:lang w:eastAsia="sl-SI"/>
              </w:rPr>
              <w:t>Združitev postopkov</w:t>
            </w:r>
          </w:p>
        </w:tc>
        <w:tc>
          <w:tcPr>
            <w:tcW w:w="603" w:type="dxa"/>
            <w:tcBorders>
              <w:top w:val="nil"/>
              <w:left w:val="nil"/>
              <w:bottom w:val="single" w:sz="8" w:space="0" w:color="auto"/>
              <w:right w:val="single" w:sz="8" w:space="0" w:color="auto"/>
            </w:tcBorders>
            <w:shd w:val="clear" w:color="auto" w:fill="auto"/>
            <w:noWrap/>
            <w:vAlign w:val="bottom"/>
            <w:hideMark/>
          </w:tcPr>
          <w:p w14:paraId="468095EA" w14:textId="77777777" w:rsidR="00937C64" w:rsidRPr="00424274" w:rsidRDefault="00937C64" w:rsidP="00937C64">
            <w:pPr>
              <w:widowControl/>
              <w:jc w:val="right"/>
              <w:rPr>
                <w:rFonts w:ascii="Arial" w:hAnsi="Arial"/>
                <w:sz w:val="18"/>
                <w:szCs w:val="18"/>
                <w:lang w:eastAsia="sl-SI"/>
              </w:rPr>
            </w:pPr>
            <w:r w:rsidRPr="00424274">
              <w:rPr>
                <w:rFonts w:ascii="Arial" w:hAnsi="Arial"/>
                <w:sz w:val="18"/>
                <w:szCs w:val="18"/>
                <w:lang w:eastAsia="sl-SI"/>
              </w:rPr>
              <w:t> </w:t>
            </w:r>
          </w:p>
        </w:tc>
        <w:tc>
          <w:tcPr>
            <w:tcW w:w="603" w:type="dxa"/>
            <w:tcBorders>
              <w:top w:val="nil"/>
              <w:left w:val="nil"/>
              <w:bottom w:val="single" w:sz="8" w:space="0" w:color="auto"/>
              <w:right w:val="single" w:sz="8" w:space="0" w:color="auto"/>
            </w:tcBorders>
            <w:shd w:val="clear" w:color="auto" w:fill="auto"/>
            <w:noWrap/>
            <w:vAlign w:val="bottom"/>
            <w:hideMark/>
          </w:tcPr>
          <w:p w14:paraId="4E041D14" w14:textId="77777777" w:rsidR="00937C64" w:rsidRPr="00424274" w:rsidRDefault="00937C64" w:rsidP="00937C64">
            <w:pPr>
              <w:widowControl/>
              <w:jc w:val="right"/>
              <w:rPr>
                <w:rFonts w:ascii="Arial" w:hAnsi="Arial"/>
                <w:sz w:val="18"/>
                <w:szCs w:val="18"/>
                <w:lang w:eastAsia="sl-SI"/>
              </w:rPr>
            </w:pPr>
            <w:r w:rsidRPr="00424274">
              <w:rPr>
                <w:rFonts w:ascii="Arial" w:hAnsi="Arial"/>
                <w:sz w:val="18"/>
                <w:szCs w:val="18"/>
                <w:lang w:eastAsia="sl-SI"/>
              </w:rPr>
              <w:t> </w:t>
            </w:r>
          </w:p>
        </w:tc>
        <w:tc>
          <w:tcPr>
            <w:tcW w:w="603" w:type="dxa"/>
            <w:tcBorders>
              <w:top w:val="nil"/>
              <w:left w:val="nil"/>
              <w:bottom w:val="single" w:sz="8" w:space="0" w:color="auto"/>
              <w:right w:val="single" w:sz="8" w:space="0" w:color="auto"/>
            </w:tcBorders>
            <w:shd w:val="clear" w:color="auto" w:fill="auto"/>
            <w:noWrap/>
            <w:vAlign w:val="bottom"/>
            <w:hideMark/>
          </w:tcPr>
          <w:p w14:paraId="0EDC77C3" w14:textId="77777777" w:rsidR="00937C64" w:rsidRPr="00424274" w:rsidRDefault="00937C64" w:rsidP="00937C64">
            <w:pPr>
              <w:widowControl/>
              <w:jc w:val="right"/>
              <w:rPr>
                <w:rFonts w:ascii="Arial" w:hAnsi="Arial"/>
                <w:sz w:val="18"/>
                <w:szCs w:val="18"/>
                <w:lang w:eastAsia="sl-SI"/>
              </w:rPr>
            </w:pPr>
            <w:r w:rsidRPr="00424274">
              <w:rPr>
                <w:rFonts w:ascii="Arial" w:hAnsi="Arial"/>
                <w:sz w:val="18"/>
                <w:szCs w:val="18"/>
                <w:lang w:eastAsia="sl-SI"/>
              </w:rPr>
              <w:t>3</w:t>
            </w:r>
          </w:p>
        </w:tc>
        <w:tc>
          <w:tcPr>
            <w:tcW w:w="604" w:type="dxa"/>
            <w:tcBorders>
              <w:top w:val="nil"/>
              <w:left w:val="nil"/>
              <w:bottom w:val="single" w:sz="8" w:space="0" w:color="auto"/>
              <w:right w:val="single" w:sz="8" w:space="0" w:color="auto"/>
            </w:tcBorders>
            <w:shd w:val="clear" w:color="auto" w:fill="auto"/>
            <w:noWrap/>
            <w:vAlign w:val="bottom"/>
            <w:hideMark/>
          </w:tcPr>
          <w:p w14:paraId="3AEB321B" w14:textId="77777777" w:rsidR="00937C64" w:rsidRPr="00424274" w:rsidRDefault="00937C64" w:rsidP="00937C64">
            <w:pPr>
              <w:jc w:val="right"/>
              <w:rPr>
                <w:rFonts w:ascii="Arial" w:hAnsi="Arial"/>
                <w:sz w:val="18"/>
                <w:szCs w:val="18"/>
              </w:rPr>
            </w:pPr>
            <w:r w:rsidRPr="00424274">
              <w:rPr>
                <w:rFonts w:ascii="Arial" w:hAnsi="Arial"/>
                <w:sz w:val="18"/>
                <w:szCs w:val="18"/>
              </w:rPr>
              <w:t>6</w:t>
            </w:r>
          </w:p>
        </w:tc>
        <w:tc>
          <w:tcPr>
            <w:tcW w:w="604" w:type="dxa"/>
            <w:tcBorders>
              <w:top w:val="nil"/>
              <w:left w:val="nil"/>
              <w:bottom w:val="single" w:sz="8" w:space="0" w:color="auto"/>
              <w:right w:val="single" w:sz="4" w:space="0" w:color="auto"/>
            </w:tcBorders>
            <w:shd w:val="clear" w:color="auto" w:fill="auto"/>
            <w:noWrap/>
            <w:vAlign w:val="bottom"/>
            <w:hideMark/>
          </w:tcPr>
          <w:p w14:paraId="6BEE0D79" w14:textId="77777777" w:rsidR="00937C64" w:rsidRPr="00424274" w:rsidRDefault="00937C64" w:rsidP="00937C64">
            <w:pPr>
              <w:jc w:val="right"/>
              <w:rPr>
                <w:rFonts w:ascii="Arial" w:hAnsi="Arial"/>
                <w:sz w:val="18"/>
                <w:szCs w:val="18"/>
              </w:rPr>
            </w:pPr>
            <w:r w:rsidRPr="00424274">
              <w:rPr>
                <w:rFonts w:ascii="Arial" w:hAnsi="Arial"/>
                <w:sz w:val="18"/>
                <w:szCs w:val="18"/>
              </w:rPr>
              <w:t>12</w:t>
            </w:r>
          </w:p>
        </w:tc>
        <w:tc>
          <w:tcPr>
            <w:tcW w:w="560" w:type="dxa"/>
            <w:tcBorders>
              <w:top w:val="single" w:sz="4" w:space="0" w:color="auto"/>
              <w:left w:val="single" w:sz="4" w:space="0" w:color="auto"/>
              <w:bottom w:val="single" w:sz="4" w:space="0" w:color="auto"/>
              <w:right w:val="single" w:sz="4" w:space="0" w:color="auto"/>
            </w:tcBorders>
            <w:vAlign w:val="bottom"/>
          </w:tcPr>
          <w:p w14:paraId="2687C8BB" w14:textId="77777777" w:rsidR="00937C64" w:rsidRPr="00424274" w:rsidRDefault="00937C64" w:rsidP="00937C64">
            <w:pPr>
              <w:jc w:val="right"/>
              <w:rPr>
                <w:rFonts w:ascii="Arial" w:hAnsi="Arial"/>
                <w:sz w:val="18"/>
                <w:szCs w:val="18"/>
              </w:rPr>
            </w:pPr>
            <w:r w:rsidRPr="00424274">
              <w:rPr>
                <w:rFonts w:ascii="Arial" w:hAnsi="Arial"/>
                <w:sz w:val="18"/>
                <w:szCs w:val="18"/>
              </w:rPr>
              <w:t>12</w:t>
            </w:r>
          </w:p>
        </w:tc>
        <w:tc>
          <w:tcPr>
            <w:tcW w:w="560" w:type="dxa"/>
            <w:tcBorders>
              <w:top w:val="single" w:sz="4" w:space="0" w:color="auto"/>
              <w:left w:val="single" w:sz="4" w:space="0" w:color="auto"/>
              <w:bottom w:val="single" w:sz="4" w:space="0" w:color="auto"/>
              <w:right w:val="single" w:sz="4" w:space="0" w:color="auto"/>
            </w:tcBorders>
            <w:vAlign w:val="bottom"/>
          </w:tcPr>
          <w:p w14:paraId="422C6575" w14:textId="77777777" w:rsidR="00937C64" w:rsidRPr="00424274" w:rsidRDefault="00937C64" w:rsidP="00937C64">
            <w:pPr>
              <w:jc w:val="right"/>
              <w:rPr>
                <w:rFonts w:ascii="Arial" w:hAnsi="Arial"/>
                <w:sz w:val="18"/>
                <w:szCs w:val="18"/>
              </w:rPr>
            </w:pPr>
            <w:r w:rsidRPr="00424274">
              <w:rPr>
                <w:rFonts w:ascii="Arial" w:hAnsi="Arial"/>
                <w:sz w:val="18"/>
                <w:szCs w:val="18"/>
              </w:rPr>
              <w:t>12</w:t>
            </w:r>
          </w:p>
        </w:tc>
        <w:tc>
          <w:tcPr>
            <w:tcW w:w="560" w:type="dxa"/>
            <w:tcBorders>
              <w:top w:val="single" w:sz="4" w:space="0" w:color="auto"/>
              <w:left w:val="single" w:sz="4" w:space="0" w:color="auto"/>
              <w:bottom w:val="single" w:sz="4" w:space="0" w:color="auto"/>
              <w:right w:val="single" w:sz="4" w:space="0" w:color="auto"/>
            </w:tcBorders>
            <w:vAlign w:val="bottom"/>
          </w:tcPr>
          <w:p w14:paraId="3C3D03D5" w14:textId="77777777" w:rsidR="00937C64" w:rsidRPr="00424274" w:rsidRDefault="00937C64" w:rsidP="00937C64">
            <w:pPr>
              <w:jc w:val="right"/>
              <w:rPr>
                <w:rFonts w:ascii="Arial" w:hAnsi="Arial"/>
                <w:sz w:val="18"/>
                <w:szCs w:val="18"/>
              </w:rPr>
            </w:pPr>
            <w:r w:rsidRPr="00424274">
              <w:rPr>
                <w:rFonts w:ascii="Arial" w:hAnsi="Arial"/>
                <w:sz w:val="18"/>
                <w:szCs w:val="18"/>
              </w:rPr>
              <w:t>12</w:t>
            </w:r>
          </w:p>
        </w:tc>
        <w:tc>
          <w:tcPr>
            <w:tcW w:w="560" w:type="dxa"/>
            <w:tcBorders>
              <w:top w:val="single" w:sz="4" w:space="0" w:color="auto"/>
              <w:left w:val="single" w:sz="4" w:space="0" w:color="auto"/>
              <w:bottom w:val="single" w:sz="4" w:space="0" w:color="auto"/>
              <w:right w:val="single" w:sz="4" w:space="0" w:color="auto"/>
            </w:tcBorders>
            <w:vAlign w:val="bottom"/>
          </w:tcPr>
          <w:p w14:paraId="0BC8E36A" w14:textId="77777777" w:rsidR="00937C64" w:rsidRPr="00424274" w:rsidRDefault="00937C64" w:rsidP="00937C64">
            <w:pPr>
              <w:jc w:val="right"/>
              <w:rPr>
                <w:rFonts w:ascii="Arial" w:hAnsi="Arial"/>
                <w:sz w:val="18"/>
                <w:szCs w:val="18"/>
              </w:rPr>
            </w:pPr>
            <w:r w:rsidRPr="00424274">
              <w:rPr>
                <w:rFonts w:ascii="Arial" w:hAnsi="Arial"/>
                <w:sz w:val="18"/>
                <w:szCs w:val="18"/>
              </w:rPr>
              <w:t>12</w:t>
            </w:r>
          </w:p>
        </w:tc>
        <w:tc>
          <w:tcPr>
            <w:tcW w:w="663" w:type="dxa"/>
            <w:tcBorders>
              <w:top w:val="single" w:sz="4" w:space="0" w:color="auto"/>
              <w:left w:val="single" w:sz="4" w:space="0" w:color="auto"/>
              <w:bottom w:val="single" w:sz="4" w:space="0" w:color="auto"/>
              <w:right w:val="single" w:sz="4" w:space="0" w:color="auto"/>
            </w:tcBorders>
            <w:vAlign w:val="bottom"/>
          </w:tcPr>
          <w:p w14:paraId="34C9159A" w14:textId="77777777" w:rsidR="00937C64" w:rsidRPr="00424274" w:rsidRDefault="00937C64" w:rsidP="00937C64">
            <w:pPr>
              <w:jc w:val="right"/>
              <w:rPr>
                <w:rFonts w:ascii="Arial" w:hAnsi="Arial"/>
                <w:sz w:val="18"/>
                <w:szCs w:val="18"/>
              </w:rPr>
            </w:pPr>
            <w:r w:rsidRPr="00424274">
              <w:rPr>
                <w:rFonts w:ascii="Arial" w:hAnsi="Arial"/>
                <w:sz w:val="18"/>
                <w:szCs w:val="18"/>
              </w:rPr>
              <w:t>13</w:t>
            </w:r>
          </w:p>
        </w:tc>
      </w:tr>
      <w:tr w:rsidR="00937C64" w:rsidRPr="00424274" w14:paraId="403854FA" w14:textId="77777777" w:rsidTr="00472BE5">
        <w:trPr>
          <w:trHeight w:val="360"/>
        </w:trPr>
        <w:tc>
          <w:tcPr>
            <w:tcW w:w="3688" w:type="dxa"/>
            <w:tcBorders>
              <w:top w:val="nil"/>
              <w:left w:val="single" w:sz="8" w:space="0" w:color="auto"/>
              <w:bottom w:val="single" w:sz="8" w:space="0" w:color="auto"/>
              <w:right w:val="single" w:sz="8" w:space="0" w:color="auto"/>
            </w:tcBorders>
            <w:shd w:val="clear" w:color="auto" w:fill="00CCFF"/>
            <w:noWrap/>
            <w:vAlign w:val="bottom"/>
            <w:hideMark/>
          </w:tcPr>
          <w:p w14:paraId="5BEB5C28" w14:textId="77777777" w:rsidR="00937C64" w:rsidRPr="00424274" w:rsidRDefault="00937C64" w:rsidP="00937C64">
            <w:pPr>
              <w:widowControl/>
              <w:jc w:val="left"/>
              <w:rPr>
                <w:rFonts w:ascii="Arial" w:hAnsi="Arial"/>
                <w:b/>
                <w:bCs/>
                <w:sz w:val="18"/>
                <w:szCs w:val="18"/>
                <w:lang w:eastAsia="sl-SI"/>
              </w:rPr>
            </w:pPr>
            <w:r w:rsidRPr="00424274">
              <w:rPr>
                <w:rFonts w:ascii="Arial" w:hAnsi="Arial"/>
                <w:b/>
                <w:bCs/>
                <w:sz w:val="18"/>
                <w:szCs w:val="18"/>
                <w:lang w:eastAsia="sl-SI"/>
              </w:rPr>
              <w:t>SKUPAJ</w:t>
            </w:r>
          </w:p>
        </w:tc>
        <w:tc>
          <w:tcPr>
            <w:tcW w:w="603" w:type="dxa"/>
            <w:tcBorders>
              <w:top w:val="nil"/>
              <w:left w:val="nil"/>
              <w:bottom w:val="single" w:sz="8" w:space="0" w:color="auto"/>
              <w:right w:val="single" w:sz="8" w:space="0" w:color="auto"/>
            </w:tcBorders>
            <w:shd w:val="clear" w:color="auto" w:fill="00CCFF"/>
            <w:noWrap/>
            <w:vAlign w:val="bottom"/>
            <w:hideMark/>
          </w:tcPr>
          <w:p w14:paraId="6F3B63D6" w14:textId="77777777" w:rsidR="00937C64" w:rsidRPr="00424274" w:rsidRDefault="00937C64" w:rsidP="00937C64">
            <w:pPr>
              <w:widowControl/>
              <w:jc w:val="center"/>
              <w:rPr>
                <w:rFonts w:ascii="Arial" w:hAnsi="Arial"/>
                <w:b/>
                <w:bCs/>
                <w:sz w:val="18"/>
                <w:szCs w:val="18"/>
                <w:lang w:eastAsia="sl-SI"/>
              </w:rPr>
            </w:pPr>
            <w:r w:rsidRPr="00424274">
              <w:rPr>
                <w:rFonts w:ascii="Arial" w:hAnsi="Arial"/>
                <w:b/>
                <w:bCs/>
                <w:sz w:val="18"/>
                <w:szCs w:val="18"/>
                <w:lang w:eastAsia="sl-SI"/>
              </w:rPr>
              <w:t>210</w:t>
            </w:r>
          </w:p>
        </w:tc>
        <w:tc>
          <w:tcPr>
            <w:tcW w:w="603" w:type="dxa"/>
            <w:tcBorders>
              <w:top w:val="nil"/>
              <w:left w:val="nil"/>
              <w:bottom w:val="single" w:sz="8" w:space="0" w:color="auto"/>
              <w:right w:val="single" w:sz="8" w:space="0" w:color="auto"/>
            </w:tcBorders>
            <w:shd w:val="clear" w:color="auto" w:fill="00CCFF"/>
            <w:noWrap/>
            <w:vAlign w:val="bottom"/>
            <w:hideMark/>
          </w:tcPr>
          <w:p w14:paraId="54720BDE" w14:textId="77777777" w:rsidR="00937C64" w:rsidRPr="00424274" w:rsidRDefault="00937C64" w:rsidP="00937C64">
            <w:pPr>
              <w:widowControl/>
              <w:jc w:val="center"/>
              <w:rPr>
                <w:rFonts w:ascii="Arial" w:hAnsi="Arial"/>
                <w:b/>
                <w:bCs/>
                <w:sz w:val="18"/>
                <w:szCs w:val="18"/>
                <w:lang w:eastAsia="sl-SI"/>
              </w:rPr>
            </w:pPr>
            <w:r w:rsidRPr="00424274">
              <w:rPr>
                <w:rFonts w:ascii="Arial" w:hAnsi="Arial"/>
                <w:b/>
                <w:bCs/>
                <w:sz w:val="18"/>
                <w:szCs w:val="18"/>
                <w:lang w:eastAsia="sl-SI"/>
              </w:rPr>
              <w:t>265</w:t>
            </w:r>
          </w:p>
        </w:tc>
        <w:tc>
          <w:tcPr>
            <w:tcW w:w="603" w:type="dxa"/>
            <w:tcBorders>
              <w:top w:val="nil"/>
              <w:left w:val="nil"/>
              <w:bottom w:val="single" w:sz="8" w:space="0" w:color="auto"/>
              <w:right w:val="single" w:sz="8" w:space="0" w:color="auto"/>
            </w:tcBorders>
            <w:shd w:val="clear" w:color="auto" w:fill="00CCFF"/>
            <w:noWrap/>
            <w:vAlign w:val="bottom"/>
            <w:hideMark/>
          </w:tcPr>
          <w:p w14:paraId="363E18B1" w14:textId="77777777" w:rsidR="00937C64" w:rsidRPr="00424274" w:rsidRDefault="00937C64" w:rsidP="00937C64">
            <w:pPr>
              <w:widowControl/>
              <w:jc w:val="center"/>
              <w:rPr>
                <w:rFonts w:ascii="Arial" w:hAnsi="Arial"/>
                <w:b/>
                <w:bCs/>
                <w:sz w:val="18"/>
                <w:szCs w:val="18"/>
                <w:lang w:eastAsia="sl-SI"/>
              </w:rPr>
            </w:pPr>
            <w:r w:rsidRPr="00424274">
              <w:rPr>
                <w:rFonts w:ascii="Arial" w:hAnsi="Arial"/>
                <w:b/>
                <w:bCs/>
                <w:sz w:val="18"/>
                <w:szCs w:val="18"/>
                <w:lang w:eastAsia="sl-SI"/>
              </w:rPr>
              <w:t>348</w:t>
            </w:r>
          </w:p>
        </w:tc>
        <w:tc>
          <w:tcPr>
            <w:tcW w:w="604" w:type="dxa"/>
            <w:tcBorders>
              <w:top w:val="nil"/>
              <w:left w:val="nil"/>
              <w:bottom w:val="single" w:sz="8" w:space="0" w:color="auto"/>
              <w:right w:val="single" w:sz="8" w:space="0" w:color="auto"/>
            </w:tcBorders>
            <w:shd w:val="clear" w:color="auto" w:fill="00CCFF"/>
            <w:noWrap/>
            <w:vAlign w:val="bottom"/>
            <w:hideMark/>
          </w:tcPr>
          <w:p w14:paraId="07461E5D" w14:textId="77777777" w:rsidR="00937C64" w:rsidRPr="00424274" w:rsidRDefault="00937C64" w:rsidP="00937C64">
            <w:pPr>
              <w:jc w:val="center"/>
              <w:rPr>
                <w:rFonts w:ascii="Arial" w:hAnsi="Arial"/>
                <w:b/>
                <w:bCs/>
                <w:sz w:val="18"/>
                <w:szCs w:val="18"/>
              </w:rPr>
            </w:pPr>
            <w:r w:rsidRPr="00424274">
              <w:rPr>
                <w:rFonts w:ascii="Arial" w:hAnsi="Arial"/>
                <w:b/>
                <w:bCs/>
                <w:sz w:val="18"/>
                <w:szCs w:val="18"/>
              </w:rPr>
              <w:t>408</w:t>
            </w:r>
          </w:p>
        </w:tc>
        <w:tc>
          <w:tcPr>
            <w:tcW w:w="604" w:type="dxa"/>
            <w:tcBorders>
              <w:top w:val="nil"/>
              <w:left w:val="nil"/>
              <w:bottom w:val="single" w:sz="8" w:space="0" w:color="auto"/>
              <w:right w:val="single" w:sz="4" w:space="0" w:color="auto"/>
            </w:tcBorders>
            <w:shd w:val="clear" w:color="auto" w:fill="00CCFF"/>
            <w:noWrap/>
            <w:vAlign w:val="bottom"/>
            <w:hideMark/>
          </w:tcPr>
          <w:p w14:paraId="28078405" w14:textId="77777777" w:rsidR="00937C64" w:rsidRPr="00424274" w:rsidRDefault="00937C64" w:rsidP="00937C64">
            <w:pPr>
              <w:jc w:val="center"/>
              <w:rPr>
                <w:rFonts w:ascii="Arial" w:hAnsi="Arial"/>
                <w:b/>
                <w:bCs/>
                <w:sz w:val="18"/>
                <w:szCs w:val="18"/>
              </w:rPr>
            </w:pPr>
            <w:r w:rsidRPr="00424274">
              <w:rPr>
                <w:rFonts w:ascii="Arial" w:hAnsi="Arial"/>
                <w:b/>
                <w:bCs/>
                <w:sz w:val="18"/>
                <w:szCs w:val="18"/>
              </w:rPr>
              <w:t>457</w:t>
            </w:r>
          </w:p>
        </w:tc>
        <w:tc>
          <w:tcPr>
            <w:tcW w:w="560" w:type="dxa"/>
            <w:tcBorders>
              <w:top w:val="single" w:sz="4" w:space="0" w:color="auto"/>
              <w:left w:val="single" w:sz="4" w:space="0" w:color="auto"/>
              <w:bottom w:val="single" w:sz="4" w:space="0" w:color="auto"/>
              <w:right w:val="single" w:sz="4" w:space="0" w:color="auto"/>
            </w:tcBorders>
            <w:shd w:val="clear" w:color="auto" w:fill="00CCFF"/>
            <w:vAlign w:val="bottom"/>
          </w:tcPr>
          <w:p w14:paraId="43606A11" w14:textId="77777777" w:rsidR="00937C64" w:rsidRPr="00424274" w:rsidRDefault="00937C64" w:rsidP="00937C64">
            <w:pPr>
              <w:jc w:val="center"/>
              <w:rPr>
                <w:rFonts w:ascii="Arial" w:hAnsi="Arial"/>
                <w:b/>
                <w:bCs/>
                <w:sz w:val="18"/>
                <w:szCs w:val="18"/>
              </w:rPr>
            </w:pPr>
            <w:r w:rsidRPr="00424274">
              <w:rPr>
                <w:rFonts w:ascii="Arial" w:hAnsi="Arial"/>
                <w:b/>
                <w:bCs/>
                <w:sz w:val="18"/>
                <w:szCs w:val="18"/>
              </w:rPr>
              <w:t>513</w:t>
            </w:r>
          </w:p>
        </w:tc>
        <w:tc>
          <w:tcPr>
            <w:tcW w:w="560" w:type="dxa"/>
            <w:tcBorders>
              <w:top w:val="single" w:sz="4" w:space="0" w:color="auto"/>
              <w:left w:val="single" w:sz="4" w:space="0" w:color="auto"/>
              <w:bottom w:val="single" w:sz="4" w:space="0" w:color="auto"/>
              <w:right w:val="single" w:sz="4" w:space="0" w:color="auto"/>
            </w:tcBorders>
            <w:shd w:val="clear" w:color="auto" w:fill="00CCFF"/>
            <w:vAlign w:val="bottom"/>
          </w:tcPr>
          <w:p w14:paraId="64D1D522" w14:textId="77777777" w:rsidR="00937C64" w:rsidRPr="00424274" w:rsidRDefault="00937C64" w:rsidP="00937C64">
            <w:pPr>
              <w:jc w:val="center"/>
              <w:rPr>
                <w:rFonts w:ascii="Arial" w:hAnsi="Arial"/>
                <w:b/>
                <w:bCs/>
                <w:sz w:val="18"/>
                <w:szCs w:val="18"/>
              </w:rPr>
            </w:pPr>
            <w:r w:rsidRPr="00424274">
              <w:rPr>
                <w:rFonts w:ascii="Arial" w:hAnsi="Arial"/>
                <w:b/>
                <w:bCs/>
                <w:sz w:val="18"/>
                <w:szCs w:val="18"/>
              </w:rPr>
              <w:t>559</w:t>
            </w:r>
          </w:p>
        </w:tc>
        <w:tc>
          <w:tcPr>
            <w:tcW w:w="560" w:type="dxa"/>
            <w:tcBorders>
              <w:top w:val="single" w:sz="4" w:space="0" w:color="auto"/>
              <w:left w:val="single" w:sz="4" w:space="0" w:color="auto"/>
              <w:bottom w:val="single" w:sz="4" w:space="0" w:color="auto"/>
              <w:right w:val="single" w:sz="4" w:space="0" w:color="auto"/>
            </w:tcBorders>
            <w:shd w:val="clear" w:color="auto" w:fill="00CCFF"/>
            <w:vAlign w:val="bottom"/>
          </w:tcPr>
          <w:p w14:paraId="60EA53B7" w14:textId="77777777" w:rsidR="00937C64" w:rsidRPr="00424274" w:rsidRDefault="00937C64" w:rsidP="00937C64">
            <w:pPr>
              <w:jc w:val="center"/>
              <w:rPr>
                <w:rFonts w:ascii="Arial" w:hAnsi="Arial"/>
                <w:b/>
                <w:bCs/>
                <w:sz w:val="18"/>
                <w:szCs w:val="18"/>
              </w:rPr>
            </w:pPr>
            <w:r w:rsidRPr="00424274">
              <w:rPr>
                <w:rFonts w:ascii="Arial" w:hAnsi="Arial"/>
                <w:b/>
                <w:bCs/>
                <w:sz w:val="18"/>
                <w:szCs w:val="18"/>
              </w:rPr>
              <w:t>583</w:t>
            </w:r>
          </w:p>
        </w:tc>
        <w:tc>
          <w:tcPr>
            <w:tcW w:w="560" w:type="dxa"/>
            <w:tcBorders>
              <w:top w:val="single" w:sz="4" w:space="0" w:color="auto"/>
              <w:left w:val="single" w:sz="4" w:space="0" w:color="auto"/>
              <w:bottom w:val="single" w:sz="4" w:space="0" w:color="auto"/>
              <w:right w:val="single" w:sz="4" w:space="0" w:color="auto"/>
            </w:tcBorders>
            <w:shd w:val="clear" w:color="auto" w:fill="00CCFF"/>
            <w:vAlign w:val="bottom"/>
          </w:tcPr>
          <w:p w14:paraId="189A6F92" w14:textId="77777777" w:rsidR="00937C64" w:rsidRPr="00424274" w:rsidRDefault="00937C64" w:rsidP="00937C64">
            <w:pPr>
              <w:jc w:val="center"/>
              <w:rPr>
                <w:rFonts w:ascii="Arial" w:hAnsi="Arial"/>
                <w:b/>
                <w:bCs/>
                <w:sz w:val="18"/>
                <w:szCs w:val="18"/>
              </w:rPr>
            </w:pPr>
            <w:r w:rsidRPr="00424274">
              <w:rPr>
                <w:rFonts w:ascii="Arial" w:hAnsi="Arial"/>
                <w:b/>
                <w:bCs/>
                <w:sz w:val="18"/>
                <w:szCs w:val="18"/>
              </w:rPr>
              <w:t>636</w:t>
            </w:r>
          </w:p>
        </w:tc>
        <w:tc>
          <w:tcPr>
            <w:tcW w:w="663" w:type="dxa"/>
            <w:tcBorders>
              <w:top w:val="single" w:sz="4" w:space="0" w:color="auto"/>
              <w:left w:val="single" w:sz="4" w:space="0" w:color="auto"/>
              <w:bottom w:val="single" w:sz="4" w:space="0" w:color="auto"/>
              <w:right w:val="single" w:sz="4" w:space="0" w:color="auto"/>
            </w:tcBorders>
            <w:shd w:val="clear" w:color="auto" w:fill="00CCFF"/>
            <w:vAlign w:val="bottom"/>
          </w:tcPr>
          <w:p w14:paraId="77B6F094" w14:textId="77777777" w:rsidR="00937C64" w:rsidRPr="00424274" w:rsidRDefault="00937C64" w:rsidP="00937C64">
            <w:pPr>
              <w:jc w:val="right"/>
              <w:rPr>
                <w:rFonts w:ascii="Arial" w:hAnsi="Arial"/>
                <w:b/>
                <w:bCs/>
                <w:sz w:val="18"/>
                <w:szCs w:val="18"/>
              </w:rPr>
            </w:pPr>
            <w:r w:rsidRPr="00424274">
              <w:rPr>
                <w:rFonts w:ascii="Arial" w:hAnsi="Arial"/>
                <w:b/>
                <w:bCs/>
                <w:sz w:val="18"/>
                <w:szCs w:val="18"/>
              </w:rPr>
              <w:t>667</w:t>
            </w:r>
          </w:p>
        </w:tc>
      </w:tr>
    </w:tbl>
    <w:p w14:paraId="7514BCEE" w14:textId="77777777" w:rsidR="00710289" w:rsidRPr="00424274" w:rsidRDefault="00710289" w:rsidP="00E260AF">
      <w:pPr>
        <w:pStyle w:val="Telobesedila"/>
        <w:spacing w:line="276" w:lineRule="auto"/>
        <w:ind w:right="0"/>
        <w:rPr>
          <w:rFonts w:ascii="Arial" w:hAnsi="Arial"/>
          <w:sz w:val="20"/>
        </w:rPr>
      </w:pPr>
    </w:p>
    <w:p w14:paraId="4284E089" w14:textId="084B82BD" w:rsidR="00183777" w:rsidRPr="00424274" w:rsidRDefault="00183777" w:rsidP="00183777">
      <w:pPr>
        <w:pStyle w:val="Telobesedila"/>
        <w:spacing w:line="276" w:lineRule="auto"/>
        <w:ind w:right="0"/>
        <w:rPr>
          <w:rFonts w:ascii="Arial" w:hAnsi="Arial"/>
          <w:sz w:val="20"/>
        </w:rPr>
      </w:pPr>
      <w:r w:rsidRPr="00424274">
        <w:rPr>
          <w:rFonts w:ascii="Arial" w:hAnsi="Arial"/>
          <w:sz w:val="20"/>
        </w:rPr>
        <w:t xml:space="preserve">Tožilstva so v letu 2020 zavrgla </w:t>
      </w:r>
      <w:r w:rsidR="00D62C41">
        <w:rPr>
          <w:rFonts w:ascii="Arial" w:hAnsi="Arial"/>
          <w:sz w:val="20"/>
        </w:rPr>
        <w:t>devet</w:t>
      </w:r>
      <w:r w:rsidRPr="00424274">
        <w:rPr>
          <w:rFonts w:ascii="Arial" w:hAnsi="Arial"/>
          <w:sz w:val="20"/>
        </w:rPr>
        <w:t xml:space="preserve"> kazenskih ovadb</w:t>
      </w:r>
      <w:r w:rsidR="0080058B" w:rsidRPr="00424274">
        <w:rPr>
          <w:rFonts w:ascii="Arial" w:hAnsi="Arial"/>
          <w:sz w:val="20"/>
        </w:rPr>
        <w:t>,</w:t>
      </w:r>
      <w:r w:rsidRPr="00424274">
        <w:rPr>
          <w:rFonts w:ascii="Arial" w:hAnsi="Arial"/>
          <w:sz w:val="20"/>
        </w:rPr>
        <w:t xml:space="preserve"> podanih zaradi sumov storitve kaznivega dejanja pranja denarja, medtem ko se število zadev v aktivnih fazah predkazenskega in kazenskega postopka ni spremenilo.</w:t>
      </w:r>
    </w:p>
    <w:p w14:paraId="7EA6B70A" w14:textId="77777777" w:rsidR="00183777" w:rsidRPr="00424274" w:rsidRDefault="00183777" w:rsidP="00183777">
      <w:pPr>
        <w:pStyle w:val="Telobesedila"/>
        <w:spacing w:line="276" w:lineRule="auto"/>
        <w:ind w:right="0"/>
        <w:rPr>
          <w:rFonts w:ascii="Arial" w:hAnsi="Arial"/>
          <w:sz w:val="20"/>
        </w:rPr>
      </w:pPr>
    </w:p>
    <w:p w14:paraId="5CC90194" w14:textId="4DAB1A22" w:rsidR="00183777" w:rsidRPr="00424274" w:rsidRDefault="00183777" w:rsidP="00183777">
      <w:pPr>
        <w:pStyle w:val="Telobesedila"/>
        <w:spacing w:line="276" w:lineRule="auto"/>
        <w:ind w:right="0"/>
        <w:rPr>
          <w:rFonts w:ascii="Arial" w:hAnsi="Arial"/>
          <w:sz w:val="20"/>
        </w:rPr>
      </w:pPr>
      <w:r w:rsidRPr="00424274">
        <w:rPr>
          <w:rFonts w:ascii="Arial" w:hAnsi="Arial"/>
          <w:sz w:val="20"/>
        </w:rPr>
        <w:t>Konec leta 2020 je bilo tako 183 zadev v fazah pregona (zahteva za preiskavo, preiskava ali obtožnica), kar je enako kot lani in hkrati največ</w:t>
      </w:r>
      <w:r w:rsidR="00D62C41">
        <w:rPr>
          <w:rFonts w:ascii="Arial" w:hAnsi="Arial"/>
          <w:sz w:val="20"/>
        </w:rPr>
        <w:t>,</w:t>
      </w:r>
      <w:r w:rsidRPr="00424274">
        <w:rPr>
          <w:rFonts w:ascii="Arial" w:hAnsi="Arial"/>
          <w:sz w:val="20"/>
        </w:rPr>
        <w:t xml:space="preserve"> odkar je pranje denarja inkriminirano kot kaznivo dejanje. V letu 2020 so se pravnomočno zaključili postopki v 11 zadevah, in sicer so v </w:t>
      </w:r>
      <w:r w:rsidR="00D62C41">
        <w:rPr>
          <w:rFonts w:ascii="Arial" w:hAnsi="Arial"/>
          <w:sz w:val="20"/>
        </w:rPr>
        <w:t>eni</w:t>
      </w:r>
      <w:r w:rsidRPr="00424274">
        <w:rPr>
          <w:rFonts w:ascii="Arial" w:hAnsi="Arial"/>
          <w:sz w:val="20"/>
        </w:rPr>
        <w:t xml:space="preserve"> zadevi tožilstva odstopila od pregona, v 10 zadevah pa so bile izrečene pravnomočne sodbe, od tega </w:t>
      </w:r>
      <w:r w:rsidR="00D62C41">
        <w:rPr>
          <w:rFonts w:ascii="Arial" w:hAnsi="Arial"/>
          <w:sz w:val="20"/>
        </w:rPr>
        <w:t>ena</w:t>
      </w:r>
      <w:r w:rsidRPr="00424274">
        <w:rPr>
          <w:rFonts w:ascii="Arial" w:hAnsi="Arial"/>
          <w:sz w:val="20"/>
        </w:rPr>
        <w:t xml:space="preserve"> oprostilna in </w:t>
      </w:r>
      <w:r w:rsidR="00D62C41">
        <w:rPr>
          <w:rFonts w:ascii="Arial" w:hAnsi="Arial"/>
          <w:sz w:val="20"/>
        </w:rPr>
        <w:t>osem</w:t>
      </w:r>
      <w:r w:rsidRPr="00424274">
        <w:rPr>
          <w:rFonts w:ascii="Arial" w:hAnsi="Arial"/>
          <w:sz w:val="20"/>
        </w:rPr>
        <w:t xml:space="preserve"> obsodilnih. V poglavju 4.1.5 natančneje opredeljujemo vse pravnomočne sodbe</w:t>
      </w:r>
      <w:r w:rsidR="00D62C41">
        <w:rPr>
          <w:rFonts w:ascii="Arial" w:hAnsi="Arial"/>
          <w:sz w:val="20"/>
        </w:rPr>
        <w:t>,</w:t>
      </w:r>
      <w:r w:rsidRPr="00424274">
        <w:rPr>
          <w:rFonts w:ascii="Arial" w:hAnsi="Arial"/>
          <w:sz w:val="20"/>
        </w:rPr>
        <w:t xml:space="preserve"> prejete do oddaje tega poročila.</w:t>
      </w:r>
    </w:p>
    <w:p w14:paraId="264E69DA" w14:textId="77777777" w:rsidR="00183777" w:rsidRPr="00424274" w:rsidRDefault="00183777" w:rsidP="00183777">
      <w:pPr>
        <w:pStyle w:val="Telobesedila"/>
        <w:spacing w:line="276" w:lineRule="auto"/>
        <w:ind w:right="0"/>
        <w:rPr>
          <w:rFonts w:ascii="Arial" w:hAnsi="Arial"/>
          <w:sz w:val="20"/>
          <w:highlight w:val="yellow"/>
        </w:rPr>
      </w:pPr>
    </w:p>
    <w:p w14:paraId="293F96EE" w14:textId="09AEE84B" w:rsidR="00183777" w:rsidRPr="00424274" w:rsidRDefault="00183777" w:rsidP="00147F0C">
      <w:pPr>
        <w:spacing w:line="276" w:lineRule="auto"/>
        <w:rPr>
          <w:rFonts w:ascii="Arial" w:hAnsi="Arial"/>
          <w:sz w:val="20"/>
        </w:rPr>
      </w:pPr>
      <w:r w:rsidRPr="00424274">
        <w:rPr>
          <w:rFonts w:ascii="Arial" w:hAnsi="Arial"/>
          <w:sz w:val="20"/>
        </w:rPr>
        <w:t xml:space="preserve">Obsodilne sodbe so bile v letu 2020 izrečene zoper 12 domačih in </w:t>
      </w:r>
      <w:r w:rsidR="00D62C41">
        <w:rPr>
          <w:rFonts w:ascii="Arial" w:hAnsi="Arial"/>
          <w:sz w:val="20"/>
        </w:rPr>
        <w:t>tri</w:t>
      </w:r>
      <w:r w:rsidRPr="00424274">
        <w:rPr>
          <w:rFonts w:ascii="Arial" w:hAnsi="Arial"/>
          <w:sz w:val="20"/>
        </w:rPr>
        <w:t xml:space="preserve"> tuje fizične osebe. V sodbah je bilo izrečenih 13 zapornih kazni</w:t>
      </w:r>
      <w:r w:rsidR="00A72785">
        <w:rPr>
          <w:rFonts w:ascii="Arial" w:hAnsi="Arial"/>
          <w:sz w:val="20"/>
        </w:rPr>
        <w:t>,</w:t>
      </w:r>
      <w:r w:rsidRPr="00424274">
        <w:rPr>
          <w:rFonts w:ascii="Arial" w:hAnsi="Arial"/>
          <w:sz w:val="20"/>
        </w:rPr>
        <w:t xml:space="preserve"> od tega </w:t>
      </w:r>
      <w:r w:rsidR="00C726B9">
        <w:rPr>
          <w:rFonts w:ascii="Arial" w:hAnsi="Arial"/>
          <w:sz w:val="20"/>
        </w:rPr>
        <w:t>tri</w:t>
      </w:r>
      <w:r w:rsidRPr="00424274">
        <w:rPr>
          <w:rFonts w:ascii="Arial" w:hAnsi="Arial"/>
          <w:sz w:val="20"/>
        </w:rPr>
        <w:t xml:space="preserve"> pogojne </w:t>
      </w:r>
      <w:r w:rsidR="00A72785">
        <w:rPr>
          <w:rFonts w:ascii="Arial" w:hAnsi="Arial"/>
          <w:sz w:val="20"/>
        </w:rPr>
        <w:t>in</w:t>
      </w:r>
      <w:r w:rsidR="00A72785" w:rsidRPr="00424274">
        <w:rPr>
          <w:rFonts w:ascii="Arial" w:hAnsi="Arial"/>
          <w:sz w:val="20"/>
        </w:rPr>
        <w:t xml:space="preserve"> </w:t>
      </w:r>
      <w:r w:rsidR="00C726B9">
        <w:rPr>
          <w:rFonts w:ascii="Arial" w:hAnsi="Arial"/>
          <w:sz w:val="20"/>
        </w:rPr>
        <w:t>dve</w:t>
      </w:r>
      <w:r w:rsidRPr="00424274">
        <w:rPr>
          <w:rFonts w:ascii="Arial" w:hAnsi="Arial"/>
          <w:sz w:val="20"/>
        </w:rPr>
        <w:t xml:space="preserve"> kazni dela v splošno korist, hkrati pa so bile izrečene kazni odvzema (30.822</w:t>
      </w:r>
      <w:r w:rsidRPr="00424274">
        <w:rPr>
          <w:rFonts w:ascii="Arial" w:hAnsi="Arial"/>
          <w:sz w:val="20"/>
          <w:lang w:eastAsia="sl-SI"/>
        </w:rPr>
        <w:t xml:space="preserve"> EUR)</w:t>
      </w:r>
      <w:r w:rsidR="009D7394">
        <w:rPr>
          <w:rFonts w:ascii="Arial" w:hAnsi="Arial"/>
          <w:sz w:val="20"/>
          <w:lang w:eastAsia="sl-SI"/>
        </w:rPr>
        <w:t xml:space="preserve"> in</w:t>
      </w:r>
      <w:r w:rsidRPr="00424274">
        <w:rPr>
          <w:rFonts w:ascii="Arial" w:hAnsi="Arial"/>
          <w:sz w:val="20"/>
          <w:lang w:eastAsia="sl-SI"/>
        </w:rPr>
        <w:t xml:space="preserve"> vrnitve (2.498.613 EUR) ter stranske denarne kazni (66.110 EUR). </w:t>
      </w:r>
      <w:r w:rsidRPr="00424274">
        <w:rPr>
          <w:rFonts w:ascii="Arial" w:hAnsi="Arial"/>
          <w:sz w:val="20"/>
        </w:rPr>
        <w:t>V celotnem obdobju, ko je kaznivo dejanje inkriminirano v slovenski zakonodaji, so bile izrečene sodbe v 130 zadevah. Od tega so bile pravnomočno izrečene obsodilne sodbe v 101 zadevi in pravnomočno oprostilne v 29 zadevah.</w:t>
      </w:r>
    </w:p>
    <w:p w14:paraId="7D22A8D4" w14:textId="6F47BA1E" w:rsidR="00400DC5" w:rsidRPr="00424274" w:rsidRDefault="00292A8B" w:rsidP="006D5A5A">
      <w:pPr>
        <w:pStyle w:val="Naslov3"/>
      </w:pPr>
      <w:bookmarkStart w:id="88" w:name="_Toc113535473"/>
      <w:r w:rsidRPr="00424274">
        <w:t xml:space="preserve">4.1.5 </w:t>
      </w:r>
      <w:r w:rsidR="00400DC5" w:rsidRPr="00424274">
        <w:t>Podatki o izrečenih pravnomočnih sodbah zaradi storitve kaznivega dejanja pranja denarja po 245. členu KZ-1</w:t>
      </w:r>
      <w:r w:rsidR="006571E6" w:rsidRPr="00424274">
        <w:t xml:space="preserve"> in 252. členu KZ</w:t>
      </w:r>
      <w:bookmarkEnd w:id="88"/>
      <w:r w:rsidR="00400DC5" w:rsidRPr="00424274">
        <w:t xml:space="preserve"> </w:t>
      </w:r>
    </w:p>
    <w:p w14:paraId="35B3B611" w14:textId="77777777" w:rsidR="00400DC5" w:rsidRPr="00424274" w:rsidRDefault="00400DC5" w:rsidP="00D21F86">
      <w:pPr>
        <w:pStyle w:val="Telobesedila"/>
        <w:spacing w:line="276" w:lineRule="auto"/>
        <w:ind w:right="0"/>
        <w:rPr>
          <w:rFonts w:ascii="Arial" w:hAnsi="Arial"/>
          <w:sz w:val="20"/>
        </w:rPr>
      </w:pPr>
    </w:p>
    <w:p w14:paraId="2EA94953" w14:textId="4DBFE2F2" w:rsidR="00894B57" w:rsidRPr="00424274" w:rsidRDefault="00894B57" w:rsidP="00894B57">
      <w:pPr>
        <w:widowControl/>
        <w:spacing w:line="276" w:lineRule="auto"/>
        <w:rPr>
          <w:rFonts w:ascii="Arial" w:hAnsi="Arial"/>
          <w:sz w:val="20"/>
        </w:rPr>
      </w:pPr>
      <w:r w:rsidRPr="00424274">
        <w:rPr>
          <w:rFonts w:ascii="Arial" w:hAnsi="Arial"/>
          <w:sz w:val="20"/>
        </w:rPr>
        <w:t>Kot smo navedli zgoraj</w:t>
      </w:r>
      <w:r w:rsidR="00B04A4B" w:rsidRPr="00424274">
        <w:rPr>
          <w:rFonts w:ascii="Arial" w:hAnsi="Arial"/>
          <w:sz w:val="20"/>
        </w:rPr>
        <w:t xml:space="preserve">, </w:t>
      </w:r>
      <w:r w:rsidRPr="00424274">
        <w:rPr>
          <w:rFonts w:ascii="Arial" w:hAnsi="Arial"/>
          <w:sz w:val="20"/>
        </w:rPr>
        <w:t xml:space="preserve">so bile do konca leta 2020, </w:t>
      </w:r>
      <w:r w:rsidR="00B04A4B" w:rsidRPr="00424274">
        <w:rPr>
          <w:rFonts w:ascii="Arial" w:hAnsi="Arial"/>
          <w:sz w:val="20"/>
        </w:rPr>
        <w:t xml:space="preserve">ki </w:t>
      </w:r>
      <w:r w:rsidRPr="00424274">
        <w:rPr>
          <w:rFonts w:ascii="Arial" w:hAnsi="Arial"/>
          <w:sz w:val="20"/>
        </w:rPr>
        <w:t xml:space="preserve">smo jih prejeli do oddaje tega poročila, izrečene pravnomočne obsodilne sodbe zaradi storitve kaznivega dejanja pranja denarja po 245. členu KZ-1 v 101 zadevi. V teh zadevah je bilo skupno izrečenih 106 pravnomočnih obsodilnih sodb zoper 120 domačih fizičnih oseb, 16 tujih fizičnih oseb </w:t>
      </w:r>
      <w:r w:rsidR="00C726B9">
        <w:rPr>
          <w:rFonts w:ascii="Arial" w:hAnsi="Arial"/>
          <w:sz w:val="20"/>
        </w:rPr>
        <w:t>in</w:t>
      </w:r>
      <w:r w:rsidR="00C726B9" w:rsidRPr="00424274">
        <w:rPr>
          <w:rFonts w:ascii="Arial" w:hAnsi="Arial"/>
          <w:sz w:val="20"/>
        </w:rPr>
        <w:t xml:space="preserve"> </w:t>
      </w:r>
      <w:r w:rsidR="00C726B9">
        <w:rPr>
          <w:rFonts w:ascii="Arial" w:hAnsi="Arial"/>
          <w:sz w:val="20"/>
        </w:rPr>
        <w:t>pet</w:t>
      </w:r>
      <w:r w:rsidRPr="00424274">
        <w:rPr>
          <w:rFonts w:ascii="Arial" w:hAnsi="Arial"/>
          <w:sz w:val="20"/>
        </w:rPr>
        <w:t xml:space="preserve"> domačih pravnih oseb. V 28 primerih so bile sodbe potrjene na višjih sodiščih in v </w:t>
      </w:r>
      <w:r w:rsidR="00C726B9">
        <w:rPr>
          <w:rFonts w:ascii="Arial" w:hAnsi="Arial"/>
          <w:sz w:val="20"/>
        </w:rPr>
        <w:t>osmih</w:t>
      </w:r>
      <w:r w:rsidRPr="00424274">
        <w:rPr>
          <w:rFonts w:ascii="Arial" w:hAnsi="Arial"/>
          <w:sz w:val="20"/>
        </w:rPr>
        <w:t xml:space="preserve"> primerih tudi na Vrhovnem sodišču. V nadaljevanju podrobneje predstavljamo te sodbe, pri čemer smo upoštevali samo tisti del izrekov, ki se nanaša </w:t>
      </w:r>
      <w:r w:rsidR="000273C2" w:rsidRPr="00424274">
        <w:rPr>
          <w:rFonts w:ascii="Arial" w:hAnsi="Arial"/>
          <w:sz w:val="20"/>
        </w:rPr>
        <w:t xml:space="preserve">na </w:t>
      </w:r>
      <w:r w:rsidRPr="00424274">
        <w:rPr>
          <w:rFonts w:ascii="Arial" w:hAnsi="Arial"/>
          <w:sz w:val="20"/>
        </w:rPr>
        <w:t>osebe</w:t>
      </w:r>
      <w:r w:rsidR="000273C2" w:rsidRPr="00424274">
        <w:rPr>
          <w:rFonts w:ascii="Arial" w:hAnsi="Arial"/>
          <w:sz w:val="20"/>
        </w:rPr>
        <w:t>,</w:t>
      </w:r>
      <w:r w:rsidRPr="00424274">
        <w:rPr>
          <w:rFonts w:ascii="Arial" w:hAnsi="Arial"/>
          <w:sz w:val="20"/>
        </w:rPr>
        <w:t xml:space="preserve"> spoznane za krive storitve kaznivega dejanja pranja denarja, brez morebitnih izrekov, ki se nanašajo na predhodna kazniva dejanja.</w:t>
      </w:r>
    </w:p>
    <w:p w14:paraId="2F6EB957" w14:textId="77777777" w:rsidR="00894B57" w:rsidRPr="00424274" w:rsidRDefault="00894B57" w:rsidP="00894B57">
      <w:pPr>
        <w:widowControl/>
        <w:spacing w:line="276" w:lineRule="auto"/>
        <w:rPr>
          <w:rFonts w:ascii="Arial" w:hAnsi="Arial"/>
          <w:sz w:val="20"/>
        </w:rPr>
      </w:pPr>
    </w:p>
    <w:p w14:paraId="45C8FD52" w14:textId="2DCCF92C" w:rsidR="00894B57" w:rsidRPr="00424274" w:rsidRDefault="00894B57" w:rsidP="00894B57">
      <w:pPr>
        <w:widowControl/>
        <w:spacing w:line="276" w:lineRule="auto"/>
        <w:rPr>
          <w:rFonts w:ascii="Arial" w:hAnsi="Arial"/>
          <w:bCs/>
          <w:sz w:val="20"/>
        </w:rPr>
      </w:pPr>
      <w:r w:rsidRPr="00424274">
        <w:rPr>
          <w:rFonts w:ascii="Arial" w:hAnsi="Arial"/>
          <w:bCs/>
          <w:sz w:val="20"/>
        </w:rPr>
        <w:t xml:space="preserve">V 106 pravnomočnih sodbah so sodišča izrekla 141 zapornih kazni, od tega 73 pogojnih, medtem ko je bilo </w:t>
      </w:r>
      <w:r w:rsidR="00C726B9">
        <w:rPr>
          <w:rFonts w:ascii="Arial" w:hAnsi="Arial"/>
          <w:bCs/>
          <w:sz w:val="20"/>
        </w:rPr>
        <w:t>sedem</w:t>
      </w:r>
      <w:r w:rsidRPr="00424274">
        <w:rPr>
          <w:rFonts w:ascii="Arial" w:hAnsi="Arial"/>
          <w:bCs/>
          <w:sz w:val="20"/>
        </w:rPr>
        <w:t xml:space="preserve"> izrečenih zapornih kazni spremenjenih v delo v splošno korist. Povprečna nepogojna kazen zapora znaša 18 mesecev, pri čemer je najmanjša izrečena kazen zapora </w:t>
      </w:r>
      <w:r w:rsidR="00C726B9">
        <w:rPr>
          <w:rFonts w:ascii="Arial" w:hAnsi="Arial"/>
          <w:bCs/>
          <w:sz w:val="20"/>
        </w:rPr>
        <w:t>šest</w:t>
      </w:r>
      <w:r w:rsidRPr="00424274">
        <w:rPr>
          <w:rFonts w:ascii="Arial" w:hAnsi="Arial"/>
          <w:bCs/>
          <w:sz w:val="20"/>
        </w:rPr>
        <w:t xml:space="preserve"> mesecev in najvišja </w:t>
      </w:r>
      <w:r w:rsidR="00C726B9">
        <w:rPr>
          <w:rFonts w:ascii="Arial" w:hAnsi="Arial"/>
          <w:bCs/>
          <w:sz w:val="20"/>
        </w:rPr>
        <w:t>pet</w:t>
      </w:r>
      <w:r w:rsidRPr="00424274">
        <w:rPr>
          <w:rFonts w:ascii="Arial" w:hAnsi="Arial"/>
          <w:bCs/>
          <w:sz w:val="20"/>
        </w:rPr>
        <w:t xml:space="preserve"> let. Povprečna pogojna kazen zapora znaša 11 mesecev pogojno na </w:t>
      </w:r>
      <w:r w:rsidR="00C85F26">
        <w:rPr>
          <w:rFonts w:ascii="Arial" w:hAnsi="Arial"/>
          <w:bCs/>
          <w:sz w:val="20"/>
        </w:rPr>
        <w:t>dve</w:t>
      </w:r>
      <w:r w:rsidRPr="00424274">
        <w:rPr>
          <w:rFonts w:ascii="Arial" w:hAnsi="Arial"/>
          <w:bCs/>
          <w:sz w:val="20"/>
        </w:rPr>
        <w:t xml:space="preserve"> leti in pol. Kazni</w:t>
      </w:r>
      <w:r w:rsidR="00C85F26">
        <w:rPr>
          <w:rFonts w:ascii="Arial" w:hAnsi="Arial"/>
          <w:bCs/>
          <w:sz w:val="20"/>
        </w:rPr>
        <w:t>,</w:t>
      </w:r>
      <w:r w:rsidRPr="00424274">
        <w:rPr>
          <w:rFonts w:ascii="Arial" w:hAnsi="Arial"/>
          <w:bCs/>
          <w:sz w:val="20"/>
        </w:rPr>
        <w:t xml:space="preserve"> izrečene </w:t>
      </w:r>
      <w:r w:rsidRPr="00424274">
        <w:rPr>
          <w:rFonts w:ascii="Arial" w:hAnsi="Arial"/>
          <w:bCs/>
          <w:sz w:val="20"/>
        </w:rPr>
        <w:lastRenderedPageBreak/>
        <w:t>pravnim osebam</w:t>
      </w:r>
      <w:r w:rsidR="00C85F26">
        <w:rPr>
          <w:rFonts w:ascii="Arial" w:hAnsi="Arial"/>
          <w:bCs/>
          <w:sz w:val="20"/>
        </w:rPr>
        <w:t>,</w:t>
      </w:r>
      <w:r w:rsidRPr="00424274">
        <w:rPr>
          <w:rFonts w:ascii="Arial" w:hAnsi="Arial"/>
          <w:bCs/>
          <w:sz w:val="20"/>
        </w:rPr>
        <w:t xml:space="preserve"> se nanašajo na plačilo denarnih kazni, v enem primeru pa je sodišče celo izreklo kazen prenehanja pravne osebe.</w:t>
      </w:r>
    </w:p>
    <w:p w14:paraId="4AAB0DE7" w14:textId="77777777" w:rsidR="00894B57" w:rsidRPr="00424274" w:rsidRDefault="00894B57" w:rsidP="00894B57">
      <w:pPr>
        <w:widowControl/>
        <w:spacing w:line="276" w:lineRule="auto"/>
        <w:rPr>
          <w:rFonts w:ascii="Arial" w:hAnsi="Arial"/>
          <w:bCs/>
          <w:sz w:val="20"/>
        </w:rPr>
      </w:pPr>
    </w:p>
    <w:p w14:paraId="1F412BF7" w14:textId="2B7FE434" w:rsidR="00894B57" w:rsidRPr="00424274" w:rsidRDefault="00894B57" w:rsidP="00BD51E4">
      <w:pPr>
        <w:widowControl/>
        <w:spacing w:line="276" w:lineRule="auto"/>
        <w:rPr>
          <w:rFonts w:ascii="Arial" w:hAnsi="Arial"/>
          <w:bCs/>
          <w:sz w:val="20"/>
          <w:lang w:eastAsia="sl-SI"/>
        </w:rPr>
      </w:pPr>
      <w:r w:rsidRPr="00424274">
        <w:rPr>
          <w:rFonts w:ascii="Arial" w:hAnsi="Arial"/>
          <w:bCs/>
          <w:sz w:val="20"/>
        </w:rPr>
        <w:t xml:space="preserve">V zvezi s pridobljeno protipravno premoženjsko koristjo so sodišča v 22 primerih izrekla odvzem premoženja v skupni vrednosti </w:t>
      </w:r>
      <w:r w:rsidRPr="00424274">
        <w:rPr>
          <w:rFonts w:ascii="Arial" w:hAnsi="Arial"/>
          <w:color w:val="000000"/>
          <w:sz w:val="20"/>
          <w:lang w:eastAsia="sl-SI"/>
        </w:rPr>
        <w:t>3.581.822 EUR</w:t>
      </w:r>
      <w:r w:rsidRPr="00424274">
        <w:rPr>
          <w:rFonts w:ascii="Arial" w:hAnsi="Arial"/>
          <w:bCs/>
          <w:sz w:val="20"/>
          <w:vertAlign w:val="superscript"/>
          <w:lang w:eastAsia="sl-SI"/>
        </w:rPr>
        <w:footnoteReference w:id="8"/>
      </w:r>
      <w:r w:rsidRPr="00424274">
        <w:rPr>
          <w:rFonts w:ascii="Arial" w:hAnsi="Arial"/>
          <w:bCs/>
          <w:sz w:val="20"/>
          <w:lang w:eastAsia="sl-SI"/>
        </w:rPr>
        <w:t>, ki se je nanašalo na gotovino, sredstva na bančnih računih ter premično in nepremično premoženje. Hkrati s tem so sodišča v 43 sodbah odredila vračilo sredstev, ki so bila pridobljena s kaznivim dejanjem</w:t>
      </w:r>
      <w:r w:rsidR="00C85F26">
        <w:rPr>
          <w:rFonts w:ascii="Arial" w:hAnsi="Arial"/>
          <w:bCs/>
          <w:sz w:val="20"/>
          <w:lang w:eastAsia="sl-SI"/>
        </w:rPr>
        <w:t>,</w:t>
      </w:r>
      <w:r w:rsidRPr="00424274">
        <w:rPr>
          <w:rFonts w:ascii="Arial" w:hAnsi="Arial"/>
          <w:bCs/>
          <w:sz w:val="20"/>
          <w:lang w:eastAsia="sl-SI"/>
        </w:rPr>
        <w:t xml:space="preserve"> v višini 32.069.526 EUR </w:t>
      </w:r>
      <w:r w:rsidR="009D7394">
        <w:rPr>
          <w:rFonts w:ascii="Arial" w:hAnsi="Arial"/>
          <w:bCs/>
          <w:sz w:val="20"/>
          <w:lang w:eastAsia="sl-SI"/>
        </w:rPr>
        <w:t>in</w:t>
      </w:r>
      <w:r w:rsidR="009D7394" w:rsidRPr="00424274">
        <w:rPr>
          <w:rFonts w:ascii="Arial" w:hAnsi="Arial"/>
          <w:bCs/>
          <w:sz w:val="20"/>
          <w:lang w:eastAsia="sl-SI"/>
        </w:rPr>
        <w:t xml:space="preserve"> </w:t>
      </w:r>
      <w:r w:rsidRPr="00424274">
        <w:rPr>
          <w:rFonts w:ascii="Arial" w:hAnsi="Arial"/>
          <w:bCs/>
          <w:sz w:val="20"/>
          <w:lang w:eastAsia="sl-SI"/>
        </w:rPr>
        <w:t>izrekla 81 stranskih denarnih kazni v skupni višini 1.311.529 EUR.</w:t>
      </w:r>
    </w:p>
    <w:p w14:paraId="22405C6D" w14:textId="77777777" w:rsidR="00894B57" w:rsidRPr="00424274" w:rsidRDefault="00894B57" w:rsidP="00894B57">
      <w:pPr>
        <w:widowControl/>
        <w:spacing w:line="276" w:lineRule="auto"/>
        <w:rPr>
          <w:rFonts w:ascii="Arial" w:hAnsi="Arial"/>
          <w:b/>
          <w:bCs/>
          <w:sz w:val="20"/>
          <w:highlight w:val="yellow"/>
          <w:lang w:eastAsia="sl-SI"/>
        </w:rPr>
      </w:pPr>
    </w:p>
    <w:p w14:paraId="1A269632" w14:textId="2D77155F" w:rsidR="00894B57" w:rsidRPr="00424274" w:rsidRDefault="00894B57" w:rsidP="00F47EE4">
      <w:pPr>
        <w:spacing w:line="276" w:lineRule="auto"/>
        <w:rPr>
          <w:rFonts w:ascii="Arial" w:hAnsi="Arial"/>
          <w:color w:val="000000"/>
          <w:sz w:val="20"/>
          <w:lang w:eastAsia="sl-SI"/>
        </w:rPr>
      </w:pPr>
      <w:r w:rsidRPr="00424274">
        <w:rPr>
          <w:rFonts w:ascii="Arial" w:hAnsi="Arial"/>
          <w:bCs/>
          <w:sz w:val="20"/>
          <w:lang w:eastAsia="sl-SI"/>
        </w:rPr>
        <w:t xml:space="preserve">Večji del fizičnih oseb je bil v 80 izrekih sodb spoznan za krive storitve samo kaznivega dejanja pranja denarja, storilci predhodnih kaznivih dejanj pa so bile druge osebe, medtem ko so bile v 68 izrekih sodb fizične osebe spoznana za krive storitve tako kaznivega dejanja pranja denarja kot tudi predhodnega kaznivega dejanja. Kot predhodno kaznivo dejanje v sodbah največkrat nastopata kaznivo dejanje </w:t>
      </w:r>
      <w:r w:rsidRPr="00424274">
        <w:rPr>
          <w:rFonts w:ascii="Arial" w:hAnsi="Arial"/>
          <w:color w:val="000000"/>
          <w:sz w:val="20"/>
          <w:lang w:eastAsia="sl-SI"/>
        </w:rPr>
        <w:t xml:space="preserve">velike tatvine po 205. členu KZ-1 (velika tatvina po 212. </w:t>
      </w:r>
      <w:r w:rsidR="009D7394">
        <w:rPr>
          <w:rFonts w:ascii="Arial" w:hAnsi="Arial"/>
          <w:color w:val="000000"/>
          <w:sz w:val="20"/>
          <w:lang w:eastAsia="sl-SI"/>
        </w:rPr>
        <w:t>č</w:t>
      </w:r>
      <w:r w:rsidRPr="00424274">
        <w:rPr>
          <w:rFonts w:ascii="Arial" w:hAnsi="Arial"/>
          <w:color w:val="000000"/>
          <w:sz w:val="20"/>
          <w:lang w:eastAsia="sl-SI"/>
        </w:rPr>
        <w:t xml:space="preserve">lenu KZ) v 27 primerih </w:t>
      </w:r>
      <w:r w:rsidR="00C85F26">
        <w:rPr>
          <w:rFonts w:ascii="Arial" w:hAnsi="Arial"/>
          <w:color w:val="000000"/>
          <w:sz w:val="20"/>
          <w:lang w:eastAsia="sl-SI"/>
        </w:rPr>
        <w:t>in</w:t>
      </w:r>
      <w:r w:rsidR="00C85F26" w:rsidRPr="00424274">
        <w:rPr>
          <w:rFonts w:ascii="Arial" w:hAnsi="Arial"/>
          <w:color w:val="000000"/>
          <w:sz w:val="20"/>
          <w:lang w:eastAsia="sl-SI"/>
        </w:rPr>
        <w:t xml:space="preserve"> </w:t>
      </w:r>
      <w:r w:rsidRPr="00424274">
        <w:rPr>
          <w:rFonts w:ascii="Arial" w:hAnsi="Arial"/>
          <w:color w:val="000000"/>
          <w:sz w:val="20"/>
          <w:lang w:eastAsia="sl-SI"/>
        </w:rPr>
        <w:t>kaznivo dejanje zlorabe položaja ali zaupanja pri gospodarski dejavnosti po 240. členu KZ-1 (ali zlorabe položaja ali pravic po 244. členu KZ) prav tako v 27 primerih. Med predhodnimi kaznivimi dejanji, ki se pojavljajo v vsaj sedmih sodbah</w:t>
      </w:r>
      <w:r w:rsidR="00C85F26">
        <w:rPr>
          <w:rFonts w:ascii="Arial" w:hAnsi="Arial"/>
          <w:color w:val="000000"/>
          <w:sz w:val="20"/>
          <w:lang w:eastAsia="sl-SI"/>
        </w:rPr>
        <w:t>,</w:t>
      </w:r>
      <w:r w:rsidRPr="00424274">
        <w:rPr>
          <w:rFonts w:ascii="Arial" w:hAnsi="Arial"/>
          <w:color w:val="000000"/>
          <w:sz w:val="20"/>
          <w:lang w:eastAsia="sl-SI"/>
        </w:rPr>
        <w:t xml:space="preserve"> izstopajo še naslednja kazniva dejanja: neupravičena proizvodnja in promet s prepovedanimi drogami, nedovoljenimi snovmi v športu in predhodnimi sestavinami za izdelavo prepovedanih drog po 186. členu KZ-1, goljufije po 211. členu KZ-1, poneverbe po 209. členu KZ-1, davčne zatajitve po 249. členu KZ-1 ter zloraba uradnega položaja po 257. členu KZ-1. V štirih primerih izrekov sodb zaradi storitve kaznivega dejanja pranja denarja predhodna kazniva dejanja sploh niso navedena oziroma so navedeni le objektivni znaki teh kaznivih dejanj. </w:t>
      </w:r>
    </w:p>
    <w:p w14:paraId="555CB269" w14:textId="77777777" w:rsidR="00894B57" w:rsidRPr="00424274" w:rsidRDefault="00894B57" w:rsidP="00894B57">
      <w:pPr>
        <w:widowControl/>
        <w:spacing w:line="276" w:lineRule="auto"/>
        <w:rPr>
          <w:rFonts w:ascii="Arial" w:hAnsi="Arial"/>
          <w:bCs/>
          <w:sz w:val="20"/>
          <w:lang w:eastAsia="sl-SI"/>
        </w:rPr>
      </w:pPr>
    </w:p>
    <w:p w14:paraId="60355377" w14:textId="79E35D10" w:rsidR="00894B57" w:rsidRPr="00424274" w:rsidRDefault="00894B57" w:rsidP="00894B57">
      <w:pPr>
        <w:spacing w:line="276" w:lineRule="auto"/>
        <w:rPr>
          <w:rFonts w:ascii="Arial" w:hAnsi="Arial"/>
          <w:sz w:val="20"/>
        </w:rPr>
      </w:pPr>
      <w:r w:rsidRPr="00424274">
        <w:rPr>
          <w:rFonts w:ascii="Arial" w:hAnsi="Arial"/>
          <w:sz w:val="20"/>
        </w:rPr>
        <w:t xml:space="preserve">Večji del pravnomočnih sodb zaradi storitve kaznivega dejanja pranja denarja po 245. členu KZ-1 je bil izrečen od leta 2013 </w:t>
      </w:r>
      <w:r w:rsidR="006B7426">
        <w:rPr>
          <w:rFonts w:ascii="Arial" w:hAnsi="Arial"/>
          <w:sz w:val="20"/>
        </w:rPr>
        <w:t>naprej</w:t>
      </w:r>
      <w:r w:rsidRPr="00424274">
        <w:rPr>
          <w:rFonts w:ascii="Arial" w:hAnsi="Arial"/>
          <w:sz w:val="20"/>
        </w:rPr>
        <w:t>. Do 31.</w:t>
      </w:r>
      <w:r w:rsidR="006B7426">
        <w:rPr>
          <w:rFonts w:ascii="Arial" w:hAnsi="Arial"/>
          <w:sz w:val="20"/>
        </w:rPr>
        <w:t> </w:t>
      </w:r>
      <w:r w:rsidRPr="00424274">
        <w:rPr>
          <w:rFonts w:ascii="Arial" w:hAnsi="Arial"/>
          <w:sz w:val="20"/>
        </w:rPr>
        <w:t>12.</w:t>
      </w:r>
      <w:r w:rsidR="006B7426">
        <w:rPr>
          <w:rFonts w:ascii="Arial" w:hAnsi="Arial"/>
          <w:sz w:val="20"/>
        </w:rPr>
        <w:t> </w:t>
      </w:r>
      <w:r w:rsidRPr="00424274">
        <w:rPr>
          <w:rFonts w:ascii="Arial" w:hAnsi="Arial"/>
          <w:sz w:val="20"/>
        </w:rPr>
        <w:t>2013 je bilo skupno izdanih 28 pravnomočnih sodb, medtem ko je bilo v obdobju od 1.</w:t>
      </w:r>
      <w:r w:rsidR="006B7426">
        <w:rPr>
          <w:rFonts w:ascii="Arial" w:hAnsi="Arial"/>
          <w:sz w:val="20"/>
        </w:rPr>
        <w:t> </w:t>
      </w:r>
      <w:r w:rsidRPr="00424274">
        <w:rPr>
          <w:rFonts w:ascii="Arial" w:hAnsi="Arial"/>
          <w:sz w:val="20"/>
        </w:rPr>
        <w:t>1.</w:t>
      </w:r>
      <w:r w:rsidR="006B7426">
        <w:rPr>
          <w:rFonts w:ascii="Arial" w:hAnsi="Arial"/>
          <w:sz w:val="20"/>
        </w:rPr>
        <w:t> </w:t>
      </w:r>
      <w:r w:rsidRPr="00424274">
        <w:rPr>
          <w:rFonts w:ascii="Arial" w:hAnsi="Arial"/>
          <w:sz w:val="20"/>
        </w:rPr>
        <w:t>2014 do 31.</w:t>
      </w:r>
      <w:r w:rsidR="006B7426">
        <w:rPr>
          <w:rFonts w:ascii="Arial" w:hAnsi="Arial"/>
          <w:sz w:val="20"/>
        </w:rPr>
        <w:t> </w:t>
      </w:r>
      <w:r w:rsidRPr="00424274">
        <w:rPr>
          <w:rFonts w:ascii="Arial" w:hAnsi="Arial"/>
          <w:sz w:val="20"/>
        </w:rPr>
        <w:t>12.</w:t>
      </w:r>
      <w:r w:rsidR="006B7426">
        <w:rPr>
          <w:rFonts w:ascii="Arial" w:hAnsi="Arial"/>
          <w:sz w:val="20"/>
        </w:rPr>
        <w:t> </w:t>
      </w:r>
      <w:r w:rsidRPr="00424274">
        <w:rPr>
          <w:rFonts w:ascii="Arial" w:hAnsi="Arial"/>
          <w:sz w:val="20"/>
        </w:rPr>
        <w:t xml:space="preserve">2019 izrečenih 78 pravnomočnih sodb. Na </w:t>
      </w:r>
      <w:r w:rsidR="00814A21">
        <w:rPr>
          <w:rFonts w:ascii="Arial" w:hAnsi="Arial"/>
          <w:sz w:val="20"/>
        </w:rPr>
        <w:t>urad</w:t>
      </w:r>
      <w:r w:rsidRPr="00424274">
        <w:rPr>
          <w:rFonts w:ascii="Arial" w:hAnsi="Arial"/>
          <w:sz w:val="20"/>
        </w:rPr>
        <w:t>u ugotavljamo, da je k temu trendu največ prispeval kazenskopravni institut sporazuma o priznanju krivde, ki močno poenostavi sam kazenski postopek</w:t>
      </w:r>
      <w:r w:rsidR="006B7426">
        <w:rPr>
          <w:rFonts w:ascii="Arial" w:hAnsi="Arial"/>
          <w:sz w:val="20"/>
        </w:rPr>
        <w:t xml:space="preserve"> in</w:t>
      </w:r>
      <w:r w:rsidRPr="00424274">
        <w:rPr>
          <w:rFonts w:ascii="Arial" w:hAnsi="Arial"/>
          <w:sz w:val="20"/>
        </w:rPr>
        <w:t xml:space="preserve"> izrek kazni, vključno z izrekom o odvzemu ali vrnitvi premoženja. Omenjeni institut pa ima za posledico tudi vse več zadev, ki nastanejo zaradi izločitve posameznih oseb</w:t>
      </w:r>
      <w:r w:rsidR="009D7394" w:rsidRPr="009D7394">
        <w:rPr>
          <w:rFonts w:ascii="Arial" w:hAnsi="Arial"/>
          <w:sz w:val="20"/>
        </w:rPr>
        <w:t xml:space="preserve"> </w:t>
      </w:r>
      <w:r w:rsidR="009D7394" w:rsidRPr="00424274">
        <w:rPr>
          <w:rFonts w:ascii="Arial" w:hAnsi="Arial"/>
          <w:sz w:val="20"/>
        </w:rPr>
        <w:t>iz kazenskih postopkov</w:t>
      </w:r>
      <w:r w:rsidRPr="00424274">
        <w:rPr>
          <w:rFonts w:ascii="Arial" w:hAnsi="Arial"/>
          <w:sz w:val="20"/>
        </w:rPr>
        <w:t>, ki krivdo priznajo.</w:t>
      </w:r>
    </w:p>
    <w:bookmarkEnd w:id="40"/>
    <w:p w14:paraId="6DE05110" w14:textId="77777777" w:rsidR="00851C49" w:rsidRPr="00424274" w:rsidRDefault="00851C49" w:rsidP="00D21F86">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napToGrid w:val="0"/>
        <w:spacing w:line="276" w:lineRule="auto"/>
        <w:rPr>
          <w:rFonts w:ascii="Arial" w:hAnsi="Arial"/>
          <w:sz w:val="20"/>
        </w:rPr>
      </w:pPr>
    </w:p>
    <w:p w14:paraId="5192B7D1" w14:textId="77777777" w:rsidR="00851C49" w:rsidRPr="00424274" w:rsidRDefault="00851C49">
      <w:pPr>
        <w:pStyle w:val="Naslov2"/>
      </w:pPr>
      <w:bookmarkStart w:id="89" w:name="_Toc113535474"/>
      <w:r w:rsidRPr="00424274">
        <w:t>PREDLOG</w:t>
      </w:r>
      <w:r w:rsidR="008833B4" w:rsidRPr="00424274">
        <w:t>I</w:t>
      </w:r>
      <w:r w:rsidRPr="00424274">
        <w:t xml:space="preserve"> UKREPOV</w:t>
      </w:r>
      <w:bookmarkEnd w:id="89"/>
    </w:p>
    <w:p w14:paraId="04A2A113" w14:textId="77777777" w:rsidR="001B7C31" w:rsidRPr="00424274" w:rsidRDefault="001B7C31" w:rsidP="008833B4">
      <w:pPr>
        <w:pStyle w:val="Telobesedila"/>
        <w:spacing w:line="276" w:lineRule="auto"/>
        <w:ind w:right="0"/>
        <w:rPr>
          <w:rFonts w:ascii="Arial" w:hAnsi="Arial"/>
          <w:color w:val="FF0000"/>
          <w:sz w:val="20"/>
        </w:rPr>
      </w:pPr>
    </w:p>
    <w:p w14:paraId="6027B2F0" w14:textId="376CE535" w:rsidR="0038398E" w:rsidRPr="00424274" w:rsidRDefault="0038398E" w:rsidP="0038398E">
      <w:pPr>
        <w:widowControl/>
        <w:spacing w:line="276" w:lineRule="auto"/>
        <w:rPr>
          <w:rFonts w:ascii="Arial" w:hAnsi="Arial"/>
          <w:sz w:val="20"/>
        </w:rPr>
      </w:pPr>
      <w:bookmarkStart w:id="90" w:name="_Toc135206765"/>
      <w:bookmarkEnd w:id="26"/>
      <w:r w:rsidRPr="00424274">
        <w:rPr>
          <w:rFonts w:ascii="Arial" w:hAnsi="Arial"/>
          <w:sz w:val="20"/>
        </w:rPr>
        <w:t xml:space="preserve">Glede na zgoraj navedene podatke v </w:t>
      </w:r>
      <w:r w:rsidR="00814A21">
        <w:rPr>
          <w:rFonts w:ascii="Arial" w:hAnsi="Arial"/>
          <w:sz w:val="20"/>
        </w:rPr>
        <w:t>urad</w:t>
      </w:r>
      <w:r w:rsidRPr="00424274">
        <w:rPr>
          <w:rFonts w:ascii="Arial" w:hAnsi="Arial"/>
          <w:sz w:val="20"/>
        </w:rPr>
        <w:t xml:space="preserve">u ugotavljamo, da je bilo stanje na področju odkrivanja in pregona kaznivih dejanj pranja denarja in financiranja terorizma, vsaj po številu podanih kazenskih ovadb in začetih kazenskih postopkov, vse od leta 2010 do konca leta 2016 stabilno. V tem obdobju je </w:t>
      </w:r>
      <w:r w:rsidR="004728ED">
        <w:rPr>
          <w:rFonts w:ascii="Arial" w:hAnsi="Arial"/>
          <w:sz w:val="20"/>
        </w:rPr>
        <w:t>p</w:t>
      </w:r>
      <w:r w:rsidRPr="00424274">
        <w:rPr>
          <w:rFonts w:ascii="Arial" w:hAnsi="Arial"/>
          <w:sz w:val="20"/>
        </w:rPr>
        <w:t xml:space="preserve">olicija podala </w:t>
      </w:r>
      <w:r w:rsidR="006B7426">
        <w:rPr>
          <w:rFonts w:ascii="Arial" w:hAnsi="Arial"/>
          <w:sz w:val="20"/>
        </w:rPr>
        <w:t xml:space="preserve">predlog za pregon </w:t>
      </w:r>
      <w:r w:rsidRPr="00424274">
        <w:rPr>
          <w:rFonts w:ascii="Arial" w:hAnsi="Arial"/>
          <w:sz w:val="20"/>
        </w:rPr>
        <w:t xml:space="preserve">ali </w:t>
      </w:r>
      <w:r w:rsidR="006B7426">
        <w:rPr>
          <w:rFonts w:ascii="Arial" w:hAnsi="Arial"/>
          <w:sz w:val="20"/>
        </w:rPr>
        <w:t xml:space="preserve">je </w:t>
      </w:r>
      <w:r w:rsidRPr="00424274">
        <w:rPr>
          <w:rFonts w:ascii="Arial" w:hAnsi="Arial"/>
          <w:sz w:val="20"/>
        </w:rPr>
        <w:t xml:space="preserve">tožilstvo samostojno </w:t>
      </w:r>
      <w:r w:rsidR="006B7426">
        <w:rPr>
          <w:rFonts w:ascii="Arial" w:hAnsi="Arial"/>
          <w:sz w:val="20"/>
        </w:rPr>
        <w:t>za</w:t>
      </w:r>
      <w:r w:rsidRPr="00424274">
        <w:rPr>
          <w:rFonts w:ascii="Arial" w:hAnsi="Arial"/>
          <w:sz w:val="20"/>
        </w:rPr>
        <w:t xml:space="preserve">čelo pregon v povprečju </w:t>
      </w:r>
      <w:r w:rsidR="006B7426">
        <w:rPr>
          <w:rFonts w:ascii="Arial" w:hAnsi="Arial"/>
          <w:sz w:val="20"/>
        </w:rPr>
        <w:t xml:space="preserve">za </w:t>
      </w:r>
      <w:r w:rsidRPr="00424274">
        <w:rPr>
          <w:rFonts w:ascii="Arial" w:hAnsi="Arial"/>
          <w:sz w:val="20"/>
        </w:rPr>
        <w:t>59 zadev letno. V obdobju 2017</w:t>
      </w:r>
      <w:r w:rsidR="006B7426">
        <w:rPr>
          <w:rFonts w:ascii="Arial" w:hAnsi="Arial"/>
          <w:sz w:val="20"/>
        </w:rPr>
        <w:t>–</w:t>
      </w:r>
      <w:r w:rsidRPr="00424274">
        <w:rPr>
          <w:rFonts w:ascii="Arial" w:hAnsi="Arial"/>
          <w:sz w:val="20"/>
        </w:rPr>
        <w:t>2020 je število teh postopkov močno upadlo na letno povprečje 39 zadev. Padajoči trend je povzročilo nizko število novih postopkov predvsem v let</w:t>
      </w:r>
      <w:r w:rsidR="006B7426">
        <w:rPr>
          <w:rFonts w:ascii="Arial" w:hAnsi="Arial"/>
          <w:sz w:val="20"/>
        </w:rPr>
        <w:t>ih</w:t>
      </w:r>
      <w:r w:rsidRPr="00424274">
        <w:rPr>
          <w:rFonts w:ascii="Arial" w:hAnsi="Arial"/>
          <w:sz w:val="20"/>
        </w:rPr>
        <w:t xml:space="preserve"> 2018 </w:t>
      </w:r>
      <w:r w:rsidR="006B7426">
        <w:rPr>
          <w:rFonts w:ascii="Arial" w:hAnsi="Arial"/>
          <w:sz w:val="20"/>
        </w:rPr>
        <w:t>in</w:t>
      </w:r>
      <w:r w:rsidR="006B7426" w:rsidRPr="00424274">
        <w:rPr>
          <w:rFonts w:ascii="Arial" w:hAnsi="Arial"/>
          <w:sz w:val="20"/>
        </w:rPr>
        <w:t xml:space="preserve"> </w:t>
      </w:r>
      <w:r w:rsidRPr="00424274">
        <w:rPr>
          <w:rFonts w:ascii="Arial" w:hAnsi="Arial"/>
          <w:sz w:val="20"/>
        </w:rPr>
        <w:t xml:space="preserve">2020. </w:t>
      </w:r>
    </w:p>
    <w:p w14:paraId="3A88A714" w14:textId="77777777" w:rsidR="00911DAC" w:rsidRPr="00424274" w:rsidRDefault="00911DAC" w:rsidP="0038398E">
      <w:pPr>
        <w:widowControl/>
        <w:spacing w:line="276" w:lineRule="auto"/>
        <w:rPr>
          <w:rFonts w:ascii="Arial" w:hAnsi="Arial"/>
          <w:sz w:val="20"/>
        </w:rPr>
      </w:pPr>
    </w:p>
    <w:p w14:paraId="6E088EE1" w14:textId="4B8D58EA" w:rsidR="0038398E" w:rsidRPr="00424274" w:rsidRDefault="0038398E" w:rsidP="0038398E">
      <w:pPr>
        <w:widowControl/>
        <w:spacing w:line="276" w:lineRule="auto"/>
        <w:rPr>
          <w:rFonts w:ascii="Arial" w:hAnsi="Arial"/>
          <w:iCs/>
          <w:sz w:val="20"/>
        </w:rPr>
      </w:pPr>
      <w:r w:rsidRPr="00424274">
        <w:rPr>
          <w:rFonts w:ascii="Arial" w:hAnsi="Arial"/>
          <w:iCs/>
          <w:sz w:val="20"/>
        </w:rPr>
        <w:t xml:space="preserve">Hkrati ugotavljamo, da se je v letu 2020 </w:t>
      </w:r>
      <w:r w:rsidRPr="00424274">
        <w:rPr>
          <w:rFonts w:ascii="Arial" w:hAnsi="Arial"/>
          <w:b/>
          <w:bCs/>
          <w:i/>
          <w:sz w:val="20"/>
        </w:rPr>
        <w:t xml:space="preserve">29 % </w:t>
      </w:r>
      <w:r w:rsidRPr="00424274">
        <w:rPr>
          <w:rFonts w:ascii="Arial" w:hAnsi="Arial"/>
          <w:iCs/>
          <w:sz w:val="20"/>
        </w:rPr>
        <w:t xml:space="preserve">predkazenskih in kazenskih zadev s področja pranja denarja začelo tudi na podlagi podatkov, ki so jih </w:t>
      </w:r>
      <w:r w:rsidR="00814A21">
        <w:rPr>
          <w:rFonts w:ascii="Arial" w:hAnsi="Arial"/>
          <w:iCs/>
          <w:sz w:val="20"/>
        </w:rPr>
        <w:t>urad</w:t>
      </w:r>
      <w:r w:rsidRPr="00424274">
        <w:rPr>
          <w:rFonts w:ascii="Arial" w:hAnsi="Arial"/>
          <w:iCs/>
          <w:sz w:val="20"/>
        </w:rPr>
        <w:t xml:space="preserve">u v obliki prijav sumljivih transakcij </w:t>
      </w:r>
      <w:r w:rsidR="00E55F9C">
        <w:rPr>
          <w:rFonts w:ascii="Arial" w:hAnsi="Arial"/>
          <w:iCs/>
          <w:sz w:val="20"/>
        </w:rPr>
        <w:t>sporočili</w:t>
      </w:r>
      <w:r w:rsidR="00E55F9C" w:rsidRPr="00424274">
        <w:rPr>
          <w:rFonts w:ascii="Arial" w:hAnsi="Arial"/>
          <w:iCs/>
          <w:sz w:val="20"/>
        </w:rPr>
        <w:t xml:space="preserve"> </w:t>
      </w:r>
      <w:r w:rsidRPr="00424274">
        <w:rPr>
          <w:rFonts w:ascii="Arial" w:hAnsi="Arial"/>
          <w:iCs/>
          <w:sz w:val="20"/>
        </w:rPr>
        <w:t>zavezanci za izvajanje ZPPDFT-1.</w:t>
      </w:r>
      <w:r w:rsidRPr="00424274">
        <w:rPr>
          <w:rFonts w:ascii="Arial" w:hAnsi="Arial"/>
          <w:b/>
          <w:i/>
          <w:iCs/>
          <w:sz w:val="20"/>
        </w:rPr>
        <w:t xml:space="preserve"> Sumljive transakcije</w:t>
      </w:r>
      <w:r w:rsidR="00E55F9C">
        <w:rPr>
          <w:rFonts w:ascii="Arial" w:hAnsi="Arial"/>
          <w:b/>
          <w:i/>
          <w:iCs/>
          <w:sz w:val="20"/>
        </w:rPr>
        <w:t>,</w:t>
      </w:r>
      <w:r w:rsidRPr="00424274">
        <w:rPr>
          <w:rFonts w:ascii="Arial" w:hAnsi="Arial"/>
          <w:b/>
          <w:i/>
          <w:iCs/>
          <w:sz w:val="20"/>
        </w:rPr>
        <w:t xml:space="preserve"> </w:t>
      </w:r>
      <w:r w:rsidR="00672835">
        <w:rPr>
          <w:rFonts w:ascii="Arial" w:hAnsi="Arial"/>
          <w:b/>
          <w:i/>
          <w:iCs/>
          <w:sz w:val="20"/>
        </w:rPr>
        <w:t xml:space="preserve">ki so jih </w:t>
      </w:r>
      <w:r w:rsidRPr="00424274">
        <w:rPr>
          <w:rFonts w:ascii="Arial" w:hAnsi="Arial"/>
          <w:b/>
          <w:i/>
          <w:iCs/>
          <w:sz w:val="20"/>
        </w:rPr>
        <w:t>sporoč</w:t>
      </w:r>
      <w:r w:rsidR="00672835">
        <w:rPr>
          <w:rFonts w:ascii="Arial" w:hAnsi="Arial"/>
          <w:b/>
          <w:i/>
          <w:iCs/>
          <w:sz w:val="20"/>
        </w:rPr>
        <w:t>ili</w:t>
      </w:r>
      <w:r w:rsidRPr="00424274">
        <w:rPr>
          <w:rFonts w:ascii="Arial" w:hAnsi="Arial"/>
          <w:b/>
          <w:i/>
          <w:iCs/>
          <w:sz w:val="20"/>
        </w:rPr>
        <w:t xml:space="preserve"> zavezanc</w:t>
      </w:r>
      <w:r w:rsidR="00672835">
        <w:rPr>
          <w:rFonts w:ascii="Arial" w:hAnsi="Arial"/>
          <w:b/>
          <w:i/>
          <w:iCs/>
          <w:sz w:val="20"/>
        </w:rPr>
        <w:t>i</w:t>
      </w:r>
      <w:r w:rsidR="00E55F9C">
        <w:rPr>
          <w:rFonts w:ascii="Arial" w:hAnsi="Arial"/>
          <w:b/>
          <w:i/>
          <w:iCs/>
          <w:sz w:val="20"/>
        </w:rPr>
        <w:t>,</w:t>
      </w:r>
      <w:r w:rsidRPr="00424274">
        <w:rPr>
          <w:rFonts w:ascii="Arial" w:hAnsi="Arial"/>
          <w:b/>
          <w:i/>
          <w:iCs/>
          <w:sz w:val="20"/>
        </w:rPr>
        <w:t xml:space="preserve"> tako še vedno prispevajo velik delež k obravnavanim zadevam </w:t>
      </w:r>
      <w:r w:rsidR="006B7426">
        <w:rPr>
          <w:rFonts w:ascii="Arial" w:hAnsi="Arial"/>
          <w:b/>
          <w:i/>
          <w:iCs/>
          <w:sz w:val="20"/>
        </w:rPr>
        <w:t>P</w:t>
      </w:r>
      <w:r w:rsidRPr="00424274">
        <w:rPr>
          <w:rFonts w:ascii="Arial" w:hAnsi="Arial"/>
          <w:b/>
          <w:i/>
          <w:iCs/>
          <w:sz w:val="20"/>
        </w:rPr>
        <w:t xml:space="preserve">olicije in tožilstva. Navedeno dokazuje, da je sistem boja proti pranju denarja prek zaznavanja sumljivih transakcij v finančnem in nefinančnem sektorju učinkovit. </w:t>
      </w:r>
    </w:p>
    <w:p w14:paraId="595E4AF1" w14:textId="77777777" w:rsidR="0038398E" w:rsidRPr="00424274" w:rsidRDefault="0038398E" w:rsidP="0038398E">
      <w:pPr>
        <w:widowControl/>
        <w:spacing w:line="276" w:lineRule="auto"/>
        <w:rPr>
          <w:rFonts w:ascii="Arial" w:hAnsi="Arial"/>
          <w:sz w:val="20"/>
          <w:highlight w:val="yellow"/>
        </w:rPr>
      </w:pPr>
    </w:p>
    <w:p w14:paraId="116DED79" w14:textId="56FD5CD8" w:rsidR="0038398E" w:rsidRPr="00424274" w:rsidRDefault="0038398E" w:rsidP="0038398E">
      <w:pPr>
        <w:widowControl/>
        <w:spacing w:line="276" w:lineRule="auto"/>
        <w:rPr>
          <w:rFonts w:ascii="Arial" w:hAnsi="Arial"/>
          <w:b/>
          <w:i/>
          <w:sz w:val="20"/>
        </w:rPr>
      </w:pPr>
      <w:r w:rsidRPr="00424274">
        <w:rPr>
          <w:rFonts w:ascii="Arial" w:hAnsi="Arial"/>
          <w:sz w:val="20"/>
        </w:rPr>
        <w:t xml:space="preserve">V zvezi z delovanjem tožilstev in sodišč ugotavljamo, da je </w:t>
      </w:r>
      <w:r w:rsidRPr="00424274">
        <w:rPr>
          <w:rFonts w:ascii="Arial" w:hAnsi="Arial"/>
          <w:b/>
          <w:i/>
          <w:sz w:val="20"/>
        </w:rPr>
        <w:t>število sodnih preiskav in obtožnic v letu 2020 v primerjavi z letom 2019 ostalo</w:t>
      </w:r>
      <w:r w:rsidR="00400DB8" w:rsidRPr="00424274">
        <w:rPr>
          <w:rFonts w:ascii="Arial" w:hAnsi="Arial"/>
          <w:b/>
          <w:i/>
          <w:sz w:val="20"/>
        </w:rPr>
        <w:t xml:space="preserve"> </w:t>
      </w:r>
      <w:r w:rsidRPr="00424274">
        <w:rPr>
          <w:rFonts w:ascii="Arial" w:hAnsi="Arial"/>
          <w:b/>
          <w:i/>
          <w:sz w:val="20"/>
        </w:rPr>
        <w:t>enako. Skupno so tožilstva v letu 2020 začela predkazenski ali kazenski pregon v 10 zadevah (leta 2017 v 15 zadevah, leta 2018 v 13 zadevah in leta 2019 v 22 zadevah).</w:t>
      </w:r>
    </w:p>
    <w:p w14:paraId="413C0057" w14:textId="77777777" w:rsidR="0038398E" w:rsidRPr="00424274" w:rsidRDefault="0038398E" w:rsidP="0038398E">
      <w:pPr>
        <w:widowControl/>
        <w:spacing w:line="276" w:lineRule="auto"/>
        <w:rPr>
          <w:rFonts w:ascii="Arial" w:hAnsi="Arial"/>
          <w:b/>
          <w:i/>
          <w:sz w:val="20"/>
          <w:highlight w:val="yellow"/>
        </w:rPr>
      </w:pPr>
    </w:p>
    <w:p w14:paraId="35E5EB17" w14:textId="492F325F" w:rsidR="0038398E" w:rsidRPr="00424274" w:rsidRDefault="0038398E" w:rsidP="00400DB8">
      <w:pPr>
        <w:widowControl/>
        <w:spacing w:line="276" w:lineRule="auto"/>
        <w:rPr>
          <w:rFonts w:ascii="Arial" w:hAnsi="Arial"/>
          <w:iCs/>
          <w:sz w:val="20"/>
        </w:rPr>
      </w:pPr>
      <w:r w:rsidRPr="00424274">
        <w:rPr>
          <w:rFonts w:ascii="Arial" w:hAnsi="Arial"/>
          <w:iCs/>
          <w:sz w:val="20"/>
        </w:rPr>
        <w:t xml:space="preserve">Hkrati smo na </w:t>
      </w:r>
      <w:r w:rsidR="00814A21">
        <w:rPr>
          <w:rFonts w:ascii="Arial" w:hAnsi="Arial"/>
          <w:iCs/>
          <w:sz w:val="20"/>
        </w:rPr>
        <w:t>urad</w:t>
      </w:r>
      <w:r w:rsidRPr="00424274">
        <w:rPr>
          <w:rFonts w:ascii="Arial" w:hAnsi="Arial"/>
          <w:iCs/>
          <w:sz w:val="20"/>
        </w:rPr>
        <w:t xml:space="preserve">u v obvestilih, ki jih </w:t>
      </w:r>
      <w:r w:rsidR="00361F5F">
        <w:rPr>
          <w:rFonts w:ascii="Arial" w:hAnsi="Arial"/>
          <w:iCs/>
          <w:sz w:val="20"/>
        </w:rPr>
        <w:t>pošiljamo</w:t>
      </w:r>
      <w:r w:rsidR="00361F5F" w:rsidRPr="00424274">
        <w:rPr>
          <w:rFonts w:ascii="Arial" w:hAnsi="Arial"/>
          <w:iCs/>
          <w:sz w:val="20"/>
        </w:rPr>
        <w:t xml:space="preserve"> </w:t>
      </w:r>
      <w:r w:rsidR="004728ED">
        <w:rPr>
          <w:rFonts w:ascii="Arial" w:hAnsi="Arial"/>
          <w:iCs/>
          <w:sz w:val="20"/>
        </w:rPr>
        <w:t>p</w:t>
      </w:r>
      <w:r w:rsidRPr="00424274">
        <w:rPr>
          <w:rFonts w:ascii="Arial" w:hAnsi="Arial"/>
          <w:iCs/>
          <w:sz w:val="20"/>
        </w:rPr>
        <w:t xml:space="preserve">oliciji, ugotovili </w:t>
      </w:r>
      <w:r w:rsidR="00361F5F">
        <w:rPr>
          <w:rFonts w:ascii="Arial" w:hAnsi="Arial"/>
          <w:iCs/>
          <w:sz w:val="20"/>
        </w:rPr>
        <w:t>skrb vzbujajoč</w:t>
      </w:r>
      <w:r w:rsidR="00361F5F" w:rsidRPr="00424274">
        <w:rPr>
          <w:rFonts w:ascii="Arial" w:hAnsi="Arial"/>
          <w:iCs/>
          <w:sz w:val="20"/>
        </w:rPr>
        <w:t xml:space="preserve"> </w:t>
      </w:r>
      <w:r w:rsidRPr="00424274">
        <w:rPr>
          <w:rFonts w:ascii="Arial" w:hAnsi="Arial"/>
          <w:iCs/>
          <w:sz w:val="20"/>
        </w:rPr>
        <w:t xml:space="preserve">trend povečevanja števila oseb, ki v Sloveniji nimajo prebivališča ali sedeža. V letu 2014 je bilo od skupnega števila </w:t>
      </w:r>
      <w:r w:rsidRPr="00424274">
        <w:rPr>
          <w:rFonts w:ascii="Arial" w:hAnsi="Arial"/>
          <w:iCs/>
          <w:sz w:val="20"/>
        </w:rPr>
        <w:lastRenderedPageBreak/>
        <w:t>obravnavanih oseb 40 % tujih oseb, v letu 2017 že 61</w:t>
      </w:r>
      <w:r w:rsidR="00361F5F">
        <w:rPr>
          <w:rFonts w:ascii="Arial" w:hAnsi="Arial"/>
          <w:iCs/>
          <w:sz w:val="20"/>
        </w:rPr>
        <w:t> </w:t>
      </w:r>
      <w:r w:rsidRPr="00424274">
        <w:rPr>
          <w:rFonts w:ascii="Arial" w:hAnsi="Arial"/>
          <w:iCs/>
          <w:sz w:val="20"/>
        </w:rPr>
        <w:t>% in leta 2018 63</w:t>
      </w:r>
      <w:r w:rsidR="00361F5F">
        <w:rPr>
          <w:rFonts w:ascii="Arial" w:hAnsi="Arial"/>
          <w:iCs/>
          <w:sz w:val="20"/>
        </w:rPr>
        <w:t> </w:t>
      </w:r>
      <w:r w:rsidRPr="00424274">
        <w:rPr>
          <w:rFonts w:ascii="Arial" w:hAnsi="Arial"/>
          <w:iCs/>
          <w:sz w:val="20"/>
        </w:rPr>
        <w:t>%. Trend se je v letih 2019 in 2020 nekoliko umiril, še vedno pa znaša 52</w:t>
      </w:r>
      <w:r w:rsidR="00361F5F">
        <w:rPr>
          <w:rFonts w:ascii="Arial" w:hAnsi="Arial"/>
          <w:iCs/>
          <w:sz w:val="20"/>
        </w:rPr>
        <w:t> </w:t>
      </w:r>
      <w:r w:rsidRPr="00424274">
        <w:rPr>
          <w:rFonts w:ascii="Arial" w:hAnsi="Arial"/>
          <w:iCs/>
          <w:sz w:val="20"/>
        </w:rPr>
        <w:t>% oziroma 54</w:t>
      </w:r>
      <w:r w:rsidR="00361F5F">
        <w:rPr>
          <w:rFonts w:ascii="Arial" w:hAnsi="Arial"/>
          <w:iCs/>
          <w:sz w:val="20"/>
        </w:rPr>
        <w:t> </w:t>
      </w:r>
      <w:r w:rsidRPr="00424274">
        <w:rPr>
          <w:rFonts w:ascii="Arial" w:hAnsi="Arial"/>
          <w:iCs/>
          <w:sz w:val="20"/>
        </w:rPr>
        <w:t xml:space="preserve">%. Na </w:t>
      </w:r>
      <w:r w:rsidR="00814A21">
        <w:rPr>
          <w:rFonts w:ascii="Arial" w:hAnsi="Arial"/>
          <w:iCs/>
          <w:sz w:val="20"/>
        </w:rPr>
        <w:t>urad</w:t>
      </w:r>
      <w:r w:rsidRPr="00424274">
        <w:rPr>
          <w:rFonts w:ascii="Arial" w:hAnsi="Arial"/>
          <w:iCs/>
          <w:sz w:val="20"/>
        </w:rPr>
        <w:t xml:space="preserve">u ocenjujemo, da bo tudi </w:t>
      </w:r>
      <w:r w:rsidR="009D7394">
        <w:rPr>
          <w:rFonts w:ascii="Arial" w:hAnsi="Arial"/>
          <w:iCs/>
          <w:sz w:val="20"/>
        </w:rPr>
        <w:t>naraščajoči</w:t>
      </w:r>
      <w:r w:rsidR="009D7394" w:rsidRPr="00424274">
        <w:rPr>
          <w:rFonts w:ascii="Arial" w:hAnsi="Arial"/>
          <w:iCs/>
          <w:sz w:val="20"/>
        </w:rPr>
        <w:t xml:space="preserve"> </w:t>
      </w:r>
      <w:r w:rsidRPr="00424274">
        <w:rPr>
          <w:rFonts w:ascii="Arial" w:hAnsi="Arial"/>
          <w:iCs/>
          <w:sz w:val="20"/>
        </w:rPr>
        <w:t xml:space="preserve">trend </w:t>
      </w:r>
      <w:r w:rsidR="00E00D16">
        <w:rPr>
          <w:rFonts w:ascii="Arial" w:hAnsi="Arial"/>
          <w:iCs/>
          <w:sz w:val="20"/>
        </w:rPr>
        <w:t>znatno</w:t>
      </w:r>
      <w:r w:rsidRPr="00424274">
        <w:rPr>
          <w:rFonts w:ascii="Arial" w:hAnsi="Arial"/>
          <w:iCs/>
          <w:sz w:val="20"/>
        </w:rPr>
        <w:t xml:space="preserve"> vpliv</w:t>
      </w:r>
      <w:r w:rsidR="00E00D16">
        <w:rPr>
          <w:rFonts w:ascii="Arial" w:hAnsi="Arial"/>
          <w:iCs/>
          <w:sz w:val="20"/>
        </w:rPr>
        <w:t>al</w:t>
      </w:r>
      <w:r w:rsidRPr="00424274">
        <w:rPr>
          <w:rFonts w:ascii="Arial" w:hAnsi="Arial"/>
          <w:iCs/>
          <w:sz w:val="20"/>
        </w:rPr>
        <w:t xml:space="preserve"> na uspešnost in čas trajanja kazenskih postopkov.</w:t>
      </w:r>
    </w:p>
    <w:p w14:paraId="507890E5" w14:textId="77777777" w:rsidR="0038398E" w:rsidRPr="00424274" w:rsidRDefault="0038398E" w:rsidP="0038398E">
      <w:pPr>
        <w:widowControl/>
        <w:spacing w:line="276" w:lineRule="auto"/>
        <w:rPr>
          <w:rFonts w:ascii="Arial" w:hAnsi="Arial"/>
          <w:sz w:val="20"/>
          <w:highlight w:val="yellow"/>
        </w:rPr>
      </w:pPr>
    </w:p>
    <w:p w14:paraId="3C5B7C3B" w14:textId="43F3037D" w:rsidR="0038398E" w:rsidRPr="00424274" w:rsidRDefault="0038398E" w:rsidP="0038398E">
      <w:pPr>
        <w:spacing w:line="276" w:lineRule="auto"/>
        <w:rPr>
          <w:rFonts w:ascii="Arial" w:hAnsi="Arial"/>
          <w:sz w:val="20"/>
          <w:lang w:eastAsia="sl-SI"/>
        </w:rPr>
      </w:pPr>
      <w:r w:rsidRPr="00424274">
        <w:rPr>
          <w:rFonts w:ascii="Arial" w:hAnsi="Arial"/>
          <w:sz w:val="20"/>
        </w:rPr>
        <w:t xml:space="preserve">Čeprav so kazenske zadeve pranja denarja običajno zelo kompleksne, pogosto povezane z mednarodnim elementom in zahtevne za dokazovanje, </w:t>
      </w:r>
      <w:r w:rsidRPr="00424274">
        <w:rPr>
          <w:rFonts w:ascii="Arial" w:hAnsi="Arial"/>
          <w:b/>
          <w:sz w:val="20"/>
        </w:rPr>
        <w:t>ocenjujemo, da so postopki v zvezi s kaznivim dejanjem pranja denarja od časa vložitve kazenske ovadbe do končne odločitve sodišča predolgi.</w:t>
      </w:r>
      <w:r w:rsidRPr="00424274">
        <w:rPr>
          <w:rFonts w:ascii="Arial" w:hAnsi="Arial"/>
          <w:sz w:val="20"/>
        </w:rPr>
        <w:t xml:space="preserve"> </w:t>
      </w:r>
      <w:r w:rsidRPr="00424274">
        <w:rPr>
          <w:rFonts w:ascii="Arial" w:hAnsi="Arial"/>
          <w:sz w:val="20"/>
          <w:lang w:eastAsia="sl-SI"/>
        </w:rPr>
        <w:t xml:space="preserve">Povprečen čas trajanja predkazenskega in kazenskega postopka med podajo kazenske ovadbe </w:t>
      </w:r>
      <w:r w:rsidR="004728ED">
        <w:rPr>
          <w:rFonts w:ascii="Arial" w:hAnsi="Arial"/>
          <w:sz w:val="20"/>
          <w:lang w:eastAsia="sl-SI"/>
        </w:rPr>
        <w:t>p</w:t>
      </w:r>
      <w:r w:rsidRPr="00424274">
        <w:rPr>
          <w:rFonts w:ascii="Arial" w:hAnsi="Arial"/>
          <w:sz w:val="20"/>
          <w:lang w:eastAsia="sl-SI"/>
        </w:rPr>
        <w:t>olicije in sodbe na prvi stopnji</w:t>
      </w:r>
      <w:r w:rsidR="00CC1726">
        <w:rPr>
          <w:rFonts w:ascii="Arial" w:hAnsi="Arial"/>
          <w:sz w:val="20"/>
          <w:lang w:eastAsia="sl-SI"/>
        </w:rPr>
        <w:t>,</w:t>
      </w:r>
      <w:r w:rsidRPr="00424274">
        <w:rPr>
          <w:rFonts w:ascii="Arial" w:hAnsi="Arial"/>
          <w:sz w:val="20"/>
          <w:lang w:eastAsia="sl-SI"/>
        </w:rPr>
        <w:t xml:space="preserve"> izrečene v letu 2020</w:t>
      </w:r>
      <w:r w:rsidR="00CC1726">
        <w:rPr>
          <w:rFonts w:ascii="Arial" w:hAnsi="Arial"/>
          <w:sz w:val="20"/>
          <w:lang w:eastAsia="sl-SI"/>
        </w:rPr>
        <w:t>,</w:t>
      </w:r>
      <w:r w:rsidRPr="00424274">
        <w:rPr>
          <w:rFonts w:ascii="Arial" w:hAnsi="Arial"/>
          <w:sz w:val="20"/>
          <w:lang w:eastAsia="sl-SI"/>
        </w:rPr>
        <w:t xml:space="preserve"> je več kot </w:t>
      </w:r>
      <w:r w:rsidR="00CC1726">
        <w:rPr>
          <w:rFonts w:ascii="Arial" w:hAnsi="Arial"/>
          <w:sz w:val="20"/>
          <w:lang w:eastAsia="sl-SI"/>
        </w:rPr>
        <w:t>pet</w:t>
      </w:r>
      <w:r w:rsidRPr="00424274">
        <w:rPr>
          <w:rFonts w:ascii="Arial" w:hAnsi="Arial"/>
          <w:sz w:val="20"/>
          <w:lang w:eastAsia="sl-SI"/>
        </w:rPr>
        <w:t xml:space="preserve"> let. </w:t>
      </w:r>
      <w:r w:rsidR="00CC1726">
        <w:rPr>
          <w:rFonts w:ascii="Arial" w:hAnsi="Arial"/>
          <w:sz w:val="20"/>
          <w:lang w:eastAsia="sl-SI"/>
        </w:rPr>
        <w:t>To</w:t>
      </w:r>
      <w:r w:rsidR="00CC1726" w:rsidRPr="00424274">
        <w:rPr>
          <w:rFonts w:ascii="Arial" w:hAnsi="Arial"/>
          <w:sz w:val="20"/>
          <w:lang w:eastAsia="sl-SI"/>
        </w:rPr>
        <w:t xml:space="preserve"> </w:t>
      </w:r>
      <w:r w:rsidRPr="00424274">
        <w:rPr>
          <w:rFonts w:ascii="Arial" w:hAnsi="Arial"/>
          <w:sz w:val="20"/>
          <w:lang w:eastAsia="sl-SI"/>
        </w:rPr>
        <w:t xml:space="preserve">pomeni, da se povprečen čas trajanja postopkov od leta 2016 </w:t>
      </w:r>
      <w:r w:rsidR="00210B00">
        <w:rPr>
          <w:rFonts w:ascii="Arial" w:hAnsi="Arial"/>
          <w:sz w:val="20"/>
          <w:lang w:eastAsia="sl-SI"/>
        </w:rPr>
        <w:t>naprej</w:t>
      </w:r>
      <w:r w:rsidR="00210B00" w:rsidRPr="00424274">
        <w:rPr>
          <w:rFonts w:ascii="Arial" w:hAnsi="Arial"/>
          <w:sz w:val="20"/>
          <w:lang w:eastAsia="sl-SI"/>
        </w:rPr>
        <w:t xml:space="preserve"> </w:t>
      </w:r>
      <w:r w:rsidRPr="00424274">
        <w:rPr>
          <w:rFonts w:ascii="Arial" w:hAnsi="Arial"/>
          <w:sz w:val="20"/>
          <w:lang w:eastAsia="sl-SI"/>
        </w:rPr>
        <w:t xml:space="preserve">ni bistveno znižal, saj je povprečen čas v letih 2016 in 2017 znašal prav tako več kot </w:t>
      </w:r>
      <w:r w:rsidR="00210B00">
        <w:rPr>
          <w:rFonts w:ascii="Arial" w:hAnsi="Arial"/>
          <w:sz w:val="20"/>
          <w:lang w:eastAsia="sl-SI"/>
        </w:rPr>
        <w:t>pet</w:t>
      </w:r>
      <w:r w:rsidRPr="00424274">
        <w:rPr>
          <w:rFonts w:ascii="Arial" w:hAnsi="Arial"/>
          <w:sz w:val="20"/>
          <w:lang w:eastAsia="sl-SI"/>
        </w:rPr>
        <w:t xml:space="preserve"> let, medtem ko je v letu 2018 znašal </w:t>
      </w:r>
      <w:r w:rsidR="00210B00">
        <w:rPr>
          <w:rFonts w:ascii="Arial" w:hAnsi="Arial"/>
          <w:sz w:val="20"/>
          <w:lang w:eastAsia="sl-SI"/>
        </w:rPr>
        <w:t>šest</w:t>
      </w:r>
      <w:r w:rsidRPr="00424274">
        <w:rPr>
          <w:rFonts w:ascii="Arial" w:hAnsi="Arial"/>
          <w:sz w:val="20"/>
          <w:lang w:eastAsia="sl-SI"/>
        </w:rPr>
        <w:t xml:space="preserve"> let.</w:t>
      </w:r>
    </w:p>
    <w:p w14:paraId="1CB9B183" w14:textId="77777777" w:rsidR="0038398E" w:rsidRPr="00424274" w:rsidRDefault="0038398E" w:rsidP="0038398E">
      <w:pPr>
        <w:widowControl/>
        <w:spacing w:line="276" w:lineRule="auto"/>
        <w:rPr>
          <w:rFonts w:ascii="Arial" w:hAnsi="Arial"/>
          <w:sz w:val="20"/>
          <w:highlight w:val="yellow"/>
        </w:rPr>
      </w:pPr>
    </w:p>
    <w:p w14:paraId="1ADBAC69" w14:textId="5CD998B1" w:rsidR="0038398E" w:rsidRPr="00424274" w:rsidRDefault="0038398E" w:rsidP="0038398E">
      <w:pPr>
        <w:widowControl/>
        <w:spacing w:line="276" w:lineRule="auto"/>
        <w:rPr>
          <w:rFonts w:ascii="Arial" w:hAnsi="Arial"/>
          <w:sz w:val="20"/>
        </w:rPr>
      </w:pPr>
      <w:r w:rsidRPr="00424274">
        <w:rPr>
          <w:rFonts w:ascii="Arial" w:hAnsi="Arial"/>
          <w:sz w:val="20"/>
        </w:rPr>
        <w:t xml:space="preserve">V letu 2020 je opaziti predvsem trend upadanja novih predkazenskih postopkov zaradi sumov storitve kaznivega dejanja pranja denarja po 245. členu KZ-1, zato je za izboljšanje stanja na področju boja proti pranju denarja in financiranju terorizma po našem mnenju </w:t>
      </w:r>
      <w:r w:rsidR="008126B7">
        <w:rPr>
          <w:rFonts w:ascii="Arial" w:hAnsi="Arial"/>
          <w:sz w:val="20"/>
        </w:rPr>
        <w:t>treba</w:t>
      </w:r>
      <w:r w:rsidRPr="00424274">
        <w:rPr>
          <w:rFonts w:ascii="Arial" w:hAnsi="Arial"/>
          <w:sz w:val="20"/>
        </w:rPr>
        <w:t xml:space="preserve"> izvesti naslednje ukrepe:</w:t>
      </w:r>
    </w:p>
    <w:p w14:paraId="7871E5FF" w14:textId="77777777" w:rsidR="0038398E" w:rsidRPr="00424274" w:rsidRDefault="0038398E" w:rsidP="0038398E">
      <w:pPr>
        <w:widowControl/>
        <w:spacing w:line="276" w:lineRule="auto"/>
        <w:rPr>
          <w:rFonts w:ascii="Arial" w:hAnsi="Arial"/>
          <w:sz w:val="20"/>
          <w:highlight w:val="yellow"/>
        </w:rPr>
      </w:pPr>
    </w:p>
    <w:p w14:paraId="1A3AE9FE" w14:textId="77777777" w:rsidR="0038398E" w:rsidRPr="00424274" w:rsidRDefault="0038398E" w:rsidP="0038398E">
      <w:pPr>
        <w:widowControl/>
        <w:numPr>
          <w:ilvl w:val="0"/>
          <w:numId w:val="14"/>
        </w:numPr>
        <w:spacing w:before="120" w:line="276" w:lineRule="auto"/>
        <w:ind w:right="-23"/>
        <w:rPr>
          <w:rFonts w:ascii="Arial" w:hAnsi="Arial"/>
          <w:bCs/>
          <w:iCs/>
          <w:sz w:val="20"/>
        </w:rPr>
      </w:pPr>
      <w:r w:rsidRPr="00424274">
        <w:rPr>
          <w:rFonts w:ascii="Arial" w:hAnsi="Arial"/>
          <w:bCs/>
          <w:iCs/>
          <w:sz w:val="20"/>
        </w:rPr>
        <w:t xml:space="preserve">zagotoviti prednostno obravnavo kaznivih dejanj pranja denarja in financiranja terorizma pri organih odkrivanja kaznivih dejanj; </w:t>
      </w:r>
    </w:p>
    <w:p w14:paraId="612F6E5E" w14:textId="22C3A6AE" w:rsidR="0038398E" w:rsidRPr="00424274" w:rsidRDefault="009D7394" w:rsidP="0038398E">
      <w:pPr>
        <w:widowControl/>
        <w:numPr>
          <w:ilvl w:val="0"/>
          <w:numId w:val="14"/>
        </w:numPr>
        <w:spacing w:before="120" w:line="276" w:lineRule="auto"/>
        <w:ind w:right="-23"/>
        <w:rPr>
          <w:rFonts w:ascii="Arial" w:hAnsi="Arial"/>
          <w:bCs/>
          <w:iCs/>
          <w:sz w:val="20"/>
        </w:rPr>
      </w:pPr>
      <w:r>
        <w:rPr>
          <w:rFonts w:ascii="Arial" w:hAnsi="Arial"/>
          <w:bCs/>
          <w:iCs/>
          <w:sz w:val="20"/>
        </w:rPr>
        <w:t xml:space="preserve">zagotoviti </w:t>
      </w:r>
      <w:r w:rsidR="0038398E" w:rsidRPr="00424274">
        <w:rPr>
          <w:rFonts w:ascii="Arial" w:hAnsi="Arial"/>
          <w:bCs/>
          <w:iCs/>
          <w:sz w:val="20"/>
        </w:rPr>
        <w:t>dodatno izobraževanje policistov, kriminalistov, tožilcev in sodnikov s poudarkom na vsebinah, ki se nanašajo na izvajanje finančnih preiskav in odvzem premoženja nezakonitega izvora</w:t>
      </w:r>
      <w:r w:rsidR="008158E5">
        <w:rPr>
          <w:rFonts w:ascii="Arial" w:hAnsi="Arial"/>
          <w:bCs/>
          <w:iCs/>
          <w:sz w:val="20"/>
        </w:rPr>
        <w:t>,</w:t>
      </w:r>
      <w:r w:rsidR="0038398E" w:rsidRPr="00424274">
        <w:rPr>
          <w:rFonts w:ascii="Arial" w:hAnsi="Arial"/>
          <w:bCs/>
          <w:iCs/>
          <w:sz w:val="20"/>
        </w:rPr>
        <w:t xml:space="preserve"> ter izvajanje skupnih seminarjev, delavnic in izobraževanj;</w:t>
      </w:r>
    </w:p>
    <w:p w14:paraId="5A44916C" w14:textId="1F17B23A" w:rsidR="0038398E" w:rsidRPr="00E00D16" w:rsidRDefault="0038398E" w:rsidP="004E3462">
      <w:pPr>
        <w:widowControl/>
        <w:numPr>
          <w:ilvl w:val="0"/>
          <w:numId w:val="14"/>
        </w:numPr>
        <w:spacing w:before="120" w:line="276" w:lineRule="auto"/>
        <w:ind w:right="-23"/>
        <w:rPr>
          <w:rFonts w:ascii="Arial" w:hAnsi="Arial"/>
          <w:bCs/>
          <w:iCs/>
          <w:sz w:val="20"/>
        </w:rPr>
      </w:pPr>
      <w:r w:rsidRPr="004E3462">
        <w:rPr>
          <w:rFonts w:ascii="Arial" w:hAnsi="Arial"/>
          <w:bCs/>
          <w:iCs/>
          <w:sz w:val="20"/>
        </w:rPr>
        <w:t xml:space="preserve">pravosodni organi, vključno z organi odkrivanja kaznivih dejanj, morajo </w:t>
      </w:r>
      <w:r w:rsidR="008158E5">
        <w:rPr>
          <w:rFonts w:ascii="Arial" w:hAnsi="Arial"/>
          <w:bCs/>
          <w:iCs/>
          <w:sz w:val="20"/>
        </w:rPr>
        <w:t>nameniti</w:t>
      </w:r>
      <w:r w:rsidR="008158E5" w:rsidRPr="004E3462">
        <w:rPr>
          <w:rFonts w:ascii="Arial" w:hAnsi="Arial"/>
          <w:bCs/>
          <w:iCs/>
          <w:sz w:val="20"/>
        </w:rPr>
        <w:t xml:space="preserve"> </w:t>
      </w:r>
      <w:r w:rsidRPr="004E3462">
        <w:rPr>
          <w:rFonts w:ascii="Arial" w:hAnsi="Arial"/>
          <w:bCs/>
          <w:iCs/>
          <w:sz w:val="20"/>
        </w:rPr>
        <w:t>večjo pozornost odkrivanju, zavarovanju in odvzemu</w:t>
      </w:r>
      <w:r w:rsidRPr="00F17485">
        <w:rPr>
          <w:rFonts w:ascii="Arial" w:hAnsi="Arial"/>
          <w:bCs/>
          <w:iCs/>
          <w:sz w:val="20"/>
        </w:rPr>
        <w:t xml:space="preserve"> protipravne premoženjske koristi, ki izvira iz kaznivih dejanj; </w:t>
      </w:r>
      <w:r w:rsidRPr="004E3462">
        <w:rPr>
          <w:rFonts w:ascii="Arial" w:hAnsi="Arial"/>
          <w:bCs/>
          <w:iCs/>
          <w:sz w:val="20"/>
        </w:rPr>
        <w:t xml:space="preserve">zagotoviti je </w:t>
      </w:r>
      <w:r w:rsidR="00210B00">
        <w:rPr>
          <w:rFonts w:ascii="Arial" w:hAnsi="Arial"/>
          <w:bCs/>
          <w:iCs/>
          <w:sz w:val="20"/>
        </w:rPr>
        <w:t>treba</w:t>
      </w:r>
      <w:r w:rsidR="00210B00" w:rsidRPr="004E3462">
        <w:rPr>
          <w:rFonts w:ascii="Arial" w:hAnsi="Arial"/>
          <w:bCs/>
          <w:iCs/>
          <w:sz w:val="20"/>
        </w:rPr>
        <w:t xml:space="preserve"> </w:t>
      </w:r>
      <w:r w:rsidRPr="004E3462">
        <w:rPr>
          <w:rFonts w:ascii="Arial" w:hAnsi="Arial"/>
          <w:bCs/>
          <w:iCs/>
          <w:sz w:val="20"/>
        </w:rPr>
        <w:t xml:space="preserve">dosledno izvajanje in </w:t>
      </w:r>
      <w:r w:rsidR="008158E5">
        <w:rPr>
          <w:rFonts w:ascii="Arial" w:hAnsi="Arial"/>
          <w:bCs/>
          <w:iCs/>
          <w:sz w:val="20"/>
        </w:rPr>
        <w:t>v</w:t>
      </w:r>
      <w:r w:rsidR="008158E5" w:rsidRPr="004E3462">
        <w:rPr>
          <w:rFonts w:ascii="Arial" w:hAnsi="Arial"/>
          <w:bCs/>
          <w:iCs/>
          <w:sz w:val="20"/>
        </w:rPr>
        <w:t xml:space="preserve"> </w:t>
      </w:r>
      <w:r w:rsidRPr="004E3462">
        <w:rPr>
          <w:rFonts w:ascii="Arial" w:hAnsi="Arial"/>
          <w:bCs/>
          <w:iCs/>
          <w:sz w:val="20"/>
        </w:rPr>
        <w:t>daljše</w:t>
      </w:r>
      <w:r w:rsidR="008158E5">
        <w:rPr>
          <w:rFonts w:ascii="Arial" w:hAnsi="Arial"/>
          <w:bCs/>
          <w:iCs/>
          <w:sz w:val="20"/>
        </w:rPr>
        <w:t>m</w:t>
      </w:r>
      <w:r w:rsidRPr="004E3462">
        <w:rPr>
          <w:rFonts w:ascii="Arial" w:hAnsi="Arial"/>
          <w:bCs/>
          <w:iCs/>
          <w:sz w:val="20"/>
        </w:rPr>
        <w:t xml:space="preserve"> obdobj</w:t>
      </w:r>
      <w:r w:rsidR="008158E5">
        <w:rPr>
          <w:rFonts w:ascii="Arial" w:hAnsi="Arial"/>
          <w:bCs/>
          <w:iCs/>
          <w:sz w:val="20"/>
        </w:rPr>
        <w:t>u</w:t>
      </w:r>
      <w:r w:rsidRPr="004E3462">
        <w:rPr>
          <w:rFonts w:ascii="Arial" w:hAnsi="Arial"/>
          <w:bCs/>
          <w:iCs/>
          <w:sz w:val="20"/>
        </w:rPr>
        <w:t xml:space="preserve"> tudi povečati števil</w:t>
      </w:r>
      <w:r w:rsidR="008126B7">
        <w:rPr>
          <w:rFonts w:ascii="Arial" w:hAnsi="Arial"/>
          <w:bCs/>
          <w:iCs/>
          <w:sz w:val="20"/>
        </w:rPr>
        <w:t>o</w:t>
      </w:r>
      <w:r w:rsidRPr="004E3462">
        <w:rPr>
          <w:rFonts w:ascii="Arial" w:hAnsi="Arial"/>
          <w:bCs/>
          <w:iCs/>
          <w:sz w:val="20"/>
        </w:rPr>
        <w:t xml:space="preserve"> finančnih pr</w:t>
      </w:r>
      <w:r w:rsidRPr="00E00D16">
        <w:rPr>
          <w:rFonts w:ascii="Arial" w:hAnsi="Arial"/>
          <w:bCs/>
          <w:iCs/>
          <w:sz w:val="20"/>
        </w:rPr>
        <w:t xml:space="preserve">eiskav, ki bi morale </w:t>
      </w:r>
      <w:r w:rsidR="009D7394">
        <w:rPr>
          <w:rFonts w:ascii="Arial" w:hAnsi="Arial"/>
          <w:bCs/>
          <w:iCs/>
          <w:sz w:val="20"/>
        </w:rPr>
        <w:t xml:space="preserve">potekati </w:t>
      </w:r>
      <w:r w:rsidRPr="00E00D16">
        <w:rPr>
          <w:rFonts w:ascii="Arial" w:hAnsi="Arial"/>
          <w:bCs/>
          <w:iCs/>
          <w:sz w:val="20"/>
        </w:rPr>
        <w:t>vzporedno s preiskovanjem kaznivih dejanj z namenom, da se odkrije, zavaruje in odvzame protipravna premoženjska korist in ugotovi, ali v zvezi z morebitnim prikrivanjem tega premoženja obstajajo tudi elementi kaznivega dejanja pranja denarja;</w:t>
      </w:r>
    </w:p>
    <w:p w14:paraId="138BC690" w14:textId="5810FC82" w:rsidR="0038398E" w:rsidRPr="00424274" w:rsidRDefault="0038398E" w:rsidP="0038398E">
      <w:pPr>
        <w:widowControl/>
        <w:numPr>
          <w:ilvl w:val="0"/>
          <w:numId w:val="14"/>
        </w:numPr>
        <w:spacing w:before="120" w:line="276" w:lineRule="auto"/>
        <w:ind w:right="-23"/>
        <w:rPr>
          <w:rFonts w:ascii="Arial" w:hAnsi="Arial"/>
          <w:bCs/>
          <w:iCs/>
          <w:sz w:val="20"/>
        </w:rPr>
      </w:pPr>
      <w:r w:rsidRPr="00424274">
        <w:rPr>
          <w:rFonts w:ascii="Arial" w:hAnsi="Arial"/>
          <w:bCs/>
          <w:iCs/>
          <w:sz w:val="20"/>
        </w:rPr>
        <w:t>ustanovit</w:t>
      </w:r>
      <w:r w:rsidR="009D7394">
        <w:rPr>
          <w:rFonts w:ascii="Arial" w:hAnsi="Arial"/>
          <w:bCs/>
          <w:iCs/>
          <w:sz w:val="20"/>
        </w:rPr>
        <w:t>i</w:t>
      </w:r>
      <w:r w:rsidRPr="00424274">
        <w:rPr>
          <w:rFonts w:ascii="Arial" w:hAnsi="Arial"/>
          <w:bCs/>
          <w:iCs/>
          <w:sz w:val="20"/>
        </w:rPr>
        <w:t xml:space="preserve"> posebne strokovne skupine ali kontaktne točke za izmenjavo izkušenj na področju preiskav, pregona in sojenja v zadevah pranja denarja in financiranja terorizma </w:t>
      </w:r>
      <w:r w:rsidR="00210B00">
        <w:rPr>
          <w:rFonts w:ascii="Arial" w:hAnsi="Arial"/>
          <w:bCs/>
          <w:iCs/>
          <w:sz w:val="20"/>
        </w:rPr>
        <w:t>oziroma</w:t>
      </w:r>
      <w:r w:rsidRPr="00424274">
        <w:rPr>
          <w:rFonts w:ascii="Arial" w:hAnsi="Arial"/>
          <w:bCs/>
          <w:iCs/>
          <w:sz w:val="20"/>
        </w:rPr>
        <w:t xml:space="preserve"> financiranja terorističnih aktivnosti;</w:t>
      </w:r>
    </w:p>
    <w:p w14:paraId="744D2C1F" w14:textId="6F16942C" w:rsidR="0038398E" w:rsidRPr="00424274" w:rsidRDefault="009D7394" w:rsidP="0038398E">
      <w:pPr>
        <w:widowControl/>
        <w:numPr>
          <w:ilvl w:val="0"/>
          <w:numId w:val="14"/>
        </w:numPr>
        <w:spacing w:before="120" w:line="276" w:lineRule="auto"/>
        <w:ind w:right="-23"/>
        <w:rPr>
          <w:rFonts w:ascii="Arial" w:hAnsi="Arial"/>
          <w:bCs/>
          <w:iCs/>
          <w:sz w:val="20"/>
        </w:rPr>
      </w:pPr>
      <w:r>
        <w:rPr>
          <w:rFonts w:ascii="Arial" w:hAnsi="Arial"/>
          <w:bCs/>
          <w:iCs/>
          <w:sz w:val="20"/>
        </w:rPr>
        <w:t>s</w:t>
      </w:r>
      <w:r w:rsidRPr="00424274">
        <w:rPr>
          <w:rFonts w:ascii="Arial" w:hAnsi="Arial"/>
          <w:bCs/>
          <w:iCs/>
          <w:sz w:val="20"/>
        </w:rPr>
        <w:t xml:space="preserve"> </w:t>
      </w:r>
      <w:r w:rsidR="0038398E" w:rsidRPr="00424274">
        <w:rPr>
          <w:rFonts w:ascii="Arial" w:hAnsi="Arial"/>
          <w:bCs/>
          <w:iCs/>
          <w:sz w:val="20"/>
        </w:rPr>
        <w:t>pritožben</w:t>
      </w:r>
      <w:r>
        <w:rPr>
          <w:rFonts w:ascii="Arial" w:hAnsi="Arial"/>
          <w:bCs/>
          <w:iCs/>
          <w:sz w:val="20"/>
        </w:rPr>
        <w:t>imi</w:t>
      </w:r>
      <w:r w:rsidR="0038398E" w:rsidRPr="00424274">
        <w:rPr>
          <w:rFonts w:ascii="Arial" w:hAnsi="Arial"/>
          <w:bCs/>
          <w:iCs/>
          <w:sz w:val="20"/>
        </w:rPr>
        <w:t xml:space="preserve"> postopk</w:t>
      </w:r>
      <w:r>
        <w:rPr>
          <w:rFonts w:ascii="Arial" w:hAnsi="Arial"/>
          <w:bCs/>
          <w:iCs/>
          <w:sz w:val="20"/>
        </w:rPr>
        <w:t>i</w:t>
      </w:r>
      <w:r w:rsidR="0038398E" w:rsidRPr="00424274">
        <w:rPr>
          <w:rFonts w:ascii="Arial" w:hAnsi="Arial"/>
          <w:bCs/>
          <w:iCs/>
          <w:sz w:val="20"/>
        </w:rPr>
        <w:t xml:space="preserve"> je </w:t>
      </w:r>
      <w:r w:rsidR="008126B7">
        <w:rPr>
          <w:rFonts w:ascii="Arial" w:hAnsi="Arial"/>
          <w:bCs/>
          <w:iCs/>
          <w:sz w:val="20"/>
        </w:rPr>
        <w:t>treba</w:t>
      </w:r>
      <w:r w:rsidR="0038398E" w:rsidRPr="00424274">
        <w:rPr>
          <w:rFonts w:ascii="Arial" w:hAnsi="Arial"/>
          <w:bCs/>
          <w:iCs/>
          <w:sz w:val="20"/>
        </w:rPr>
        <w:t xml:space="preserve"> doseči jasne in trdne dokazne standarde pri dokazovanju predhodnega kaznivega dejanja v primerih avtonomnega pranja denarja, ki jih lahko s svojimi odločitvami pomagajo izoblikovati pritožbene instance, pri čemer je </w:t>
      </w:r>
      <w:r w:rsidR="008126B7">
        <w:rPr>
          <w:rFonts w:ascii="Arial" w:hAnsi="Arial"/>
          <w:bCs/>
          <w:iCs/>
          <w:sz w:val="20"/>
        </w:rPr>
        <w:t>treba</w:t>
      </w:r>
      <w:r w:rsidR="0038398E" w:rsidRPr="00424274">
        <w:rPr>
          <w:rFonts w:ascii="Arial" w:hAnsi="Arial"/>
          <w:bCs/>
          <w:iCs/>
          <w:sz w:val="20"/>
        </w:rPr>
        <w:t xml:space="preserve"> </w:t>
      </w:r>
      <w:r>
        <w:rPr>
          <w:rFonts w:ascii="Arial" w:hAnsi="Arial"/>
          <w:bCs/>
          <w:iCs/>
          <w:sz w:val="20"/>
        </w:rPr>
        <w:t>upoštevati</w:t>
      </w:r>
      <w:r w:rsidR="0038398E" w:rsidRPr="00424274">
        <w:rPr>
          <w:rFonts w:ascii="Arial" w:hAnsi="Arial"/>
          <w:bCs/>
          <w:iCs/>
          <w:sz w:val="20"/>
        </w:rPr>
        <w:t xml:space="preserve"> posebno vlogo, ki jo ima s svojimi odločitvami Vrhovno sodišče;</w:t>
      </w:r>
    </w:p>
    <w:p w14:paraId="4FA288BD" w14:textId="27865C6B" w:rsidR="0038398E" w:rsidRPr="00424274" w:rsidRDefault="008126B7" w:rsidP="0038398E">
      <w:pPr>
        <w:widowControl/>
        <w:numPr>
          <w:ilvl w:val="0"/>
          <w:numId w:val="14"/>
        </w:numPr>
        <w:spacing w:before="120" w:line="276" w:lineRule="auto"/>
        <w:ind w:right="-23"/>
        <w:rPr>
          <w:rFonts w:ascii="Arial" w:hAnsi="Arial"/>
          <w:bCs/>
          <w:iCs/>
          <w:sz w:val="20"/>
        </w:rPr>
      </w:pPr>
      <w:r>
        <w:rPr>
          <w:rFonts w:ascii="Arial" w:hAnsi="Arial"/>
          <w:bCs/>
          <w:iCs/>
          <w:sz w:val="20"/>
        </w:rPr>
        <w:t>treba</w:t>
      </w:r>
      <w:r w:rsidR="0038398E" w:rsidRPr="00424274">
        <w:rPr>
          <w:rFonts w:ascii="Arial" w:hAnsi="Arial"/>
          <w:bCs/>
          <w:iCs/>
          <w:sz w:val="20"/>
        </w:rPr>
        <w:t xml:space="preserve"> je okrepiti nadzor predvsem nad gotovinskimi transakcijami, prenosi gotovine </w:t>
      </w:r>
      <w:r>
        <w:rPr>
          <w:rFonts w:ascii="Arial" w:hAnsi="Arial"/>
          <w:bCs/>
          <w:iCs/>
          <w:sz w:val="20"/>
        </w:rPr>
        <w:t>in</w:t>
      </w:r>
      <w:r w:rsidRPr="00424274">
        <w:rPr>
          <w:rFonts w:ascii="Arial" w:hAnsi="Arial"/>
          <w:bCs/>
          <w:iCs/>
          <w:sz w:val="20"/>
        </w:rPr>
        <w:t xml:space="preserve"> </w:t>
      </w:r>
      <w:r w:rsidR="0038398E" w:rsidRPr="00424274">
        <w:rPr>
          <w:rFonts w:ascii="Arial" w:hAnsi="Arial"/>
          <w:bCs/>
          <w:iCs/>
          <w:sz w:val="20"/>
        </w:rPr>
        <w:t>transakcijami, ki so kakor</w:t>
      </w:r>
      <w:r>
        <w:rPr>
          <w:rFonts w:ascii="Arial" w:hAnsi="Arial"/>
          <w:bCs/>
          <w:iCs/>
          <w:sz w:val="20"/>
        </w:rPr>
        <w:t xml:space="preserve"> </w:t>
      </w:r>
      <w:r w:rsidR="0038398E" w:rsidRPr="00424274">
        <w:rPr>
          <w:rFonts w:ascii="Arial" w:hAnsi="Arial"/>
          <w:bCs/>
          <w:iCs/>
          <w:sz w:val="20"/>
        </w:rPr>
        <w:t xml:space="preserve">koli povezane z visoko tveganimi državami in območji, </w:t>
      </w:r>
      <w:r>
        <w:rPr>
          <w:rFonts w:ascii="Arial" w:hAnsi="Arial"/>
          <w:bCs/>
          <w:iCs/>
          <w:sz w:val="20"/>
        </w:rPr>
        <w:t>naveden</w:t>
      </w:r>
      <w:r w:rsidR="00210B00">
        <w:rPr>
          <w:rFonts w:ascii="Arial" w:hAnsi="Arial"/>
          <w:bCs/>
          <w:iCs/>
          <w:sz w:val="20"/>
        </w:rPr>
        <w:t>imi</w:t>
      </w:r>
      <w:r w:rsidR="0038398E" w:rsidRPr="00424274">
        <w:rPr>
          <w:rFonts w:ascii="Arial" w:hAnsi="Arial"/>
          <w:bCs/>
          <w:iCs/>
          <w:sz w:val="20"/>
        </w:rPr>
        <w:t xml:space="preserve"> na seznamih, ki jih sestavljajo mednarodne organizacije in </w:t>
      </w:r>
      <w:r w:rsidR="00814A21">
        <w:rPr>
          <w:rFonts w:ascii="Arial" w:hAnsi="Arial"/>
          <w:bCs/>
          <w:iCs/>
          <w:sz w:val="20"/>
        </w:rPr>
        <w:t>urad</w:t>
      </w:r>
      <w:r w:rsidR="0038398E" w:rsidRPr="00424274">
        <w:rPr>
          <w:rFonts w:ascii="Arial" w:hAnsi="Arial"/>
          <w:bCs/>
          <w:iCs/>
          <w:sz w:val="20"/>
        </w:rPr>
        <w:t>.</w:t>
      </w:r>
    </w:p>
    <w:p w14:paraId="29648EA8" w14:textId="77777777" w:rsidR="0038398E" w:rsidRPr="00424274" w:rsidRDefault="0038398E" w:rsidP="0038398E">
      <w:pPr>
        <w:spacing w:line="276" w:lineRule="auto"/>
        <w:rPr>
          <w:rFonts w:ascii="Arial" w:hAnsi="Arial"/>
          <w:sz w:val="20"/>
        </w:rPr>
      </w:pPr>
    </w:p>
    <w:p w14:paraId="31BA70DE" w14:textId="175B1E43" w:rsidR="008833B4" w:rsidRPr="00424274" w:rsidRDefault="0038398E" w:rsidP="0045665B">
      <w:pPr>
        <w:spacing w:line="276" w:lineRule="auto"/>
        <w:rPr>
          <w:rFonts w:ascii="Arial" w:hAnsi="Arial"/>
          <w:sz w:val="20"/>
        </w:rPr>
      </w:pPr>
      <w:r w:rsidRPr="00424274">
        <w:rPr>
          <w:rFonts w:ascii="Arial" w:hAnsi="Arial"/>
          <w:bCs/>
          <w:sz w:val="20"/>
        </w:rPr>
        <w:t xml:space="preserve">Navedene predloge ukrepov in druge ukrepe v zvezi s celotnim sistemom boja proti pranju denarja je </w:t>
      </w:r>
      <w:r w:rsidR="00814A21">
        <w:rPr>
          <w:rFonts w:ascii="Arial" w:hAnsi="Arial"/>
          <w:bCs/>
          <w:sz w:val="20"/>
        </w:rPr>
        <w:t>urad</w:t>
      </w:r>
      <w:r w:rsidRPr="00424274">
        <w:rPr>
          <w:rFonts w:ascii="Arial" w:hAnsi="Arial"/>
          <w:bCs/>
          <w:sz w:val="20"/>
        </w:rPr>
        <w:t xml:space="preserve"> v sodelovanju z </w:t>
      </w:r>
      <w:r w:rsidR="008126B7">
        <w:rPr>
          <w:rFonts w:ascii="Arial" w:hAnsi="Arial"/>
          <w:bCs/>
          <w:sz w:val="20"/>
        </w:rPr>
        <w:t>drugimi</w:t>
      </w:r>
      <w:r w:rsidR="008126B7" w:rsidRPr="00424274">
        <w:rPr>
          <w:rFonts w:ascii="Arial" w:hAnsi="Arial"/>
          <w:bCs/>
          <w:sz w:val="20"/>
        </w:rPr>
        <w:t xml:space="preserve"> </w:t>
      </w:r>
      <w:r w:rsidRPr="00424274">
        <w:rPr>
          <w:rFonts w:ascii="Arial" w:hAnsi="Arial"/>
          <w:bCs/>
          <w:sz w:val="20"/>
        </w:rPr>
        <w:t>organi in institucijami vključil v dva akcijska načrta, in sicer za izboljšanje zakonodajne usklajenosti z mednarodnimi standardi ter zakonodajo s področja preprečevanja pranja denarja in financiranja terorizma ter za povečanje učinkovitosti sistema boja proti pranju denarja in financiranju terorizma, ki ju je sprejela Vlada Republike Slovenije na svoji zadnji decembrski seji v letu 2017</w:t>
      </w:r>
      <w:r w:rsidRPr="00424274">
        <w:rPr>
          <w:rFonts w:ascii="Arial" w:hAnsi="Arial" w:cs="Times New Roman"/>
          <w:sz w:val="20"/>
          <w:vertAlign w:val="superscript"/>
        </w:rPr>
        <w:footnoteReference w:id="9"/>
      </w:r>
      <w:r w:rsidRPr="00424274">
        <w:rPr>
          <w:rFonts w:ascii="Arial" w:hAnsi="Arial"/>
          <w:sz w:val="20"/>
        </w:rPr>
        <w:t>.</w:t>
      </w:r>
    </w:p>
    <w:p w14:paraId="5888D335" w14:textId="77777777" w:rsidR="002F64F4" w:rsidRPr="00424274" w:rsidRDefault="0045695C" w:rsidP="00D21F86">
      <w:pPr>
        <w:pStyle w:val="Naslov1"/>
        <w:numPr>
          <w:ilvl w:val="0"/>
          <w:numId w:val="6"/>
        </w:numPr>
        <w:spacing w:line="276" w:lineRule="auto"/>
        <w:rPr>
          <w:rFonts w:ascii="Arial" w:hAnsi="Arial"/>
          <w:sz w:val="20"/>
        </w:rPr>
      </w:pPr>
      <w:bookmarkStart w:id="91" w:name="_Toc113535475"/>
      <w:r w:rsidRPr="00424274">
        <w:rPr>
          <w:rFonts w:ascii="Arial" w:hAnsi="Arial"/>
          <w:sz w:val="20"/>
        </w:rPr>
        <w:t>P</w:t>
      </w:r>
      <w:r w:rsidR="002F64F4" w:rsidRPr="00424274">
        <w:rPr>
          <w:rFonts w:ascii="Arial" w:hAnsi="Arial"/>
          <w:sz w:val="20"/>
        </w:rPr>
        <w:t>REVENTIVA IN NADZOR</w:t>
      </w:r>
      <w:bookmarkEnd w:id="91"/>
    </w:p>
    <w:p w14:paraId="141B7AF0" w14:textId="77777777" w:rsidR="002F64F4" w:rsidRPr="00424274" w:rsidRDefault="002F64F4" w:rsidP="00D21F86">
      <w:pPr>
        <w:spacing w:line="276" w:lineRule="auto"/>
        <w:rPr>
          <w:rFonts w:ascii="Arial" w:hAnsi="Arial"/>
          <w:sz w:val="20"/>
        </w:rPr>
      </w:pPr>
    </w:p>
    <w:p w14:paraId="45AC122C" w14:textId="1DA4ADC9" w:rsidR="00120ED1" w:rsidRPr="00424274" w:rsidRDefault="00120ED1" w:rsidP="00120ED1">
      <w:pPr>
        <w:spacing w:line="276" w:lineRule="auto"/>
        <w:rPr>
          <w:rFonts w:ascii="Arial" w:hAnsi="Arial"/>
          <w:sz w:val="20"/>
        </w:rPr>
      </w:pPr>
      <w:bookmarkStart w:id="92" w:name="_Toc292714847"/>
      <w:bookmarkStart w:id="93" w:name="_Toc325462245"/>
      <w:bookmarkStart w:id="94" w:name="_Toc402346327"/>
      <w:r w:rsidRPr="00424274">
        <w:rPr>
          <w:rFonts w:ascii="Arial" w:hAnsi="Arial"/>
          <w:sz w:val="20"/>
        </w:rPr>
        <w:lastRenderedPageBreak/>
        <w:t xml:space="preserve">Delo </w:t>
      </w:r>
      <w:r w:rsidR="00814A21">
        <w:rPr>
          <w:rFonts w:ascii="Arial" w:hAnsi="Arial"/>
          <w:sz w:val="20"/>
        </w:rPr>
        <w:t>urad</w:t>
      </w:r>
      <w:r w:rsidRPr="00424274">
        <w:rPr>
          <w:rFonts w:ascii="Arial" w:hAnsi="Arial"/>
          <w:sz w:val="20"/>
        </w:rPr>
        <w:t xml:space="preserve">a na področju preventive in nadzora je v letu 2020 obsegalo: </w:t>
      </w:r>
    </w:p>
    <w:p w14:paraId="7541EA70" w14:textId="77777777" w:rsidR="00120ED1" w:rsidRPr="00424274" w:rsidRDefault="00120ED1" w:rsidP="00120ED1">
      <w:pPr>
        <w:numPr>
          <w:ilvl w:val="0"/>
          <w:numId w:val="8"/>
        </w:numPr>
        <w:spacing w:line="276" w:lineRule="auto"/>
        <w:rPr>
          <w:rFonts w:ascii="Arial" w:hAnsi="Arial"/>
          <w:sz w:val="20"/>
        </w:rPr>
      </w:pPr>
      <w:r w:rsidRPr="00424274">
        <w:rPr>
          <w:rFonts w:ascii="Arial" w:hAnsi="Arial"/>
          <w:sz w:val="20"/>
        </w:rPr>
        <w:t>preoblikovanje predloga Zakona o spremembah in dopolnitvah Zakona o preprečevanju pranja denarja in financiranja terorizma (ZPPDFT-1B);</w:t>
      </w:r>
    </w:p>
    <w:p w14:paraId="7CCBBD53" w14:textId="77777777" w:rsidR="00120ED1" w:rsidRPr="00424274" w:rsidRDefault="00120ED1" w:rsidP="00120ED1">
      <w:pPr>
        <w:numPr>
          <w:ilvl w:val="0"/>
          <w:numId w:val="8"/>
        </w:numPr>
        <w:spacing w:line="276" w:lineRule="auto"/>
        <w:rPr>
          <w:rFonts w:ascii="Arial" w:hAnsi="Arial"/>
          <w:sz w:val="20"/>
        </w:rPr>
      </w:pPr>
      <w:r w:rsidRPr="00424274">
        <w:rPr>
          <w:rFonts w:ascii="Arial" w:hAnsi="Arial"/>
          <w:sz w:val="20"/>
        </w:rPr>
        <w:t>pripravo predloga Zakona o spremembah in dopolnitvah Zakona o preprečevanju pranja denarja in financiranja terorizma (ZPPDFT-1C);</w:t>
      </w:r>
    </w:p>
    <w:p w14:paraId="2F2B160F" w14:textId="77777777" w:rsidR="00120ED1" w:rsidRPr="00424274" w:rsidRDefault="00120ED1" w:rsidP="00120ED1">
      <w:pPr>
        <w:numPr>
          <w:ilvl w:val="0"/>
          <w:numId w:val="8"/>
        </w:numPr>
        <w:spacing w:line="276" w:lineRule="auto"/>
        <w:rPr>
          <w:rFonts w:ascii="Arial" w:hAnsi="Arial"/>
          <w:sz w:val="20"/>
        </w:rPr>
      </w:pPr>
      <w:r w:rsidRPr="00424274">
        <w:rPr>
          <w:rFonts w:ascii="Arial" w:hAnsi="Arial"/>
          <w:sz w:val="20"/>
        </w:rPr>
        <w:t>začetek priprave predloga Zakona o preprečevanju pranja denarja in financiranja terorizma (ZPPDFT-2);</w:t>
      </w:r>
    </w:p>
    <w:p w14:paraId="22FA0F7F" w14:textId="77777777" w:rsidR="00120ED1" w:rsidRPr="00424274" w:rsidRDefault="00120ED1" w:rsidP="00120ED1">
      <w:pPr>
        <w:numPr>
          <w:ilvl w:val="0"/>
          <w:numId w:val="8"/>
        </w:numPr>
        <w:spacing w:line="276" w:lineRule="auto"/>
        <w:rPr>
          <w:rFonts w:ascii="Arial" w:hAnsi="Arial"/>
          <w:sz w:val="20"/>
        </w:rPr>
      </w:pPr>
      <w:r w:rsidRPr="00424274">
        <w:rPr>
          <w:rFonts w:ascii="Arial" w:hAnsi="Arial"/>
          <w:sz w:val="20"/>
        </w:rPr>
        <w:t>pripravo predloga Uredbe o seznamu funkcij, ki se v Republiki Sloveniji štejejo kot vidni javni položaji (Uradni list RS, št. 164/20);</w:t>
      </w:r>
    </w:p>
    <w:p w14:paraId="6E315101" w14:textId="77777777" w:rsidR="00120ED1" w:rsidRPr="00424274" w:rsidRDefault="00120ED1" w:rsidP="00120ED1">
      <w:pPr>
        <w:numPr>
          <w:ilvl w:val="0"/>
          <w:numId w:val="8"/>
        </w:numPr>
        <w:spacing w:line="276" w:lineRule="auto"/>
        <w:rPr>
          <w:rFonts w:ascii="Arial" w:hAnsi="Arial"/>
          <w:sz w:val="20"/>
        </w:rPr>
      </w:pPr>
      <w:r w:rsidRPr="00424274">
        <w:rPr>
          <w:rFonts w:ascii="Arial" w:hAnsi="Arial"/>
          <w:sz w:val="20"/>
        </w:rPr>
        <w:t>pripravo predloga Pravilnika o vzpostavitvi in vodenju registra ponudnikov storitev menjav med virtualnimi in fiat valutami ter ponudnikov skrbniških denarnic (Uradni list RS, št. 41/21);</w:t>
      </w:r>
    </w:p>
    <w:p w14:paraId="74FD7358" w14:textId="77777777" w:rsidR="00120ED1" w:rsidRPr="00424274" w:rsidRDefault="00120ED1" w:rsidP="00120ED1">
      <w:pPr>
        <w:numPr>
          <w:ilvl w:val="0"/>
          <w:numId w:val="8"/>
        </w:numPr>
        <w:spacing w:line="276" w:lineRule="auto"/>
        <w:rPr>
          <w:rFonts w:ascii="Arial" w:hAnsi="Arial"/>
          <w:sz w:val="20"/>
        </w:rPr>
      </w:pPr>
      <w:r w:rsidRPr="00424274">
        <w:rPr>
          <w:rFonts w:ascii="Arial" w:hAnsi="Arial"/>
          <w:sz w:val="20"/>
        </w:rPr>
        <w:t>pripravo Pravilnika o spremembi in dopolnitvah Pravilnika o dejavnikih neznatnega in povečanega tveganja za pranje denarja ali financiranje terorizma (Uradni list RS, št. 152/20);</w:t>
      </w:r>
    </w:p>
    <w:p w14:paraId="3A3EEB09" w14:textId="3CE43623" w:rsidR="00120ED1" w:rsidRPr="00424274" w:rsidRDefault="00120ED1" w:rsidP="00120ED1">
      <w:pPr>
        <w:numPr>
          <w:ilvl w:val="0"/>
          <w:numId w:val="8"/>
        </w:numPr>
        <w:spacing w:line="276" w:lineRule="auto"/>
        <w:rPr>
          <w:rFonts w:ascii="Arial" w:hAnsi="Arial"/>
          <w:sz w:val="20"/>
        </w:rPr>
      </w:pPr>
      <w:r w:rsidRPr="00424274">
        <w:rPr>
          <w:rFonts w:ascii="Arial" w:hAnsi="Arial"/>
          <w:sz w:val="20"/>
        </w:rPr>
        <w:t xml:space="preserve">pripravo </w:t>
      </w:r>
      <w:r w:rsidR="008158E5">
        <w:rPr>
          <w:rFonts w:ascii="Arial" w:hAnsi="Arial"/>
          <w:sz w:val="20"/>
        </w:rPr>
        <w:t>P</w:t>
      </w:r>
      <w:r w:rsidRPr="00424274">
        <w:rPr>
          <w:rFonts w:ascii="Arial" w:hAnsi="Arial"/>
          <w:sz w:val="20"/>
        </w:rPr>
        <w:t xml:space="preserve">ravilnika o tehničnih pogojih, ki jih morajo izpolnjevati sefi in </w:t>
      </w:r>
      <w:proofErr w:type="spellStart"/>
      <w:r w:rsidRPr="00424274">
        <w:rPr>
          <w:rFonts w:ascii="Arial" w:hAnsi="Arial"/>
          <w:sz w:val="20"/>
        </w:rPr>
        <w:t>videoelektronska</w:t>
      </w:r>
      <w:proofErr w:type="spellEnd"/>
      <w:r w:rsidRPr="00424274">
        <w:rPr>
          <w:rFonts w:ascii="Arial" w:hAnsi="Arial"/>
          <w:sz w:val="20"/>
        </w:rPr>
        <w:t xml:space="preserve"> identifikacijska sredstva oziroma sredstva, ki omogočajo identifikacijo stranke na podlagi njenih biometričnih značilnosti;</w:t>
      </w:r>
    </w:p>
    <w:p w14:paraId="1ACB79AF" w14:textId="19FDB761" w:rsidR="00120ED1" w:rsidRPr="00424274" w:rsidRDefault="00120ED1" w:rsidP="00120ED1">
      <w:pPr>
        <w:numPr>
          <w:ilvl w:val="0"/>
          <w:numId w:val="8"/>
        </w:numPr>
        <w:spacing w:line="276" w:lineRule="auto"/>
        <w:rPr>
          <w:rFonts w:ascii="Arial" w:hAnsi="Arial"/>
          <w:sz w:val="20"/>
        </w:rPr>
      </w:pPr>
      <w:r w:rsidRPr="00424274">
        <w:rPr>
          <w:rFonts w:ascii="Arial" w:hAnsi="Arial"/>
          <w:sz w:val="20"/>
        </w:rPr>
        <w:t>priprav</w:t>
      </w:r>
      <w:r w:rsidR="00865DEA" w:rsidRPr="00424274">
        <w:rPr>
          <w:rFonts w:ascii="Arial" w:hAnsi="Arial"/>
          <w:sz w:val="20"/>
        </w:rPr>
        <w:t>o</w:t>
      </w:r>
      <w:r w:rsidRPr="00424274">
        <w:rPr>
          <w:rFonts w:ascii="Arial" w:hAnsi="Arial"/>
          <w:sz w:val="20"/>
        </w:rPr>
        <w:t xml:space="preserve"> predloga Pravilnika o tehničnih pogojih, ki jih morajo izpolnjevati sefi in </w:t>
      </w:r>
      <w:proofErr w:type="spellStart"/>
      <w:r w:rsidRPr="00424274">
        <w:rPr>
          <w:rFonts w:ascii="Arial" w:hAnsi="Arial"/>
          <w:sz w:val="20"/>
        </w:rPr>
        <w:t>videoelektronska</w:t>
      </w:r>
      <w:proofErr w:type="spellEnd"/>
      <w:r w:rsidRPr="00424274">
        <w:rPr>
          <w:rFonts w:ascii="Arial" w:hAnsi="Arial"/>
          <w:sz w:val="20"/>
        </w:rPr>
        <w:t xml:space="preserve"> identifikacijska sredstva oziroma sredstva, ki omogočajo identifikacijo stranke na podlagi njenih biometričnih značilnosti;</w:t>
      </w:r>
    </w:p>
    <w:p w14:paraId="0B07F802" w14:textId="3570D5D6" w:rsidR="00120ED1" w:rsidRPr="00424274" w:rsidRDefault="00120ED1" w:rsidP="00120ED1">
      <w:pPr>
        <w:numPr>
          <w:ilvl w:val="0"/>
          <w:numId w:val="8"/>
        </w:numPr>
        <w:spacing w:line="276" w:lineRule="auto"/>
        <w:rPr>
          <w:rFonts w:ascii="Arial" w:hAnsi="Arial"/>
          <w:sz w:val="20"/>
        </w:rPr>
      </w:pPr>
      <w:r w:rsidRPr="00424274">
        <w:rPr>
          <w:rFonts w:ascii="Arial" w:hAnsi="Arial"/>
          <w:sz w:val="20"/>
        </w:rPr>
        <w:t>priprav</w:t>
      </w:r>
      <w:r w:rsidR="00865DEA" w:rsidRPr="00424274">
        <w:rPr>
          <w:rFonts w:ascii="Arial" w:hAnsi="Arial"/>
          <w:sz w:val="20"/>
        </w:rPr>
        <w:t>o</w:t>
      </w:r>
      <w:r w:rsidRPr="00424274">
        <w:rPr>
          <w:rFonts w:ascii="Arial" w:hAnsi="Arial"/>
          <w:sz w:val="20"/>
        </w:rPr>
        <w:t xml:space="preserve"> predloga odgovora na </w:t>
      </w:r>
      <w:r w:rsidR="008A6A7E">
        <w:rPr>
          <w:rFonts w:ascii="Arial" w:hAnsi="Arial"/>
          <w:sz w:val="20"/>
        </w:rPr>
        <w:t>u</w:t>
      </w:r>
      <w:r w:rsidRPr="00424274">
        <w:rPr>
          <w:rFonts w:ascii="Arial" w:hAnsi="Arial"/>
          <w:sz w:val="20"/>
        </w:rPr>
        <w:t xml:space="preserve">radni opomin Evropske komisije zaradi </w:t>
      </w:r>
      <w:proofErr w:type="spellStart"/>
      <w:r w:rsidRPr="00424274">
        <w:rPr>
          <w:rFonts w:ascii="Arial" w:hAnsi="Arial"/>
          <w:sz w:val="20"/>
        </w:rPr>
        <w:t>nenotifikacije</w:t>
      </w:r>
      <w:proofErr w:type="spellEnd"/>
      <w:r w:rsidRPr="00424274">
        <w:rPr>
          <w:rFonts w:ascii="Arial" w:hAnsi="Arial"/>
          <w:sz w:val="20"/>
        </w:rPr>
        <w:t xml:space="preserve"> predpisov za prenos Direktive (EU) 2018/843 Evropskega parlamenta in Sveta z dne 30. maja 2018 o spremembi Direktive (EU) 2015/849 o preprečevanju uporabe finančnega sistema za pranje denarja ali financiranje terorizma ter o spremembi direktiv 2009/138/ES in 2013/36/EU v pravni red RS (v nadaljevanju: Direktiva (EU) 2018/843);</w:t>
      </w:r>
    </w:p>
    <w:p w14:paraId="4BC21880" w14:textId="52122E9A" w:rsidR="00120ED1" w:rsidRPr="00424274" w:rsidRDefault="00120ED1" w:rsidP="00120ED1">
      <w:pPr>
        <w:numPr>
          <w:ilvl w:val="0"/>
          <w:numId w:val="8"/>
        </w:numPr>
        <w:spacing w:line="276" w:lineRule="auto"/>
        <w:rPr>
          <w:rFonts w:ascii="Arial" w:hAnsi="Arial"/>
          <w:sz w:val="20"/>
        </w:rPr>
      </w:pPr>
      <w:r w:rsidRPr="00424274">
        <w:rPr>
          <w:rFonts w:ascii="Arial" w:hAnsi="Arial"/>
          <w:sz w:val="20"/>
        </w:rPr>
        <w:t>priprav</w:t>
      </w:r>
      <w:r w:rsidR="00865DEA" w:rsidRPr="00424274">
        <w:rPr>
          <w:rFonts w:ascii="Arial" w:hAnsi="Arial"/>
          <w:sz w:val="20"/>
        </w:rPr>
        <w:t>o</w:t>
      </w:r>
      <w:r w:rsidRPr="00424274">
        <w:rPr>
          <w:rFonts w:ascii="Arial" w:hAnsi="Arial"/>
          <w:sz w:val="20"/>
        </w:rPr>
        <w:t xml:space="preserve"> predloga odgovora na </w:t>
      </w:r>
      <w:r w:rsidR="008A6A7E">
        <w:rPr>
          <w:rFonts w:ascii="Arial" w:hAnsi="Arial"/>
          <w:sz w:val="20"/>
        </w:rPr>
        <w:t>u</w:t>
      </w:r>
      <w:r w:rsidRPr="00424274">
        <w:rPr>
          <w:rFonts w:ascii="Arial" w:hAnsi="Arial"/>
          <w:sz w:val="20"/>
        </w:rPr>
        <w:t xml:space="preserve">radni opomin Evropske komisije zaradi neizpolnjevanja obveznosti iz nekaterih členov Direktive (EU) 2015/849 Evropskega parlamenta in Sveta z dne 20. maja 2015 o preprečevanju uporabe finančnega sistema za pranje denarja ali financiranje terorizma, spremembi Uredbe (EU) št. 648/2012 Evropskega parlamenta in Sveta ter razveljavitvi Direktive 2005/60/ES Evropskega parlamenta in Sveta </w:t>
      </w:r>
      <w:r w:rsidR="009D7394">
        <w:rPr>
          <w:rFonts w:ascii="Arial" w:hAnsi="Arial"/>
          <w:sz w:val="20"/>
        </w:rPr>
        <w:t>ter</w:t>
      </w:r>
      <w:r w:rsidR="009D7394" w:rsidRPr="00424274">
        <w:rPr>
          <w:rFonts w:ascii="Arial" w:hAnsi="Arial"/>
          <w:sz w:val="20"/>
        </w:rPr>
        <w:t xml:space="preserve"> </w:t>
      </w:r>
      <w:r w:rsidRPr="00424274">
        <w:rPr>
          <w:rFonts w:ascii="Arial" w:hAnsi="Arial"/>
          <w:sz w:val="20"/>
        </w:rPr>
        <w:t>Direktive Komisije 2006/70/ES (v nadaljevanju: Direktiva (EU) 2015/849);</w:t>
      </w:r>
    </w:p>
    <w:p w14:paraId="7032D40B" w14:textId="77777777" w:rsidR="00120ED1" w:rsidRPr="00424274" w:rsidRDefault="00120ED1" w:rsidP="00120ED1">
      <w:pPr>
        <w:numPr>
          <w:ilvl w:val="0"/>
          <w:numId w:val="8"/>
        </w:numPr>
        <w:spacing w:line="276" w:lineRule="auto"/>
        <w:rPr>
          <w:rFonts w:ascii="Arial" w:hAnsi="Arial"/>
          <w:sz w:val="20"/>
        </w:rPr>
      </w:pPr>
      <w:r w:rsidRPr="00424274">
        <w:rPr>
          <w:rFonts w:ascii="Arial" w:hAnsi="Arial"/>
          <w:sz w:val="20"/>
        </w:rPr>
        <w:t>pripravo mnenj in stališč v zvezi z izvajanjem ZPPDFT-1 in podzakonskih aktov, izdanih na njegovi podlagi;</w:t>
      </w:r>
    </w:p>
    <w:p w14:paraId="68FD9943" w14:textId="63C3BCA7" w:rsidR="00120ED1" w:rsidRPr="00424274" w:rsidRDefault="00120ED1" w:rsidP="00120ED1">
      <w:pPr>
        <w:numPr>
          <w:ilvl w:val="0"/>
          <w:numId w:val="8"/>
        </w:numPr>
        <w:spacing w:line="276" w:lineRule="auto"/>
        <w:rPr>
          <w:rFonts w:ascii="Arial" w:hAnsi="Arial"/>
          <w:sz w:val="20"/>
        </w:rPr>
      </w:pPr>
      <w:r w:rsidRPr="00424274">
        <w:rPr>
          <w:rFonts w:ascii="Arial" w:hAnsi="Arial"/>
          <w:sz w:val="20"/>
        </w:rPr>
        <w:t>priprav</w:t>
      </w:r>
      <w:r w:rsidR="00865DEA" w:rsidRPr="00424274">
        <w:rPr>
          <w:rFonts w:ascii="Arial" w:hAnsi="Arial"/>
          <w:sz w:val="20"/>
        </w:rPr>
        <w:t>o</w:t>
      </w:r>
      <w:r w:rsidRPr="00424274">
        <w:rPr>
          <w:rFonts w:ascii="Arial" w:hAnsi="Arial"/>
          <w:sz w:val="20"/>
        </w:rPr>
        <w:t xml:space="preserve"> na vzpostavite</w:t>
      </w:r>
      <w:r w:rsidR="007D64BE" w:rsidRPr="00424274">
        <w:rPr>
          <w:rFonts w:ascii="Arial" w:hAnsi="Arial"/>
          <w:sz w:val="20"/>
        </w:rPr>
        <w:t>v</w:t>
      </w:r>
      <w:r w:rsidRPr="00424274">
        <w:rPr>
          <w:rFonts w:ascii="Arial" w:hAnsi="Arial"/>
          <w:sz w:val="20"/>
        </w:rPr>
        <w:t xml:space="preserve"> registra ponudnikov storitev menjav med virtualnimi in fiat valutami ter ponudnikov skrbniških denarnic;</w:t>
      </w:r>
    </w:p>
    <w:p w14:paraId="63ED9580" w14:textId="6AD19656" w:rsidR="00120ED1" w:rsidRPr="00424274" w:rsidRDefault="00120ED1" w:rsidP="00120ED1">
      <w:pPr>
        <w:numPr>
          <w:ilvl w:val="0"/>
          <w:numId w:val="8"/>
        </w:numPr>
        <w:spacing w:line="276" w:lineRule="auto"/>
        <w:rPr>
          <w:rFonts w:ascii="Arial" w:hAnsi="Arial"/>
          <w:sz w:val="20"/>
        </w:rPr>
      </w:pPr>
      <w:r w:rsidRPr="00424274">
        <w:rPr>
          <w:rFonts w:ascii="Arial" w:hAnsi="Arial"/>
          <w:sz w:val="20"/>
        </w:rPr>
        <w:t xml:space="preserve">sodelovanje v odborih mednarodnih teles (Evropska </w:t>
      </w:r>
      <w:r w:rsidR="00CA0756" w:rsidRPr="00424274">
        <w:rPr>
          <w:rFonts w:ascii="Arial" w:hAnsi="Arial"/>
          <w:sz w:val="20"/>
        </w:rPr>
        <w:t>komisija</w:t>
      </w:r>
      <w:r w:rsidRPr="00424274">
        <w:rPr>
          <w:rFonts w:ascii="Arial" w:hAnsi="Arial"/>
          <w:sz w:val="20"/>
        </w:rPr>
        <w:t xml:space="preserve">, Svet Evrope), ki se ukvarjajo s preprečevanjem in odkrivanjem pranja denarja; </w:t>
      </w:r>
    </w:p>
    <w:p w14:paraId="2C8D3A80" w14:textId="1E92BBB0" w:rsidR="00120ED1" w:rsidRPr="00424274" w:rsidRDefault="00120ED1" w:rsidP="00120ED1">
      <w:pPr>
        <w:numPr>
          <w:ilvl w:val="0"/>
          <w:numId w:val="8"/>
        </w:numPr>
        <w:spacing w:line="276" w:lineRule="auto"/>
        <w:rPr>
          <w:rFonts w:ascii="Arial" w:hAnsi="Arial"/>
          <w:sz w:val="20"/>
        </w:rPr>
      </w:pPr>
      <w:r w:rsidRPr="00424274">
        <w:rPr>
          <w:rFonts w:ascii="Arial" w:hAnsi="Arial"/>
          <w:sz w:val="20"/>
        </w:rPr>
        <w:t xml:space="preserve">sodelovanje pri pripravi odziva na ocenjevanje Slovenije v </w:t>
      </w:r>
      <w:r w:rsidR="008158E5">
        <w:rPr>
          <w:rFonts w:ascii="Arial" w:hAnsi="Arial"/>
          <w:sz w:val="20"/>
        </w:rPr>
        <w:t>petem</w:t>
      </w:r>
      <w:r w:rsidRPr="00424274">
        <w:rPr>
          <w:rFonts w:ascii="Arial" w:hAnsi="Arial"/>
          <w:sz w:val="20"/>
        </w:rPr>
        <w:t xml:space="preserve"> krogu odbora Sveta Evrope </w:t>
      </w:r>
      <w:proofErr w:type="spellStart"/>
      <w:r w:rsidRPr="00424274">
        <w:rPr>
          <w:rFonts w:ascii="Arial" w:hAnsi="Arial"/>
          <w:sz w:val="20"/>
        </w:rPr>
        <w:t>Moneyval</w:t>
      </w:r>
      <w:proofErr w:type="spellEnd"/>
      <w:r w:rsidRPr="00424274">
        <w:rPr>
          <w:rFonts w:ascii="Arial" w:hAnsi="Arial"/>
          <w:sz w:val="20"/>
        </w:rPr>
        <w:t>;</w:t>
      </w:r>
    </w:p>
    <w:p w14:paraId="410A02A9" w14:textId="77777777" w:rsidR="00120ED1" w:rsidRPr="00424274" w:rsidRDefault="00120ED1" w:rsidP="00120ED1">
      <w:pPr>
        <w:numPr>
          <w:ilvl w:val="0"/>
          <w:numId w:val="8"/>
        </w:numPr>
        <w:spacing w:line="276" w:lineRule="auto"/>
        <w:rPr>
          <w:rFonts w:ascii="Arial" w:hAnsi="Arial"/>
          <w:sz w:val="20"/>
        </w:rPr>
      </w:pPr>
      <w:r w:rsidRPr="00424274">
        <w:rPr>
          <w:rFonts w:ascii="Arial" w:hAnsi="Arial"/>
          <w:sz w:val="20"/>
        </w:rPr>
        <w:t>nadzor nad izvajanjem zakonskih določil pri zavezancih iz 4. člena ZPPDFT-1;</w:t>
      </w:r>
    </w:p>
    <w:p w14:paraId="3814F625" w14:textId="77777777" w:rsidR="00120ED1" w:rsidRPr="00424274" w:rsidRDefault="00120ED1" w:rsidP="00120ED1">
      <w:pPr>
        <w:numPr>
          <w:ilvl w:val="0"/>
          <w:numId w:val="8"/>
        </w:numPr>
        <w:spacing w:line="276" w:lineRule="auto"/>
        <w:rPr>
          <w:rFonts w:ascii="Arial" w:hAnsi="Arial"/>
          <w:sz w:val="20"/>
        </w:rPr>
      </w:pPr>
      <w:r w:rsidRPr="00424274">
        <w:rPr>
          <w:rFonts w:ascii="Arial" w:hAnsi="Arial"/>
          <w:sz w:val="20"/>
        </w:rPr>
        <w:t>sodelovanje pri izobraževanju in strokovnem usposabljanju zaposlenih pri zavezancih;</w:t>
      </w:r>
    </w:p>
    <w:p w14:paraId="1733C0BC" w14:textId="77777777" w:rsidR="00120ED1" w:rsidRPr="00424274" w:rsidRDefault="00120ED1" w:rsidP="00120ED1">
      <w:pPr>
        <w:numPr>
          <w:ilvl w:val="0"/>
          <w:numId w:val="8"/>
        </w:numPr>
        <w:spacing w:line="276" w:lineRule="auto"/>
        <w:rPr>
          <w:rFonts w:ascii="Arial" w:hAnsi="Arial"/>
          <w:sz w:val="20"/>
        </w:rPr>
      </w:pPr>
      <w:r w:rsidRPr="00424274">
        <w:rPr>
          <w:rFonts w:ascii="Arial" w:hAnsi="Arial"/>
          <w:sz w:val="20"/>
        </w:rPr>
        <w:t>sodelovanje pri pripravi in usklajevanju predpisov drugih pristojnih organov;</w:t>
      </w:r>
    </w:p>
    <w:p w14:paraId="3775B73A" w14:textId="23977DD0" w:rsidR="00120ED1" w:rsidRPr="00424274" w:rsidRDefault="00120ED1" w:rsidP="00120ED1">
      <w:pPr>
        <w:numPr>
          <w:ilvl w:val="0"/>
          <w:numId w:val="8"/>
        </w:numPr>
        <w:spacing w:line="276" w:lineRule="auto"/>
        <w:rPr>
          <w:rFonts w:ascii="Arial" w:hAnsi="Arial"/>
          <w:sz w:val="20"/>
        </w:rPr>
      </w:pPr>
      <w:r w:rsidRPr="00424274">
        <w:rPr>
          <w:rFonts w:ascii="Arial" w:hAnsi="Arial"/>
          <w:sz w:val="20"/>
        </w:rPr>
        <w:t>pripravo odgovorov in dokumentacije na vprašanja medijev, na poslanska vprašanja ter na vprašanja in zahteve preiskovalnih komisij Državnega zbora;</w:t>
      </w:r>
    </w:p>
    <w:p w14:paraId="3A02F820" w14:textId="09B0E37D" w:rsidR="00120ED1" w:rsidRPr="00533A0B" w:rsidRDefault="008158E5" w:rsidP="00120ED1">
      <w:pPr>
        <w:widowControl/>
        <w:numPr>
          <w:ilvl w:val="0"/>
          <w:numId w:val="33"/>
        </w:numPr>
        <w:autoSpaceDE w:val="0"/>
        <w:autoSpaceDN w:val="0"/>
        <w:adjustRightInd w:val="0"/>
        <w:jc w:val="left"/>
        <w:rPr>
          <w:rFonts w:ascii="Arial" w:hAnsi="Arial"/>
          <w:szCs w:val="24"/>
          <w:lang w:eastAsia="sl-SI"/>
        </w:rPr>
      </w:pPr>
      <w:r>
        <w:rPr>
          <w:rFonts w:ascii="Arial" w:hAnsi="Arial"/>
          <w:sz w:val="20"/>
          <w:szCs w:val="24"/>
          <w:lang w:eastAsia="sl-SI"/>
        </w:rPr>
        <w:t>sprotno</w:t>
      </w:r>
      <w:r w:rsidRPr="00424274">
        <w:rPr>
          <w:rFonts w:ascii="Arial" w:hAnsi="Arial"/>
          <w:sz w:val="20"/>
          <w:szCs w:val="24"/>
          <w:lang w:eastAsia="sl-SI"/>
        </w:rPr>
        <w:t xml:space="preserve"> </w:t>
      </w:r>
      <w:r w:rsidR="00120ED1" w:rsidRPr="00424274">
        <w:rPr>
          <w:rFonts w:ascii="Arial" w:hAnsi="Arial"/>
          <w:sz w:val="20"/>
          <w:szCs w:val="24"/>
          <w:lang w:eastAsia="sl-SI"/>
        </w:rPr>
        <w:t xml:space="preserve">urejanje spletne strani </w:t>
      </w:r>
      <w:r w:rsidR="00814A21">
        <w:rPr>
          <w:rFonts w:ascii="Arial" w:hAnsi="Arial"/>
          <w:sz w:val="20"/>
          <w:szCs w:val="24"/>
          <w:lang w:eastAsia="sl-SI"/>
        </w:rPr>
        <w:t>urad</w:t>
      </w:r>
      <w:r w:rsidR="00120ED1" w:rsidRPr="00424274">
        <w:rPr>
          <w:rFonts w:ascii="Arial" w:hAnsi="Arial"/>
          <w:sz w:val="20"/>
          <w:szCs w:val="24"/>
          <w:lang w:eastAsia="sl-SI"/>
        </w:rPr>
        <w:t>a v skladu z usmeritvami Ministrstva za javno upravo.</w:t>
      </w:r>
    </w:p>
    <w:p w14:paraId="6213FB50" w14:textId="77777777" w:rsidR="00533A0B" w:rsidRPr="00424274" w:rsidRDefault="00533A0B" w:rsidP="00533A0B">
      <w:pPr>
        <w:widowControl/>
        <w:autoSpaceDE w:val="0"/>
        <w:autoSpaceDN w:val="0"/>
        <w:adjustRightInd w:val="0"/>
        <w:ind w:left="720"/>
        <w:jc w:val="left"/>
        <w:rPr>
          <w:rFonts w:ascii="Arial" w:hAnsi="Arial"/>
          <w:szCs w:val="24"/>
          <w:lang w:eastAsia="sl-SI"/>
        </w:rPr>
      </w:pPr>
    </w:p>
    <w:p w14:paraId="18BFB45F" w14:textId="6E70913D" w:rsidR="00116CD6" w:rsidRPr="00424274" w:rsidRDefault="00305C44" w:rsidP="003B3CCC">
      <w:pPr>
        <w:pStyle w:val="Naslov2"/>
      </w:pPr>
      <w:bookmarkStart w:id="95" w:name="_Toc113535476"/>
      <w:r w:rsidRPr="00424274">
        <w:t xml:space="preserve">ZAKONODAJA </w:t>
      </w:r>
      <w:r w:rsidR="008158E5">
        <w:t>IN</w:t>
      </w:r>
      <w:r w:rsidR="008158E5" w:rsidRPr="00424274">
        <w:t xml:space="preserve"> </w:t>
      </w:r>
      <w:r w:rsidRPr="00424274">
        <w:t>POMOČ PRI NJENEM IZVAJANJU</w:t>
      </w:r>
      <w:bookmarkStart w:id="96" w:name="_Toc402346328"/>
      <w:bookmarkEnd w:id="92"/>
      <w:bookmarkEnd w:id="93"/>
      <w:bookmarkEnd w:id="94"/>
      <w:bookmarkEnd w:id="95"/>
    </w:p>
    <w:bookmarkEnd w:id="96"/>
    <w:p w14:paraId="0D776646" w14:textId="371161C5" w:rsidR="00116CD6" w:rsidRPr="00424274" w:rsidRDefault="00116CD6" w:rsidP="00D21F86">
      <w:pPr>
        <w:spacing w:line="276" w:lineRule="auto"/>
        <w:rPr>
          <w:rFonts w:ascii="Arial" w:hAnsi="Arial"/>
          <w:sz w:val="20"/>
        </w:rPr>
      </w:pPr>
    </w:p>
    <w:p w14:paraId="33085D06" w14:textId="65735729" w:rsidR="00870427" w:rsidRPr="00424274" w:rsidRDefault="00870427" w:rsidP="00870427">
      <w:pPr>
        <w:widowControl/>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rPr>
          <w:rFonts w:ascii="Arial" w:hAnsi="Arial"/>
          <w:sz w:val="20"/>
        </w:rPr>
      </w:pPr>
      <w:bookmarkStart w:id="97" w:name="_Hlk69970992"/>
      <w:r w:rsidRPr="00424274">
        <w:rPr>
          <w:rFonts w:ascii="Arial" w:hAnsi="Arial"/>
          <w:sz w:val="20"/>
        </w:rPr>
        <w:t xml:space="preserve">Pomembna naloga Sektorja za preventivo in nadzor je priprava zakonskih predlogov, </w:t>
      </w:r>
      <w:r w:rsidR="008158E5">
        <w:rPr>
          <w:rFonts w:ascii="Arial" w:hAnsi="Arial"/>
          <w:sz w:val="20"/>
        </w:rPr>
        <w:t>po</w:t>
      </w:r>
      <w:r w:rsidRPr="00424274">
        <w:rPr>
          <w:rFonts w:ascii="Arial" w:hAnsi="Arial"/>
          <w:sz w:val="20"/>
        </w:rPr>
        <w:t xml:space="preserve">vezanih </w:t>
      </w:r>
      <w:r w:rsidR="008158E5">
        <w:rPr>
          <w:rFonts w:ascii="Arial" w:hAnsi="Arial"/>
          <w:sz w:val="20"/>
        </w:rPr>
        <w:t>s</w:t>
      </w:r>
      <w:r w:rsidR="008158E5" w:rsidRPr="00424274">
        <w:rPr>
          <w:rFonts w:ascii="Arial" w:hAnsi="Arial"/>
          <w:sz w:val="20"/>
        </w:rPr>
        <w:t xml:space="preserve"> </w:t>
      </w:r>
      <w:r w:rsidRPr="00424274">
        <w:rPr>
          <w:rFonts w:ascii="Arial" w:hAnsi="Arial"/>
          <w:sz w:val="20"/>
        </w:rPr>
        <w:t>področje</w:t>
      </w:r>
      <w:r w:rsidR="008158E5">
        <w:rPr>
          <w:rFonts w:ascii="Arial" w:hAnsi="Arial"/>
          <w:sz w:val="20"/>
        </w:rPr>
        <w:t>m</w:t>
      </w:r>
      <w:r w:rsidRPr="00424274">
        <w:rPr>
          <w:rFonts w:ascii="Arial" w:hAnsi="Arial"/>
          <w:sz w:val="20"/>
        </w:rPr>
        <w:t xml:space="preserve"> </w:t>
      </w:r>
      <w:r w:rsidR="00167F27" w:rsidRPr="00424274">
        <w:rPr>
          <w:rFonts w:ascii="Arial" w:hAnsi="Arial"/>
          <w:sz w:val="20"/>
        </w:rPr>
        <w:t xml:space="preserve">preprečevanja </w:t>
      </w:r>
      <w:r w:rsidRPr="00424274">
        <w:rPr>
          <w:rFonts w:ascii="Arial" w:hAnsi="Arial"/>
          <w:sz w:val="20"/>
        </w:rPr>
        <w:t>pranja denarja in financiranj</w:t>
      </w:r>
      <w:r w:rsidR="003B3CCC">
        <w:rPr>
          <w:rFonts w:ascii="Arial" w:hAnsi="Arial"/>
          <w:sz w:val="20"/>
        </w:rPr>
        <w:t>a</w:t>
      </w:r>
      <w:r w:rsidRPr="00424274">
        <w:rPr>
          <w:rFonts w:ascii="Arial" w:hAnsi="Arial"/>
          <w:sz w:val="20"/>
        </w:rPr>
        <w:t xml:space="preserve"> terorizma. Pri tem velja </w:t>
      </w:r>
      <w:r w:rsidR="008158E5">
        <w:rPr>
          <w:rFonts w:ascii="Arial" w:hAnsi="Arial"/>
          <w:sz w:val="20"/>
        </w:rPr>
        <w:t>poudariti</w:t>
      </w:r>
      <w:r w:rsidRPr="00424274">
        <w:rPr>
          <w:rFonts w:ascii="Arial" w:hAnsi="Arial"/>
          <w:sz w:val="20"/>
        </w:rPr>
        <w:t>, da gre po eni strani za prenos evropskih direktiv, za katere velja načelo minimalne harmonizacije ob upoštevanju uveljavljenih mednarodnih standardov (t.</w:t>
      </w:r>
      <w:r w:rsidR="008158E5">
        <w:rPr>
          <w:rFonts w:ascii="Arial" w:hAnsi="Arial"/>
          <w:sz w:val="20"/>
        </w:rPr>
        <w:t xml:space="preserve"> </w:t>
      </w:r>
      <w:r w:rsidRPr="00424274">
        <w:rPr>
          <w:rFonts w:ascii="Arial" w:hAnsi="Arial"/>
          <w:sz w:val="20"/>
        </w:rPr>
        <w:t xml:space="preserve">i. </w:t>
      </w:r>
      <w:r w:rsidR="008158E5">
        <w:rPr>
          <w:rFonts w:ascii="Arial" w:hAnsi="Arial"/>
          <w:sz w:val="20"/>
        </w:rPr>
        <w:t xml:space="preserve">priporočila </w:t>
      </w:r>
      <w:r w:rsidRPr="00424274">
        <w:rPr>
          <w:rFonts w:ascii="Arial" w:hAnsi="Arial"/>
          <w:sz w:val="20"/>
        </w:rPr>
        <w:t>FATF)</w:t>
      </w:r>
      <w:r w:rsidR="008158E5">
        <w:rPr>
          <w:rFonts w:ascii="Arial" w:hAnsi="Arial"/>
          <w:sz w:val="20"/>
        </w:rPr>
        <w:t>,</w:t>
      </w:r>
      <w:r w:rsidRPr="00424274">
        <w:rPr>
          <w:rFonts w:ascii="Arial" w:hAnsi="Arial"/>
          <w:sz w:val="20"/>
        </w:rPr>
        <w:t xml:space="preserve"> </w:t>
      </w:r>
      <w:r w:rsidR="008158E5">
        <w:rPr>
          <w:rFonts w:ascii="Arial" w:hAnsi="Arial"/>
          <w:sz w:val="20"/>
        </w:rPr>
        <w:t>p</w:t>
      </w:r>
      <w:r w:rsidRPr="00424274">
        <w:rPr>
          <w:rFonts w:ascii="Arial" w:hAnsi="Arial"/>
          <w:sz w:val="20"/>
        </w:rPr>
        <w:t xml:space="preserve">o drugi strani pa se področje urejanja vse bolj širi iz prvotno ozkega delovnega področja finančnih obveščevalnih enot v področje čedalje več sektorjev zavezancev </w:t>
      </w:r>
      <w:r w:rsidR="008158E5">
        <w:rPr>
          <w:rFonts w:ascii="Arial" w:hAnsi="Arial"/>
          <w:sz w:val="20"/>
        </w:rPr>
        <w:t>in</w:t>
      </w:r>
      <w:r w:rsidR="008158E5" w:rsidRPr="00424274">
        <w:rPr>
          <w:rFonts w:ascii="Arial" w:hAnsi="Arial"/>
          <w:sz w:val="20"/>
        </w:rPr>
        <w:t xml:space="preserve"> </w:t>
      </w:r>
      <w:r w:rsidRPr="00424274">
        <w:rPr>
          <w:rFonts w:ascii="Arial" w:hAnsi="Arial"/>
          <w:sz w:val="20"/>
        </w:rPr>
        <w:t xml:space="preserve">njihovih nadzornikov. </w:t>
      </w:r>
      <w:r w:rsidR="008158E5">
        <w:rPr>
          <w:rFonts w:ascii="Arial" w:hAnsi="Arial"/>
          <w:sz w:val="20"/>
        </w:rPr>
        <w:t>To</w:t>
      </w:r>
      <w:r w:rsidR="008158E5" w:rsidRPr="00424274">
        <w:rPr>
          <w:rFonts w:ascii="Arial" w:hAnsi="Arial"/>
          <w:sz w:val="20"/>
        </w:rPr>
        <w:t xml:space="preserve"> </w:t>
      </w:r>
      <w:r w:rsidRPr="00424274">
        <w:rPr>
          <w:rFonts w:ascii="Arial" w:hAnsi="Arial"/>
          <w:sz w:val="20"/>
        </w:rPr>
        <w:t xml:space="preserve">zahteva pogosto dolgotrajno usklajevanje določb ZPPDFT-1 z določbami predpisov, ki urejajo posamezne dejavnosti (npr. bančništvo, notarsko službo ipd.), pristojnosti posameznih nadzornih organov (delujejo na podlagi različnih postopkovnih zakonov) ali druga področja, ki so tesno povezana z delom urada (npr. področje tajnih podatkov, varstva osebnih </w:t>
      </w:r>
      <w:r w:rsidRPr="00424274">
        <w:rPr>
          <w:rFonts w:ascii="Arial" w:hAnsi="Arial"/>
          <w:sz w:val="20"/>
        </w:rPr>
        <w:lastRenderedPageBreak/>
        <w:t xml:space="preserve">podatkov ipd.). Tudi dinamika sprejemanja predpisov na ravni EU je v preteklih letih povzročala hitenje pri pripravi predlogov (še preden je potekel rok za </w:t>
      </w:r>
      <w:r w:rsidR="008158E5">
        <w:rPr>
          <w:rFonts w:ascii="Arial" w:hAnsi="Arial"/>
          <w:sz w:val="20"/>
        </w:rPr>
        <w:t>prenos</w:t>
      </w:r>
      <w:r w:rsidR="008158E5" w:rsidRPr="00424274">
        <w:rPr>
          <w:rFonts w:ascii="Arial" w:hAnsi="Arial"/>
          <w:sz w:val="20"/>
        </w:rPr>
        <w:t xml:space="preserve"> </w:t>
      </w:r>
      <w:r w:rsidRPr="00424274">
        <w:rPr>
          <w:rFonts w:ascii="Arial" w:hAnsi="Arial"/>
          <w:sz w:val="20"/>
        </w:rPr>
        <w:t xml:space="preserve">4. direktive, je bila sprejeta že 5., </w:t>
      </w:r>
      <w:r w:rsidR="008158E5">
        <w:rPr>
          <w:rFonts w:ascii="Arial" w:hAnsi="Arial"/>
          <w:sz w:val="20"/>
        </w:rPr>
        <w:t>zdaj</w:t>
      </w:r>
      <w:r w:rsidR="008158E5" w:rsidRPr="00424274">
        <w:rPr>
          <w:rFonts w:ascii="Arial" w:hAnsi="Arial"/>
          <w:sz w:val="20"/>
        </w:rPr>
        <w:t xml:space="preserve"> </w:t>
      </w:r>
      <w:r w:rsidRPr="00424274">
        <w:rPr>
          <w:rFonts w:ascii="Arial" w:hAnsi="Arial"/>
          <w:sz w:val="20"/>
        </w:rPr>
        <w:t xml:space="preserve">pa potekajo priprave za nove zakonodajne pobude na ravni EU), prav tako pa zaradi možnih različnih </w:t>
      </w:r>
      <w:r w:rsidR="008158E5">
        <w:rPr>
          <w:rFonts w:ascii="Arial" w:hAnsi="Arial"/>
          <w:sz w:val="20"/>
        </w:rPr>
        <w:t>tolmačenj</w:t>
      </w:r>
      <w:r w:rsidR="008158E5" w:rsidRPr="00424274">
        <w:rPr>
          <w:rFonts w:ascii="Arial" w:hAnsi="Arial"/>
          <w:sz w:val="20"/>
        </w:rPr>
        <w:t xml:space="preserve"> </w:t>
      </w:r>
      <w:r w:rsidRPr="00424274">
        <w:rPr>
          <w:rFonts w:ascii="Arial" w:hAnsi="Arial"/>
          <w:sz w:val="20"/>
        </w:rPr>
        <w:t xml:space="preserve">določb direktiv </w:t>
      </w:r>
      <w:r w:rsidR="008158E5">
        <w:rPr>
          <w:rFonts w:ascii="Arial" w:hAnsi="Arial"/>
          <w:sz w:val="20"/>
        </w:rPr>
        <w:t>in</w:t>
      </w:r>
      <w:r w:rsidR="008158E5" w:rsidRPr="00424274">
        <w:rPr>
          <w:rFonts w:ascii="Arial" w:hAnsi="Arial"/>
          <w:sz w:val="20"/>
        </w:rPr>
        <w:t xml:space="preserve"> </w:t>
      </w:r>
      <w:r w:rsidRPr="00424274">
        <w:rPr>
          <w:rFonts w:ascii="Arial" w:hAnsi="Arial"/>
          <w:sz w:val="20"/>
        </w:rPr>
        <w:t>načela minimalne harmonizacije prihaja do naknadno sporočenih pomislekov Evropske komisije, tudi v obliki uradnega opomin</w:t>
      </w:r>
      <w:r w:rsidR="008158E5">
        <w:rPr>
          <w:rFonts w:ascii="Arial" w:hAnsi="Arial"/>
          <w:sz w:val="20"/>
        </w:rPr>
        <w:t>a</w:t>
      </w:r>
      <w:r w:rsidRPr="00424274">
        <w:rPr>
          <w:rFonts w:ascii="Arial" w:hAnsi="Arial"/>
          <w:sz w:val="20"/>
        </w:rPr>
        <w:t>.</w:t>
      </w:r>
    </w:p>
    <w:p w14:paraId="62E5869F" w14:textId="77777777" w:rsidR="00870427" w:rsidRPr="00424274" w:rsidRDefault="00870427" w:rsidP="00870427">
      <w:pPr>
        <w:widowControl/>
        <w:spacing w:line="276" w:lineRule="auto"/>
        <w:rPr>
          <w:rFonts w:ascii="Arial" w:hAnsi="Arial"/>
          <w:color w:val="FF0000"/>
          <w:sz w:val="20"/>
        </w:rPr>
      </w:pPr>
    </w:p>
    <w:p w14:paraId="1A6A5AA1" w14:textId="14E3A7D3" w:rsidR="00870427" w:rsidRPr="00424274" w:rsidRDefault="00870427" w:rsidP="00870427">
      <w:pPr>
        <w:spacing w:line="276" w:lineRule="auto"/>
        <w:rPr>
          <w:rFonts w:ascii="Arial" w:hAnsi="Arial"/>
          <w:sz w:val="20"/>
        </w:rPr>
      </w:pPr>
      <w:bookmarkStart w:id="98" w:name="_Hlk69972174"/>
      <w:r w:rsidRPr="00424274">
        <w:rPr>
          <w:rFonts w:ascii="Arial" w:hAnsi="Arial"/>
          <w:sz w:val="20"/>
        </w:rPr>
        <w:t>Na področju zakonodaje so v letu 2020 potekale številne aktivnosti. Preoblikovana je bila novela ZPPDFT-1B, pripravljen je bil predlog nove novele ZPPDFT-1C, začel se je postopek preoblikovanja predloga novele ZPPDFT-1C v nov zakon ZPPDFT-2</w:t>
      </w:r>
      <w:r w:rsidR="002E4933" w:rsidRPr="00424274">
        <w:rPr>
          <w:rFonts w:ascii="Arial" w:hAnsi="Arial"/>
          <w:sz w:val="20"/>
        </w:rPr>
        <w:t xml:space="preserve">. Pripravljenih je bilo tudi </w:t>
      </w:r>
      <w:r w:rsidR="008158E5">
        <w:rPr>
          <w:rFonts w:ascii="Arial" w:hAnsi="Arial"/>
          <w:sz w:val="20"/>
        </w:rPr>
        <w:t>pet</w:t>
      </w:r>
      <w:r w:rsidRPr="00424274">
        <w:rPr>
          <w:rFonts w:ascii="Arial" w:hAnsi="Arial"/>
          <w:sz w:val="20"/>
        </w:rPr>
        <w:t xml:space="preserve"> predlogov podzakonskih predpisov. </w:t>
      </w:r>
    </w:p>
    <w:p w14:paraId="02D0103E" w14:textId="2FF7E913" w:rsidR="004176BF" w:rsidRPr="00424274" w:rsidRDefault="004176BF" w:rsidP="00870427">
      <w:pPr>
        <w:spacing w:line="276" w:lineRule="auto"/>
        <w:rPr>
          <w:rFonts w:ascii="Arial" w:hAnsi="Arial"/>
          <w:sz w:val="20"/>
        </w:rPr>
      </w:pPr>
    </w:p>
    <w:p w14:paraId="199A0ECB" w14:textId="7CA9FAA7" w:rsidR="004176BF" w:rsidRPr="00424274" w:rsidRDefault="004176BF" w:rsidP="006D5A5A">
      <w:pPr>
        <w:pStyle w:val="Naslov3"/>
      </w:pPr>
      <w:bookmarkStart w:id="99" w:name="_Toc113535477"/>
      <w:bookmarkStart w:id="100" w:name="_Hlk69971007"/>
      <w:r w:rsidRPr="00424274">
        <w:t xml:space="preserve">5.1.1 Preoblikovanje </w:t>
      </w:r>
      <w:bookmarkStart w:id="101" w:name="_Hlk69971020"/>
      <w:r w:rsidRPr="00424274">
        <w:t xml:space="preserve">prvotnega predloga Zakona o spremembah in dopolnitvah Zakona o preprečevanju pranja denarja in financiranja terorizma </w:t>
      </w:r>
      <w:bookmarkEnd w:id="101"/>
      <w:r w:rsidRPr="00424274">
        <w:t>(ZPPDFT-1B)</w:t>
      </w:r>
      <w:bookmarkEnd w:id="99"/>
      <w:r w:rsidRPr="00424274">
        <w:t xml:space="preserve"> </w:t>
      </w:r>
    </w:p>
    <w:bookmarkEnd w:id="100"/>
    <w:p w14:paraId="46363D04" w14:textId="77777777" w:rsidR="004176BF" w:rsidRPr="00424274" w:rsidRDefault="004176BF" w:rsidP="004176BF">
      <w:pPr>
        <w:rPr>
          <w:highlight w:val="yellow"/>
        </w:rPr>
      </w:pPr>
    </w:p>
    <w:p w14:paraId="29CF8FEE" w14:textId="66F504F5" w:rsidR="004176BF" w:rsidRPr="00424274" w:rsidRDefault="004176BF" w:rsidP="004176BF">
      <w:pPr>
        <w:widowControl/>
        <w:spacing w:line="276" w:lineRule="auto"/>
        <w:rPr>
          <w:rFonts w:ascii="Arial" w:hAnsi="Arial"/>
          <w:sz w:val="20"/>
        </w:rPr>
      </w:pPr>
      <w:bookmarkStart w:id="102" w:name="_Hlk69971057"/>
      <w:r w:rsidRPr="00424274">
        <w:rPr>
          <w:rFonts w:ascii="Arial" w:hAnsi="Arial"/>
          <w:sz w:val="20"/>
        </w:rPr>
        <w:t xml:space="preserve">Zaradi prejema uradnega opomina Evropske komisije zaradi </w:t>
      </w:r>
      <w:proofErr w:type="spellStart"/>
      <w:r w:rsidRPr="00424274">
        <w:rPr>
          <w:rFonts w:ascii="Arial" w:hAnsi="Arial"/>
          <w:sz w:val="20"/>
        </w:rPr>
        <w:t>nenotifikacije</w:t>
      </w:r>
      <w:proofErr w:type="spellEnd"/>
      <w:r w:rsidRPr="00424274">
        <w:rPr>
          <w:rFonts w:ascii="Arial" w:hAnsi="Arial"/>
          <w:sz w:val="20"/>
        </w:rPr>
        <w:t xml:space="preserve"> predpisov za prenos Direktive (EU) št. 2018/843 Evropskega parlamenta in Sveta z dne 30. maja 2018 o spremembi Direktive (EU) 2015/849 o preprečevanju uporabe finančnega sistema za pranje denarja ali financiranje terorizma ter o spremembi direktiv 2009/138/ES in 2013/36/EU v pravni red Republike Slovenije je </w:t>
      </w:r>
      <w:r w:rsidR="00814A21">
        <w:rPr>
          <w:rFonts w:ascii="Arial" w:hAnsi="Arial"/>
          <w:sz w:val="20"/>
        </w:rPr>
        <w:t>urad</w:t>
      </w:r>
      <w:r w:rsidRPr="00424274">
        <w:rPr>
          <w:rFonts w:ascii="Arial" w:hAnsi="Arial"/>
          <w:sz w:val="20"/>
        </w:rPr>
        <w:t xml:space="preserve"> pripravil nov predlog novele zakona. V noveli so zaradi nujnosti postopka ostale določbe, ki izhajajo iz evropskega pravnega reda in predstavljajo skupno osnovo v boju proti pranju denarja in financiranju terorizma v okviru notranjega trga Evropske unije in integritete njenega finančnega sistema. V okviru te novele so bile </w:t>
      </w:r>
      <w:r w:rsidR="00CF4E64">
        <w:rPr>
          <w:rFonts w:ascii="Arial" w:hAnsi="Arial"/>
          <w:sz w:val="20"/>
        </w:rPr>
        <w:t>obravnavane</w:t>
      </w:r>
      <w:r w:rsidR="00CF4E64" w:rsidRPr="00424274">
        <w:rPr>
          <w:rFonts w:ascii="Arial" w:hAnsi="Arial"/>
          <w:sz w:val="20"/>
        </w:rPr>
        <w:t xml:space="preserve"> </w:t>
      </w:r>
      <w:r w:rsidRPr="00424274">
        <w:rPr>
          <w:rFonts w:ascii="Arial" w:hAnsi="Arial"/>
          <w:sz w:val="20"/>
        </w:rPr>
        <w:t xml:space="preserve">tudi pomanjkljivosti, ki jih je ugotovil odbor strokovnjakov pri Svetu Evrope </w:t>
      </w:r>
      <w:proofErr w:type="spellStart"/>
      <w:r w:rsidRPr="00424274">
        <w:rPr>
          <w:rFonts w:ascii="Arial" w:hAnsi="Arial"/>
          <w:sz w:val="20"/>
        </w:rPr>
        <w:t>Moneyval</w:t>
      </w:r>
      <w:proofErr w:type="spellEnd"/>
      <w:r w:rsidRPr="00424274">
        <w:rPr>
          <w:rFonts w:ascii="Arial" w:hAnsi="Arial"/>
          <w:sz w:val="20"/>
        </w:rPr>
        <w:t xml:space="preserve">, </w:t>
      </w:r>
      <w:r w:rsidR="008A6A7E">
        <w:rPr>
          <w:rFonts w:ascii="Arial" w:hAnsi="Arial"/>
          <w:sz w:val="20"/>
        </w:rPr>
        <w:t>in</w:t>
      </w:r>
      <w:r w:rsidR="008A6A7E" w:rsidRPr="00424274">
        <w:rPr>
          <w:rFonts w:ascii="Arial" w:hAnsi="Arial"/>
          <w:sz w:val="20"/>
        </w:rPr>
        <w:t xml:space="preserve"> </w:t>
      </w:r>
      <w:r w:rsidRPr="00424274">
        <w:rPr>
          <w:rFonts w:ascii="Arial" w:hAnsi="Arial"/>
          <w:sz w:val="20"/>
        </w:rPr>
        <w:t xml:space="preserve">posamezne nejasnosti, ki </w:t>
      </w:r>
      <w:r w:rsidR="00CF4E64">
        <w:rPr>
          <w:rFonts w:ascii="Arial" w:hAnsi="Arial"/>
          <w:sz w:val="20"/>
        </w:rPr>
        <w:t>jih je pri</w:t>
      </w:r>
      <w:r w:rsidRPr="00424274">
        <w:rPr>
          <w:rFonts w:ascii="Arial" w:hAnsi="Arial"/>
          <w:sz w:val="20"/>
        </w:rPr>
        <w:t xml:space="preserve"> pregled</w:t>
      </w:r>
      <w:r w:rsidR="00CF4E64">
        <w:rPr>
          <w:rFonts w:ascii="Arial" w:hAnsi="Arial"/>
          <w:sz w:val="20"/>
        </w:rPr>
        <w:t>u</w:t>
      </w:r>
      <w:r w:rsidRPr="00424274">
        <w:rPr>
          <w:rFonts w:ascii="Arial" w:hAnsi="Arial"/>
          <w:sz w:val="20"/>
        </w:rPr>
        <w:t xml:space="preserve"> </w:t>
      </w:r>
      <w:r w:rsidR="00CF4E64">
        <w:rPr>
          <w:rFonts w:ascii="Arial" w:hAnsi="Arial"/>
          <w:sz w:val="20"/>
        </w:rPr>
        <w:t>prenosa</w:t>
      </w:r>
      <w:r w:rsidR="00CF4E64" w:rsidRPr="00424274">
        <w:rPr>
          <w:rFonts w:ascii="Arial" w:hAnsi="Arial"/>
          <w:sz w:val="20"/>
        </w:rPr>
        <w:t xml:space="preserve"> </w:t>
      </w:r>
      <w:r w:rsidRPr="00424274">
        <w:rPr>
          <w:rFonts w:ascii="Arial" w:hAnsi="Arial"/>
          <w:sz w:val="20"/>
        </w:rPr>
        <w:t xml:space="preserve">Direktive 2015/849/EU </w:t>
      </w:r>
      <w:r w:rsidR="00CF4E64">
        <w:rPr>
          <w:rFonts w:ascii="Arial" w:hAnsi="Arial"/>
          <w:sz w:val="20"/>
        </w:rPr>
        <w:t>zaznala</w:t>
      </w:r>
      <w:r w:rsidRPr="00424274">
        <w:rPr>
          <w:rFonts w:ascii="Arial" w:hAnsi="Arial"/>
          <w:sz w:val="20"/>
        </w:rPr>
        <w:t xml:space="preserve"> Evropsk</w:t>
      </w:r>
      <w:r w:rsidR="00CF4E64">
        <w:rPr>
          <w:rFonts w:ascii="Arial" w:hAnsi="Arial"/>
          <w:sz w:val="20"/>
        </w:rPr>
        <w:t>a</w:t>
      </w:r>
      <w:r w:rsidRPr="00424274">
        <w:rPr>
          <w:rFonts w:ascii="Arial" w:hAnsi="Arial"/>
          <w:sz w:val="20"/>
        </w:rPr>
        <w:t xml:space="preserve"> komisij</w:t>
      </w:r>
      <w:r w:rsidR="00CF4E64">
        <w:rPr>
          <w:rFonts w:ascii="Arial" w:hAnsi="Arial"/>
          <w:sz w:val="20"/>
        </w:rPr>
        <w:t>a</w:t>
      </w:r>
      <w:r w:rsidRPr="00424274">
        <w:rPr>
          <w:rFonts w:ascii="Arial" w:hAnsi="Arial"/>
          <w:sz w:val="20"/>
        </w:rPr>
        <w:t>.</w:t>
      </w:r>
    </w:p>
    <w:bookmarkEnd w:id="102"/>
    <w:p w14:paraId="54B53ECA" w14:textId="77777777" w:rsidR="004176BF" w:rsidRPr="00424274" w:rsidRDefault="004176BF" w:rsidP="00870427">
      <w:pPr>
        <w:spacing w:line="276" w:lineRule="auto"/>
        <w:rPr>
          <w:rFonts w:ascii="Arial" w:hAnsi="Arial"/>
          <w:sz w:val="20"/>
        </w:rPr>
      </w:pPr>
    </w:p>
    <w:bookmarkEnd w:id="97"/>
    <w:bookmarkEnd w:id="98"/>
    <w:p w14:paraId="30E096DD" w14:textId="77777777" w:rsidR="00870427" w:rsidRPr="00424274" w:rsidRDefault="00870427" w:rsidP="00D21F86">
      <w:pPr>
        <w:spacing w:line="276" w:lineRule="auto"/>
        <w:rPr>
          <w:rFonts w:ascii="Arial" w:hAnsi="Arial"/>
          <w:sz w:val="20"/>
        </w:rPr>
      </w:pPr>
    </w:p>
    <w:p w14:paraId="0CF41B89" w14:textId="60CC26B5" w:rsidR="00A236CE" w:rsidRPr="00424274" w:rsidRDefault="00CA770D" w:rsidP="006D5A5A">
      <w:pPr>
        <w:pStyle w:val="Naslov3"/>
      </w:pPr>
      <w:bookmarkStart w:id="103" w:name="_Toc113535478"/>
      <w:bookmarkStart w:id="104" w:name="_Hlk69971082"/>
      <w:bookmarkStart w:id="105" w:name="_Toc227744141"/>
      <w:bookmarkStart w:id="106" w:name="_Toc292714852"/>
      <w:bookmarkStart w:id="107" w:name="_Toc402346330"/>
      <w:r w:rsidRPr="00424274">
        <w:t>5.1.</w:t>
      </w:r>
      <w:r w:rsidR="004176BF" w:rsidRPr="00424274">
        <w:t xml:space="preserve">2 </w:t>
      </w:r>
      <w:r w:rsidR="00A236CE" w:rsidRPr="00424274">
        <w:t>Priprava osnutka predloga Zakona o spremembah in dopolnitvah Zakona o preprečevanju pranja denarja in financiranja terorizma (ZPPDFT-1C) ter predpisov</w:t>
      </w:r>
      <w:r w:rsidR="00CF4E64">
        <w:t>,</w:t>
      </w:r>
      <w:r w:rsidR="00A236CE" w:rsidRPr="00424274">
        <w:t xml:space="preserve"> izdanih na </w:t>
      </w:r>
      <w:r w:rsidR="005A09DC" w:rsidRPr="00424274">
        <w:t>njegovi</w:t>
      </w:r>
      <w:r w:rsidR="00A236CE" w:rsidRPr="00424274">
        <w:t xml:space="preserve"> podlagi</w:t>
      </w:r>
      <w:bookmarkEnd w:id="103"/>
    </w:p>
    <w:p w14:paraId="0BD10DFF" w14:textId="77777777" w:rsidR="00A236CE" w:rsidRPr="00424274" w:rsidRDefault="00A236CE" w:rsidP="00A236CE">
      <w:pPr>
        <w:widowControl/>
        <w:spacing w:line="276" w:lineRule="auto"/>
        <w:rPr>
          <w:rFonts w:ascii="Arial" w:hAnsi="Arial"/>
          <w:sz w:val="20"/>
          <w:highlight w:val="yellow"/>
        </w:rPr>
      </w:pPr>
    </w:p>
    <w:p w14:paraId="6E129E17" w14:textId="4D8DCCE3" w:rsidR="00A236CE" w:rsidRPr="00424274" w:rsidRDefault="00A236CE" w:rsidP="00A236CE">
      <w:pPr>
        <w:widowControl/>
        <w:spacing w:line="276" w:lineRule="auto"/>
        <w:rPr>
          <w:rFonts w:ascii="Arial" w:hAnsi="Arial"/>
          <w:sz w:val="20"/>
        </w:rPr>
      </w:pPr>
      <w:r w:rsidRPr="00424274">
        <w:rPr>
          <w:rFonts w:ascii="Arial" w:hAnsi="Arial"/>
          <w:sz w:val="20"/>
        </w:rPr>
        <w:t xml:space="preserve">V novelo ZPPDFT-1B zaradi razlogov, pojasnjenih v točki </w:t>
      </w:r>
      <w:r w:rsidR="005A09DC" w:rsidRPr="00424274">
        <w:rPr>
          <w:rFonts w:ascii="Arial" w:hAnsi="Arial"/>
          <w:sz w:val="20"/>
        </w:rPr>
        <w:t>5.</w:t>
      </w:r>
      <w:r w:rsidRPr="00424274">
        <w:rPr>
          <w:rFonts w:ascii="Arial" w:hAnsi="Arial"/>
          <w:sz w:val="20"/>
        </w:rPr>
        <w:t xml:space="preserve">1.1, niso bile vključene vse spremembe, ki so bile prvotno načrtovane, zato so </w:t>
      </w:r>
      <w:r w:rsidR="00CF4E64">
        <w:rPr>
          <w:rFonts w:ascii="Arial" w:hAnsi="Arial"/>
          <w:sz w:val="20"/>
        </w:rPr>
        <w:t xml:space="preserve">se </w:t>
      </w:r>
      <w:r w:rsidRPr="00424274">
        <w:rPr>
          <w:rFonts w:ascii="Arial" w:hAnsi="Arial"/>
          <w:sz w:val="20"/>
        </w:rPr>
        <w:t>takoj po spreje</w:t>
      </w:r>
      <w:r w:rsidR="00CF4E64">
        <w:rPr>
          <w:rFonts w:ascii="Arial" w:hAnsi="Arial"/>
          <w:sz w:val="20"/>
        </w:rPr>
        <w:t>tju</w:t>
      </w:r>
      <w:r w:rsidRPr="00424274">
        <w:rPr>
          <w:rFonts w:ascii="Arial" w:hAnsi="Arial"/>
          <w:sz w:val="20"/>
        </w:rPr>
        <w:t xml:space="preserve"> ZPPDFT-1B </w:t>
      </w:r>
      <w:r w:rsidR="00CF4E64">
        <w:rPr>
          <w:rFonts w:ascii="Arial" w:hAnsi="Arial"/>
          <w:sz w:val="20"/>
        </w:rPr>
        <w:t>začele</w:t>
      </w:r>
      <w:r w:rsidR="00CF4E64" w:rsidRPr="00424274">
        <w:rPr>
          <w:rFonts w:ascii="Arial" w:hAnsi="Arial"/>
          <w:sz w:val="20"/>
        </w:rPr>
        <w:t xml:space="preserve"> </w:t>
      </w:r>
      <w:r w:rsidRPr="00424274">
        <w:rPr>
          <w:rFonts w:ascii="Arial" w:hAnsi="Arial"/>
          <w:sz w:val="20"/>
        </w:rPr>
        <w:t xml:space="preserve">aktivnosti </w:t>
      </w:r>
      <w:r w:rsidR="00CF4E64">
        <w:rPr>
          <w:rFonts w:ascii="Arial" w:hAnsi="Arial"/>
          <w:sz w:val="20"/>
        </w:rPr>
        <w:t>v zvezi s</w:t>
      </w:r>
      <w:r w:rsidRPr="00424274">
        <w:rPr>
          <w:rFonts w:ascii="Arial" w:hAnsi="Arial"/>
          <w:sz w:val="20"/>
        </w:rPr>
        <w:t xml:space="preserve"> pripravo osnutka predloga Zakona o spremembah in dopolnitvah Zakona o preprečevanju pranja denarja in financiranja terorizma (novela ZPPDFT-1C), v kater</w:t>
      </w:r>
      <w:r w:rsidR="008A6A7E">
        <w:rPr>
          <w:rFonts w:ascii="Arial" w:hAnsi="Arial"/>
          <w:sz w:val="20"/>
        </w:rPr>
        <w:t>em</w:t>
      </w:r>
      <w:r w:rsidRPr="00424274">
        <w:rPr>
          <w:rFonts w:ascii="Arial" w:hAnsi="Arial"/>
          <w:sz w:val="20"/>
        </w:rPr>
        <w:t xml:space="preserve"> je bila predvidena vključitev določb, s katerimi se v slovenski pravni red prenese del določb Direktive (EU) 2019/1153, in sicer glede dostopa organov, ki so imenovani v skladu s to direktivo, Europola in finančnih obveščevalnih enot držav članic do finančnih informacij in finančnih analiz </w:t>
      </w:r>
      <w:r w:rsidR="00814A21">
        <w:rPr>
          <w:rFonts w:ascii="Arial" w:hAnsi="Arial"/>
          <w:sz w:val="20"/>
        </w:rPr>
        <w:t>urad</w:t>
      </w:r>
      <w:r w:rsidRPr="00424274">
        <w:rPr>
          <w:rFonts w:ascii="Arial" w:hAnsi="Arial"/>
          <w:sz w:val="20"/>
        </w:rPr>
        <w:t xml:space="preserve">a, sodelovanja </w:t>
      </w:r>
      <w:r w:rsidR="00814A21">
        <w:rPr>
          <w:rFonts w:ascii="Arial" w:hAnsi="Arial"/>
          <w:sz w:val="20"/>
        </w:rPr>
        <w:t>urad</w:t>
      </w:r>
      <w:r w:rsidRPr="00424274">
        <w:rPr>
          <w:rFonts w:ascii="Arial" w:hAnsi="Arial"/>
          <w:sz w:val="20"/>
        </w:rPr>
        <w:t xml:space="preserve">a s temi organi, hrambe ter nadaljnjega razpolaganja s temi podatki, ter Direktive (EU) 2019/2177, in glede sprememb Direktive (EU) 2015/843, v skladu s katerimi se večina dosedanjih pristojnosti evropskih nadzornih organov po Direktivi (EU) 2015/843 prenaša na Evropski bančni organ. V predlogu ZPPDFT-1C je bilo podrobneje urejeno izvajanje Uredbe (EU) 2018/1672, in sicer glede definicije gotovine, nabora podatkov, ki se zbirajo in izmenjujejo na podlagi te uredbe, ter možnosti izmenjave teh podatkov med finančnimi obveščevalnimi enotami. Poleg prenosa evropskih predpisov je predlog zakona vseboval tudi izboljšave v delovanju sistema </w:t>
      </w:r>
      <w:r w:rsidR="00CF4E64">
        <w:rPr>
          <w:rFonts w:ascii="Arial" w:hAnsi="Arial"/>
          <w:sz w:val="20"/>
        </w:rPr>
        <w:t xml:space="preserve">za </w:t>
      </w:r>
      <w:r w:rsidRPr="00424274">
        <w:rPr>
          <w:rFonts w:ascii="Arial" w:hAnsi="Arial"/>
          <w:sz w:val="20"/>
        </w:rPr>
        <w:t>preprečevanj</w:t>
      </w:r>
      <w:r w:rsidR="00CF4E64">
        <w:rPr>
          <w:rFonts w:ascii="Arial" w:hAnsi="Arial"/>
          <w:sz w:val="20"/>
        </w:rPr>
        <w:t>e</w:t>
      </w:r>
      <w:r w:rsidRPr="00424274">
        <w:rPr>
          <w:rFonts w:ascii="Arial" w:hAnsi="Arial"/>
          <w:sz w:val="20"/>
        </w:rPr>
        <w:t xml:space="preserve"> pranja denarja, ki pretežno izvirajo iz predlogov zavezancev ter ugotovitev nadzornih organov po Zakonu o preprečevanju pranja denarja in financiranja terorizma. </w:t>
      </w:r>
    </w:p>
    <w:p w14:paraId="5B47C9DF" w14:textId="0297CAF8" w:rsidR="00A236CE" w:rsidRDefault="00A236CE" w:rsidP="00A236CE">
      <w:pPr>
        <w:widowControl/>
        <w:spacing w:before="100" w:beforeAutospacing="1" w:after="100" w:afterAutospacing="1"/>
        <w:rPr>
          <w:rFonts w:ascii="Arial" w:hAnsi="Arial"/>
          <w:sz w:val="20"/>
          <w:lang w:eastAsia="sl-SI"/>
        </w:rPr>
      </w:pPr>
      <w:r w:rsidRPr="00424274">
        <w:rPr>
          <w:rFonts w:ascii="Arial" w:hAnsi="Arial"/>
          <w:sz w:val="20"/>
          <w:lang w:eastAsia="sl-SI"/>
        </w:rPr>
        <w:t xml:space="preserve">Osnutek predloga ZPPDF-1C je </w:t>
      </w:r>
      <w:r w:rsidR="002A7732" w:rsidRPr="00424274">
        <w:rPr>
          <w:rFonts w:ascii="Arial" w:hAnsi="Arial"/>
          <w:sz w:val="20"/>
          <w:lang w:eastAsia="sl-SI"/>
        </w:rPr>
        <w:t xml:space="preserve">bil </w:t>
      </w:r>
      <w:r w:rsidRPr="00424274">
        <w:rPr>
          <w:rFonts w:ascii="Arial" w:hAnsi="Arial"/>
          <w:sz w:val="20"/>
          <w:lang w:eastAsia="sl-SI"/>
        </w:rPr>
        <w:t xml:space="preserve">objavljen na </w:t>
      </w:r>
      <w:r w:rsidR="00CF4E64">
        <w:rPr>
          <w:rFonts w:ascii="Arial" w:hAnsi="Arial"/>
          <w:sz w:val="20"/>
          <w:lang w:eastAsia="sl-SI"/>
        </w:rPr>
        <w:t>d</w:t>
      </w:r>
      <w:r w:rsidRPr="00424274">
        <w:rPr>
          <w:rFonts w:ascii="Arial" w:hAnsi="Arial"/>
          <w:sz w:val="20"/>
          <w:lang w:eastAsia="sl-SI"/>
        </w:rPr>
        <w:t xml:space="preserve">ržavnem portalu Republike Slovenije </w:t>
      </w:r>
      <w:proofErr w:type="spellStart"/>
      <w:r w:rsidRPr="00424274">
        <w:rPr>
          <w:rFonts w:ascii="Arial" w:hAnsi="Arial"/>
          <w:sz w:val="20"/>
          <w:lang w:eastAsia="sl-SI"/>
        </w:rPr>
        <w:t>eUprava</w:t>
      </w:r>
      <w:proofErr w:type="spellEnd"/>
      <w:r w:rsidRPr="00424274">
        <w:rPr>
          <w:rFonts w:ascii="Arial" w:hAnsi="Arial"/>
          <w:sz w:val="20"/>
          <w:lang w:eastAsia="sl-SI"/>
        </w:rPr>
        <w:t xml:space="preserve"> v rubriki </w:t>
      </w:r>
      <w:proofErr w:type="spellStart"/>
      <w:r w:rsidRPr="00424274">
        <w:rPr>
          <w:rFonts w:ascii="Arial" w:hAnsi="Arial"/>
          <w:sz w:val="20"/>
          <w:lang w:eastAsia="sl-SI"/>
        </w:rPr>
        <w:t>eDemokracija</w:t>
      </w:r>
      <w:proofErr w:type="spellEnd"/>
      <w:r w:rsidRPr="00424274">
        <w:rPr>
          <w:rFonts w:ascii="Arial" w:hAnsi="Arial"/>
          <w:sz w:val="20"/>
          <w:lang w:eastAsia="sl-SI"/>
        </w:rPr>
        <w:t xml:space="preserve">, pripravljeni so bili odgovori na pripombe javnosti </w:t>
      </w:r>
      <w:r w:rsidR="00CF4E64">
        <w:rPr>
          <w:rFonts w:ascii="Arial" w:hAnsi="Arial"/>
          <w:sz w:val="20"/>
          <w:lang w:eastAsia="sl-SI"/>
        </w:rPr>
        <w:t>in</w:t>
      </w:r>
      <w:r w:rsidR="00CF4E64" w:rsidRPr="00424274">
        <w:rPr>
          <w:rFonts w:ascii="Arial" w:hAnsi="Arial"/>
          <w:sz w:val="20"/>
          <w:lang w:eastAsia="sl-SI"/>
        </w:rPr>
        <w:t xml:space="preserve"> </w:t>
      </w:r>
      <w:r w:rsidR="00CF4E64">
        <w:rPr>
          <w:rFonts w:ascii="Arial" w:hAnsi="Arial"/>
          <w:sz w:val="20"/>
          <w:lang w:eastAsia="sl-SI"/>
        </w:rPr>
        <w:t>opravljeno</w:t>
      </w:r>
      <w:r w:rsidR="00CF4E64" w:rsidRPr="00424274">
        <w:rPr>
          <w:rFonts w:ascii="Arial" w:hAnsi="Arial"/>
          <w:sz w:val="20"/>
          <w:lang w:eastAsia="sl-SI"/>
        </w:rPr>
        <w:t xml:space="preserve"> </w:t>
      </w:r>
      <w:r w:rsidRPr="00424274">
        <w:rPr>
          <w:rFonts w:ascii="Arial" w:hAnsi="Arial"/>
          <w:sz w:val="20"/>
          <w:lang w:eastAsia="sl-SI"/>
        </w:rPr>
        <w:t>medresorsko usklajevanje.</w:t>
      </w:r>
    </w:p>
    <w:p w14:paraId="14524F62" w14:textId="77777777" w:rsidR="002F4BAD" w:rsidRPr="00424274" w:rsidRDefault="002F4BAD" w:rsidP="00A236CE">
      <w:pPr>
        <w:widowControl/>
        <w:spacing w:before="100" w:beforeAutospacing="1" w:after="100" w:afterAutospacing="1"/>
        <w:rPr>
          <w:rFonts w:ascii="Arial" w:hAnsi="Arial"/>
          <w:sz w:val="20"/>
          <w:lang w:eastAsia="sl-SI"/>
        </w:rPr>
      </w:pPr>
    </w:p>
    <w:p w14:paraId="0B38FF7C" w14:textId="03D4BBAE" w:rsidR="003C6645" w:rsidRPr="00424274" w:rsidRDefault="00CA770D" w:rsidP="006D5A5A">
      <w:pPr>
        <w:pStyle w:val="Naslov3"/>
      </w:pPr>
      <w:bookmarkStart w:id="108" w:name="_Toc113535479"/>
      <w:bookmarkStart w:id="109" w:name="_Hlk69971145"/>
      <w:bookmarkEnd w:id="104"/>
      <w:r w:rsidRPr="00424274">
        <w:t>5.1.</w:t>
      </w:r>
      <w:r w:rsidR="004176BF" w:rsidRPr="00424274">
        <w:t>3</w:t>
      </w:r>
      <w:r w:rsidRPr="00424274">
        <w:t xml:space="preserve"> </w:t>
      </w:r>
      <w:r w:rsidR="00A236CE" w:rsidRPr="00424274">
        <w:t>Začetek priprave osnutka Zakona o preprečevanju pranja denarja in financiranj</w:t>
      </w:r>
      <w:r w:rsidR="00D21181">
        <w:t>a</w:t>
      </w:r>
      <w:r w:rsidR="00A236CE" w:rsidRPr="00424274">
        <w:t xml:space="preserve"> terorizma (ZPPDFT-2)</w:t>
      </w:r>
      <w:bookmarkEnd w:id="108"/>
      <w:r w:rsidR="00A236CE" w:rsidRPr="00424274">
        <w:t xml:space="preserve"> </w:t>
      </w:r>
    </w:p>
    <w:p w14:paraId="556A6F8E" w14:textId="77777777" w:rsidR="003C6645" w:rsidRPr="00424274" w:rsidRDefault="003C6645" w:rsidP="003C6645">
      <w:pPr>
        <w:widowControl/>
        <w:spacing w:line="276" w:lineRule="auto"/>
        <w:rPr>
          <w:rFonts w:ascii="Arial" w:hAnsi="Arial"/>
          <w:sz w:val="20"/>
          <w:highlight w:val="yellow"/>
        </w:rPr>
      </w:pPr>
    </w:p>
    <w:p w14:paraId="7BE9F573" w14:textId="1330BD1C" w:rsidR="00A236CE" w:rsidRPr="00424274" w:rsidRDefault="00A236CE" w:rsidP="003C6645">
      <w:pPr>
        <w:widowControl/>
        <w:spacing w:line="276" w:lineRule="auto"/>
        <w:rPr>
          <w:rFonts w:ascii="Arial" w:hAnsi="Arial"/>
          <w:sz w:val="20"/>
        </w:rPr>
      </w:pPr>
      <w:r w:rsidRPr="00424274">
        <w:rPr>
          <w:rFonts w:ascii="Arial" w:hAnsi="Arial"/>
          <w:sz w:val="20"/>
        </w:rPr>
        <w:lastRenderedPageBreak/>
        <w:t xml:space="preserve">Zaradi obsežnosti načrtovanih sprememb je bilo proti koncu leta 2020 odločeno, da je primerneje, da se namesto novele sprejme nov zakon – ZPPDFT-2, zato so </w:t>
      </w:r>
      <w:r w:rsidR="00487B07">
        <w:rPr>
          <w:rFonts w:ascii="Arial" w:hAnsi="Arial"/>
          <w:sz w:val="20"/>
        </w:rPr>
        <w:t xml:space="preserve">se začele </w:t>
      </w:r>
      <w:r w:rsidRPr="00424274">
        <w:rPr>
          <w:rFonts w:ascii="Arial" w:hAnsi="Arial"/>
          <w:sz w:val="20"/>
        </w:rPr>
        <w:t>priprave za preoblikovanje pripravljene novele ZPPDFT-1C. Glavnina aktivnosti glede novega zakona se bo nadaljevala v letu 2021.</w:t>
      </w:r>
    </w:p>
    <w:p w14:paraId="597A30B1" w14:textId="6F467818" w:rsidR="00A236CE" w:rsidRPr="00424274" w:rsidRDefault="00CA770D" w:rsidP="006D5A5A">
      <w:pPr>
        <w:pStyle w:val="Naslov3"/>
      </w:pPr>
      <w:bookmarkStart w:id="110" w:name="_Toc113535480"/>
      <w:r w:rsidRPr="00424274">
        <w:t>5.1.</w:t>
      </w:r>
      <w:r w:rsidR="004176BF" w:rsidRPr="00424274">
        <w:t xml:space="preserve">4 </w:t>
      </w:r>
      <w:r w:rsidR="00A236CE" w:rsidRPr="00424274">
        <w:t>Priprava podzakonskih predpisov</w:t>
      </w:r>
      <w:bookmarkEnd w:id="110"/>
    </w:p>
    <w:p w14:paraId="1C341B9A" w14:textId="77777777" w:rsidR="003C6645" w:rsidRPr="00424274" w:rsidRDefault="003C6645" w:rsidP="003C6645">
      <w:pPr>
        <w:widowControl/>
        <w:spacing w:line="276" w:lineRule="auto"/>
        <w:rPr>
          <w:rFonts w:ascii="Arial" w:hAnsi="Arial"/>
          <w:sz w:val="20"/>
          <w:highlight w:val="yellow"/>
        </w:rPr>
      </w:pPr>
    </w:p>
    <w:p w14:paraId="3FAAD024" w14:textId="4FD385CE" w:rsidR="00A236CE" w:rsidRPr="00424274" w:rsidRDefault="00A236CE" w:rsidP="003C6645">
      <w:pPr>
        <w:widowControl/>
        <w:spacing w:line="276" w:lineRule="auto"/>
        <w:rPr>
          <w:rFonts w:ascii="Arial" w:hAnsi="Arial"/>
          <w:sz w:val="20"/>
        </w:rPr>
      </w:pPr>
      <w:r w:rsidRPr="00424274">
        <w:rPr>
          <w:rFonts w:ascii="Arial" w:hAnsi="Arial"/>
          <w:sz w:val="20"/>
        </w:rPr>
        <w:t xml:space="preserve">Urad je pripravil predloge novih podzakonskih predpisov oziroma spremembe in dopolnitve nekaterih že </w:t>
      </w:r>
      <w:r w:rsidR="00B44E06">
        <w:rPr>
          <w:rFonts w:ascii="Arial" w:hAnsi="Arial"/>
          <w:sz w:val="20"/>
        </w:rPr>
        <w:t>veljavnih</w:t>
      </w:r>
      <w:r w:rsidRPr="00424274">
        <w:rPr>
          <w:rFonts w:ascii="Arial" w:hAnsi="Arial"/>
          <w:sz w:val="20"/>
        </w:rPr>
        <w:t>, in sicer:</w:t>
      </w:r>
    </w:p>
    <w:p w14:paraId="16FFC6C1" w14:textId="77777777" w:rsidR="00A236CE" w:rsidRPr="00424274" w:rsidRDefault="00A236CE" w:rsidP="00A236CE">
      <w:pPr>
        <w:spacing w:line="276" w:lineRule="auto"/>
        <w:rPr>
          <w:rFonts w:ascii="Arial" w:hAnsi="Arial"/>
          <w:sz w:val="20"/>
        </w:rPr>
      </w:pPr>
    </w:p>
    <w:p w14:paraId="6D788D23" w14:textId="4609F345" w:rsidR="00A236CE" w:rsidRPr="00424274" w:rsidRDefault="00A236CE" w:rsidP="00A236CE">
      <w:pPr>
        <w:numPr>
          <w:ilvl w:val="0"/>
          <w:numId w:val="8"/>
        </w:numPr>
        <w:spacing w:line="276" w:lineRule="auto"/>
        <w:rPr>
          <w:rFonts w:ascii="Arial" w:hAnsi="Arial"/>
          <w:sz w:val="20"/>
        </w:rPr>
      </w:pPr>
      <w:r w:rsidRPr="00424274">
        <w:rPr>
          <w:rFonts w:ascii="Arial" w:hAnsi="Arial"/>
          <w:sz w:val="20"/>
        </w:rPr>
        <w:t>predlog Uredbe o seznamu funkcij, ki se v Republiki Sloveniji štejejo kot vidni javni položaj, ki je bila objavljena v Uradnem list RS, št. 164/20 in se uporablja od 13. 11. 2020</w:t>
      </w:r>
      <w:r w:rsidR="002A7732" w:rsidRPr="00424274">
        <w:rPr>
          <w:rFonts w:ascii="Arial" w:hAnsi="Arial"/>
          <w:sz w:val="20"/>
        </w:rPr>
        <w:t>;</w:t>
      </w:r>
    </w:p>
    <w:p w14:paraId="44CB6C4E" w14:textId="0265BCEC" w:rsidR="00A236CE" w:rsidRPr="00424274" w:rsidRDefault="00A236CE" w:rsidP="00A236CE">
      <w:pPr>
        <w:numPr>
          <w:ilvl w:val="0"/>
          <w:numId w:val="8"/>
        </w:numPr>
        <w:spacing w:line="276" w:lineRule="auto"/>
        <w:rPr>
          <w:rFonts w:ascii="Arial" w:hAnsi="Arial"/>
          <w:sz w:val="20"/>
        </w:rPr>
      </w:pPr>
      <w:r w:rsidRPr="00424274">
        <w:rPr>
          <w:rFonts w:ascii="Arial" w:hAnsi="Arial"/>
          <w:sz w:val="20"/>
        </w:rPr>
        <w:t xml:space="preserve">predlog Pravilnika o vzpostavitvi in vodenju registra ponudnikov storitev menjav med virtualnimi in fiat valutami ter ponudnikov skrbniških denarnic, ki je bil objavljen v Uradnem list RS, št. 41/21 in se začne uporabljati 11. 3. 2021. V pravilniku je določeno, da se vzpostavi register ponudnikov storitev menjav med virtualnimi in fiat valutami ter ponudnikov skrbniških denarnic, ki imajo sedež ali podružnico v Republiki Sloveniji, z namenom zagotavljanja nadzora s področja preprečevanja pranja denarja in financiranja terorizma nad ponudniki teh storitev. Register vzdržuje in upravlja </w:t>
      </w:r>
      <w:r w:rsidR="00814A21">
        <w:rPr>
          <w:rFonts w:ascii="Arial" w:hAnsi="Arial"/>
          <w:sz w:val="20"/>
        </w:rPr>
        <w:t>urad</w:t>
      </w:r>
      <w:r w:rsidRPr="00424274">
        <w:rPr>
          <w:rFonts w:ascii="Arial" w:hAnsi="Arial"/>
          <w:sz w:val="20"/>
        </w:rPr>
        <w:t>. Predmet tega pravilnika so tudi pravila o vzpostavitvi in vodenju registra</w:t>
      </w:r>
      <w:r w:rsidR="002A7732" w:rsidRPr="00424274">
        <w:rPr>
          <w:rFonts w:ascii="Arial" w:hAnsi="Arial"/>
          <w:sz w:val="20"/>
        </w:rPr>
        <w:t>;</w:t>
      </w:r>
    </w:p>
    <w:p w14:paraId="4B06B817" w14:textId="57A1A4F5" w:rsidR="00A236CE" w:rsidRPr="00424274" w:rsidRDefault="00A236CE" w:rsidP="00A236CE">
      <w:pPr>
        <w:numPr>
          <w:ilvl w:val="0"/>
          <w:numId w:val="8"/>
        </w:numPr>
        <w:spacing w:line="276" w:lineRule="auto"/>
        <w:rPr>
          <w:rFonts w:ascii="Arial" w:hAnsi="Arial"/>
          <w:sz w:val="20"/>
        </w:rPr>
      </w:pPr>
      <w:r w:rsidRPr="00424274">
        <w:rPr>
          <w:rFonts w:ascii="Arial" w:hAnsi="Arial"/>
          <w:sz w:val="20"/>
        </w:rPr>
        <w:t>predlog Pravilnika o spremembi in dopolnitvah Pravilnika o dejavnikih neznatnega in povečanega tveganja za pranje denarja ali financiranje terorizma, ki je bil objavljen v Uradnem listu RS, št. 152/20</w:t>
      </w:r>
      <w:r w:rsidR="002A7732" w:rsidRPr="00424274">
        <w:rPr>
          <w:rFonts w:ascii="Arial" w:hAnsi="Arial"/>
          <w:sz w:val="20"/>
        </w:rPr>
        <w:t>;</w:t>
      </w:r>
    </w:p>
    <w:p w14:paraId="5BD11655" w14:textId="140D542F" w:rsidR="00A236CE" w:rsidRPr="00424274" w:rsidRDefault="00A236CE" w:rsidP="00A236CE">
      <w:pPr>
        <w:numPr>
          <w:ilvl w:val="0"/>
          <w:numId w:val="8"/>
        </w:numPr>
        <w:spacing w:line="276" w:lineRule="auto"/>
        <w:rPr>
          <w:rFonts w:ascii="Arial" w:hAnsi="Arial"/>
          <w:sz w:val="20"/>
        </w:rPr>
      </w:pPr>
      <w:r w:rsidRPr="00424274">
        <w:rPr>
          <w:rFonts w:ascii="Arial" w:hAnsi="Arial"/>
          <w:sz w:val="20"/>
        </w:rPr>
        <w:t xml:space="preserve">predlog Pravilnika o tehničnih pogojih, ki jih morajo izpolnjevati sefi in </w:t>
      </w:r>
      <w:proofErr w:type="spellStart"/>
      <w:r w:rsidRPr="00424274">
        <w:rPr>
          <w:rFonts w:ascii="Arial" w:hAnsi="Arial"/>
          <w:sz w:val="20"/>
        </w:rPr>
        <w:t>videoelektronska</w:t>
      </w:r>
      <w:proofErr w:type="spellEnd"/>
      <w:r w:rsidRPr="00424274">
        <w:rPr>
          <w:rFonts w:ascii="Arial" w:hAnsi="Arial"/>
          <w:sz w:val="20"/>
        </w:rPr>
        <w:t xml:space="preserve"> identifikacijska sredstva oziroma sredstva, ki omogočajo identifikacijo stranke na podlagi njenih biometričnih značilnosti;</w:t>
      </w:r>
    </w:p>
    <w:p w14:paraId="7F529BC2" w14:textId="5E6351E0" w:rsidR="00A236CE" w:rsidRPr="00424274" w:rsidRDefault="00A236CE" w:rsidP="00A236CE">
      <w:pPr>
        <w:numPr>
          <w:ilvl w:val="0"/>
          <w:numId w:val="8"/>
        </w:numPr>
        <w:spacing w:line="276" w:lineRule="auto"/>
        <w:rPr>
          <w:rFonts w:ascii="Arial" w:hAnsi="Arial"/>
          <w:sz w:val="20"/>
        </w:rPr>
      </w:pPr>
      <w:r w:rsidRPr="00424274">
        <w:rPr>
          <w:rFonts w:ascii="Arial" w:hAnsi="Arial"/>
          <w:sz w:val="20"/>
        </w:rPr>
        <w:t xml:space="preserve">predlog Pravilnika o tehničnih pogojih, ki jih morajo izpolnjevati sefi in </w:t>
      </w:r>
      <w:proofErr w:type="spellStart"/>
      <w:r w:rsidRPr="00424274">
        <w:rPr>
          <w:rFonts w:ascii="Arial" w:hAnsi="Arial"/>
          <w:sz w:val="20"/>
        </w:rPr>
        <w:t>videoelektronska</w:t>
      </w:r>
      <w:proofErr w:type="spellEnd"/>
      <w:r w:rsidRPr="00424274">
        <w:rPr>
          <w:rFonts w:ascii="Arial" w:hAnsi="Arial"/>
          <w:sz w:val="20"/>
        </w:rPr>
        <w:t xml:space="preserve"> identifikacijska sredstva oziroma sredstva, ki omogočajo identifikacijo stranke na podlagi njenih biometričnih značilnosti</w:t>
      </w:r>
      <w:r w:rsidR="002A7732" w:rsidRPr="00424274">
        <w:rPr>
          <w:rFonts w:ascii="Arial" w:hAnsi="Arial"/>
          <w:sz w:val="20"/>
        </w:rPr>
        <w:t>.</w:t>
      </w:r>
    </w:p>
    <w:p w14:paraId="02C1D223" w14:textId="77777777" w:rsidR="009E03EB" w:rsidRPr="009E03EB" w:rsidRDefault="009E03EB" w:rsidP="00A236CE">
      <w:pPr>
        <w:spacing w:line="276" w:lineRule="auto"/>
        <w:rPr>
          <w:rFonts w:ascii="Arial" w:hAnsi="Arial"/>
          <w:sz w:val="20"/>
        </w:rPr>
      </w:pPr>
    </w:p>
    <w:p w14:paraId="44A3548E" w14:textId="3CCAF57B" w:rsidR="00A236CE" w:rsidRPr="00424274" w:rsidRDefault="00CA770D" w:rsidP="006D5A5A">
      <w:pPr>
        <w:pStyle w:val="Naslov3"/>
      </w:pPr>
      <w:bookmarkStart w:id="111" w:name="_Toc113535481"/>
      <w:r w:rsidRPr="00424274">
        <w:t>5.1.</w:t>
      </w:r>
      <w:r w:rsidR="004176BF" w:rsidRPr="00424274">
        <w:t>5</w:t>
      </w:r>
      <w:r w:rsidRPr="00424274">
        <w:t xml:space="preserve"> </w:t>
      </w:r>
      <w:r w:rsidR="00A236CE" w:rsidRPr="00424274">
        <w:t xml:space="preserve">Priprava predlogov odgovorov na </w:t>
      </w:r>
      <w:r w:rsidR="008A6A7E">
        <w:t>u</w:t>
      </w:r>
      <w:r w:rsidR="00A236CE" w:rsidRPr="00424274">
        <w:t xml:space="preserve">radni opomin Evropske komisije zaradi </w:t>
      </w:r>
      <w:proofErr w:type="spellStart"/>
      <w:r w:rsidR="00A236CE" w:rsidRPr="00424274">
        <w:t>nenotifikacije</w:t>
      </w:r>
      <w:proofErr w:type="spellEnd"/>
      <w:r w:rsidR="00A236CE" w:rsidRPr="00424274">
        <w:t xml:space="preserve"> predpisov za prenos Direktive (EU) 2018/843 in na </w:t>
      </w:r>
      <w:r w:rsidR="008A6A7E">
        <w:t>u</w:t>
      </w:r>
      <w:r w:rsidR="00A236CE" w:rsidRPr="00424274">
        <w:t>radni opomin Evropske komisije zaradi neizpolnjevanja obveznosti iz nekaterih členov Direktive (EU) 2015/849</w:t>
      </w:r>
      <w:bookmarkEnd w:id="111"/>
      <w:r w:rsidR="00A236CE" w:rsidRPr="00424274">
        <w:t xml:space="preserve"> </w:t>
      </w:r>
    </w:p>
    <w:p w14:paraId="48EF9CBC" w14:textId="77777777" w:rsidR="00A236CE" w:rsidRPr="00424274" w:rsidRDefault="00A236CE" w:rsidP="00A236CE">
      <w:pPr>
        <w:rPr>
          <w:highlight w:val="yellow"/>
        </w:rPr>
      </w:pPr>
    </w:p>
    <w:p w14:paraId="2B5CA746" w14:textId="15997D5F" w:rsidR="00A236CE" w:rsidRPr="00424274" w:rsidRDefault="00A236CE" w:rsidP="00A236CE">
      <w:pPr>
        <w:spacing w:line="276" w:lineRule="auto"/>
        <w:rPr>
          <w:rFonts w:ascii="Arial" w:hAnsi="Arial"/>
          <w:sz w:val="20"/>
        </w:rPr>
      </w:pPr>
      <w:r w:rsidRPr="00424274">
        <w:rPr>
          <w:rFonts w:ascii="Arial" w:hAnsi="Arial"/>
          <w:sz w:val="20"/>
        </w:rPr>
        <w:t xml:space="preserve">V letu 2020 je Republika Slovenija prejela dva uradna opomina Evropske komisije, ki sta se nanašala na področje </w:t>
      </w:r>
      <w:r w:rsidR="00B6702E" w:rsidRPr="00424274">
        <w:rPr>
          <w:rFonts w:ascii="Arial" w:hAnsi="Arial"/>
          <w:sz w:val="20"/>
        </w:rPr>
        <w:t xml:space="preserve">preprečevanja </w:t>
      </w:r>
      <w:r w:rsidRPr="00424274">
        <w:rPr>
          <w:rFonts w:ascii="Arial" w:hAnsi="Arial"/>
          <w:sz w:val="20"/>
        </w:rPr>
        <w:t xml:space="preserve">pranja denarja in financiranja terorizma. Prvega zaradi </w:t>
      </w:r>
      <w:proofErr w:type="spellStart"/>
      <w:r w:rsidRPr="00424274">
        <w:rPr>
          <w:rFonts w:ascii="Arial" w:hAnsi="Arial"/>
          <w:sz w:val="20"/>
        </w:rPr>
        <w:t>neprenosa</w:t>
      </w:r>
      <w:proofErr w:type="spellEnd"/>
      <w:r w:rsidRPr="00424274">
        <w:rPr>
          <w:rFonts w:ascii="Arial" w:hAnsi="Arial"/>
          <w:sz w:val="20"/>
        </w:rPr>
        <w:t xml:space="preserve"> Direktive (EU) 2018/843, drugega pa zaradi očitka o nepravilnem prenosu Direktive (EU) 2015/849. </w:t>
      </w:r>
    </w:p>
    <w:p w14:paraId="1C89ED24" w14:textId="77777777" w:rsidR="00A236CE" w:rsidRPr="00424274" w:rsidRDefault="00A236CE" w:rsidP="00A236CE">
      <w:pPr>
        <w:spacing w:line="276" w:lineRule="auto"/>
        <w:rPr>
          <w:rFonts w:ascii="Arial" w:hAnsi="Arial"/>
          <w:sz w:val="20"/>
        </w:rPr>
      </w:pPr>
    </w:p>
    <w:p w14:paraId="725B4735" w14:textId="51384E51" w:rsidR="00A236CE" w:rsidRPr="00424274" w:rsidRDefault="00A236CE" w:rsidP="00A236CE">
      <w:pPr>
        <w:spacing w:line="276" w:lineRule="auto"/>
        <w:rPr>
          <w:rFonts w:ascii="Arial" w:hAnsi="Arial"/>
          <w:sz w:val="20"/>
        </w:rPr>
      </w:pPr>
      <w:r w:rsidRPr="00424274">
        <w:rPr>
          <w:rFonts w:ascii="Arial" w:hAnsi="Arial"/>
          <w:sz w:val="20"/>
        </w:rPr>
        <w:t xml:space="preserve">Urad je pripravil predlog odgovora na opomin v zvezi z </w:t>
      </w:r>
      <w:proofErr w:type="spellStart"/>
      <w:r w:rsidRPr="00424274">
        <w:rPr>
          <w:rFonts w:ascii="Arial" w:hAnsi="Arial"/>
          <w:sz w:val="20"/>
        </w:rPr>
        <w:t>neprenosom</w:t>
      </w:r>
      <w:proofErr w:type="spellEnd"/>
      <w:r w:rsidRPr="00424274">
        <w:rPr>
          <w:rFonts w:ascii="Arial" w:hAnsi="Arial"/>
          <w:sz w:val="20"/>
        </w:rPr>
        <w:t xml:space="preserve"> Direktive (EU) 2018/843, v katerem smo se zavezali, da bo ta direktiva prenesena v notranji pravni red v najkrajšem možnem času, kar je bilo tudi storjeno, saj je bil sprejeta novela ZPPDFT-1B.</w:t>
      </w:r>
    </w:p>
    <w:p w14:paraId="32C7A0E2" w14:textId="77777777" w:rsidR="00A236CE" w:rsidRPr="00424274" w:rsidRDefault="00A236CE" w:rsidP="00A236CE">
      <w:pPr>
        <w:spacing w:line="276" w:lineRule="auto"/>
        <w:rPr>
          <w:rFonts w:ascii="Arial" w:hAnsi="Arial"/>
          <w:sz w:val="20"/>
        </w:rPr>
      </w:pPr>
    </w:p>
    <w:p w14:paraId="2F73D5D8" w14:textId="77777777" w:rsidR="00A236CE" w:rsidRPr="00424274" w:rsidRDefault="00A236CE" w:rsidP="00A236CE">
      <w:pPr>
        <w:spacing w:line="276" w:lineRule="auto"/>
        <w:rPr>
          <w:rFonts w:ascii="Arial" w:hAnsi="Arial"/>
          <w:sz w:val="20"/>
        </w:rPr>
      </w:pPr>
      <w:r w:rsidRPr="00424274">
        <w:rPr>
          <w:rFonts w:ascii="Arial" w:hAnsi="Arial"/>
          <w:sz w:val="20"/>
        </w:rPr>
        <w:t>V zvezi z očitki z očitki o nepravilnem prenosu Direktive (EU) 2015/849 je bil pripravljen obširen odgovor, v katerem je bilo pojasnjeno, zakaj menimo, da so ti neutemeljeni. Evropska komisija je našo razlago sprejela in že v istem letu sprejela odločitev o zaključku tega postopka.</w:t>
      </w:r>
    </w:p>
    <w:p w14:paraId="09DF8DD9" w14:textId="78216312" w:rsidR="00A236CE" w:rsidRPr="00424274" w:rsidRDefault="00CA770D" w:rsidP="006D5A5A">
      <w:pPr>
        <w:pStyle w:val="Naslov3"/>
      </w:pPr>
      <w:bookmarkStart w:id="112" w:name="_Toc402346329"/>
      <w:bookmarkStart w:id="113" w:name="_Toc463955069"/>
      <w:bookmarkStart w:id="114" w:name="_Toc499807224"/>
      <w:bookmarkStart w:id="115" w:name="_Toc529353594"/>
      <w:bookmarkStart w:id="116" w:name="_Toc51576297"/>
      <w:bookmarkStart w:id="117" w:name="_Toc113535482"/>
      <w:r w:rsidRPr="00424274">
        <w:t>5.1.</w:t>
      </w:r>
      <w:r w:rsidR="004176BF" w:rsidRPr="00424274">
        <w:t xml:space="preserve">6 </w:t>
      </w:r>
      <w:r w:rsidR="00A236CE" w:rsidRPr="00424274">
        <w:t xml:space="preserve">Pisna mnenja in stališča v zvezi z izvajanjem </w:t>
      </w:r>
      <w:bookmarkEnd w:id="112"/>
      <w:bookmarkEnd w:id="113"/>
      <w:r w:rsidR="00A236CE" w:rsidRPr="00424274">
        <w:t>ZPPDFT-1</w:t>
      </w:r>
      <w:bookmarkEnd w:id="114"/>
      <w:bookmarkEnd w:id="115"/>
      <w:bookmarkEnd w:id="116"/>
      <w:bookmarkEnd w:id="117"/>
    </w:p>
    <w:p w14:paraId="60517128" w14:textId="77777777" w:rsidR="00A236CE" w:rsidRPr="00424274" w:rsidRDefault="00A236CE" w:rsidP="00A236CE">
      <w:pPr>
        <w:rPr>
          <w:highlight w:val="yellow"/>
        </w:rPr>
      </w:pPr>
    </w:p>
    <w:p w14:paraId="2F6EF5A2" w14:textId="40D5F695" w:rsidR="00A236CE" w:rsidRPr="00424274" w:rsidRDefault="00A236CE" w:rsidP="00A236CE">
      <w:pPr>
        <w:widowControl/>
        <w:spacing w:line="276" w:lineRule="auto"/>
        <w:rPr>
          <w:rFonts w:ascii="Arial" w:hAnsi="Arial"/>
          <w:sz w:val="20"/>
        </w:rPr>
      </w:pPr>
      <w:r w:rsidRPr="00424274">
        <w:rPr>
          <w:rFonts w:ascii="Arial" w:hAnsi="Arial"/>
          <w:sz w:val="20"/>
        </w:rPr>
        <w:t xml:space="preserve">V letu 2020 je </w:t>
      </w:r>
      <w:r w:rsidR="00A0541B">
        <w:rPr>
          <w:rFonts w:ascii="Arial" w:hAnsi="Arial"/>
          <w:sz w:val="20"/>
        </w:rPr>
        <w:t>urad</w:t>
      </w:r>
      <w:r w:rsidRPr="00424274">
        <w:rPr>
          <w:rFonts w:ascii="Arial" w:hAnsi="Arial"/>
          <w:sz w:val="20"/>
        </w:rPr>
        <w:t xml:space="preserve"> podal pisna mnenja in stališča v zvezi z izvajanjem določb ZPPDFT-1 v 90 zadevah, kar predstavlja skoraj 60</w:t>
      </w:r>
      <w:r w:rsidR="00A0541B">
        <w:rPr>
          <w:rFonts w:ascii="Arial" w:hAnsi="Arial"/>
          <w:sz w:val="20"/>
        </w:rPr>
        <w:t>-</w:t>
      </w:r>
      <w:r w:rsidRPr="00424274">
        <w:rPr>
          <w:rFonts w:ascii="Arial" w:hAnsi="Arial"/>
          <w:sz w:val="20"/>
        </w:rPr>
        <w:t xml:space="preserve">% padec števila zadev iz tega naslova glede na leto 2019. Razlog za tako izrazit padec je v tem, da so se v letu 2020 počasi </w:t>
      </w:r>
      <w:r w:rsidR="008A6A7E">
        <w:rPr>
          <w:rFonts w:ascii="Arial" w:hAnsi="Arial"/>
          <w:sz w:val="20"/>
        </w:rPr>
        <w:t>za</w:t>
      </w:r>
      <w:r w:rsidRPr="00424274">
        <w:rPr>
          <w:rFonts w:ascii="Arial" w:hAnsi="Arial"/>
          <w:sz w:val="20"/>
        </w:rPr>
        <w:t>čele umirjati aktivnosti na področju vpisa poslovnih subjektov v Register dejanskih lastnikov.</w:t>
      </w:r>
    </w:p>
    <w:p w14:paraId="4ED2031F" w14:textId="77777777" w:rsidR="00A236CE" w:rsidRPr="00424274" w:rsidRDefault="00A236CE" w:rsidP="00A236CE">
      <w:pPr>
        <w:widowControl/>
        <w:spacing w:line="276" w:lineRule="auto"/>
        <w:rPr>
          <w:rFonts w:ascii="Arial" w:hAnsi="Arial"/>
          <w:color w:val="FF0000"/>
          <w:sz w:val="20"/>
        </w:rPr>
      </w:pPr>
    </w:p>
    <w:p w14:paraId="69CE89BC" w14:textId="1929706C" w:rsidR="00A236CE" w:rsidRPr="00424274" w:rsidRDefault="00A236CE" w:rsidP="00A236CE">
      <w:pPr>
        <w:widowControl/>
        <w:spacing w:line="276" w:lineRule="auto"/>
        <w:rPr>
          <w:rFonts w:ascii="Arial" w:hAnsi="Arial"/>
          <w:sz w:val="20"/>
        </w:rPr>
      </w:pPr>
      <w:r w:rsidRPr="00424274">
        <w:rPr>
          <w:rFonts w:ascii="Arial" w:hAnsi="Arial"/>
          <w:sz w:val="20"/>
        </w:rPr>
        <w:t xml:space="preserve">Ne glede na navedeno pa je bilo v letu 2020 kar nekaj zadev, v katerih je bilo </w:t>
      </w:r>
      <w:r w:rsidR="008126B7">
        <w:rPr>
          <w:rFonts w:ascii="Arial" w:hAnsi="Arial"/>
          <w:sz w:val="20"/>
        </w:rPr>
        <w:t>treba</w:t>
      </w:r>
      <w:r w:rsidRPr="00424274">
        <w:rPr>
          <w:rFonts w:ascii="Arial" w:hAnsi="Arial"/>
          <w:sz w:val="20"/>
        </w:rPr>
        <w:t xml:space="preserve"> predhodno uskladiti stališče v zvezi z izvajanjem zakona v okviru sodelovanja med nadzornimi organi. Na splošno je prepoznano, da so postavljena vprašanja oziroma zaprosila za pomoč pri izvajanju zakonskih določb </w:t>
      </w:r>
      <w:r w:rsidRPr="00424274">
        <w:rPr>
          <w:rFonts w:ascii="Arial" w:hAnsi="Arial"/>
          <w:sz w:val="20"/>
        </w:rPr>
        <w:lastRenderedPageBreak/>
        <w:t xml:space="preserve">čedalje bolj zahtevna in kompleksna, kar na eni strani zahteva vključevanje več resursov v okviru </w:t>
      </w:r>
      <w:r w:rsidR="00A0541B">
        <w:rPr>
          <w:rFonts w:ascii="Arial" w:hAnsi="Arial"/>
          <w:sz w:val="20"/>
        </w:rPr>
        <w:t>urad</w:t>
      </w:r>
      <w:r w:rsidRPr="00424274">
        <w:rPr>
          <w:rFonts w:ascii="Arial" w:hAnsi="Arial"/>
          <w:sz w:val="20"/>
        </w:rPr>
        <w:t xml:space="preserve">a, na drugi strani pa to kaže na kakovostni razvoj, vsaj v nekaterih kategorijah zavezancev, pri izvajanju ukrepov za preprečevanje pranja denarja in financiranja terorizma v okviru svojih poslovnih procesov. </w:t>
      </w:r>
    </w:p>
    <w:p w14:paraId="3386EA75" w14:textId="77777777" w:rsidR="00A236CE" w:rsidRPr="00424274" w:rsidRDefault="00A236CE" w:rsidP="00A236CE">
      <w:pPr>
        <w:widowControl/>
        <w:spacing w:line="276" w:lineRule="auto"/>
        <w:rPr>
          <w:rFonts w:ascii="Arial" w:hAnsi="Arial"/>
          <w:sz w:val="20"/>
        </w:rPr>
      </w:pPr>
    </w:p>
    <w:p w14:paraId="59DD5954" w14:textId="65CAA1FE" w:rsidR="00A236CE" w:rsidRPr="00424274" w:rsidRDefault="00A236CE" w:rsidP="00A236CE">
      <w:pPr>
        <w:widowControl/>
        <w:spacing w:line="276" w:lineRule="auto"/>
        <w:rPr>
          <w:rFonts w:ascii="Arial" w:hAnsi="Arial"/>
          <w:sz w:val="20"/>
        </w:rPr>
      </w:pPr>
      <w:r w:rsidRPr="00424274">
        <w:rPr>
          <w:rFonts w:ascii="Arial" w:hAnsi="Arial"/>
          <w:sz w:val="20"/>
        </w:rPr>
        <w:t xml:space="preserve">Vsebinska področja, ki so bila posebej </w:t>
      </w:r>
      <w:r w:rsidR="00F01EA2">
        <w:rPr>
          <w:rFonts w:ascii="Arial" w:hAnsi="Arial"/>
          <w:sz w:val="20"/>
        </w:rPr>
        <w:t>poudarjena</w:t>
      </w:r>
      <w:r w:rsidR="00F01EA2" w:rsidRPr="00424274">
        <w:rPr>
          <w:rFonts w:ascii="Arial" w:hAnsi="Arial"/>
          <w:sz w:val="20"/>
        </w:rPr>
        <w:t xml:space="preserve"> </w:t>
      </w:r>
      <w:r w:rsidRPr="00424274">
        <w:rPr>
          <w:rFonts w:ascii="Arial" w:hAnsi="Arial"/>
          <w:sz w:val="20"/>
        </w:rPr>
        <w:t>pri izdaji mnenj in stališč v zvezi z izvajanjem ZPPDFT-1, so se nanašala na:</w:t>
      </w:r>
    </w:p>
    <w:p w14:paraId="1BB8C8A7" w14:textId="29B58769" w:rsidR="00A236CE" w:rsidRPr="00424274" w:rsidRDefault="00A236CE" w:rsidP="00A236CE">
      <w:pPr>
        <w:widowControl/>
        <w:numPr>
          <w:ilvl w:val="0"/>
          <w:numId w:val="9"/>
        </w:numPr>
        <w:spacing w:line="276" w:lineRule="auto"/>
        <w:rPr>
          <w:rFonts w:ascii="Arial" w:hAnsi="Arial"/>
          <w:sz w:val="20"/>
        </w:rPr>
      </w:pPr>
      <w:r w:rsidRPr="00424274">
        <w:rPr>
          <w:rFonts w:ascii="Arial" w:hAnsi="Arial"/>
          <w:sz w:val="20"/>
        </w:rPr>
        <w:t>pregled stranke prek tretje osebe</w:t>
      </w:r>
      <w:r w:rsidR="00B6702E" w:rsidRPr="00424274">
        <w:rPr>
          <w:rFonts w:ascii="Arial" w:hAnsi="Arial"/>
          <w:sz w:val="20"/>
        </w:rPr>
        <w:t>;</w:t>
      </w:r>
    </w:p>
    <w:p w14:paraId="1AF6800B" w14:textId="7376D6F0" w:rsidR="00A236CE" w:rsidRPr="00424274" w:rsidRDefault="00A236CE" w:rsidP="00A236CE">
      <w:pPr>
        <w:widowControl/>
        <w:numPr>
          <w:ilvl w:val="0"/>
          <w:numId w:val="9"/>
        </w:numPr>
        <w:spacing w:line="276" w:lineRule="auto"/>
        <w:rPr>
          <w:rFonts w:ascii="Arial" w:hAnsi="Arial"/>
          <w:sz w:val="20"/>
        </w:rPr>
      </w:pPr>
      <w:r w:rsidRPr="00424274">
        <w:rPr>
          <w:rFonts w:ascii="Arial" w:hAnsi="Arial"/>
          <w:sz w:val="20"/>
        </w:rPr>
        <w:t>prekinitev poslovnega razmerja po ZPPDFT-1</w:t>
      </w:r>
      <w:r w:rsidR="00B6702E" w:rsidRPr="00424274">
        <w:rPr>
          <w:rFonts w:ascii="Arial" w:hAnsi="Arial"/>
          <w:sz w:val="20"/>
        </w:rPr>
        <w:t>;</w:t>
      </w:r>
    </w:p>
    <w:p w14:paraId="7D9AE382" w14:textId="4CDEC60A" w:rsidR="00A236CE" w:rsidRPr="00424274" w:rsidRDefault="00A236CE" w:rsidP="00A236CE">
      <w:pPr>
        <w:widowControl/>
        <w:numPr>
          <w:ilvl w:val="0"/>
          <w:numId w:val="9"/>
        </w:numPr>
        <w:spacing w:line="276" w:lineRule="auto"/>
        <w:rPr>
          <w:rFonts w:ascii="Arial" w:hAnsi="Arial"/>
          <w:sz w:val="20"/>
        </w:rPr>
      </w:pPr>
      <w:r w:rsidRPr="00424274">
        <w:rPr>
          <w:rFonts w:ascii="Arial" w:hAnsi="Arial"/>
          <w:sz w:val="20"/>
        </w:rPr>
        <w:t>vpis podatkov v register dejanskih lastnikov</w:t>
      </w:r>
      <w:r w:rsidR="00B6702E" w:rsidRPr="00424274">
        <w:rPr>
          <w:rFonts w:ascii="Arial" w:hAnsi="Arial"/>
          <w:sz w:val="20"/>
        </w:rPr>
        <w:t>;</w:t>
      </w:r>
    </w:p>
    <w:p w14:paraId="3A16F74D" w14:textId="1FBC4672" w:rsidR="00A236CE" w:rsidRPr="00424274" w:rsidRDefault="00A236CE" w:rsidP="00A236CE">
      <w:pPr>
        <w:widowControl/>
        <w:numPr>
          <w:ilvl w:val="0"/>
          <w:numId w:val="9"/>
        </w:numPr>
        <w:spacing w:line="276" w:lineRule="auto"/>
        <w:rPr>
          <w:rFonts w:ascii="Arial" w:hAnsi="Arial"/>
          <w:sz w:val="20"/>
        </w:rPr>
      </w:pPr>
      <w:r w:rsidRPr="00424274">
        <w:rPr>
          <w:rFonts w:ascii="Arial" w:hAnsi="Arial"/>
          <w:sz w:val="20"/>
        </w:rPr>
        <w:t>novo kategorijo zavezancev, ki izvajajo dejavnost, povezano z virtualnimi valutami</w:t>
      </w:r>
      <w:r w:rsidR="00B6702E" w:rsidRPr="00424274">
        <w:rPr>
          <w:rFonts w:ascii="Arial" w:hAnsi="Arial"/>
          <w:sz w:val="20"/>
        </w:rPr>
        <w:t>;</w:t>
      </w:r>
    </w:p>
    <w:p w14:paraId="1E1A0F3B" w14:textId="0A5EBEE2" w:rsidR="00A236CE" w:rsidRPr="00424274" w:rsidRDefault="00A236CE" w:rsidP="00A236CE">
      <w:pPr>
        <w:widowControl/>
        <w:numPr>
          <w:ilvl w:val="0"/>
          <w:numId w:val="9"/>
        </w:numPr>
        <w:spacing w:line="276" w:lineRule="auto"/>
        <w:rPr>
          <w:rFonts w:ascii="Arial" w:hAnsi="Arial"/>
          <w:sz w:val="20"/>
        </w:rPr>
      </w:pPr>
      <w:r w:rsidRPr="00424274">
        <w:rPr>
          <w:rFonts w:ascii="Arial" w:hAnsi="Arial"/>
          <w:sz w:val="20"/>
        </w:rPr>
        <w:t>ugotavljanje politične izpostavljenosti</w:t>
      </w:r>
      <w:r w:rsidR="00B6702E" w:rsidRPr="00424274">
        <w:rPr>
          <w:rFonts w:ascii="Arial" w:hAnsi="Arial"/>
          <w:sz w:val="20"/>
        </w:rPr>
        <w:t>;</w:t>
      </w:r>
    </w:p>
    <w:p w14:paraId="68C6FE22" w14:textId="3FEBDB87" w:rsidR="00A236CE" w:rsidRPr="00424274" w:rsidRDefault="00A236CE" w:rsidP="00A236CE">
      <w:pPr>
        <w:widowControl/>
        <w:numPr>
          <w:ilvl w:val="0"/>
          <w:numId w:val="9"/>
        </w:numPr>
        <w:spacing w:line="276" w:lineRule="auto"/>
        <w:rPr>
          <w:rFonts w:ascii="Arial" w:hAnsi="Arial"/>
          <w:sz w:val="20"/>
        </w:rPr>
      </w:pPr>
      <w:r w:rsidRPr="00424274">
        <w:rPr>
          <w:rFonts w:ascii="Arial" w:hAnsi="Arial"/>
          <w:sz w:val="20"/>
        </w:rPr>
        <w:t>obveznost pregleda stranke pri občasnih transakcijah</w:t>
      </w:r>
      <w:r w:rsidR="00B6702E" w:rsidRPr="00424274">
        <w:rPr>
          <w:rFonts w:ascii="Arial" w:hAnsi="Arial"/>
          <w:sz w:val="20"/>
        </w:rPr>
        <w:t>;</w:t>
      </w:r>
    </w:p>
    <w:p w14:paraId="351044EE" w14:textId="16DA91D3" w:rsidR="00A236CE" w:rsidRPr="00424274" w:rsidRDefault="00A236CE" w:rsidP="00A236CE">
      <w:pPr>
        <w:widowControl/>
        <w:numPr>
          <w:ilvl w:val="0"/>
          <w:numId w:val="9"/>
        </w:numPr>
        <w:spacing w:line="276" w:lineRule="auto"/>
        <w:rPr>
          <w:rFonts w:ascii="Arial" w:hAnsi="Arial"/>
          <w:sz w:val="20"/>
        </w:rPr>
      </w:pPr>
      <w:r w:rsidRPr="00424274">
        <w:rPr>
          <w:rFonts w:ascii="Arial" w:hAnsi="Arial"/>
          <w:sz w:val="20"/>
        </w:rPr>
        <w:t>izvajanje pregleda stranke na podlagi 17. člena ZPPDFT-1</w:t>
      </w:r>
      <w:r w:rsidR="00B6702E" w:rsidRPr="00424274">
        <w:rPr>
          <w:rFonts w:ascii="Arial" w:hAnsi="Arial"/>
          <w:sz w:val="20"/>
        </w:rPr>
        <w:t>;</w:t>
      </w:r>
    </w:p>
    <w:p w14:paraId="4C312B7D" w14:textId="0F5EBFDE" w:rsidR="00A236CE" w:rsidRPr="00424274" w:rsidRDefault="00A236CE" w:rsidP="00A236CE">
      <w:pPr>
        <w:widowControl/>
        <w:numPr>
          <w:ilvl w:val="0"/>
          <w:numId w:val="9"/>
        </w:numPr>
        <w:spacing w:line="276" w:lineRule="auto"/>
        <w:rPr>
          <w:rFonts w:ascii="Arial" w:hAnsi="Arial"/>
          <w:sz w:val="20"/>
        </w:rPr>
      </w:pPr>
      <w:r w:rsidRPr="00424274">
        <w:rPr>
          <w:rFonts w:ascii="Arial" w:hAnsi="Arial"/>
          <w:sz w:val="20"/>
        </w:rPr>
        <w:t>izvajanje ukrepov po ZPPDFT-1</w:t>
      </w:r>
      <w:r w:rsidR="00B6702E" w:rsidRPr="00424274">
        <w:rPr>
          <w:rFonts w:ascii="Arial" w:hAnsi="Arial"/>
          <w:sz w:val="20"/>
        </w:rPr>
        <w:t>;</w:t>
      </w:r>
    </w:p>
    <w:p w14:paraId="155E29C3" w14:textId="34187D78" w:rsidR="00A236CE" w:rsidRPr="00424274" w:rsidRDefault="00A236CE" w:rsidP="00A236CE">
      <w:pPr>
        <w:widowControl/>
        <w:numPr>
          <w:ilvl w:val="0"/>
          <w:numId w:val="9"/>
        </w:numPr>
        <w:spacing w:line="276" w:lineRule="auto"/>
        <w:rPr>
          <w:rFonts w:ascii="Arial" w:hAnsi="Arial"/>
          <w:sz w:val="20"/>
        </w:rPr>
      </w:pPr>
      <w:r w:rsidRPr="00424274">
        <w:rPr>
          <w:rFonts w:ascii="Arial" w:hAnsi="Arial"/>
          <w:sz w:val="20"/>
        </w:rPr>
        <w:t xml:space="preserve">izvajanje pregleda stranke prek </w:t>
      </w:r>
      <w:proofErr w:type="spellStart"/>
      <w:r w:rsidRPr="00424274">
        <w:rPr>
          <w:rFonts w:ascii="Arial" w:hAnsi="Arial"/>
          <w:sz w:val="20"/>
        </w:rPr>
        <w:t>videoelektronske</w:t>
      </w:r>
      <w:proofErr w:type="spellEnd"/>
      <w:r w:rsidRPr="00424274">
        <w:rPr>
          <w:rFonts w:ascii="Arial" w:hAnsi="Arial"/>
          <w:sz w:val="20"/>
        </w:rPr>
        <w:t xml:space="preserve"> identifikacije</w:t>
      </w:r>
      <w:r w:rsidR="00B6702E" w:rsidRPr="00424274">
        <w:rPr>
          <w:rFonts w:ascii="Arial" w:hAnsi="Arial"/>
          <w:sz w:val="20"/>
        </w:rPr>
        <w:t>;</w:t>
      </w:r>
    </w:p>
    <w:p w14:paraId="5874DF07" w14:textId="2A923285" w:rsidR="00A236CE" w:rsidRPr="00424274" w:rsidRDefault="00A236CE" w:rsidP="00A236CE">
      <w:pPr>
        <w:widowControl/>
        <w:numPr>
          <w:ilvl w:val="0"/>
          <w:numId w:val="9"/>
        </w:numPr>
        <w:spacing w:line="276" w:lineRule="auto"/>
        <w:rPr>
          <w:rFonts w:ascii="Arial" w:hAnsi="Arial"/>
          <w:sz w:val="20"/>
        </w:rPr>
      </w:pPr>
      <w:r w:rsidRPr="00424274">
        <w:rPr>
          <w:rFonts w:ascii="Arial" w:hAnsi="Arial"/>
          <w:sz w:val="20"/>
        </w:rPr>
        <w:t xml:space="preserve">izvajanje pregleda stranke </w:t>
      </w:r>
      <w:r w:rsidR="00B6702E" w:rsidRPr="00424274">
        <w:rPr>
          <w:rFonts w:ascii="Arial" w:hAnsi="Arial"/>
          <w:sz w:val="20"/>
        </w:rPr>
        <w:t xml:space="preserve">prek </w:t>
      </w:r>
      <w:r w:rsidRPr="00424274">
        <w:rPr>
          <w:rFonts w:ascii="Arial" w:hAnsi="Arial"/>
          <w:sz w:val="20"/>
        </w:rPr>
        <w:t>zunanj</w:t>
      </w:r>
      <w:r w:rsidR="00B6702E" w:rsidRPr="00424274">
        <w:rPr>
          <w:rFonts w:ascii="Arial" w:hAnsi="Arial"/>
          <w:sz w:val="20"/>
        </w:rPr>
        <w:t xml:space="preserve">ega </w:t>
      </w:r>
      <w:r w:rsidRPr="00424274">
        <w:rPr>
          <w:rFonts w:ascii="Arial" w:hAnsi="Arial"/>
          <w:sz w:val="20"/>
        </w:rPr>
        <w:t>izvajalc</w:t>
      </w:r>
      <w:r w:rsidR="00B6702E" w:rsidRPr="00424274">
        <w:rPr>
          <w:rFonts w:ascii="Arial" w:hAnsi="Arial"/>
          <w:sz w:val="20"/>
        </w:rPr>
        <w:t>a;</w:t>
      </w:r>
    </w:p>
    <w:p w14:paraId="169CEA6F" w14:textId="767E4562" w:rsidR="00A236CE" w:rsidRPr="00424274" w:rsidRDefault="00A236CE" w:rsidP="00A236CE">
      <w:pPr>
        <w:widowControl/>
        <w:numPr>
          <w:ilvl w:val="0"/>
          <w:numId w:val="9"/>
        </w:numPr>
        <w:spacing w:line="276" w:lineRule="auto"/>
        <w:rPr>
          <w:rFonts w:ascii="Arial" w:hAnsi="Arial"/>
          <w:sz w:val="20"/>
        </w:rPr>
      </w:pPr>
      <w:r w:rsidRPr="00424274">
        <w:rPr>
          <w:rFonts w:ascii="Arial" w:hAnsi="Arial"/>
          <w:sz w:val="20"/>
        </w:rPr>
        <w:t>imenovanje pooblaščenca in namestnika pooblaščenca</w:t>
      </w:r>
      <w:r w:rsidR="00B6702E" w:rsidRPr="00424274">
        <w:rPr>
          <w:rFonts w:ascii="Arial" w:hAnsi="Arial"/>
          <w:sz w:val="20"/>
        </w:rPr>
        <w:t>;</w:t>
      </w:r>
    </w:p>
    <w:p w14:paraId="1CDA6477" w14:textId="4A585277" w:rsidR="00A236CE" w:rsidRPr="00424274" w:rsidRDefault="00A236CE" w:rsidP="00A236CE">
      <w:pPr>
        <w:widowControl/>
        <w:numPr>
          <w:ilvl w:val="0"/>
          <w:numId w:val="9"/>
        </w:numPr>
        <w:spacing w:line="276" w:lineRule="auto"/>
        <w:rPr>
          <w:rFonts w:ascii="Arial" w:hAnsi="Arial"/>
          <w:sz w:val="20"/>
        </w:rPr>
      </w:pPr>
      <w:r w:rsidRPr="00424274">
        <w:rPr>
          <w:rFonts w:ascii="Arial" w:hAnsi="Arial"/>
          <w:sz w:val="20"/>
        </w:rPr>
        <w:t>razloge za sum pranja denarja in financiranja terorizma</w:t>
      </w:r>
      <w:r w:rsidR="00B6702E" w:rsidRPr="00424274">
        <w:rPr>
          <w:rFonts w:ascii="Arial" w:hAnsi="Arial"/>
          <w:sz w:val="20"/>
        </w:rPr>
        <w:t>;</w:t>
      </w:r>
    </w:p>
    <w:p w14:paraId="014CEF4B" w14:textId="77777777" w:rsidR="00A236CE" w:rsidRPr="00424274" w:rsidRDefault="00A236CE" w:rsidP="00A236CE">
      <w:pPr>
        <w:widowControl/>
        <w:numPr>
          <w:ilvl w:val="0"/>
          <w:numId w:val="9"/>
        </w:numPr>
        <w:spacing w:line="276" w:lineRule="auto"/>
        <w:rPr>
          <w:rFonts w:ascii="Arial" w:hAnsi="Arial"/>
          <w:sz w:val="20"/>
        </w:rPr>
      </w:pPr>
      <w:r w:rsidRPr="00424274">
        <w:rPr>
          <w:rFonts w:ascii="Arial" w:hAnsi="Arial"/>
          <w:sz w:val="20"/>
        </w:rPr>
        <w:t>obveznosti odvetnikov in notarjev na področju ZPPDFT-1,</w:t>
      </w:r>
    </w:p>
    <w:p w14:paraId="7F84BD59" w14:textId="45A8EE8F" w:rsidR="00A236CE" w:rsidRPr="00424274" w:rsidRDefault="00A236CE" w:rsidP="00A236CE">
      <w:pPr>
        <w:widowControl/>
        <w:numPr>
          <w:ilvl w:val="0"/>
          <w:numId w:val="9"/>
        </w:numPr>
        <w:spacing w:line="276" w:lineRule="auto"/>
        <w:rPr>
          <w:rFonts w:ascii="Arial" w:hAnsi="Arial"/>
          <w:sz w:val="20"/>
        </w:rPr>
      </w:pPr>
      <w:r w:rsidRPr="00424274">
        <w:rPr>
          <w:rFonts w:ascii="Arial" w:hAnsi="Arial"/>
          <w:sz w:val="20"/>
        </w:rPr>
        <w:t>delnice na prinosnika in</w:t>
      </w:r>
    </w:p>
    <w:p w14:paraId="22610CE0" w14:textId="77777777" w:rsidR="00A236CE" w:rsidRPr="00424274" w:rsidRDefault="00A236CE" w:rsidP="00A236CE">
      <w:pPr>
        <w:widowControl/>
        <w:numPr>
          <w:ilvl w:val="0"/>
          <w:numId w:val="9"/>
        </w:numPr>
        <w:spacing w:line="276" w:lineRule="auto"/>
        <w:rPr>
          <w:rFonts w:ascii="Arial" w:hAnsi="Arial"/>
          <w:sz w:val="20"/>
        </w:rPr>
      </w:pPr>
      <w:r w:rsidRPr="00424274">
        <w:rPr>
          <w:rFonts w:ascii="Arial" w:hAnsi="Arial"/>
          <w:sz w:val="20"/>
        </w:rPr>
        <w:t>hrambo podatkov in dokumentacije.</w:t>
      </w:r>
    </w:p>
    <w:p w14:paraId="0037B10A" w14:textId="77777777" w:rsidR="00A236CE" w:rsidRPr="00424274" w:rsidRDefault="00A236CE" w:rsidP="00A236CE">
      <w:pPr>
        <w:widowControl/>
        <w:spacing w:line="276" w:lineRule="auto"/>
        <w:ind w:left="760"/>
        <w:rPr>
          <w:rFonts w:ascii="Arial" w:hAnsi="Arial"/>
          <w:sz w:val="20"/>
        </w:rPr>
      </w:pPr>
    </w:p>
    <w:p w14:paraId="738F80EE" w14:textId="5AA387A7" w:rsidR="00A236CE" w:rsidRDefault="00A236CE" w:rsidP="00A236CE">
      <w:pPr>
        <w:widowControl/>
        <w:spacing w:line="276" w:lineRule="auto"/>
        <w:rPr>
          <w:rFonts w:ascii="Arial" w:hAnsi="Arial"/>
          <w:sz w:val="20"/>
        </w:rPr>
      </w:pPr>
      <w:r w:rsidRPr="00424274">
        <w:rPr>
          <w:rFonts w:ascii="Arial" w:hAnsi="Arial"/>
          <w:sz w:val="20"/>
        </w:rPr>
        <w:t xml:space="preserve">Navodila za izvajanje določb ZPPDFT-1 v zvezi s politično izpostavljenimi osebami </w:t>
      </w:r>
      <w:r w:rsidR="00B30E88">
        <w:rPr>
          <w:rFonts w:ascii="Arial" w:hAnsi="Arial"/>
          <w:sz w:val="20"/>
        </w:rPr>
        <w:t>in</w:t>
      </w:r>
      <w:r w:rsidR="00B30E88" w:rsidRPr="00424274">
        <w:rPr>
          <w:rFonts w:ascii="Arial" w:hAnsi="Arial"/>
          <w:sz w:val="20"/>
        </w:rPr>
        <w:t xml:space="preserve"> </w:t>
      </w:r>
      <w:r w:rsidRPr="00424274">
        <w:rPr>
          <w:rFonts w:ascii="Arial" w:hAnsi="Arial"/>
          <w:sz w:val="20"/>
        </w:rPr>
        <w:t xml:space="preserve">dejanskimi lastniki so bila objavljena tudi na spletni strani </w:t>
      </w:r>
      <w:r w:rsidR="00A0541B">
        <w:rPr>
          <w:rFonts w:ascii="Arial" w:hAnsi="Arial"/>
          <w:sz w:val="20"/>
        </w:rPr>
        <w:t>urad</w:t>
      </w:r>
      <w:r w:rsidRPr="00424274">
        <w:rPr>
          <w:rFonts w:ascii="Arial" w:hAnsi="Arial"/>
          <w:sz w:val="20"/>
        </w:rPr>
        <w:t>a.</w:t>
      </w:r>
    </w:p>
    <w:p w14:paraId="4E9806C8" w14:textId="380F1C25" w:rsidR="00C41181" w:rsidRDefault="00C41181" w:rsidP="00A236CE">
      <w:pPr>
        <w:widowControl/>
        <w:spacing w:line="276" w:lineRule="auto"/>
        <w:rPr>
          <w:rFonts w:ascii="Arial" w:hAnsi="Arial"/>
          <w:sz w:val="20"/>
        </w:rPr>
      </w:pPr>
    </w:p>
    <w:p w14:paraId="3431CA2D" w14:textId="77777777" w:rsidR="00EA2CA4" w:rsidRPr="00EA2CA4" w:rsidRDefault="00EA2CA4" w:rsidP="00EA2CA4">
      <w:pPr>
        <w:pStyle w:val="Naslov3"/>
      </w:pPr>
      <w:bookmarkStart w:id="118" w:name="_Toc113535483"/>
      <w:bookmarkStart w:id="119" w:name="_Hlk83111922"/>
      <w:bookmarkStart w:id="120" w:name="_Hlk83131537"/>
      <w:r w:rsidRPr="00EA2CA4">
        <w:t>5.1.7 Posodobljeno poročilo o izvedbi nacionalne ocene tveganja Republike Slovenije za pranje denarja in financiranje terorizma s podatki za leta 2016, 2017, 2018 in 2019 in Akcijski načrt za zmanjšanje in odpravo tveganj pranja denarja oziroma financiranja terorizma</w:t>
      </w:r>
      <w:bookmarkEnd w:id="118"/>
    </w:p>
    <w:p w14:paraId="20F81073" w14:textId="77777777" w:rsidR="00EF2058" w:rsidRDefault="00EF2058" w:rsidP="00EA2CA4">
      <w:pPr>
        <w:rPr>
          <w:rFonts w:ascii="Arial" w:hAnsi="Arial"/>
          <w:sz w:val="20"/>
          <w:lang w:eastAsia="sl-SI"/>
        </w:rPr>
      </w:pPr>
      <w:bookmarkStart w:id="121" w:name="_Hlk83131952"/>
      <w:bookmarkEnd w:id="119"/>
    </w:p>
    <w:p w14:paraId="366B834B" w14:textId="49E994A3" w:rsidR="00EA2CA4" w:rsidRPr="00E179E4" w:rsidRDefault="00EA2CA4" w:rsidP="00EA2CA4">
      <w:pPr>
        <w:rPr>
          <w:rFonts w:ascii="Arial" w:hAnsi="Arial"/>
          <w:sz w:val="20"/>
          <w:lang w:eastAsia="sl-SI"/>
        </w:rPr>
      </w:pPr>
      <w:r w:rsidRPr="00E179E4">
        <w:rPr>
          <w:rFonts w:ascii="Arial" w:hAnsi="Arial"/>
          <w:sz w:val="20"/>
          <w:lang w:eastAsia="sl-SI"/>
        </w:rPr>
        <w:t>Urad je v letu 2019 v sodelovanju z drugimi deležniki pristopil tudi k posodobitvi poročila o izvedbi nacionalne ocene tveganja.</w:t>
      </w:r>
    </w:p>
    <w:p w14:paraId="5598B5E0" w14:textId="77777777" w:rsidR="00EA2CA4" w:rsidRPr="00E179E4" w:rsidRDefault="00EA2CA4" w:rsidP="00EA2CA4">
      <w:pPr>
        <w:rPr>
          <w:rFonts w:ascii="Arial" w:hAnsi="Arial"/>
          <w:sz w:val="20"/>
          <w:lang w:eastAsia="sl-SI"/>
        </w:rPr>
      </w:pPr>
    </w:p>
    <w:p w14:paraId="5E864636" w14:textId="77777777" w:rsidR="00EA2CA4" w:rsidRPr="00E179E4" w:rsidRDefault="00EA2CA4" w:rsidP="00EA2CA4">
      <w:pPr>
        <w:rPr>
          <w:rFonts w:ascii="Arial" w:hAnsi="Arial"/>
          <w:sz w:val="20"/>
          <w:lang w:eastAsia="sl-SI"/>
        </w:rPr>
      </w:pPr>
      <w:r w:rsidRPr="00E179E4">
        <w:rPr>
          <w:rFonts w:ascii="Arial" w:hAnsi="Arial"/>
          <w:sz w:val="20"/>
          <w:lang w:eastAsia="sl-SI"/>
        </w:rPr>
        <w:t>Posodobljeno poročilo o izvedbi nacionalne ocene tveganja za pranje denarja (PD) in financiranje terorizma (FT) predstavlja rezultat aktivnosti vrste deležnikov v sistemu za preprečevanje PD in FT, ki so bile izvedene že tretjič. Namen izvedbe NOT vse od prvega poročila ostaja enak, to je pripraviti osnovo za sprejemanje celovitih ukrepov s pristopom, ki temelji na tveganju. Tveganje za PD in FT je različno, spreminja se z odzivanjem na globalne in lokalne trende v gospodarstvu, z uvedbo novih ali spremenjenih zakonskih določb, z razvojem sodobnih tehnologij ipd. Pristop, ki temelji na tveganju, omogoča tako pristojnim državnim organom kot zavezancem sprejem ukrepov, ki so sorazmerni zaznanim tveganjem. NOT predstavlja temeljni dokument, v katerem se ta tveganja prepoznajo, razumejo in z ukrepi, opredeljenimi v akcijskem načrtu, ustrezno obvladujejo. Sprejemanje odločitev na podlagi NOT pomeni boljšo ciljno usmeritev na tveganja PD in FT, s katerimi se sooča Republika Slovenija in posamezni deležniki, ki znotraj nje delujejo na področju preprečevanja PD in FT.</w:t>
      </w:r>
    </w:p>
    <w:p w14:paraId="60407EC6" w14:textId="77777777" w:rsidR="00EA2CA4" w:rsidRPr="00E179E4" w:rsidRDefault="00EA2CA4" w:rsidP="00EA2CA4">
      <w:pPr>
        <w:rPr>
          <w:rFonts w:ascii="Arial" w:hAnsi="Arial"/>
          <w:sz w:val="20"/>
          <w:lang w:eastAsia="sl-SI"/>
        </w:rPr>
      </w:pPr>
    </w:p>
    <w:p w14:paraId="254C671F" w14:textId="77777777" w:rsidR="00EA2CA4" w:rsidRPr="00E179E4" w:rsidRDefault="00EA2CA4" w:rsidP="00EA2CA4">
      <w:pPr>
        <w:rPr>
          <w:rFonts w:ascii="Arial" w:hAnsi="Arial"/>
          <w:sz w:val="20"/>
          <w:lang w:eastAsia="sl-SI"/>
        </w:rPr>
      </w:pPr>
      <w:r w:rsidRPr="00E179E4">
        <w:rPr>
          <w:rFonts w:ascii="Arial" w:hAnsi="Arial"/>
          <w:sz w:val="20"/>
          <w:lang w:eastAsia="sl-SI"/>
        </w:rPr>
        <w:t xml:space="preserve">Sprejeto poročilo o izvedbi  nacionalne ocene tveganja in na njeni podlagi izdelan akcijski načrt ob realizaciji predvidenih ukrepov za odpravo ugotovljenih tveganj in pomanjkljivosti dajeta osnove, da bodo pravočasno zaznani sumi storitve kaznivih dejanj pranja denarja oz. kaznivih dejanj  financiranja terorizma ter, da bodo kazniva dejanja v zvezi s tem ustrezno raziskana. S takšnim pristopom se odvrne dvome, da kazniva dejanja s področja pranja denarja in financiranja terorizma niso ustrezno obravnavana in raziskana. Sama NOT v okviru svoje metodologije upošteva kot parameter oziroma kriterij ocene tveganosti tudi število bolj tveganih strank (nerezidenti; politično izpostavljene osebe; stranke iz držav, v katerih je zaznano povečano tveganje za pojav pranja denarja; ….), s katerimi zavezanci sklepajo poslovna razmerja. </w:t>
      </w:r>
    </w:p>
    <w:p w14:paraId="7F1CC708" w14:textId="77777777" w:rsidR="00EA2CA4" w:rsidRDefault="00EA2CA4" w:rsidP="00EA2CA4">
      <w:pPr>
        <w:spacing w:line="160" w:lineRule="atLeast"/>
        <w:rPr>
          <w:rFonts w:ascii="Arial" w:hAnsi="Arial"/>
          <w:sz w:val="20"/>
        </w:rPr>
      </w:pPr>
    </w:p>
    <w:p w14:paraId="0E0C75A5" w14:textId="77777777" w:rsidR="00EA2CA4" w:rsidRPr="00E179E4" w:rsidRDefault="00EA2CA4" w:rsidP="00EA2CA4">
      <w:pPr>
        <w:spacing w:line="160" w:lineRule="atLeast"/>
        <w:rPr>
          <w:rFonts w:ascii="Arial" w:hAnsi="Arial"/>
          <w:iCs/>
          <w:sz w:val="20"/>
        </w:rPr>
      </w:pPr>
    </w:p>
    <w:p w14:paraId="0F09F89C" w14:textId="77777777" w:rsidR="00EA2CA4" w:rsidRPr="00E179E4" w:rsidRDefault="00EA2CA4" w:rsidP="00EA2CA4">
      <w:pPr>
        <w:autoSpaceDE w:val="0"/>
        <w:autoSpaceDN w:val="0"/>
        <w:adjustRightInd w:val="0"/>
        <w:rPr>
          <w:rFonts w:ascii="Arial" w:hAnsi="Arial"/>
          <w:b/>
          <w:bCs/>
          <w:iCs/>
          <w:color w:val="000000"/>
          <w:sz w:val="20"/>
          <w:shd w:val="clear" w:color="auto" w:fill="FFFFFF"/>
        </w:rPr>
      </w:pPr>
      <w:r w:rsidRPr="00E179E4">
        <w:rPr>
          <w:rFonts w:ascii="Arial" w:hAnsi="Arial"/>
          <w:iCs/>
          <w:sz w:val="20"/>
          <w:shd w:val="clear" w:color="auto" w:fill="FFFFFF"/>
          <w:lang w:bidi="sl-SI"/>
        </w:rPr>
        <w:t>Vlada RS je s sklepom št. 46000-3/2020/6 z dne 11. 2. 2021 sprejela Posodobljeno poročilo o izvedbi nacionalne ocene tveganja Republike Slovenije za pranje denarja in financiranje terorizma s podatki za leta 2016, 2017, 2018 in 2019</w:t>
      </w:r>
      <w:r>
        <w:rPr>
          <w:rFonts w:ascii="Arial" w:hAnsi="Arial"/>
          <w:iCs/>
          <w:sz w:val="20"/>
          <w:shd w:val="clear" w:color="auto" w:fill="FFFFFF"/>
          <w:lang w:bidi="sl-SI"/>
        </w:rPr>
        <w:t xml:space="preserve"> ter </w:t>
      </w:r>
      <w:r w:rsidRPr="00E179E4">
        <w:rPr>
          <w:rFonts w:ascii="Arial" w:hAnsi="Arial"/>
          <w:iCs/>
          <w:sz w:val="20"/>
          <w:shd w:val="clear" w:color="auto" w:fill="FFFFFF"/>
          <w:lang w:bidi="sl-SI"/>
        </w:rPr>
        <w:t>Akcijski načrt za zmanjšanje in odpravo tveganj pranja denarja oziroma financiranja terorizma.</w:t>
      </w:r>
    </w:p>
    <w:p w14:paraId="0E459F1A" w14:textId="77777777" w:rsidR="00EA2CA4" w:rsidRDefault="00EA2CA4" w:rsidP="00EA2CA4">
      <w:pPr>
        <w:widowControl/>
        <w:autoSpaceDE w:val="0"/>
        <w:autoSpaceDN w:val="0"/>
        <w:adjustRightInd w:val="0"/>
        <w:jc w:val="left"/>
        <w:rPr>
          <w:rFonts w:ascii="Arial" w:hAnsi="Arial"/>
          <w:color w:val="000000"/>
          <w:sz w:val="22"/>
          <w:szCs w:val="22"/>
          <w:lang w:eastAsia="sl-SI"/>
        </w:rPr>
      </w:pPr>
    </w:p>
    <w:bookmarkEnd w:id="120"/>
    <w:bookmarkEnd w:id="121"/>
    <w:p w14:paraId="36B79660" w14:textId="77777777" w:rsidR="00C41181" w:rsidRPr="00424274" w:rsidRDefault="00C41181" w:rsidP="00A236CE">
      <w:pPr>
        <w:widowControl/>
        <w:spacing w:line="276" w:lineRule="auto"/>
        <w:rPr>
          <w:rFonts w:ascii="Arial" w:hAnsi="Arial"/>
          <w:sz w:val="20"/>
        </w:rPr>
      </w:pPr>
    </w:p>
    <w:bookmarkEnd w:id="109"/>
    <w:p w14:paraId="6092D676" w14:textId="77777777" w:rsidR="000A263D" w:rsidRPr="00424274" w:rsidRDefault="000A263D" w:rsidP="00DD2B38">
      <w:pPr>
        <w:pStyle w:val="Telobesedila2"/>
        <w:widowControl/>
        <w:tabs>
          <w:tab w:val="clear" w:pos="-1049"/>
          <w:tab w:val="clear" w:pos="-689"/>
          <w:tab w:val="clear" w:pos="31"/>
          <w:tab w:val="clear" w:pos="751"/>
          <w:tab w:val="clear" w:pos="1471"/>
          <w:tab w:val="clear" w:pos="2191"/>
          <w:tab w:val="clear" w:pos="2911"/>
          <w:tab w:val="clear" w:pos="3631"/>
          <w:tab w:val="clear" w:pos="4351"/>
          <w:tab w:val="clear" w:pos="4531"/>
          <w:tab w:val="clear" w:pos="5071"/>
          <w:tab w:val="clear" w:pos="5791"/>
          <w:tab w:val="clear" w:pos="6511"/>
          <w:tab w:val="clear" w:pos="7231"/>
          <w:tab w:val="clear" w:pos="7951"/>
          <w:tab w:val="clear" w:pos="8671"/>
          <w:tab w:val="clear" w:pos="9391"/>
          <w:tab w:val="clear" w:pos="10111"/>
          <w:tab w:val="clear" w:pos="10831"/>
          <w:tab w:val="clear" w:pos="11551"/>
        </w:tabs>
        <w:spacing w:line="276" w:lineRule="auto"/>
        <w:rPr>
          <w:rFonts w:ascii="Arial" w:hAnsi="Arial"/>
          <w:sz w:val="20"/>
        </w:rPr>
      </w:pPr>
    </w:p>
    <w:p w14:paraId="7C3A49C6" w14:textId="77777777" w:rsidR="00116CD6" w:rsidRPr="00424274" w:rsidRDefault="002F64F4" w:rsidP="000279DC">
      <w:pPr>
        <w:pStyle w:val="Naslov2"/>
      </w:pPr>
      <w:bookmarkStart w:id="122" w:name="_Toc113535484"/>
      <w:r w:rsidRPr="00424274">
        <w:t>DELO V OKVIRU MEDNARODNIH TELES</w:t>
      </w:r>
      <w:bookmarkEnd w:id="105"/>
      <w:bookmarkEnd w:id="106"/>
      <w:bookmarkEnd w:id="107"/>
      <w:bookmarkEnd w:id="122"/>
      <w:r w:rsidRPr="00424274">
        <w:t xml:space="preserve"> </w:t>
      </w:r>
    </w:p>
    <w:p w14:paraId="632D3A1F" w14:textId="7C8A716A" w:rsidR="002F64F4" w:rsidRPr="00424274" w:rsidRDefault="00C231A0" w:rsidP="006D5A5A">
      <w:pPr>
        <w:pStyle w:val="Naslov3"/>
      </w:pPr>
      <w:bookmarkStart w:id="123" w:name="_Toc402346331"/>
      <w:bookmarkStart w:id="124" w:name="_Toc113535485"/>
      <w:r w:rsidRPr="00424274">
        <w:t xml:space="preserve">5.2.1 </w:t>
      </w:r>
      <w:r w:rsidR="002F64F4" w:rsidRPr="00424274">
        <w:t>Svet Evrope</w:t>
      </w:r>
      <w:bookmarkEnd w:id="123"/>
      <w:bookmarkEnd w:id="124"/>
    </w:p>
    <w:p w14:paraId="591BA794" w14:textId="77777777" w:rsidR="00710289" w:rsidRPr="00424274" w:rsidRDefault="00710289" w:rsidP="00D21F86">
      <w:pPr>
        <w:spacing w:line="276" w:lineRule="auto"/>
        <w:rPr>
          <w:rFonts w:ascii="Arial" w:hAnsi="Arial"/>
          <w:iCs/>
          <w:sz w:val="20"/>
        </w:rPr>
      </w:pPr>
      <w:bookmarkStart w:id="125" w:name="_Toc263770930"/>
    </w:p>
    <w:p w14:paraId="23D98368" w14:textId="08522CBA" w:rsidR="00EB3542" w:rsidRPr="00424274" w:rsidRDefault="00EB3542" w:rsidP="00EB3542">
      <w:pPr>
        <w:spacing w:line="276" w:lineRule="auto"/>
        <w:rPr>
          <w:rFonts w:ascii="Arial" w:hAnsi="Arial"/>
          <w:iCs/>
          <w:sz w:val="20"/>
        </w:rPr>
      </w:pPr>
      <w:r w:rsidRPr="00424274">
        <w:rPr>
          <w:rFonts w:ascii="Arial" w:hAnsi="Arial"/>
          <w:iCs/>
          <w:sz w:val="20"/>
        </w:rPr>
        <w:t xml:space="preserve">Delo </w:t>
      </w:r>
      <w:r w:rsidR="00A0541B">
        <w:rPr>
          <w:rFonts w:ascii="Arial" w:hAnsi="Arial"/>
          <w:iCs/>
          <w:sz w:val="20"/>
        </w:rPr>
        <w:t>urad</w:t>
      </w:r>
      <w:r w:rsidRPr="00424274">
        <w:rPr>
          <w:rFonts w:ascii="Arial" w:hAnsi="Arial"/>
          <w:iCs/>
          <w:sz w:val="20"/>
        </w:rPr>
        <w:t>a je bilo v letu 2020 v veliki meri osredotočeno na delovanje Odbora strokovnjakov Sveta Evrope za ocenjevanje učinkovitosti ukrepov preprečevanja pranja denarja in financiranja terorizma (MONEYVAL).</w:t>
      </w:r>
    </w:p>
    <w:p w14:paraId="2583C37D" w14:textId="6BA37C1B" w:rsidR="002F64F4" w:rsidRPr="00424274" w:rsidRDefault="00C231A0" w:rsidP="006D5A5A">
      <w:pPr>
        <w:pStyle w:val="Naslov3"/>
      </w:pPr>
      <w:bookmarkStart w:id="126" w:name="_Toc113535486"/>
      <w:r w:rsidRPr="00424274">
        <w:t xml:space="preserve">5.2.1.1 </w:t>
      </w:r>
      <w:r w:rsidR="002F64F4" w:rsidRPr="00424274">
        <w:t>Odbor strokovnjakov Sveta Evrope za ocenjevanje ukrepov s področja preprečevanja pranja</w:t>
      </w:r>
      <w:bookmarkEnd w:id="125"/>
      <w:r w:rsidR="002F64F4" w:rsidRPr="00424274">
        <w:t xml:space="preserve"> denarja in financiranja terorizma (MONEYVAL)</w:t>
      </w:r>
      <w:bookmarkEnd w:id="126"/>
    </w:p>
    <w:p w14:paraId="4AEF5DF0" w14:textId="77777777" w:rsidR="00DD4F46" w:rsidRPr="00424274" w:rsidRDefault="00DD4F46" w:rsidP="00D21F86">
      <w:pPr>
        <w:spacing w:line="276" w:lineRule="auto"/>
        <w:rPr>
          <w:rFonts w:ascii="Arial" w:hAnsi="Arial"/>
          <w:i/>
          <w:sz w:val="20"/>
        </w:rPr>
      </w:pPr>
    </w:p>
    <w:p w14:paraId="1B6972CA" w14:textId="06E3626C" w:rsidR="00C6574A" w:rsidRPr="00424274" w:rsidRDefault="00C6574A" w:rsidP="00C6574A">
      <w:pPr>
        <w:spacing w:line="276" w:lineRule="auto"/>
        <w:rPr>
          <w:rFonts w:ascii="Arial" w:hAnsi="Arial"/>
          <w:bCs/>
          <w:sz w:val="20"/>
        </w:rPr>
      </w:pPr>
      <w:r w:rsidRPr="00424274">
        <w:rPr>
          <w:rFonts w:ascii="Arial" w:hAnsi="Arial"/>
          <w:bCs/>
          <w:sz w:val="20"/>
        </w:rPr>
        <w:t xml:space="preserve">V letu 2020 je potekalo delovno srečanje odbora MONEYVAL </w:t>
      </w:r>
      <w:r w:rsidR="00B30E88">
        <w:rPr>
          <w:rFonts w:ascii="Arial" w:hAnsi="Arial"/>
          <w:bCs/>
          <w:sz w:val="20"/>
        </w:rPr>
        <w:t>in</w:t>
      </w:r>
      <w:r w:rsidR="00B30E88" w:rsidRPr="00424274">
        <w:rPr>
          <w:rFonts w:ascii="Arial" w:hAnsi="Arial"/>
          <w:bCs/>
          <w:sz w:val="20"/>
        </w:rPr>
        <w:t xml:space="preserve"> </w:t>
      </w:r>
      <w:r w:rsidRPr="00424274">
        <w:rPr>
          <w:rFonts w:ascii="Arial" w:hAnsi="Arial"/>
          <w:bCs/>
          <w:sz w:val="20"/>
        </w:rPr>
        <w:t xml:space="preserve">njegovo 60. plenarno zasedanje. Oba dogodka sta zaradi pandemije </w:t>
      </w:r>
      <w:r w:rsidR="00B30E88">
        <w:rPr>
          <w:rFonts w:ascii="Arial" w:hAnsi="Arial"/>
          <w:bCs/>
          <w:sz w:val="20"/>
        </w:rPr>
        <w:t>covida</w:t>
      </w:r>
      <w:r w:rsidRPr="00424274">
        <w:rPr>
          <w:rFonts w:ascii="Arial" w:hAnsi="Arial"/>
          <w:bCs/>
          <w:sz w:val="20"/>
        </w:rPr>
        <w:t>-19 potekala virtualno. Njuna vsebina je podrobneje prikazana v nadaljevanju:</w:t>
      </w:r>
    </w:p>
    <w:p w14:paraId="2BF2CA02" w14:textId="77777777" w:rsidR="00CD2CCF" w:rsidRPr="00424274" w:rsidRDefault="00CD2CCF" w:rsidP="00CD2CCF">
      <w:pPr>
        <w:spacing w:line="276" w:lineRule="auto"/>
        <w:rPr>
          <w:rFonts w:ascii="Arial" w:hAnsi="Arial"/>
          <w:b/>
          <w:sz w:val="20"/>
        </w:rPr>
      </w:pPr>
    </w:p>
    <w:p w14:paraId="2A27CA76" w14:textId="739E6368" w:rsidR="006D0841" w:rsidRPr="00424274" w:rsidRDefault="006D0841" w:rsidP="006D0841">
      <w:pPr>
        <w:widowControl/>
        <w:spacing w:line="276" w:lineRule="auto"/>
        <w:rPr>
          <w:rFonts w:ascii="Arial" w:hAnsi="Arial"/>
          <w:sz w:val="20"/>
        </w:rPr>
      </w:pPr>
      <w:r w:rsidRPr="00424274">
        <w:rPr>
          <w:rFonts w:ascii="Arial" w:hAnsi="Arial"/>
          <w:b/>
          <w:bCs/>
          <w:sz w:val="20"/>
        </w:rPr>
        <w:t>Delovno srečanje odbora MONEYVAL (30.</w:t>
      </w:r>
      <w:r w:rsidR="00C3045C">
        <w:rPr>
          <w:rFonts w:ascii="Arial" w:hAnsi="Arial"/>
          <w:b/>
          <w:bCs/>
          <w:sz w:val="20"/>
        </w:rPr>
        <w:t> </w:t>
      </w:r>
      <w:r w:rsidRPr="00424274">
        <w:rPr>
          <w:rFonts w:ascii="Arial" w:hAnsi="Arial"/>
          <w:b/>
          <w:bCs/>
          <w:sz w:val="20"/>
        </w:rPr>
        <w:t>6. – 3. 7. 2020)</w:t>
      </w:r>
      <w:r w:rsidRPr="00424274">
        <w:rPr>
          <w:rFonts w:ascii="Arial" w:hAnsi="Arial"/>
          <w:sz w:val="20"/>
        </w:rPr>
        <w:t xml:space="preserve"> Na tem zasedanju je </w:t>
      </w:r>
      <w:proofErr w:type="spellStart"/>
      <w:r w:rsidRPr="00424274">
        <w:rPr>
          <w:rFonts w:ascii="Arial" w:hAnsi="Arial"/>
          <w:sz w:val="20"/>
        </w:rPr>
        <w:t>Matthias</w:t>
      </w:r>
      <w:proofErr w:type="spellEnd"/>
      <w:r w:rsidRPr="00424274">
        <w:rPr>
          <w:rFonts w:ascii="Arial" w:hAnsi="Arial"/>
          <w:sz w:val="20"/>
        </w:rPr>
        <w:t xml:space="preserve"> KLOTH odstopil z mesta izvršnega sekretarja odbora MONEYVAL, ker je sprejel drugo delovno mesto v okviru Sveta Evrope. Namesto njega je bil imenovan ruski predstavnik Igor NEBYVAEV, ki ima že precej izkušenj s področja preprečevanja pranja denarja in financiranja terorizma</w:t>
      </w:r>
      <w:r w:rsidR="00A0541B">
        <w:rPr>
          <w:rFonts w:ascii="Arial" w:hAnsi="Arial"/>
          <w:sz w:val="20"/>
        </w:rPr>
        <w:t>,</w:t>
      </w:r>
      <w:r w:rsidRPr="00424274">
        <w:rPr>
          <w:rFonts w:ascii="Arial" w:hAnsi="Arial"/>
          <w:sz w:val="20"/>
        </w:rPr>
        <w:t xml:space="preserve"> in sicer iz FATF ter EAG (</w:t>
      </w:r>
      <w:proofErr w:type="spellStart"/>
      <w:r w:rsidRPr="00424274">
        <w:rPr>
          <w:rFonts w:ascii="Arial" w:hAnsi="Arial"/>
          <w:sz w:val="20"/>
        </w:rPr>
        <w:t>EuroAsian</w:t>
      </w:r>
      <w:proofErr w:type="spellEnd"/>
      <w:r w:rsidRPr="00424274">
        <w:rPr>
          <w:rFonts w:ascii="Arial" w:hAnsi="Arial"/>
          <w:sz w:val="20"/>
        </w:rPr>
        <w:t xml:space="preserve"> </w:t>
      </w:r>
      <w:proofErr w:type="spellStart"/>
      <w:r w:rsidRPr="00424274">
        <w:rPr>
          <w:rFonts w:ascii="Arial" w:hAnsi="Arial"/>
          <w:sz w:val="20"/>
        </w:rPr>
        <w:t>Group</w:t>
      </w:r>
      <w:proofErr w:type="spellEnd"/>
      <w:r w:rsidRPr="00424274">
        <w:rPr>
          <w:rFonts w:ascii="Arial" w:hAnsi="Arial"/>
          <w:sz w:val="20"/>
        </w:rPr>
        <w:t xml:space="preserve">). Delegacijam so bila predhodno v pregled/pripombe/ugovor </w:t>
      </w:r>
      <w:r w:rsidR="00E55F9C">
        <w:rPr>
          <w:rFonts w:ascii="Arial" w:hAnsi="Arial"/>
          <w:sz w:val="20"/>
        </w:rPr>
        <w:t>poslana</w:t>
      </w:r>
      <w:r w:rsidR="00E55F9C" w:rsidRPr="00424274">
        <w:rPr>
          <w:rFonts w:ascii="Arial" w:hAnsi="Arial"/>
          <w:sz w:val="20"/>
        </w:rPr>
        <w:t xml:space="preserve"> </w:t>
      </w:r>
      <w:r w:rsidRPr="00424274">
        <w:rPr>
          <w:rFonts w:ascii="Arial" w:hAnsi="Arial"/>
          <w:sz w:val="20"/>
        </w:rPr>
        <w:t xml:space="preserve">poročila o napredku Češke, Litve in Ukrajine. Sekretariat MONEYVAL v zvezi s češkim in litvanskim poročilom ni prejel nobenih pripomb. Na prvi osnutek ukrajinskega poročila o napredku je Sekretariat MONEYVAL sicer prejel nekaj pripomb, vendar so bila vsa odprta vprašanja rešena še pred </w:t>
      </w:r>
      <w:r w:rsidR="00E55F9C">
        <w:rPr>
          <w:rFonts w:ascii="Arial" w:hAnsi="Arial"/>
          <w:sz w:val="20"/>
        </w:rPr>
        <w:t>pošiljanjem</w:t>
      </w:r>
      <w:r w:rsidR="00E55F9C" w:rsidRPr="00424274">
        <w:rPr>
          <w:rFonts w:ascii="Arial" w:hAnsi="Arial"/>
          <w:sz w:val="20"/>
        </w:rPr>
        <w:t xml:space="preserve"> </w:t>
      </w:r>
      <w:r w:rsidRPr="00424274">
        <w:rPr>
          <w:rFonts w:ascii="Arial" w:hAnsi="Arial"/>
          <w:sz w:val="20"/>
        </w:rPr>
        <w:t xml:space="preserve">posodobljenega poročila, s katerim so se vse delegacije strinjale. Poročila o napredku vseh treh držav so bila sprejeta. </w:t>
      </w:r>
    </w:p>
    <w:p w14:paraId="12EF3780" w14:textId="77777777" w:rsidR="003D7EC3" w:rsidRPr="00424274" w:rsidRDefault="003D7EC3" w:rsidP="006D0841">
      <w:pPr>
        <w:widowControl/>
        <w:spacing w:line="276" w:lineRule="auto"/>
        <w:rPr>
          <w:rFonts w:ascii="Arial" w:hAnsi="Arial"/>
          <w:sz w:val="20"/>
        </w:rPr>
      </w:pPr>
    </w:p>
    <w:p w14:paraId="538ECFF5" w14:textId="256011B8" w:rsidR="006D0841" w:rsidRPr="00424274" w:rsidRDefault="006D0841" w:rsidP="006D0841">
      <w:pPr>
        <w:widowControl/>
        <w:spacing w:line="276" w:lineRule="auto"/>
        <w:rPr>
          <w:rFonts w:ascii="Arial" w:hAnsi="Arial"/>
          <w:sz w:val="20"/>
        </w:rPr>
      </w:pPr>
      <w:r w:rsidRPr="00424274">
        <w:rPr>
          <w:rFonts w:ascii="Arial" w:hAnsi="Arial"/>
          <w:sz w:val="20"/>
        </w:rPr>
        <w:t xml:space="preserve">Delegacijam je bilo predhodno v pregled/pripombe/ugovor </w:t>
      </w:r>
      <w:r w:rsidR="00E55F9C">
        <w:rPr>
          <w:rFonts w:ascii="Arial" w:hAnsi="Arial"/>
          <w:sz w:val="20"/>
        </w:rPr>
        <w:t>poslano</w:t>
      </w:r>
      <w:r w:rsidR="00E55F9C" w:rsidRPr="00424274">
        <w:rPr>
          <w:rFonts w:ascii="Arial" w:hAnsi="Arial"/>
          <w:sz w:val="20"/>
        </w:rPr>
        <w:t xml:space="preserve"> </w:t>
      </w:r>
      <w:r w:rsidRPr="00424274">
        <w:rPr>
          <w:rFonts w:ascii="Arial" w:hAnsi="Arial"/>
          <w:sz w:val="20"/>
        </w:rPr>
        <w:t xml:space="preserve">tudi poročilo o napredku </w:t>
      </w:r>
      <w:proofErr w:type="spellStart"/>
      <w:r w:rsidRPr="00424274">
        <w:rPr>
          <w:rFonts w:ascii="Arial" w:hAnsi="Arial"/>
          <w:sz w:val="20"/>
        </w:rPr>
        <w:t>Isle</w:t>
      </w:r>
      <w:proofErr w:type="spellEnd"/>
      <w:r w:rsidRPr="00424274">
        <w:rPr>
          <w:rFonts w:ascii="Arial" w:hAnsi="Arial"/>
          <w:sz w:val="20"/>
        </w:rPr>
        <w:t xml:space="preserve"> </w:t>
      </w:r>
      <w:proofErr w:type="spellStart"/>
      <w:r w:rsidRPr="00424274">
        <w:rPr>
          <w:rFonts w:ascii="Arial" w:hAnsi="Arial"/>
          <w:sz w:val="20"/>
        </w:rPr>
        <w:t>of</w:t>
      </w:r>
      <w:proofErr w:type="spellEnd"/>
      <w:r w:rsidRPr="00424274">
        <w:rPr>
          <w:rFonts w:ascii="Arial" w:hAnsi="Arial"/>
          <w:sz w:val="20"/>
        </w:rPr>
        <w:t xml:space="preserve"> Man. Sekretariat MONEYVAL je prejel pripombe </w:t>
      </w:r>
      <w:r w:rsidR="00285EE9">
        <w:rPr>
          <w:rFonts w:ascii="Arial" w:hAnsi="Arial"/>
          <w:sz w:val="20"/>
        </w:rPr>
        <w:t>k</w:t>
      </w:r>
      <w:r w:rsidR="00285EE9" w:rsidRPr="00424274">
        <w:rPr>
          <w:rFonts w:ascii="Arial" w:hAnsi="Arial"/>
          <w:sz w:val="20"/>
        </w:rPr>
        <w:t xml:space="preserve"> </w:t>
      </w:r>
      <w:r w:rsidRPr="00424274">
        <w:rPr>
          <w:rFonts w:ascii="Arial" w:hAnsi="Arial"/>
          <w:sz w:val="20"/>
        </w:rPr>
        <w:t>prv</w:t>
      </w:r>
      <w:r w:rsidR="00C3045C">
        <w:rPr>
          <w:rFonts w:ascii="Arial" w:hAnsi="Arial"/>
          <w:sz w:val="20"/>
        </w:rPr>
        <w:t>emu</w:t>
      </w:r>
      <w:r w:rsidRPr="00424274">
        <w:rPr>
          <w:rFonts w:ascii="Arial" w:hAnsi="Arial"/>
          <w:sz w:val="20"/>
        </w:rPr>
        <w:t xml:space="preserve"> osnut</w:t>
      </w:r>
      <w:r w:rsidR="00C3045C">
        <w:rPr>
          <w:rFonts w:ascii="Arial" w:hAnsi="Arial"/>
          <w:sz w:val="20"/>
        </w:rPr>
        <w:t>ku</w:t>
      </w:r>
      <w:r w:rsidRPr="00424274">
        <w:rPr>
          <w:rFonts w:ascii="Arial" w:hAnsi="Arial"/>
          <w:sz w:val="20"/>
        </w:rPr>
        <w:t xml:space="preserve"> poročila in tudi na posodobljeno poročilo, zaradi česar bo to </w:t>
      </w:r>
      <w:r w:rsidR="00C3045C">
        <w:rPr>
          <w:rFonts w:ascii="Arial" w:hAnsi="Arial"/>
          <w:sz w:val="20"/>
        </w:rPr>
        <w:t xml:space="preserve">o tem </w:t>
      </w:r>
      <w:r w:rsidRPr="00424274">
        <w:rPr>
          <w:rFonts w:ascii="Arial" w:hAnsi="Arial"/>
          <w:sz w:val="20"/>
        </w:rPr>
        <w:t>poročil</w:t>
      </w:r>
      <w:r w:rsidR="00C3045C">
        <w:rPr>
          <w:rFonts w:ascii="Arial" w:hAnsi="Arial"/>
          <w:sz w:val="20"/>
        </w:rPr>
        <w:t>u</w:t>
      </w:r>
      <w:r w:rsidRPr="00424274">
        <w:rPr>
          <w:rFonts w:ascii="Arial" w:hAnsi="Arial"/>
          <w:sz w:val="20"/>
        </w:rPr>
        <w:t xml:space="preserve"> </w:t>
      </w:r>
      <w:r w:rsidR="00C3045C">
        <w:rPr>
          <w:rFonts w:ascii="Arial" w:hAnsi="Arial"/>
          <w:sz w:val="20"/>
        </w:rPr>
        <w:t>razpravljalo na</w:t>
      </w:r>
      <w:r w:rsidRPr="00424274">
        <w:rPr>
          <w:rFonts w:ascii="Arial" w:hAnsi="Arial"/>
          <w:sz w:val="20"/>
        </w:rPr>
        <w:t xml:space="preserve"> 60. plenarne</w:t>
      </w:r>
      <w:r w:rsidR="00C3045C">
        <w:rPr>
          <w:rFonts w:ascii="Arial" w:hAnsi="Arial"/>
          <w:sz w:val="20"/>
        </w:rPr>
        <w:t>m</w:t>
      </w:r>
      <w:r w:rsidRPr="00424274">
        <w:rPr>
          <w:rFonts w:ascii="Arial" w:hAnsi="Arial"/>
          <w:sz w:val="20"/>
        </w:rPr>
        <w:t xml:space="preserve"> zasedanj</w:t>
      </w:r>
      <w:r w:rsidR="00C3045C">
        <w:rPr>
          <w:rFonts w:ascii="Arial" w:hAnsi="Arial"/>
          <w:sz w:val="20"/>
        </w:rPr>
        <w:t>u</w:t>
      </w:r>
      <w:r w:rsidRPr="00424274">
        <w:rPr>
          <w:rFonts w:ascii="Arial" w:hAnsi="Arial"/>
          <w:sz w:val="20"/>
        </w:rPr>
        <w:t xml:space="preserve"> odbora MONEYVAL, ki bo potekalo od 14.</w:t>
      </w:r>
      <w:r w:rsidR="00285EE9">
        <w:rPr>
          <w:rFonts w:ascii="Arial" w:hAnsi="Arial"/>
          <w:sz w:val="20"/>
        </w:rPr>
        <w:t xml:space="preserve"> do</w:t>
      </w:r>
      <w:r w:rsidRPr="00424274">
        <w:rPr>
          <w:rFonts w:ascii="Arial" w:hAnsi="Arial"/>
          <w:sz w:val="20"/>
        </w:rPr>
        <w:t xml:space="preserve"> 18. </w:t>
      </w:r>
      <w:r w:rsidR="00285EE9">
        <w:rPr>
          <w:rFonts w:ascii="Arial" w:hAnsi="Arial"/>
          <w:sz w:val="20"/>
        </w:rPr>
        <w:t>septembra</w:t>
      </w:r>
      <w:r w:rsidRPr="00424274">
        <w:rPr>
          <w:rFonts w:ascii="Arial" w:hAnsi="Arial"/>
          <w:sz w:val="20"/>
        </w:rPr>
        <w:t xml:space="preserve"> 2020 v Strasbourgu. Na tem plenarnem zasedanju je bil sprejet tudi delovni načrt odbora MONEYVAL, ki vključuje usposabljanja ocenjevalcev, obiske predstavnikov </w:t>
      </w:r>
      <w:r w:rsidR="00C3045C">
        <w:rPr>
          <w:rFonts w:ascii="Arial" w:hAnsi="Arial"/>
          <w:sz w:val="20"/>
        </w:rPr>
        <w:t>s</w:t>
      </w:r>
      <w:r w:rsidRPr="00424274">
        <w:rPr>
          <w:rFonts w:ascii="Arial" w:hAnsi="Arial"/>
          <w:sz w:val="20"/>
        </w:rPr>
        <w:t>ekretariata itd.</w:t>
      </w:r>
    </w:p>
    <w:p w14:paraId="59CE24DA" w14:textId="77777777" w:rsidR="003D7EC3" w:rsidRPr="00424274" w:rsidRDefault="003D7EC3" w:rsidP="006D0841">
      <w:pPr>
        <w:widowControl/>
        <w:spacing w:line="276" w:lineRule="auto"/>
        <w:rPr>
          <w:rFonts w:ascii="Arial" w:hAnsi="Arial"/>
          <w:sz w:val="20"/>
        </w:rPr>
      </w:pPr>
    </w:p>
    <w:p w14:paraId="28CCC199" w14:textId="79C79459" w:rsidR="006D0841" w:rsidRPr="00424274" w:rsidRDefault="006D0841" w:rsidP="006D0841">
      <w:pPr>
        <w:widowControl/>
        <w:spacing w:line="276" w:lineRule="auto"/>
        <w:rPr>
          <w:rFonts w:ascii="Arial" w:hAnsi="Arial"/>
          <w:sz w:val="20"/>
        </w:rPr>
      </w:pPr>
      <w:r w:rsidRPr="00424274">
        <w:rPr>
          <w:rFonts w:ascii="Arial" w:hAnsi="Arial"/>
          <w:sz w:val="20"/>
        </w:rPr>
        <w:t xml:space="preserve">Zaradi izrednih razmer, ki so posledica pandemije </w:t>
      </w:r>
      <w:r w:rsidR="00285EE9">
        <w:rPr>
          <w:rFonts w:ascii="Arial" w:hAnsi="Arial"/>
          <w:sz w:val="20"/>
        </w:rPr>
        <w:t>covida</w:t>
      </w:r>
      <w:r w:rsidRPr="00424274">
        <w:rPr>
          <w:rFonts w:ascii="Arial" w:hAnsi="Arial"/>
          <w:sz w:val="20"/>
        </w:rPr>
        <w:t>-19</w:t>
      </w:r>
      <w:r w:rsidR="00285EE9">
        <w:rPr>
          <w:rFonts w:ascii="Arial" w:hAnsi="Arial"/>
          <w:sz w:val="20"/>
        </w:rPr>
        <w:t>,</w:t>
      </w:r>
      <w:r w:rsidRPr="00424274">
        <w:rPr>
          <w:rFonts w:ascii="Arial" w:hAnsi="Arial"/>
          <w:sz w:val="20"/>
        </w:rPr>
        <w:t xml:space="preserve"> so bila spremenjena tudi </w:t>
      </w:r>
      <w:r w:rsidR="00285EE9">
        <w:rPr>
          <w:rFonts w:ascii="Arial" w:hAnsi="Arial"/>
          <w:sz w:val="20"/>
        </w:rPr>
        <w:t>p</w:t>
      </w:r>
      <w:r w:rsidRPr="00424274">
        <w:rPr>
          <w:rFonts w:ascii="Arial" w:hAnsi="Arial"/>
          <w:sz w:val="20"/>
        </w:rPr>
        <w:t xml:space="preserve">ostopkovna pravila </w:t>
      </w:r>
      <w:r w:rsidR="00285EE9">
        <w:rPr>
          <w:rFonts w:ascii="Arial" w:hAnsi="Arial"/>
          <w:sz w:val="20"/>
        </w:rPr>
        <w:t>petega</w:t>
      </w:r>
      <w:r w:rsidRPr="00424274">
        <w:rPr>
          <w:rFonts w:ascii="Arial" w:hAnsi="Arial"/>
          <w:sz w:val="20"/>
        </w:rPr>
        <w:t xml:space="preserve"> kroga ocenjevanja.</w:t>
      </w:r>
    </w:p>
    <w:p w14:paraId="4B50C51D" w14:textId="77777777" w:rsidR="003D7EC3" w:rsidRPr="00424274" w:rsidRDefault="003D7EC3" w:rsidP="006D0841">
      <w:pPr>
        <w:widowControl/>
        <w:spacing w:line="276" w:lineRule="auto"/>
        <w:rPr>
          <w:rFonts w:ascii="Arial" w:hAnsi="Arial"/>
          <w:sz w:val="20"/>
        </w:rPr>
      </w:pPr>
    </w:p>
    <w:p w14:paraId="522BCB05" w14:textId="192C9BD4" w:rsidR="006D0841" w:rsidRPr="00424274" w:rsidRDefault="006D0841" w:rsidP="006D0841">
      <w:pPr>
        <w:widowControl/>
        <w:spacing w:line="276" w:lineRule="auto"/>
        <w:rPr>
          <w:rFonts w:ascii="Arial" w:hAnsi="Arial"/>
          <w:sz w:val="20"/>
        </w:rPr>
      </w:pPr>
      <w:r w:rsidRPr="00424274">
        <w:rPr>
          <w:rFonts w:ascii="Arial" w:hAnsi="Arial"/>
          <w:sz w:val="20"/>
        </w:rPr>
        <w:t xml:space="preserve">Analiza trendov PD/FT v državah članicah odbora MONEYVAL med pandemijo </w:t>
      </w:r>
      <w:r w:rsidR="00285EE9">
        <w:rPr>
          <w:rFonts w:ascii="Arial" w:hAnsi="Arial"/>
          <w:sz w:val="20"/>
        </w:rPr>
        <w:t>covida</w:t>
      </w:r>
      <w:r w:rsidRPr="00424274">
        <w:rPr>
          <w:rFonts w:ascii="Arial" w:hAnsi="Arial"/>
          <w:sz w:val="20"/>
        </w:rPr>
        <w:t>-19 je pokazala, da je naraslo število kaznivih dejanj (predvsem tistih s transnacionalnim elementom)</w:t>
      </w:r>
      <w:r w:rsidR="00285EE9">
        <w:rPr>
          <w:rFonts w:ascii="Arial" w:hAnsi="Arial"/>
          <w:sz w:val="20"/>
        </w:rPr>
        <w:t>,</w:t>
      </w:r>
      <w:r w:rsidRPr="00424274">
        <w:rPr>
          <w:rFonts w:ascii="Arial" w:hAnsi="Arial"/>
          <w:sz w:val="20"/>
        </w:rPr>
        <w:t xml:space="preserve"> in sicer predvsem goljufij (z e-napravami) </w:t>
      </w:r>
      <w:r w:rsidR="00C3045C">
        <w:rPr>
          <w:rFonts w:ascii="Arial" w:hAnsi="Arial"/>
          <w:sz w:val="20"/>
        </w:rPr>
        <w:t>in</w:t>
      </w:r>
      <w:r w:rsidR="00C3045C" w:rsidRPr="00424274">
        <w:rPr>
          <w:rFonts w:ascii="Arial" w:hAnsi="Arial"/>
          <w:sz w:val="20"/>
        </w:rPr>
        <w:t xml:space="preserve"> </w:t>
      </w:r>
      <w:r w:rsidRPr="00424274">
        <w:rPr>
          <w:rFonts w:ascii="Arial" w:hAnsi="Arial"/>
          <w:sz w:val="20"/>
        </w:rPr>
        <w:t xml:space="preserve">kibernetskega kriminala. Zaradi povečane potrebe po medicinski opremi (kot posledice nezadostnih zalog držav) je prihajalo do goljufij </w:t>
      </w:r>
      <w:r w:rsidR="00C3045C">
        <w:rPr>
          <w:rFonts w:ascii="Arial" w:hAnsi="Arial"/>
          <w:sz w:val="20"/>
        </w:rPr>
        <w:t>in</w:t>
      </w:r>
      <w:r w:rsidR="00C3045C" w:rsidRPr="00424274">
        <w:rPr>
          <w:rFonts w:ascii="Arial" w:hAnsi="Arial"/>
          <w:sz w:val="20"/>
        </w:rPr>
        <w:t xml:space="preserve"> </w:t>
      </w:r>
      <w:r w:rsidRPr="00424274">
        <w:rPr>
          <w:rFonts w:ascii="Arial" w:hAnsi="Arial"/>
          <w:sz w:val="20"/>
        </w:rPr>
        <w:t>korupcije. V času pandemije ni</w:t>
      </w:r>
      <w:r w:rsidR="000A0E8B">
        <w:rPr>
          <w:rFonts w:ascii="Arial" w:hAnsi="Arial"/>
          <w:sz w:val="20"/>
        </w:rPr>
        <w:t>so</w:t>
      </w:r>
      <w:r w:rsidRPr="00424274">
        <w:rPr>
          <w:rFonts w:ascii="Arial" w:hAnsi="Arial"/>
          <w:sz w:val="20"/>
        </w:rPr>
        <w:t xml:space="preserve"> bil</w:t>
      </w:r>
      <w:r w:rsidR="000A0E8B">
        <w:rPr>
          <w:rFonts w:ascii="Arial" w:hAnsi="Arial"/>
          <w:sz w:val="20"/>
        </w:rPr>
        <w:t>e</w:t>
      </w:r>
      <w:r w:rsidRPr="00424274">
        <w:rPr>
          <w:rFonts w:ascii="Arial" w:hAnsi="Arial"/>
          <w:sz w:val="20"/>
        </w:rPr>
        <w:t xml:space="preserve"> zaznan</w:t>
      </w:r>
      <w:r w:rsidR="000A0E8B">
        <w:rPr>
          <w:rFonts w:ascii="Arial" w:hAnsi="Arial"/>
          <w:sz w:val="20"/>
        </w:rPr>
        <w:t>e</w:t>
      </w:r>
      <w:r w:rsidRPr="00424274">
        <w:rPr>
          <w:rFonts w:ascii="Arial" w:hAnsi="Arial"/>
          <w:sz w:val="20"/>
        </w:rPr>
        <w:t xml:space="preserve"> sprememb</w:t>
      </w:r>
      <w:r w:rsidR="000A0E8B">
        <w:rPr>
          <w:rFonts w:ascii="Arial" w:hAnsi="Arial"/>
          <w:sz w:val="20"/>
        </w:rPr>
        <w:t>e</w:t>
      </w:r>
      <w:r w:rsidRPr="00424274">
        <w:rPr>
          <w:rFonts w:ascii="Arial" w:hAnsi="Arial"/>
          <w:sz w:val="20"/>
        </w:rPr>
        <w:t xml:space="preserve"> v številu prejetih sumljivih transakcij </w:t>
      </w:r>
      <w:r w:rsidR="000A0E8B">
        <w:rPr>
          <w:rFonts w:ascii="Arial" w:hAnsi="Arial"/>
          <w:sz w:val="20"/>
        </w:rPr>
        <w:t>od</w:t>
      </w:r>
      <w:r w:rsidRPr="00424274">
        <w:rPr>
          <w:rFonts w:ascii="Arial" w:hAnsi="Arial"/>
          <w:sz w:val="20"/>
        </w:rPr>
        <w:t xml:space="preserve"> zavezancev. </w:t>
      </w:r>
      <w:r w:rsidR="000A0E8B">
        <w:rPr>
          <w:rFonts w:ascii="Arial" w:hAnsi="Arial"/>
          <w:sz w:val="20"/>
        </w:rPr>
        <w:t>Ti</w:t>
      </w:r>
      <w:r w:rsidR="000A0E8B" w:rsidRPr="00424274">
        <w:rPr>
          <w:rFonts w:ascii="Arial" w:hAnsi="Arial"/>
          <w:sz w:val="20"/>
        </w:rPr>
        <w:t xml:space="preserve"> </w:t>
      </w:r>
      <w:r w:rsidRPr="00424274">
        <w:rPr>
          <w:rFonts w:ascii="Arial" w:hAnsi="Arial"/>
          <w:sz w:val="20"/>
        </w:rPr>
        <w:t>so z uporabo varnih elektronskih naprav učinkovito opravljali »</w:t>
      </w:r>
      <w:proofErr w:type="spellStart"/>
      <w:r w:rsidRPr="00424274">
        <w:rPr>
          <w:rFonts w:ascii="Arial" w:hAnsi="Arial"/>
          <w:sz w:val="20"/>
        </w:rPr>
        <w:t>off</w:t>
      </w:r>
      <w:proofErr w:type="spellEnd"/>
      <w:r w:rsidRPr="00424274">
        <w:rPr>
          <w:rFonts w:ascii="Arial" w:hAnsi="Arial"/>
          <w:sz w:val="20"/>
        </w:rPr>
        <w:t>-site« nadzore, katerih število se v času pandemije ni bistveno spremenilo. Organi odkrivanja in pregona pri pregonu kaznivih dejanj, povezanih s PD/FT</w:t>
      </w:r>
      <w:r w:rsidR="000A0E8B">
        <w:rPr>
          <w:rFonts w:ascii="Arial" w:hAnsi="Arial"/>
          <w:sz w:val="20"/>
        </w:rPr>
        <w:t>,</w:t>
      </w:r>
      <w:r w:rsidRPr="00424274">
        <w:rPr>
          <w:rFonts w:ascii="Arial" w:hAnsi="Arial"/>
          <w:sz w:val="20"/>
        </w:rPr>
        <w:t xml:space="preserve"> niso zaznali bistvenih težav, medtem ko so morala sodišča v času pandemije preložiti </w:t>
      </w:r>
      <w:r w:rsidR="000A0E8B">
        <w:rPr>
          <w:rFonts w:ascii="Arial" w:hAnsi="Arial"/>
          <w:sz w:val="20"/>
        </w:rPr>
        <w:t>nekatera</w:t>
      </w:r>
      <w:r w:rsidR="000A0E8B" w:rsidRPr="00424274">
        <w:rPr>
          <w:rFonts w:ascii="Arial" w:hAnsi="Arial"/>
          <w:sz w:val="20"/>
        </w:rPr>
        <w:t xml:space="preserve"> </w:t>
      </w:r>
      <w:r w:rsidRPr="00424274">
        <w:rPr>
          <w:rFonts w:ascii="Arial" w:hAnsi="Arial"/>
          <w:sz w:val="20"/>
        </w:rPr>
        <w:t>sojenja</w:t>
      </w:r>
      <w:r w:rsidR="000A0E8B">
        <w:rPr>
          <w:rFonts w:ascii="Arial" w:hAnsi="Arial"/>
          <w:sz w:val="20"/>
        </w:rPr>
        <w:t>.</w:t>
      </w:r>
    </w:p>
    <w:p w14:paraId="751860BF" w14:textId="77777777" w:rsidR="006D0841" w:rsidRPr="00424274" w:rsidRDefault="006D0841" w:rsidP="006D0841">
      <w:pPr>
        <w:widowControl/>
        <w:spacing w:line="276" w:lineRule="auto"/>
        <w:rPr>
          <w:rFonts w:ascii="Arial" w:hAnsi="Arial"/>
          <w:sz w:val="20"/>
        </w:rPr>
      </w:pPr>
    </w:p>
    <w:p w14:paraId="434468BC" w14:textId="5CE11C44" w:rsidR="006D0841" w:rsidRPr="00424274" w:rsidRDefault="006D0841" w:rsidP="006D0841">
      <w:pPr>
        <w:spacing w:line="276" w:lineRule="auto"/>
        <w:rPr>
          <w:rFonts w:ascii="Arial" w:hAnsi="Arial"/>
          <w:b/>
          <w:sz w:val="20"/>
        </w:rPr>
      </w:pPr>
      <w:r w:rsidRPr="00424274">
        <w:rPr>
          <w:rFonts w:ascii="Arial" w:hAnsi="Arial"/>
          <w:b/>
          <w:bCs/>
          <w:sz w:val="20"/>
        </w:rPr>
        <w:t xml:space="preserve">60. plenarno zasedanje odbora MONEYVAL (14. </w:t>
      </w:r>
      <w:r w:rsidR="000A0E8B">
        <w:rPr>
          <w:rFonts w:ascii="Arial" w:hAnsi="Arial"/>
          <w:b/>
          <w:bCs/>
          <w:sz w:val="20"/>
        </w:rPr>
        <w:t>do</w:t>
      </w:r>
      <w:r w:rsidRPr="00424274">
        <w:rPr>
          <w:rFonts w:ascii="Arial" w:hAnsi="Arial"/>
          <w:b/>
          <w:bCs/>
          <w:sz w:val="20"/>
        </w:rPr>
        <w:t xml:space="preserve"> 16. </w:t>
      </w:r>
      <w:r w:rsidR="000A0E8B">
        <w:rPr>
          <w:rFonts w:ascii="Arial" w:hAnsi="Arial"/>
          <w:b/>
          <w:bCs/>
          <w:sz w:val="20"/>
        </w:rPr>
        <w:t>septemb</w:t>
      </w:r>
      <w:r w:rsidR="00F40AA6">
        <w:rPr>
          <w:rFonts w:ascii="Arial" w:hAnsi="Arial"/>
          <w:b/>
          <w:bCs/>
          <w:sz w:val="20"/>
        </w:rPr>
        <w:t>e</w:t>
      </w:r>
      <w:r w:rsidR="000A0E8B">
        <w:rPr>
          <w:rFonts w:ascii="Arial" w:hAnsi="Arial"/>
          <w:b/>
          <w:bCs/>
          <w:sz w:val="20"/>
        </w:rPr>
        <w:t>r</w:t>
      </w:r>
      <w:r w:rsidRPr="00424274">
        <w:rPr>
          <w:rFonts w:ascii="Arial" w:hAnsi="Arial"/>
          <w:b/>
          <w:bCs/>
          <w:sz w:val="20"/>
        </w:rPr>
        <w:t xml:space="preserve"> 2020): </w:t>
      </w:r>
      <w:r w:rsidR="000A0E8B">
        <w:rPr>
          <w:rFonts w:ascii="Arial" w:hAnsi="Arial"/>
          <w:sz w:val="20"/>
        </w:rPr>
        <w:t>Od</w:t>
      </w:r>
      <w:r w:rsidR="000A0E8B" w:rsidRPr="00424274">
        <w:rPr>
          <w:rFonts w:ascii="Arial" w:hAnsi="Arial"/>
          <w:sz w:val="20"/>
        </w:rPr>
        <w:t xml:space="preserve"> </w:t>
      </w:r>
      <w:r w:rsidRPr="00424274">
        <w:rPr>
          <w:rFonts w:ascii="Arial" w:hAnsi="Arial"/>
          <w:sz w:val="20"/>
        </w:rPr>
        <w:t xml:space="preserve">14. </w:t>
      </w:r>
      <w:r w:rsidR="000A0E8B">
        <w:rPr>
          <w:rFonts w:ascii="Arial" w:hAnsi="Arial"/>
          <w:sz w:val="20"/>
        </w:rPr>
        <w:t>do</w:t>
      </w:r>
      <w:r w:rsidRPr="00424274">
        <w:rPr>
          <w:rFonts w:ascii="Arial" w:hAnsi="Arial"/>
          <w:sz w:val="20"/>
        </w:rPr>
        <w:t xml:space="preserve"> 15. </w:t>
      </w:r>
      <w:r w:rsidR="000A0E8B">
        <w:rPr>
          <w:rFonts w:ascii="Arial" w:hAnsi="Arial"/>
          <w:sz w:val="20"/>
        </w:rPr>
        <w:t>septembra</w:t>
      </w:r>
      <w:r w:rsidRPr="00424274">
        <w:rPr>
          <w:rFonts w:ascii="Arial" w:hAnsi="Arial"/>
          <w:sz w:val="20"/>
        </w:rPr>
        <w:t xml:space="preserve"> 2020 je potekalo zasedanje tako imenovane </w:t>
      </w:r>
      <w:r w:rsidR="000A0E8B">
        <w:rPr>
          <w:rFonts w:ascii="Arial" w:hAnsi="Arial"/>
          <w:sz w:val="20"/>
        </w:rPr>
        <w:t>»</w:t>
      </w:r>
      <w:r w:rsidRPr="00424274">
        <w:rPr>
          <w:rFonts w:ascii="Arial" w:hAnsi="Arial"/>
          <w:sz w:val="20"/>
        </w:rPr>
        <w:t>ocenjevalne delovne skupine</w:t>
      </w:r>
      <w:r w:rsidR="000A0E8B">
        <w:rPr>
          <w:rFonts w:ascii="Arial" w:hAnsi="Arial"/>
          <w:sz w:val="20"/>
        </w:rPr>
        <w:t>«</w:t>
      </w:r>
      <w:r w:rsidRPr="00424274">
        <w:rPr>
          <w:rFonts w:ascii="Arial" w:hAnsi="Arial"/>
          <w:sz w:val="20"/>
        </w:rPr>
        <w:t xml:space="preserve">, sestavljene iz predstavnikov vseh držav članic odbora MONEYVAL. Naloga te delovne skupine je reševanje ključnih vprašanj, ki se pojavijo v zvezi s poročili posameznih držav članic v </w:t>
      </w:r>
      <w:r w:rsidR="000A0E8B">
        <w:rPr>
          <w:rFonts w:ascii="Arial" w:hAnsi="Arial"/>
          <w:sz w:val="20"/>
        </w:rPr>
        <w:t>petem</w:t>
      </w:r>
      <w:r w:rsidRPr="00424274">
        <w:rPr>
          <w:rFonts w:ascii="Arial" w:hAnsi="Arial"/>
          <w:sz w:val="20"/>
        </w:rPr>
        <w:t xml:space="preserve"> krogu ocenjevanja MONEYVAL. V skladu s </w:t>
      </w:r>
      <w:r w:rsidR="000A0E8B">
        <w:rPr>
          <w:rFonts w:ascii="Arial" w:hAnsi="Arial"/>
          <w:sz w:val="20"/>
        </w:rPr>
        <w:t>p</w:t>
      </w:r>
      <w:r w:rsidRPr="00424274">
        <w:rPr>
          <w:rFonts w:ascii="Arial" w:hAnsi="Arial"/>
          <w:sz w:val="20"/>
        </w:rPr>
        <w:t>ostopkovnim pravilom št.</w:t>
      </w:r>
      <w:r w:rsidR="000A0E8B">
        <w:rPr>
          <w:rFonts w:ascii="Arial" w:hAnsi="Arial"/>
          <w:sz w:val="20"/>
        </w:rPr>
        <w:t> </w:t>
      </w:r>
      <w:r w:rsidRPr="00424274">
        <w:rPr>
          <w:rFonts w:ascii="Arial" w:hAnsi="Arial"/>
          <w:sz w:val="20"/>
        </w:rPr>
        <w:t xml:space="preserve">18 odbora MONEYVAL se </w:t>
      </w:r>
      <w:r w:rsidR="000A0E8B">
        <w:rPr>
          <w:rFonts w:ascii="Arial" w:hAnsi="Arial"/>
          <w:sz w:val="20"/>
        </w:rPr>
        <w:t>razprave</w:t>
      </w:r>
      <w:r w:rsidRPr="00424274">
        <w:rPr>
          <w:rFonts w:ascii="Arial" w:hAnsi="Arial"/>
          <w:sz w:val="20"/>
        </w:rPr>
        <w:t xml:space="preserve"> te skupine osredotočajo na </w:t>
      </w:r>
      <w:r w:rsidR="000A0E8B">
        <w:rPr>
          <w:rFonts w:ascii="Arial" w:hAnsi="Arial"/>
          <w:sz w:val="20"/>
        </w:rPr>
        <w:t>pet do sedem</w:t>
      </w:r>
      <w:r w:rsidRPr="00424274">
        <w:rPr>
          <w:rFonts w:ascii="Arial" w:hAnsi="Arial"/>
          <w:sz w:val="20"/>
        </w:rPr>
        <w:t xml:space="preserve"> ključnih področij, ki jih določijo </w:t>
      </w:r>
      <w:r w:rsidR="000A0E8B">
        <w:rPr>
          <w:rFonts w:ascii="Arial" w:hAnsi="Arial"/>
          <w:sz w:val="20"/>
        </w:rPr>
        <w:t>s</w:t>
      </w:r>
      <w:r w:rsidRPr="00424274">
        <w:rPr>
          <w:rFonts w:ascii="Arial" w:hAnsi="Arial"/>
          <w:sz w:val="20"/>
        </w:rPr>
        <w:t xml:space="preserve">ekretariat, ocenjevalci </w:t>
      </w:r>
      <w:r w:rsidR="000A0E8B">
        <w:rPr>
          <w:rFonts w:ascii="Arial" w:hAnsi="Arial"/>
          <w:sz w:val="20"/>
        </w:rPr>
        <w:t>in</w:t>
      </w:r>
      <w:r w:rsidR="000A0E8B" w:rsidRPr="00424274">
        <w:rPr>
          <w:rFonts w:ascii="Arial" w:hAnsi="Arial"/>
          <w:sz w:val="20"/>
        </w:rPr>
        <w:t xml:space="preserve"> </w:t>
      </w:r>
      <w:r w:rsidRPr="00424274">
        <w:rPr>
          <w:rFonts w:ascii="Arial" w:hAnsi="Arial"/>
          <w:sz w:val="20"/>
        </w:rPr>
        <w:t xml:space="preserve">predsedujoči te skupine na podlagi vprašanj, ki jih predhodno </w:t>
      </w:r>
      <w:r w:rsidR="000A0E8B">
        <w:rPr>
          <w:rFonts w:ascii="Arial" w:hAnsi="Arial"/>
          <w:sz w:val="20"/>
        </w:rPr>
        <w:t>predložijo</w:t>
      </w:r>
      <w:r w:rsidR="000A0E8B" w:rsidRPr="00424274">
        <w:rPr>
          <w:rFonts w:ascii="Arial" w:hAnsi="Arial"/>
          <w:sz w:val="20"/>
        </w:rPr>
        <w:t xml:space="preserve"> </w:t>
      </w:r>
      <w:r w:rsidRPr="00424274">
        <w:rPr>
          <w:rFonts w:ascii="Arial" w:hAnsi="Arial"/>
          <w:sz w:val="20"/>
        </w:rPr>
        <w:t xml:space="preserve">posamezne države. Na tem zasedanju sta se obravnavali poročili </w:t>
      </w:r>
      <w:r w:rsidRPr="00424274">
        <w:rPr>
          <w:rFonts w:ascii="Arial" w:hAnsi="Arial"/>
          <w:b/>
          <w:sz w:val="20"/>
        </w:rPr>
        <w:t xml:space="preserve">Slovaške in Gruzije. </w:t>
      </w:r>
      <w:r w:rsidRPr="00424274">
        <w:rPr>
          <w:rFonts w:ascii="Arial" w:hAnsi="Arial"/>
          <w:sz w:val="20"/>
        </w:rPr>
        <w:t xml:space="preserve">Pri poročilu </w:t>
      </w:r>
      <w:r w:rsidRPr="00424274">
        <w:rPr>
          <w:rFonts w:ascii="Arial" w:hAnsi="Arial"/>
          <w:b/>
          <w:sz w:val="20"/>
        </w:rPr>
        <w:t>Slovaške</w:t>
      </w:r>
      <w:r w:rsidRPr="00424274">
        <w:rPr>
          <w:rFonts w:ascii="Arial" w:hAnsi="Arial"/>
          <w:sz w:val="20"/>
        </w:rPr>
        <w:t xml:space="preserve"> so bila obravnavana predvsem naslednja področja: aktivnosti urada za preprečevanje pranja denarja; preiskava in pregon kaznivega dejanja pranja denarja/financiranja terorizma </w:t>
      </w:r>
      <w:r w:rsidR="000A0E8B">
        <w:rPr>
          <w:rFonts w:ascii="Arial" w:hAnsi="Arial"/>
          <w:sz w:val="20"/>
        </w:rPr>
        <w:t>in</w:t>
      </w:r>
      <w:r w:rsidR="000A0E8B" w:rsidRPr="00424274">
        <w:rPr>
          <w:rFonts w:ascii="Arial" w:hAnsi="Arial"/>
          <w:sz w:val="20"/>
        </w:rPr>
        <w:t xml:space="preserve"> </w:t>
      </w:r>
      <w:r w:rsidR="000A0E8B">
        <w:rPr>
          <w:rFonts w:ascii="Arial" w:hAnsi="Arial"/>
          <w:sz w:val="20"/>
        </w:rPr>
        <w:t>ustrezne</w:t>
      </w:r>
      <w:r w:rsidR="000A0E8B" w:rsidRPr="00424274">
        <w:rPr>
          <w:rFonts w:ascii="Arial" w:hAnsi="Arial"/>
          <w:sz w:val="20"/>
        </w:rPr>
        <w:t xml:space="preserve"> </w:t>
      </w:r>
      <w:r w:rsidRPr="00424274">
        <w:rPr>
          <w:rFonts w:ascii="Arial" w:hAnsi="Arial"/>
          <w:sz w:val="20"/>
        </w:rPr>
        <w:t>sankcije; usmerjene finančne sankcije</w:t>
      </w:r>
      <w:r w:rsidR="000A0E8B">
        <w:rPr>
          <w:rFonts w:ascii="Arial" w:hAnsi="Arial"/>
          <w:sz w:val="20"/>
        </w:rPr>
        <w:t>,</w:t>
      </w:r>
      <w:r w:rsidRPr="00424274">
        <w:rPr>
          <w:rFonts w:ascii="Arial" w:hAnsi="Arial"/>
          <w:sz w:val="20"/>
        </w:rPr>
        <w:t xml:space="preserve"> vezane </w:t>
      </w:r>
      <w:r w:rsidRPr="00424274">
        <w:rPr>
          <w:rFonts w:ascii="Arial" w:hAnsi="Arial"/>
          <w:sz w:val="20"/>
        </w:rPr>
        <w:lastRenderedPageBreak/>
        <w:t xml:space="preserve">na terorizem oziroma financiranje terorizma; preprečevanje zlorabe NPO za financiranje terorizma; nacionalna ocena tveganja za pranje denarja in financiranje terorizma; transparentnost in dejanski lastniki pravnih oseb. Pri poročilu </w:t>
      </w:r>
      <w:r w:rsidRPr="00424274">
        <w:rPr>
          <w:rFonts w:ascii="Arial" w:hAnsi="Arial"/>
          <w:b/>
          <w:sz w:val="20"/>
        </w:rPr>
        <w:t>Gruzije</w:t>
      </w:r>
      <w:r w:rsidRPr="00424274">
        <w:rPr>
          <w:rFonts w:ascii="Arial" w:hAnsi="Arial"/>
          <w:sz w:val="20"/>
        </w:rPr>
        <w:t xml:space="preserve"> pa so bila obravnavana predvsem področja v zvezi s preiskavo in pregonom kaznivega dejana pranja denarja, aktivnostmi njihovega urada za preprečevanje pranja denarja, novimi tehnologijami, izrekanju sankcij finančnih nadzornikov itd. Ocenjevalci so predvsem </w:t>
      </w:r>
      <w:r w:rsidR="00285EE9">
        <w:rPr>
          <w:rFonts w:ascii="Arial" w:hAnsi="Arial"/>
          <w:sz w:val="20"/>
        </w:rPr>
        <w:t>poudarili</w:t>
      </w:r>
      <w:r w:rsidR="00285EE9" w:rsidRPr="00424274">
        <w:rPr>
          <w:rFonts w:ascii="Arial" w:hAnsi="Arial"/>
          <w:sz w:val="20"/>
        </w:rPr>
        <w:t xml:space="preserve"> </w:t>
      </w:r>
      <w:r w:rsidRPr="00424274">
        <w:rPr>
          <w:rFonts w:ascii="Arial" w:hAnsi="Arial"/>
          <w:sz w:val="20"/>
        </w:rPr>
        <w:t xml:space="preserve">pomanjkljivosti v zvezi z gruzijskim uradom za preprečevanje pranja denarja, zlasti omejitve pri njegovem </w:t>
      </w:r>
      <w:r w:rsidR="00285EE9">
        <w:rPr>
          <w:rFonts w:ascii="Arial" w:hAnsi="Arial"/>
          <w:sz w:val="20"/>
        </w:rPr>
        <w:t>sporočanju</w:t>
      </w:r>
      <w:r w:rsidR="00285EE9" w:rsidRPr="00424274">
        <w:rPr>
          <w:rFonts w:ascii="Arial" w:hAnsi="Arial"/>
          <w:sz w:val="20"/>
        </w:rPr>
        <w:t xml:space="preserve"> </w:t>
      </w:r>
      <w:r w:rsidRPr="00424274">
        <w:rPr>
          <w:rFonts w:ascii="Arial" w:hAnsi="Arial"/>
          <w:sz w:val="20"/>
        </w:rPr>
        <w:t xml:space="preserve">rezultatov analiz </w:t>
      </w:r>
      <w:r w:rsidR="00285EE9">
        <w:rPr>
          <w:rFonts w:ascii="Arial" w:hAnsi="Arial"/>
          <w:sz w:val="20"/>
        </w:rPr>
        <w:t>in</w:t>
      </w:r>
      <w:r w:rsidR="00285EE9" w:rsidRPr="00424274">
        <w:rPr>
          <w:rFonts w:ascii="Arial" w:hAnsi="Arial"/>
          <w:sz w:val="20"/>
        </w:rPr>
        <w:t xml:space="preserve"> </w:t>
      </w:r>
      <w:r w:rsidRPr="00424274">
        <w:rPr>
          <w:rFonts w:ascii="Arial" w:hAnsi="Arial"/>
          <w:sz w:val="20"/>
        </w:rPr>
        <w:t xml:space="preserve">spontanih informacij preiskovalni enoti Ministrstva za finance. </w:t>
      </w:r>
    </w:p>
    <w:p w14:paraId="3272DD1F" w14:textId="77777777" w:rsidR="006D0841" w:rsidRPr="00424274" w:rsidRDefault="006D0841" w:rsidP="006D0841">
      <w:pPr>
        <w:spacing w:line="276" w:lineRule="auto"/>
        <w:rPr>
          <w:rFonts w:ascii="Arial" w:hAnsi="Arial"/>
          <w:bCs/>
          <w:sz w:val="20"/>
        </w:rPr>
      </w:pPr>
    </w:p>
    <w:p w14:paraId="7B99CC85" w14:textId="1D1EB96D" w:rsidR="006D0841" w:rsidRPr="00424274" w:rsidRDefault="006D0841" w:rsidP="006D0841">
      <w:pPr>
        <w:spacing w:line="276" w:lineRule="auto"/>
        <w:rPr>
          <w:rFonts w:ascii="Arial" w:hAnsi="Arial"/>
          <w:bCs/>
          <w:sz w:val="20"/>
        </w:rPr>
      </w:pPr>
      <w:r w:rsidRPr="00424274">
        <w:rPr>
          <w:rFonts w:ascii="Arial" w:hAnsi="Arial"/>
          <w:bCs/>
          <w:sz w:val="20"/>
        </w:rPr>
        <w:t xml:space="preserve">Predstavljena sta bila dva projekta (poljski in ruski), MONEYVAL (ter njegov </w:t>
      </w:r>
      <w:r w:rsidR="00D020F0">
        <w:rPr>
          <w:rFonts w:ascii="Arial" w:hAnsi="Arial"/>
          <w:bCs/>
          <w:sz w:val="20"/>
        </w:rPr>
        <w:t>s</w:t>
      </w:r>
      <w:r w:rsidRPr="00424274">
        <w:rPr>
          <w:rFonts w:ascii="Arial" w:hAnsi="Arial"/>
          <w:bCs/>
          <w:sz w:val="20"/>
        </w:rPr>
        <w:t xml:space="preserve">ekretariat kot pobudnik) bi se moral odločiti le za enega, vendar bosta zaradi aktualnosti izvedena kar oba. Namen prvega </w:t>
      </w:r>
      <w:r w:rsidR="00285EE9">
        <w:rPr>
          <w:rFonts w:ascii="Arial" w:hAnsi="Arial"/>
          <w:bCs/>
          <w:sz w:val="20"/>
        </w:rPr>
        <w:t>–</w:t>
      </w:r>
      <w:r w:rsidRPr="00424274">
        <w:rPr>
          <w:rFonts w:ascii="Arial" w:hAnsi="Arial"/>
          <w:bCs/>
          <w:sz w:val="20"/>
        </w:rPr>
        <w:t xml:space="preserve"> »poljskega« projekta »</w:t>
      </w:r>
      <w:r w:rsidR="00285EE9">
        <w:rPr>
          <w:rFonts w:ascii="Arial" w:hAnsi="Arial"/>
          <w:bCs/>
          <w:sz w:val="20"/>
        </w:rPr>
        <w:t xml:space="preserve">NADZORNIKI </w:t>
      </w:r>
      <w:r w:rsidRPr="00424274">
        <w:rPr>
          <w:rFonts w:ascii="Arial" w:hAnsi="Arial"/>
          <w:bCs/>
          <w:sz w:val="20"/>
        </w:rPr>
        <w:t>COVID</w:t>
      </w:r>
      <w:r w:rsidR="00285EE9">
        <w:rPr>
          <w:rFonts w:ascii="Arial" w:hAnsi="Arial"/>
          <w:bCs/>
          <w:sz w:val="20"/>
        </w:rPr>
        <w:t>-</w:t>
      </w:r>
      <w:r w:rsidRPr="00424274">
        <w:rPr>
          <w:rFonts w:ascii="Arial" w:hAnsi="Arial"/>
          <w:bCs/>
          <w:sz w:val="20"/>
        </w:rPr>
        <w:t xml:space="preserve">19« je zbrati najboljše prakse držav članic odbora MONEYVAL </w:t>
      </w:r>
      <w:r w:rsidR="00285EE9">
        <w:rPr>
          <w:rFonts w:ascii="Arial" w:hAnsi="Arial"/>
          <w:bCs/>
          <w:sz w:val="20"/>
        </w:rPr>
        <w:t>in</w:t>
      </w:r>
      <w:r w:rsidR="00285EE9" w:rsidRPr="00424274">
        <w:rPr>
          <w:rFonts w:ascii="Arial" w:hAnsi="Arial"/>
          <w:bCs/>
          <w:sz w:val="20"/>
        </w:rPr>
        <w:t xml:space="preserve"> </w:t>
      </w:r>
      <w:r w:rsidRPr="00424274">
        <w:rPr>
          <w:rFonts w:ascii="Arial" w:hAnsi="Arial"/>
          <w:bCs/>
          <w:sz w:val="20"/>
        </w:rPr>
        <w:t xml:space="preserve">jih deliti. Nadzorniki se morajo zavedati, da običajni postopki v izrednih razmerah ne delujejo – kot se je to zgodilo v primeru te pandemije. Drugi – »ruski« projekt bo osredotočen predvsem na </w:t>
      </w:r>
      <w:r w:rsidR="00285EE9">
        <w:rPr>
          <w:rFonts w:ascii="Arial" w:hAnsi="Arial"/>
          <w:bCs/>
          <w:sz w:val="20"/>
        </w:rPr>
        <w:t xml:space="preserve">priporočilo </w:t>
      </w:r>
      <w:r w:rsidRPr="00424274">
        <w:rPr>
          <w:rFonts w:ascii="Arial" w:hAnsi="Arial"/>
          <w:bCs/>
          <w:sz w:val="20"/>
        </w:rPr>
        <w:t xml:space="preserve">FATF št. 15 – R.15 »Nove tehnologije« (New </w:t>
      </w:r>
      <w:proofErr w:type="spellStart"/>
      <w:r w:rsidRPr="00424274">
        <w:rPr>
          <w:rFonts w:ascii="Arial" w:hAnsi="Arial"/>
          <w:bCs/>
          <w:sz w:val="20"/>
        </w:rPr>
        <w:t>technologies</w:t>
      </w:r>
      <w:proofErr w:type="spellEnd"/>
      <w:r w:rsidRPr="00424274">
        <w:rPr>
          <w:rFonts w:ascii="Arial" w:hAnsi="Arial"/>
          <w:bCs/>
          <w:sz w:val="20"/>
        </w:rPr>
        <w:t xml:space="preserve">). Cilj projekta je analiza uporabe </w:t>
      </w:r>
      <w:proofErr w:type="spellStart"/>
      <w:r w:rsidRPr="00424274">
        <w:rPr>
          <w:rFonts w:ascii="Arial" w:hAnsi="Arial"/>
          <w:bCs/>
          <w:sz w:val="20"/>
        </w:rPr>
        <w:t>kriptovalut</w:t>
      </w:r>
      <w:proofErr w:type="spellEnd"/>
      <w:r w:rsidRPr="00424274">
        <w:rPr>
          <w:rFonts w:ascii="Arial" w:hAnsi="Arial"/>
          <w:bCs/>
          <w:sz w:val="20"/>
        </w:rPr>
        <w:t xml:space="preserve"> pri čezmejni ilegalni prodaji drog, usklajevanje nacionalnih zakonodaj PPD/FT z vidika virtualnih valut, analiza transakcij s </w:t>
      </w:r>
      <w:proofErr w:type="spellStart"/>
      <w:r w:rsidRPr="00424274">
        <w:rPr>
          <w:rFonts w:ascii="Arial" w:hAnsi="Arial"/>
          <w:bCs/>
          <w:sz w:val="20"/>
        </w:rPr>
        <w:t>kriptovalutami</w:t>
      </w:r>
      <w:proofErr w:type="spellEnd"/>
      <w:r w:rsidRPr="00424274">
        <w:rPr>
          <w:rFonts w:ascii="Arial" w:hAnsi="Arial"/>
          <w:bCs/>
          <w:sz w:val="20"/>
        </w:rPr>
        <w:t xml:space="preserve"> v državah, članicah odbora MONEYVAL</w:t>
      </w:r>
      <w:r w:rsidR="00285EE9">
        <w:rPr>
          <w:rFonts w:ascii="Arial" w:hAnsi="Arial"/>
          <w:bCs/>
          <w:sz w:val="20"/>
        </w:rPr>
        <w:t>,</w:t>
      </w:r>
      <w:r w:rsidRPr="00424274">
        <w:rPr>
          <w:rFonts w:ascii="Arial" w:hAnsi="Arial"/>
          <w:bCs/>
          <w:sz w:val="20"/>
        </w:rPr>
        <w:t xml:space="preserve"> ter njihovih razpoložljivih virov informacij itd</w:t>
      </w:r>
      <w:r w:rsidR="00285EE9">
        <w:rPr>
          <w:rFonts w:ascii="Arial" w:hAnsi="Arial"/>
          <w:bCs/>
          <w:sz w:val="20"/>
        </w:rPr>
        <w:t>.</w:t>
      </w:r>
      <w:r w:rsidRPr="00424274">
        <w:rPr>
          <w:rFonts w:ascii="Arial" w:hAnsi="Arial"/>
          <w:bCs/>
          <w:sz w:val="20"/>
        </w:rPr>
        <w:t xml:space="preserve"> </w:t>
      </w:r>
    </w:p>
    <w:p w14:paraId="5647F77C" w14:textId="77777777" w:rsidR="006D0841" w:rsidRPr="00424274" w:rsidRDefault="006D0841" w:rsidP="006D0841">
      <w:pPr>
        <w:spacing w:line="276" w:lineRule="auto"/>
        <w:rPr>
          <w:rFonts w:ascii="Arial" w:hAnsi="Arial"/>
          <w:bCs/>
          <w:sz w:val="20"/>
        </w:rPr>
      </w:pPr>
    </w:p>
    <w:p w14:paraId="21EE42EA" w14:textId="008F1EBE" w:rsidR="006D0841" w:rsidRPr="00424274" w:rsidRDefault="006D0841" w:rsidP="006D0841">
      <w:pPr>
        <w:spacing w:line="276" w:lineRule="auto"/>
        <w:rPr>
          <w:rFonts w:ascii="Arial" w:hAnsi="Arial"/>
          <w:bCs/>
          <w:sz w:val="20"/>
        </w:rPr>
      </w:pPr>
      <w:r w:rsidRPr="00424274">
        <w:rPr>
          <w:rFonts w:ascii="Arial" w:hAnsi="Arial"/>
          <w:bCs/>
          <w:sz w:val="20"/>
        </w:rPr>
        <w:t xml:space="preserve">Predsednik COP 198 dr. </w:t>
      </w:r>
      <w:proofErr w:type="spellStart"/>
      <w:r w:rsidRPr="00424274">
        <w:rPr>
          <w:rFonts w:ascii="Arial" w:hAnsi="Arial"/>
          <w:bCs/>
          <w:sz w:val="20"/>
        </w:rPr>
        <w:t>Ioannis</w:t>
      </w:r>
      <w:proofErr w:type="spellEnd"/>
      <w:r w:rsidRPr="00424274">
        <w:rPr>
          <w:rFonts w:ascii="Arial" w:hAnsi="Arial"/>
          <w:bCs/>
          <w:sz w:val="20"/>
        </w:rPr>
        <w:t xml:space="preserve"> ANDROULAKIS je na tem </w:t>
      </w:r>
      <w:r w:rsidR="008C0127">
        <w:rPr>
          <w:rFonts w:ascii="Arial" w:hAnsi="Arial"/>
          <w:bCs/>
          <w:sz w:val="20"/>
        </w:rPr>
        <w:t xml:space="preserve">zasedanju </w:t>
      </w:r>
      <w:r w:rsidRPr="00424274">
        <w:rPr>
          <w:rFonts w:ascii="Arial" w:hAnsi="Arial"/>
          <w:bCs/>
          <w:sz w:val="20"/>
        </w:rPr>
        <w:t xml:space="preserve">predstavil (horizontalni) način ocenjevanja držav s področja </w:t>
      </w:r>
      <w:r w:rsidR="008C0127">
        <w:rPr>
          <w:rFonts w:ascii="Arial" w:hAnsi="Arial"/>
          <w:bCs/>
          <w:sz w:val="20"/>
        </w:rPr>
        <w:t>izvajanja</w:t>
      </w:r>
      <w:r w:rsidR="008C0127" w:rsidRPr="00424274">
        <w:rPr>
          <w:rFonts w:ascii="Arial" w:hAnsi="Arial"/>
          <w:bCs/>
          <w:sz w:val="20"/>
        </w:rPr>
        <w:t xml:space="preserve"> </w:t>
      </w:r>
      <w:r w:rsidRPr="00424274">
        <w:rPr>
          <w:rFonts w:ascii="Arial" w:hAnsi="Arial"/>
          <w:bCs/>
          <w:sz w:val="20"/>
        </w:rPr>
        <w:t xml:space="preserve">te konvencije, </w:t>
      </w:r>
      <w:proofErr w:type="spellStart"/>
      <w:r w:rsidRPr="00424274">
        <w:rPr>
          <w:rFonts w:ascii="Arial" w:hAnsi="Arial"/>
          <w:bCs/>
          <w:sz w:val="20"/>
        </w:rPr>
        <w:t>Carlo</w:t>
      </w:r>
      <w:proofErr w:type="spellEnd"/>
      <w:r w:rsidRPr="00424274">
        <w:rPr>
          <w:rFonts w:ascii="Arial" w:hAnsi="Arial"/>
          <w:bCs/>
          <w:sz w:val="20"/>
        </w:rPr>
        <w:t xml:space="preserve"> CHIAROMONTE, koordinator Sveta Evrope v boju proti terorizmu (odbor CDCT), pa je poudaril predvsem skupne točke med odboroma CDCT </w:t>
      </w:r>
      <w:r w:rsidR="008C0127">
        <w:rPr>
          <w:rFonts w:ascii="Arial" w:hAnsi="Arial"/>
          <w:bCs/>
          <w:sz w:val="20"/>
        </w:rPr>
        <w:t>in</w:t>
      </w:r>
      <w:r w:rsidR="008C0127" w:rsidRPr="00424274">
        <w:rPr>
          <w:rFonts w:ascii="Arial" w:hAnsi="Arial"/>
          <w:bCs/>
          <w:sz w:val="20"/>
        </w:rPr>
        <w:t xml:space="preserve"> </w:t>
      </w:r>
      <w:r w:rsidRPr="00424274">
        <w:rPr>
          <w:rFonts w:ascii="Arial" w:hAnsi="Arial"/>
          <w:bCs/>
          <w:sz w:val="20"/>
        </w:rPr>
        <w:t xml:space="preserve">MONEYVAL </w:t>
      </w:r>
      <w:r w:rsidR="008C0127">
        <w:rPr>
          <w:rFonts w:ascii="Arial" w:hAnsi="Arial"/>
          <w:bCs/>
          <w:sz w:val="20"/>
        </w:rPr>
        <w:t>ter</w:t>
      </w:r>
      <w:r w:rsidR="008C0127" w:rsidRPr="00424274">
        <w:rPr>
          <w:rFonts w:ascii="Arial" w:hAnsi="Arial"/>
          <w:bCs/>
          <w:sz w:val="20"/>
        </w:rPr>
        <w:t xml:space="preserve"> </w:t>
      </w:r>
      <w:r w:rsidRPr="00424274">
        <w:rPr>
          <w:rFonts w:ascii="Arial" w:hAnsi="Arial"/>
          <w:bCs/>
          <w:sz w:val="20"/>
        </w:rPr>
        <w:t xml:space="preserve">potrebo po njunem tesnejšem sodelovanju. Predstavnik Sekretariata MONEYVAL je predstavil ocenjevalna poročila z vidika njihove kakovosti </w:t>
      </w:r>
      <w:r w:rsidR="000C1946">
        <w:rPr>
          <w:rFonts w:ascii="Arial" w:hAnsi="Arial"/>
          <w:bCs/>
          <w:sz w:val="20"/>
        </w:rPr>
        <w:t>in</w:t>
      </w:r>
      <w:r w:rsidR="000C1946" w:rsidRPr="00424274">
        <w:rPr>
          <w:rFonts w:ascii="Arial" w:hAnsi="Arial"/>
          <w:bCs/>
          <w:sz w:val="20"/>
        </w:rPr>
        <w:t xml:space="preserve"> </w:t>
      </w:r>
      <w:r w:rsidR="00886C8F">
        <w:rPr>
          <w:rFonts w:ascii="Arial" w:hAnsi="Arial"/>
          <w:bCs/>
          <w:sz w:val="20"/>
        </w:rPr>
        <w:t>doslednosti</w:t>
      </w:r>
      <w:r w:rsidRPr="00424274">
        <w:rPr>
          <w:rFonts w:ascii="Arial" w:hAnsi="Arial"/>
          <w:bCs/>
          <w:sz w:val="20"/>
        </w:rPr>
        <w:t xml:space="preserve"> s posebnim poudarkom na samostojnih neodvisnih dejavnostih in poklicih (notarjih, odvetnikih, revizorjih, prirediteljih iger na srečo itd</w:t>
      </w:r>
      <w:r w:rsidR="00285EE9">
        <w:rPr>
          <w:rFonts w:ascii="Arial" w:hAnsi="Arial"/>
          <w:bCs/>
          <w:sz w:val="20"/>
        </w:rPr>
        <w:t>.</w:t>
      </w:r>
      <w:r w:rsidRPr="00424274">
        <w:rPr>
          <w:rFonts w:ascii="Arial" w:hAnsi="Arial"/>
          <w:bCs/>
          <w:sz w:val="20"/>
        </w:rPr>
        <w:t xml:space="preserve">). </w:t>
      </w:r>
    </w:p>
    <w:p w14:paraId="3D565364" w14:textId="33CA0111" w:rsidR="00A70D3F" w:rsidRPr="00424274" w:rsidRDefault="00A70D3F" w:rsidP="006D0841">
      <w:pPr>
        <w:spacing w:line="276" w:lineRule="auto"/>
        <w:rPr>
          <w:rFonts w:ascii="Arial" w:hAnsi="Arial"/>
          <w:bCs/>
          <w:sz w:val="20"/>
        </w:rPr>
      </w:pPr>
    </w:p>
    <w:p w14:paraId="4B08D830" w14:textId="4B569808" w:rsidR="003E54F3" w:rsidRPr="00424274" w:rsidRDefault="00CC1E89" w:rsidP="006D5A5A">
      <w:pPr>
        <w:pStyle w:val="Naslov3"/>
      </w:pPr>
      <w:bookmarkStart w:id="127" w:name="_Toc113535487"/>
      <w:r w:rsidRPr="00424274">
        <w:t xml:space="preserve">5.2.1.2 </w:t>
      </w:r>
      <w:r w:rsidR="003E54F3" w:rsidRPr="00424274">
        <w:t>Konvencija Sveta Evrope o pranju, odkrivanju, zasegu in zaplembi premoženjske koristi, pridobljene s kaznivim dejanjem, in o financiranju terorizma</w:t>
      </w:r>
      <w:bookmarkEnd w:id="127"/>
    </w:p>
    <w:p w14:paraId="245C161A" w14:textId="54169205" w:rsidR="00E4563E" w:rsidRPr="00424274" w:rsidRDefault="00E4563E" w:rsidP="00E4563E">
      <w:pPr>
        <w:pStyle w:val="Odstavekseznama"/>
        <w:spacing w:line="276" w:lineRule="auto"/>
        <w:ind w:left="567"/>
        <w:rPr>
          <w:rFonts w:ascii="Arial" w:hAnsi="Arial"/>
          <w:iCs/>
          <w:color w:val="FF0000"/>
          <w:sz w:val="20"/>
          <w:highlight w:val="yellow"/>
          <w:u w:val="single"/>
          <w:lang w:val="sl-SI"/>
        </w:rPr>
      </w:pPr>
    </w:p>
    <w:p w14:paraId="2AB53B15" w14:textId="4DE264D0" w:rsidR="00E4563E" w:rsidRPr="00424274" w:rsidRDefault="00E4563E" w:rsidP="00E4563E">
      <w:pPr>
        <w:spacing w:line="276" w:lineRule="auto"/>
        <w:rPr>
          <w:rFonts w:ascii="Arial" w:hAnsi="Arial"/>
          <w:iCs/>
          <w:sz w:val="20"/>
        </w:rPr>
      </w:pPr>
      <w:r w:rsidRPr="00424274">
        <w:rPr>
          <w:rFonts w:ascii="Arial" w:hAnsi="Arial"/>
          <w:iCs/>
          <w:sz w:val="20"/>
        </w:rPr>
        <w:t>V okviru Sveta Evrope sprejeta Konvencija o pranju, odkrivanju, zasegu in zaplembi premoženjske koristi, pridobljene s kaznivim dejanjem, in o financiranju terorizma (v nadaljevanju</w:t>
      </w:r>
      <w:r w:rsidR="000C1946">
        <w:rPr>
          <w:rFonts w:ascii="Arial" w:hAnsi="Arial"/>
          <w:iCs/>
          <w:sz w:val="20"/>
        </w:rPr>
        <w:t>:</w:t>
      </w:r>
      <w:r w:rsidRPr="00424274">
        <w:rPr>
          <w:rFonts w:ascii="Arial" w:hAnsi="Arial"/>
          <w:iCs/>
          <w:sz w:val="20"/>
        </w:rPr>
        <w:t xml:space="preserve"> Konvencija SE 198), ki jo je Slovenija ratificirala leta 2010, je namenjena boju proti pranju denarja in financiranju terorizma. Vsebuje temeljno načelo, da morajo države podpisnice sprejeti take ukrepe, da se lahko odkrije</w:t>
      </w:r>
      <w:r w:rsidR="000C1946">
        <w:rPr>
          <w:rFonts w:ascii="Arial" w:hAnsi="Arial"/>
          <w:iCs/>
          <w:sz w:val="20"/>
        </w:rPr>
        <w:t>jo</w:t>
      </w:r>
      <w:r w:rsidRPr="00424274">
        <w:rPr>
          <w:rFonts w:ascii="Arial" w:hAnsi="Arial"/>
          <w:iCs/>
          <w:sz w:val="20"/>
        </w:rPr>
        <w:t>, sledi</w:t>
      </w:r>
      <w:r w:rsidR="000C1946">
        <w:rPr>
          <w:rFonts w:ascii="Arial" w:hAnsi="Arial"/>
          <w:iCs/>
          <w:sz w:val="20"/>
        </w:rPr>
        <w:t>jo</w:t>
      </w:r>
      <w:r w:rsidRPr="00424274">
        <w:rPr>
          <w:rFonts w:ascii="Arial" w:hAnsi="Arial"/>
          <w:iCs/>
          <w:sz w:val="20"/>
        </w:rPr>
        <w:t>, prepozna</w:t>
      </w:r>
      <w:r w:rsidR="000C1946">
        <w:rPr>
          <w:rFonts w:ascii="Arial" w:hAnsi="Arial"/>
          <w:iCs/>
          <w:sz w:val="20"/>
        </w:rPr>
        <w:t>jo</w:t>
      </w:r>
      <w:r w:rsidRPr="00424274">
        <w:rPr>
          <w:rFonts w:ascii="Arial" w:hAnsi="Arial"/>
          <w:iCs/>
          <w:sz w:val="20"/>
        </w:rPr>
        <w:t>, zamrzne</w:t>
      </w:r>
      <w:r w:rsidR="000C1946">
        <w:rPr>
          <w:rFonts w:ascii="Arial" w:hAnsi="Arial"/>
          <w:iCs/>
          <w:sz w:val="20"/>
        </w:rPr>
        <w:t>jo</w:t>
      </w:r>
      <w:r w:rsidRPr="00424274">
        <w:rPr>
          <w:rFonts w:ascii="Arial" w:hAnsi="Arial"/>
          <w:iCs/>
          <w:sz w:val="20"/>
        </w:rPr>
        <w:t>, zaseže</w:t>
      </w:r>
      <w:r w:rsidR="000C1946">
        <w:rPr>
          <w:rFonts w:ascii="Arial" w:hAnsi="Arial"/>
          <w:iCs/>
          <w:sz w:val="20"/>
        </w:rPr>
        <w:t>jo</w:t>
      </w:r>
      <w:r w:rsidRPr="00424274">
        <w:rPr>
          <w:rFonts w:ascii="Arial" w:hAnsi="Arial"/>
          <w:iCs/>
          <w:sz w:val="20"/>
        </w:rPr>
        <w:t xml:space="preserve"> in odvzame</w:t>
      </w:r>
      <w:r w:rsidR="000C1946">
        <w:rPr>
          <w:rFonts w:ascii="Arial" w:hAnsi="Arial"/>
          <w:iCs/>
          <w:sz w:val="20"/>
        </w:rPr>
        <w:t>jo</w:t>
      </w:r>
      <w:r w:rsidRPr="00424274">
        <w:rPr>
          <w:rFonts w:ascii="Arial" w:hAnsi="Arial"/>
          <w:iCs/>
          <w:sz w:val="20"/>
        </w:rPr>
        <w:t xml:space="preserve"> predmet</w:t>
      </w:r>
      <w:r w:rsidR="000C1946">
        <w:rPr>
          <w:rFonts w:ascii="Arial" w:hAnsi="Arial"/>
          <w:iCs/>
          <w:sz w:val="20"/>
        </w:rPr>
        <w:t>i</w:t>
      </w:r>
      <w:r w:rsidRPr="00424274">
        <w:rPr>
          <w:rFonts w:ascii="Arial" w:hAnsi="Arial"/>
          <w:iCs/>
          <w:sz w:val="20"/>
        </w:rPr>
        <w:t>, premoženjsk</w:t>
      </w:r>
      <w:r w:rsidR="000C1946">
        <w:rPr>
          <w:rFonts w:ascii="Arial" w:hAnsi="Arial"/>
          <w:iCs/>
          <w:sz w:val="20"/>
        </w:rPr>
        <w:t>a</w:t>
      </w:r>
      <w:r w:rsidRPr="00424274">
        <w:rPr>
          <w:rFonts w:ascii="Arial" w:hAnsi="Arial"/>
          <w:iCs/>
          <w:sz w:val="20"/>
        </w:rPr>
        <w:t xml:space="preserve"> korist ali premoženje nezakonitega izvora, ki se uporablja ali je v celoti ali delno in na kakršen koli način namenjeno za financiranje terorizma, ali premoženjsko korist iz tega kaznivega dejanja, in da v ta namen zagotovi sodelovanje v najširšem možnem obsegu. Eden njenih temeljnih elementov je tudi, da podpira neposredno komuniciranje med državami pogodbenicami in njihovimi strokovnimi organi ter predpisuje dolžnost obveščanja med sodelujočimi organi držav pogodbenic. V Sloveniji je osrednji organ, ki je odgovoren za pošiljanje zaprosil v okviru IV. poglavja (mednarodno sodelovanje) in odgovorov nanje, za izvršitev zaprosil ali za njihovo pošiljanje organom, pristojnim za njihovo izvršitev, Urad </w:t>
      </w:r>
      <w:r w:rsidR="000C1946">
        <w:rPr>
          <w:rFonts w:ascii="Arial" w:hAnsi="Arial"/>
          <w:iCs/>
          <w:sz w:val="20"/>
        </w:rPr>
        <w:t xml:space="preserve">RS </w:t>
      </w:r>
      <w:r w:rsidRPr="00424274">
        <w:rPr>
          <w:rFonts w:ascii="Arial" w:hAnsi="Arial"/>
          <w:iCs/>
          <w:sz w:val="20"/>
        </w:rPr>
        <w:t>za preprečevanje pranja denarja.</w:t>
      </w:r>
    </w:p>
    <w:p w14:paraId="05A85286" w14:textId="77777777" w:rsidR="00E4563E" w:rsidRPr="00424274" w:rsidRDefault="00E4563E" w:rsidP="00E4563E">
      <w:pPr>
        <w:spacing w:line="276" w:lineRule="auto"/>
        <w:rPr>
          <w:rFonts w:ascii="Arial" w:hAnsi="Arial"/>
          <w:iCs/>
          <w:sz w:val="20"/>
        </w:rPr>
      </w:pPr>
    </w:p>
    <w:p w14:paraId="25729382" w14:textId="6A8089AC" w:rsidR="00E4563E" w:rsidRPr="00424274" w:rsidRDefault="00E4563E" w:rsidP="00E4563E">
      <w:pPr>
        <w:spacing w:line="276" w:lineRule="auto"/>
        <w:rPr>
          <w:rFonts w:ascii="Arial" w:hAnsi="Arial"/>
          <w:iCs/>
          <w:sz w:val="20"/>
        </w:rPr>
      </w:pPr>
      <w:r w:rsidRPr="00424274">
        <w:rPr>
          <w:rFonts w:ascii="Arial" w:hAnsi="Arial"/>
          <w:iCs/>
          <w:sz w:val="20"/>
        </w:rPr>
        <w:t xml:space="preserve">V oktobru 2020 je v Strasbourgu potekala 12. konferenca držav pogodbenic Konvencije SE 198, ki se je je v okviru slovenske delegacije udeležila tudi uslužbenka </w:t>
      </w:r>
      <w:r w:rsidR="00A0541B">
        <w:rPr>
          <w:rFonts w:ascii="Arial" w:hAnsi="Arial"/>
          <w:iCs/>
          <w:sz w:val="20"/>
        </w:rPr>
        <w:t>urad</w:t>
      </w:r>
      <w:r w:rsidRPr="00424274">
        <w:rPr>
          <w:rFonts w:ascii="Arial" w:hAnsi="Arial"/>
          <w:iCs/>
          <w:sz w:val="20"/>
        </w:rPr>
        <w:t>a. Zaradi izjemnih okoliščin je bil podaljšan mandat trem članom predsedstva. Tematsko poročilo o spremljanju izvajanja Konvencije SE 198 s strani držav pogodbenic v zvezi s 7(2c) členom in 19(1) členom je bilo sprejeto. Za naslednji tematski nadzorni pregled pa je bila določena vsebina prvega in drugega odstavka 10. člena Konvencije SE 198, ki se nanaša na odgovornost pravnih oseb. Glede poročil o tematskem spremljanju za leti 2018 in 2019 so bile odobrene spremembe, vezane na ratifikacijo s strani Monaka in prispevk</w:t>
      </w:r>
      <w:r w:rsidR="000C1946">
        <w:rPr>
          <w:rFonts w:ascii="Arial" w:hAnsi="Arial"/>
          <w:iCs/>
          <w:sz w:val="20"/>
        </w:rPr>
        <w:t>e</w:t>
      </w:r>
      <w:r w:rsidRPr="00424274">
        <w:rPr>
          <w:rFonts w:ascii="Arial" w:hAnsi="Arial"/>
          <w:iCs/>
          <w:sz w:val="20"/>
        </w:rPr>
        <w:t xml:space="preserve"> Ruske federacije. V zvezi s tematskim poročilom o izvajanju četrtega odstavka 3. člena je bilo odločeno, da se najprej sprejmejo pojasnila v smislu razlagalne opombe. Dogovorjeno je bilo, da bo v maju 2021 s tem namenom organiziran izredni plenarni sestanek. Predstavnica Evropskega sodišča za človekove pravice je predstavila zadevo </w:t>
      </w:r>
      <w:proofErr w:type="spellStart"/>
      <w:r w:rsidRPr="00424274">
        <w:rPr>
          <w:rFonts w:ascii="Arial" w:hAnsi="Arial"/>
          <w:iCs/>
          <w:sz w:val="20"/>
        </w:rPr>
        <w:t>Phillips</w:t>
      </w:r>
      <w:proofErr w:type="spellEnd"/>
      <w:r w:rsidRPr="00424274">
        <w:rPr>
          <w:rFonts w:ascii="Arial" w:hAnsi="Arial"/>
          <w:iCs/>
          <w:sz w:val="20"/>
        </w:rPr>
        <w:t xml:space="preserve"> proti Združenemu kraljestvu in druge sodne prakse, ki obravnava</w:t>
      </w:r>
      <w:r w:rsidR="000C1946">
        <w:rPr>
          <w:rFonts w:ascii="Arial" w:hAnsi="Arial"/>
          <w:iCs/>
          <w:sz w:val="20"/>
        </w:rPr>
        <w:t>jo</w:t>
      </w:r>
      <w:r w:rsidRPr="00424274">
        <w:rPr>
          <w:rFonts w:ascii="Arial" w:hAnsi="Arial"/>
          <w:iCs/>
          <w:sz w:val="20"/>
        </w:rPr>
        <w:t xml:space="preserve"> preusmeritev dokaznega bremena v postopku zaplembe. Obravnaval je vsebino vprašalnika o virtualnih </w:t>
      </w:r>
      <w:r w:rsidRPr="00424274">
        <w:rPr>
          <w:rFonts w:ascii="Arial" w:hAnsi="Arial"/>
          <w:iCs/>
          <w:sz w:val="20"/>
        </w:rPr>
        <w:lastRenderedPageBreak/>
        <w:t>sredstvih, ki bo predvidoma prav tako sprejet na izrednem plenarnem zasedanju.</w:t>
      </w:r>
    </w:p>
    <w:p w14:paraId="6797A591" w14:textId="760F1F2C" w:rsidR="00A70D3F" w:rsidRPr="00424274" w:rsidRDefault="00A70D3F" w:rsidP="006D0841">
      <w:pPr>
        <w:spacing w:line="276" w:lineRule="auto"/>
        <w:rPr>
          <w:rFonts w:ascii="Arial" w:hAnsi="Arial"/>
          <w:bCs/>
          <w:sz w:val="20"/>
        </w:rPr>
      </w:pPr>
    </w:p>
    <w:p w14:paraId="3D2BE2C1" w14:textId="77777777" w:rsidR="00EC3A04" w:rsidRPr="00424274" w:rsidRDefault="00EC3A04" w:rsidP="006D0841">
      <w:pPr>
        <w:spacing w:line="276" w:lineRule="auto"/>
        <w:rPr>
          <w:rFonts w:ascii="Arial" w:hAnsi="Arial"/>
          <w:bCs/>
          <w:sz w:val="20"/>
        </w:rPr>
      </w:pPr>
    </w:p>
    <w:p w14:paraId="20D71D35" w14:textId="291DACC7" w:rsidR="00851C49" w:rsidRPr="00424274" w:rsidRDefault="00C231A0" w:rsidP="006D5A5A">
      <w:pPr>
        <w:pStyle w:val="Naslov3"/>
      </w:pPr>
      <w:bookmarkStart w:id="128" w:name="_Toc113535488"/>
      <w:r w:rsidRPr="00424274">
        <w:t xml:space="preserve">5.2.2 </w:t>
      </w:r>
      <w:r w:rsidR="00851C49" w:rsidRPr="00424274">
        <w:t xml:space="preserve">Evropska </w:t>
      </w:r>
      <w:r w:rsidR="00AD3357" w:rsidRPr="00424274">
        <w:t>komisija</w:t>
      </w:r>
      <w:bookmarkEnd w:id="128"/>
    </w:p>
    <w:p w14:paraId="778841F5" w14:textId="3AE0BDA7" w:rsidR="00851C49" w:rsidRPr="00424274" w:rsidRDefault="00C231A0" w:rsidP="006D5A5A">
      <w:pPr>
        <w:pStyle w:val="Naslov3"/>
      </w:pPr>
      <w:bookmarkStart w:id="129" w:name="_Toc113535489"/>
      <w:bookmarkStart w:id="130" w:name="_Toc292714858"/>
      <w:bookmarkStart w:id="131" w:name="_Toc107306513"/>
      <w:bookmarkStart w:id="132" w:name="_Toc134427540"/>
      <w:bookmarkStart w:id="133" w:name="_Toc200524166"/>
      <w:bookmarkStart w:id="134" w:name="_Toc200853562"/>
      <w:bookmarkStart w:id="135" w:name="_Toc227744145"/>
      <w:bookmarkEnd w:id="90"/>
      <w:r w:rsidRPr="00424274">
        <w:t xml:space="preserve">5.2.2.1 </w:t>
      </w:r>
      <w:r w:rsidR="00851C49" w:rsidRPr="00424274">
        <w:t xml:space="preserve">Skupina strokovnjakov za </w:t>
      </w:r>
      <w:r w:rsidR="00537BB1">
        <w:t xml:space="preserve">preprečevanje </w:t>
      </w:r>
      <w:r w:rsidR="00851C49" w:rsidRPr="00424274">
        <w:t>pranj</w:t>
      </w:r>
      <w:r w:rsidR="00537BB1">
        <w:t>a</w:t>
      </w:r>
      <w:r w:rsidR="00851C49" w:rsidRPr="00424274">
        <w:t xml:space="preserve"> denarja in financiranj</w:t>
      </w:r>
      <w:r w:rsidR="00537BB1">
        <w:t>a</w:t>
      </w:r>
      <w:r w:rsidR="00851C49" w:rsidRPr="00424274">
        <w:t xml:space="preserve"> terorizma</w:t>
      </w:r>
      <w:r w:rsidR="008A1626">
        <w:t xml:space="preserve"> –</w:t>
      </w:r>
      <w:r w:rsidR="00FE08EB" w:rsidRPr="00424274">
        <w:t xml:space="preserve"> EGMLTF</w:t>
      </w:r>
      <w:bookmarkEnd w:id="129"/>
    </w:p>
    <w:p w14:paraId="41574DB0" w14:textId="77777777" w:rsidR="00465CB2" w:rsidRPr="00424274" w:rsidRDefault="00465CB2" w:rsidP="00D21F86">
      <w:pPr>
        <w:spacing w:line="276" w:lineRule="auto"/>
        <w:rPr>
          <w:rFonts w:ascii="Arial" w:hAnsi="Arial"/>
          <w:sz w:val="20"/>
        </w:rPr>
      </w:pPr>
    </w:p>
    <w:p w14:paraId="2AEBB8D7" w14:textId="217E74E9" w:rsidR="00AF06A0" w:rsidRPr="00424274" w:rsidRDefault="00AF06A0" w:rsidP="00AF06A0">
      <w:pPr>
        <w:spacing w:line="276" w:lineRule="auto"/>
        <w:rPr>
          <w:rFonts w:ascii="Arial" w:hAnsi="Arial"/>
          <w:sz w:val="20"/>
        </w:rPr>
      </w:pPr>
      <w:r w:rsidRPr="00424274">
        <w:rPr>
          <w:rFonts w:ascii="Arial" w:hAnsi="Arial"/>
          <w:sz w:val="20"/>
        </w:rPr>
        <w:t xml:space="preserve">Predstavniki </w:t>
      </w:r>
      <w:r w:rsidR="00A0541B">
        <w:rPr>
          <w:rFonts w:ascii="Arial" w:hAnsi="Arial"/>
          <w:sz w:val="20"/>
        </w:rPr>
        <w:t>urad</w:t>
      </w:r>
      <w:r w:rsidRPr="00424274">
        <w:rPr>
          <w:rFonts w:ascii="Arial" w:hAnsi="Arial"/>
          <w:sz w:val="20"/>
        </w:rPr>
        <w:t xml:space="preserve">a so se v letu 2020 udeležili petih zasedanj Skupine strokovnjakov za </w:t>
      </w:r>
      <w:r w:rsidR="00537BB1">
        <w:rPr>
          <w:rFonts w:ascii="Arial" w:hAnsi="Arial"/>
          <w:sz w:val="20"/>
        </w:rPr>
        <w:t xml:space="preserve">preprečevanje </w:t>
      </w:r>
      <w:r w:rsidRPr="00424274">
        <w:rPr>
          <w:rFonts w:ascii="Arial" w:hAnsi="Arial"/>
          <w:sz w:val="20"/>
        </w:rPr>
        <w:t>pranj</w:t>
      </w:r>
      <w:r w:rsidR="00537BB1">
        <w:rPr>
          <w:rFonts w:ascii="Arial" w:hAnsi="Arial"/>
          <w:sz w:val="20"/>
        </w:rPr>
        <w:t>a</w:t>
      </w:r>
      <w:r w:rsidRPr="00424274">
        <w:rPr>
          <w:rFonts w:ascii="Arial" w:hAnsi="Arial"/>
          <w:sz w:val="20"/>
        </w:rPr>
        <w:t xml:space="preserve"> denarja in financiranja terorizma (»</w:t>
      </w:r>
      <w:proofErr w:type="spellStart"/>
      <w:r w:rsidRPr="00424274">
        <w:rPr>
          <w:rFonts w:ascii="Arial" w:hAnsi="Arial"/>
          <w:sz w:val="20"/>
        </w:rPr>
        <w:t>Expert</w:t>
      </w:r>
      <w:proofErr w:type="spellEnd"/>
      <w:r w:rsidRPr="00424274">
        <w:rPr>
          <w:rFonts w:ascii="Arial" w:hAnsi="Arial"/>
          <w:sz w:val="20"/>
        </w:rPr>
        <w:t xml:space="preserve"> </w:t>
      </w:r>
      <w:proofErr w:type="spellStart"/>
      <w:r w:rsidRPr="00424274">
        <w:rPr>
          <w:rFonts w:ascii="Arial" w:hAnsi="Arial"/>
          <w:sz w:val="20"/>
        </w:rPr>
        <w:t>Group</w:t>
      </w:r>
      <w:proofErr w:type="spellEnd"/>
      <w:r w:rsidRPr="00424274">
        <w:rPr>
          <w:rFonts w:ascii="Arial" w:hAnsi="Arial"/>
          <w:sz w:val="20"/>
        </w:rPr>
        <w:t xml:space="preserve"> on Money </w:t>
      </w:r>
      <w:proofErr w:type="spellStart"/>
      <w:r w:rsidRPr="00424274">
        <w:rPr>
          <w:rFonts w:ascii="Arial" w:hAnsi="Arial"/>
          <w:sz w:val="20"/>
        </w:rPr>
        <w:t>Laundering</w:t>
      </w:r>
      <w:proofErr w:type="spellEnd"/>
      <w:r w:rsidRPr="00424274">
        <w:rPr>
          <w:rFonts w:ascii="Arial" w:hAnsi="Arial"/>
          <w:sz w:val="20"/>
        </w:rPr>
        <w:t xml:space="preserve"> </w:t>
      </w:r>
      <w:proofErr w:type="spellStart"/>
      <w:r w:rsidRPr="00424274">
        <w:rPr>
          <w:rFonts w:ascii="Arial" w:hAnsi="Arial"/>
          <w:sz w:val="20"/>
        </w:rPr>
        <w:t>and</w:t>
      </w:r>
      <w:proofErr w:type="spellEnd"/>
      <w:r w:rsidRPr="00424274">
        <w:rPr>
          <w:rFonts w:ascii="Arial" w:hAnsi="Arial"/>
          <w:sz w:val="20"/>
        </w:rPr>
        <w:t xml:space="preserve"> Terorist </w:t>
      </w:r>
      <w:proofErr w:type="spellStart"/>
      <w:r w:rsidRPr="00424274">
        <w:rPr>
          <w:rFonts w:ascii="Arial" w:hAnsi="Arial"/>
          <w:sz w:val="20"/>
        </w:rPr>
        <w:t>Financing</w:t>
      </w:r>
      <w:proofErr w:type="spellEnd"/>
      <w:r w:rsidRPr="00424274">
        <w:rPr>
          <w:rFonts w:ascii="Arial" w:hAnsi="Arial"/>
          <w:sz w:val="20"/>
        </w:rPr>
        <w:t xml:space="preserve">« </w:t>
      </w:r>
      <w:r w:rsidR="008A1626">
        <w:rPr>
          <w:rFonts w:ascii="Arial" w:hAnsi="Arial"/>
          <w:sz w:val="20"/>
        </w:rPr>
        <w:t>–</w:t>
      </w:r>
      <w:r w:rsidRPr="00424274">
        <w:rPr>
          <w:rFonts w:ascii="Arial" w:hAnsi="Arial"/>
          <w:sz w:val="20"/>
        </w:rPr>
        <w:t xml:space="preserve"> EGMLTF) pri Evropski </w:t>
      </w:r>
      <w:r w:rsidR="000C1946">
        <w:rPr>
          <w:rFonts w:ascii="Arial" w:hAnsi="Arial"/>
          <w:sz w:val="20"/>
        </w:rPr>
        <w:t>k</w:t>
      </w:r>
      <w:r w:rsidRPr="00424274">
        <w:rPr>
          <w:rFonts w:ascii="Arial" w:hAnsi="Arial"/>
          <w:sz w:val="20"/>
        </w:rPr>
        <w:t xml:space="preserve">omisiji. </w:t>
      </w:r>
    </w:p>
    <w:p w14:paraId="301ECB13" w14:textId="77777777" w:rsidR="00AF06A0" w:rsidRPr="00424274" w:rsidRDefault="00AF06A0" w:rsidP="00AF06A0">
      <w:pPr>
        <w:widowControl/>
        <w:spacing w:line="276" w:lineRule="auto"/>
        <w:rPr>
          <w:rFonts w:ascii="Arial" w:hAnsi="Arial"/>
          <w:sz w:val="20"/>
        </w:rPr>
      </w:pPr>
    </w:p>
    <w:p w14:paraId="28616FDF" w14:textId="77777777" w:rsidR="00AF06A0" w:rsidRPr="00424274" w:rsidRDefault="00AF06A0" w:rsidP="00AF06A0">
      <w:pPr>
        <w:widowControl/>
        <w:spacing w:line="276" w:lineRule="auto"/>
        <w:rPr>
          <w:rFonts w:ascii="Arial" w:hAnsi="Arial"/>
          <w:sz w:val="20"/>
        </w:rPr>
      </w:pPr>
      <w:r w:rsidRPr="00424274">
        <w:rPr>
          <w:rFonts w:ascii="Arial" w:hAnsi="Arial"/>
          <w:sz w:val="20"/>
        </w:rPr>
        <w:t>Obravnavana vsebina zasedanj se je nanašala na naslednje ključne teme:</w:t>
      </w:r>
    </w:p>
    <w:p w14:paraId="3D0D7AEE" w14:textId="77777777" w:rsidR="00AF06A0" w:rsidRPr="00424274" w:rsidRDefault="00AF06A0" w:rsidP="00AF06A0">
      <w:pPr>
        <w:widowControl/>
        <w:spacing w:line="276" w:lineRule="auto"/>
        <w:rPr>
          <w:rFonts w:ascii="Arial" w:hAnsi="Arial"/>
          <w:sz w:val="20"/>
        </w:rPr>
      </w:pPr>
    </w:p>
    <w:p w14:paraId="4931C9C9" w14:textId="77777777" w:rsidR="00AF06A0" w:rsidRPr="00424274" w:rsidRDefault="00AF06A0" w:rsidP="00AF06A0">
      <w:pPr>
        <w:widowControl/>
        <w:numPr>
          <w:ilvl w:val="0"/>
          <w:numId w:val="32"/>
        </w:numPr>
        <w:spacing w:line="276" w:lineRule="auto"/>
        <w:contextualSpacing/>
        <w:jc w:val="left"/>
        <w:rPr>
          <w:rFonts w:ascii="Arial" w:hAnsi="Arial"/>
          <w:sz w:val="20"/>
        </w:rPr>
      </w:pPr>
      <w:r w:rsidRPr="00424274">
        <w:rPr>
          <w:rFonts w:ascii="Arial" w:hAnsi="Arial"/>
          <w:sz w:val="20"/>
        </w:rPr>
        <w:t>Opredelitev visoko tveganih tretjih držav, ki jo Evropska komisija sprejme z delegirano uredbo</w:t>
      </w:r>
    </w:p>
    <w:p w14:paraId="16170F3F" w14:textId="77777777" w:rsidR="00AF06A0" w:rsidRPr="00424274" w:rsidRDefault="00AF06A0" w:rsidP="00AF06A0">
      <w:pPr>
        <w:widowControl/>
        <w:spacing w:line="276" w:lineRule="auto"/>
        <w:rPr>
          <w:rFonts w:ascii="Arial" w:hAnsi="Arial"/>
          <w:sz w:val="20"/>
        </w:rPr>
      </w:pPr>
    </w:p>
    <w:p w14:paraId="0DB09498" w14:textId="118A12A6" w:rsidR="00AF06A0" w:rsidRPr="00424274" w:rsidRDefault="00AF06A0" w:rsidP="00AF06A0">
      <w:pPr>
        <w:widowControl/>
        <w:spacing w:line="276" w:lineRule="auto"/>
        <w:rPr>
          <w:rFonts w:ascii="Arial" w:hAnsi="Arial"/>
          <w:sz w:val="20"/>
        </w:rPr>
      </w:pPr>
      <w:r w:rsidRPr="00424274">
        <w:rPr>
          <w:rFonts w:ascii="Arial" w:hAnsi="Arial"/>
          <w:sz w:val="20"/>
        </w:rPr>
        <w:t>Komisija je maj</w:t>
      </w:r>
      <w:r w:rsidR="00537BB1">
        <w:rPr>
          <w:rFonts w:ascii="Arial" w:hAnsi="Arial"/>
          <w:sz w:val="20"/>
        </w:rPr>
        <w:t>a</w:t>
      </w:r>
      <w:r w:rsidRPr="00424274">
        <w:rPr>
          <w:rFonts w:ascii="Arial" w:hAnsi="Arial"/>
          <w:sz w:val="20"/>
        </w:rPr>
        <w:t xml:space="preserve"> v okviru objave svežnja s področja PPD/FT izpopolnila metodologijo za določitev visoko tveganih tretjih držav. Revidirana metodologija </w:t>
      </w:r>
      <w:r w:rsidR="000C1946">
        <w:rPr>
          <w:rFonts w:ascii="Arial" w:hAnsi="Arial"/>
          <w:sz w:val="20"/>
        </w:rPr>
        <w:t>sledi</w:t>
      </w:r>
      <w:r w:rsidR="000C1946" w:rsidRPr="00424274">
        <w:rPr>
          <w:rFonts w:ascii="Arial" w:hAnsi="Arial"/>
          <w:sz w:val="20"/>
        </w:rPr>
        <w:t xml:space="preserve"> tr</w:t>
      </w:r>
      <w:r w:rsidR="000C1946">
        <w:rPr>
          <w:rFonts w:ascii="Arial" w:hAnsi="Arial"/>
          <w:sz w:val="20"/>
        </w:rPr>
        <w:t>em</w:t>
      </w:r>
      <w:r w:rsidR="000C1946" w:rsidRPr="00424274">
        <w:rPr>
          <w:rFonts w:ascii="Arial" w:hAnsi="Arial"/>
          <w:sz w:val="20"/>
        </w:rPr>
        <w:t xml:space="preserve"> </w:t>
      </w:r>
      <w:r w:rsidRPr="00424274">
        <w:rPr>
          <w:rFonts w:ascii="Arial" w:hAnsi="Arial"/>
          <w:sz w:val="20"/>
        </w:rPr>
        <w:t>glavn</w:t>
      </w:r>
      <w:r w:rsidR="000C1946">
        <w:rPr>
          <w:rFonts w:ascii="Arial" w:hAnsi="Arial"/>
          <w:sz w:val="20"/>
        </w:rPr>
        <w:t>im</w:t>
      </w:r>
      <w:r w:rsidRPr="00424274">
        <w:rPr>
          <w:rFonts w:ascii="Arial" w:hAnsi="Arial"/>
          <w:sz w:val="20"/>
        </w:rPr>
        <w:t xml:space="preserve"> cilje</w:t>
      </w:r>
      <w:r w:rsidR="000C1946">
        <w:rPr>
          <w:rFonts w:ascii="Arial" w:hAnsi="Arial"/>
          <w:sz w:val="20"/>
        </w:rPr>
        <w:t>m</w:t>
      </w:r>
      <w:r w:rsidRPr="00424274">
        <w:rPr>
          <w:rFonts w:ascii="Arial" w:hAnsi="Arial"/>
          <w:sz w:val="20"/>
        </w:rPr>
        <w:t xml:space="preserve">, in sicer: </w:t>
      </w:r>
    </w:p>
    <w:p w14:paraId="4A41413E" w14:textId="3130649A" w:rsidR="00AF06A0" w:rsidRPr="00424274" w:rsidRDefault="00AF06A0" w:rsidP="00AF06A0">
      <w:pPr>
        <w:widowControl/>
        <w:spacing w:line="276" w:lineRule="auto"/>
        <w:rPr>
          <w:rFonts w:ascii="Arial" w:hAnsi="Arial"/>
          <w:sz w:val="20"/>
        </w:rPr>
      </w:pPr>
      <w:r w:rsidRPr="00424274">
        <w:rPr>
          <w:rFonts w:ascii="Arial" w:hAnsi="Arial"/>
          <w:sz w:val="20"/>
        </w:rPr>
        <w:t xml:space="preserve">i) doseganje sinergije z uvrstitvami držav na seznam FATF </w:t>
      </w:r>
      <w:r w:rsidR="000C1946">
        <w:rPr>
          <w:rFonts w:ascii="Arial" w:hAnsi="Arial"/>
          <w:sz w:val="20"/>
        </w:rPr>
        <w:t>tako</w:t>
      </w:r>
      <w:r w:rsidRPr="00424274">
        <w:rPr>
          <w:rFonts w:ascii="Arial" w:hAnsi="Arial"/>
          <w:sz w:val="20"/>
        </w:rPr>
        <w:t>, da vsak</w:t>
      </w:r>
      <w:r w:rsidR="000C1946">
        <w:rPr>
          <w:rFonts w:ascii="Arial" w:hAnsi="Arial"/>
          <w:sz w:val="20"/>
        </w:rPr>
        <w:t>o</w:t>
      </w:r>
      <w:r w:rsidRPr="00424274">
        <w:rPr>
          <w:rFonts w:ascii="Arial" w:hAnsi="Arial"/>
          <w:sz w:val="20"/>
        </w:rPr>
        <w:t xml:space="preserve"> držav</w:t>
      </w:r>
      <w:r w:rsidR="000C1946">
        <w:rPr>
          <w:rFonts w:ascii="Arial" w:hAnsi="Arial"/>
          <w:sz w:val="20"/>
        </w:rPr>
        <w:t>o</w:t>
      </w:r>
      <w:r w:rsidRPr="00424274">
        <w:rPr>
          <w:rFonts w:ascii="Arial" w:hAnsi="Arial"/>
          <w:sz w:val="20"/>
        </w:rPr>
        <w:t xml:space="preserve">, ki </w:t>
      </w:r>
      <w:r w:rsidR="000C1946">
        <w:rPr>
          <w:rFonts w:ascii="Arial" w:hAnsi="Arial"/>
          <w:sz w:val="20"/>
        </w:rPr>
        <w:t>jo</w:t>
      </w:r>
      <w:r w:rsidRPr="00424274">
        <w:rPr>
          <w:rFonts w:ascii="Arial" w:hAnsi="Arial"/>
          <w:sz w:val="20"/>
        </w:rPr>
        <w:t xml:space="preserve"> </w:t>
      </w:r>
      <w:r w:rsidR="000C1946" w:rsidRPr="00424274">
        <w:rPr>
          <w:rFonts w:ascii="Arial" w:hAnsi="Arial"/>
          <w:sz w:val="20"/>
        </w:rPr>
        <w:t xml:space="preserve">FATF </w:t>
      </w:r>
      <w:r w:rsidRPr="00424274">
        <w:rPr>
          <w:rFonts w:ascii="Arial" w:hAnsi="Arial"/>
          <w:sz w:val="20"/>
        </w:rPr>
        <w:t>uvr</w:t>
      </w:r>
      <w:r w:rsidR="000C1946">
        <w:rPr>
          <w:rFonts w:ascii="Arial" w:hAnsi="Arial"/>
          <w:sz w:val="20"/>
        </w:rPr>
        <w:t>sti</w:t>
      </w:r>
      <w:r w:rsidRPr="00424274">
        <w:rPr>
          <w:rFonts w:ascii="Arial" w:hAnsi="Arial"/>
          <w:sz w:val="20"/>
        </w:rPr>
        <w:t xml:space="preserve"> med tvegane države, načeloma enako opredel</w:t>
      </w:r>
      <w:r w:rsidR="000C1946">
        <w:rPr>
          <w:rFonts w:ascii="Arial" w:hAnsi="Arial"/>
          <w:sz w:val="20"/>
        </w:rPr>
        <w:t xml:space="preserve">i </w:t>
      </w:r>
      <w:r w:rsidRPr="00424274">
        <w:rPr>
          <w:rFonts w:ascii="Arial" w:hAnsi="Arial"/>
          <w:sz w:val="20"/>
        </w:rPr>
        <w:t xml:space="preserve">tudi EU; </w:t>
      </w:r>
    </w:p>
    <w:p w14:paraId="4470BFF0" w14:textId="28902C35" w:rsidR="00AF06A0" w:rsidRPr="00424274" w:rsidRDefault="00AF06A0" w:rsidP="00AF06A0">
      <w:pPr>
        <w:widowControl/>
        <w:spacing w:line="276" w:lineRule="auto"/>
        <w:rPr>
          <w:rFonts w:ascii="Arial" w:hAnsi="Arial"/>
          <w:sz w:val="20"/>
        </w:rPr>
      </w:pPr>
      <w:r w:rsidRPr="00424274">
        <w:rPr>
          <w:rFonts w:ascii="Arial" w:hAnsi="Arial"/>
          <w:sz w:val="20"/>
        </w:rPr>
        <w:t xml:space="preserve">ii) krepitev sodelovanja s tretjimi državami in </w:t>
      </w:r>
    </w:p>
    <w:p w14:paraId="348040EA" w14:textId="43345221" w:rsidR="00AF06A0" w:rsidRPr="00424274" w:rsidRDefault="00AF06A0" w:rsidP="00AF06A0">
      <w:pPr>
        <w:widowControl/>
        <w:spacing w:line="276" w:lineRule="auto"/>
        <w:rPr>
          <w:rFonts w:ascii="Arial" w:hAnsi="Arial"/>
          <w:sz w:val="20"/>
        </w:rPr>
      </w:pPr>
      <w:r w:rsidRPr="00424274">
        <w:rPr>
          <w:rFonts w:ascii="Arial" w:hAnsi="Arial"/>
          <w:sz w:val="20"/>
        </w:rPr>
        <w:t xml:space="preserve">iii) krepitev posvetovanj s strokovnjaki držav članic </w:t>
      </w:r>
      <w:r w:rsidR="000C1946">
        <w:rPr>
          <w:rFonts w:ascii="Arial" w:hAnsi="Arial"/>
          <w:sz w:val="20"/>
        </w:rPr>
        <w:t>v</w:t>
      </w:r>
      <w:r w:rsidR="000C1946" w:rsidRPr="00424274">
        <w:rPr>
          <w:rFonts w:ascii="Arial" w:hAnsi="Arial"/>
          <w:sz w:val="20"/>
        </w:rPr>
        <w:t xml:space="preserve"> </w:t>
      </w:r>
      <w:r w:rsidRPr="00424274">
        <w:rPr>
          <w:rFonts w:ascii="Arial" w:hAnsi="Arial"/>
          <w:sz w:val="20"/>
        </w:rPr>
        <w:t>celot</w:t>
      </w:r>
      <w:r w:rsidR="000C1946">
        <w:rPr>
          <w:rFonts w:ascii="Arial" w:hAnsi="Arial"/>
          <w:sz w:val="20"/>
        </w:rPr>
        <w:t>nem</w:t>
      </w:r>
      <w:r w:rsidRPr="00424274">
        <w:rPr>
          <w:rFonts w:ascii="Arial" w:hAnsi="Arial"/>
          <w:sz w:val="20"/>
        </w:rPr>
        <w:t xml:space="preserve"> postop</w:t>
      </w:r>
      <w:r w:rsidR="000C1946">
        <w:rPr>
          <w:rFonts w:ascii="Arial" w:hAnsi="Arial"/>
          <w:sz w:val="20"/>
        </w:rPr>
        <w:t>ku</w:t>
      </w:r>
      <w:r w:rsidRPr="00424274">
        <w:rPr>
          <w:rFonts w:ascii="Arial" w:hAnsi="Arial"/>
          <w:sz w:val="20"/>
        </w:rPr>
        <w:t xml:space="preserve"> določanja visoko tveganih tretjih držav.</w:t>
      </w:r>
    </w:p>
    <w:p w14:paraId="10AD7D21" w14:textId="77777777" w:rsidR="007C4BCA" w:rsidRPr="00424274" w:rsidRDefault="007C4BCA" w:rsidP="00AF06A0">
      <w:pPr>
        <w:widowControl/>
        <w:spacing w:line="276" w:lineRule="auto"/>
        <w:rPr>
          <w:rFonts w:ascii="Arial" w:hAnsi="Arial"/>
          <w:sz w:val="20"/>
        </w:rPr>
      </w:pPr>
    </w:p>
    <w:p w14:paraId="37472BF9" w14:textId="0A36F67A" w:rsidR="00AF06A0" w:rsidRPr="00424274" w:rsidRDefault="00AF06A0" w:rsidP="00AF06A0">
      <w:pPr>
        <w:widowControl/>
        <w:spacing w:line="276" w:lineRule="auto"/>
        <w:rPr>
          <w:rFonts w:ascii="Arial" w:hAnsi="Arial"/>
          <w:sz w:val="20"/>
        </w:rPr>
      </w:pPr>
      <w:r w:rsidRPr="00424274">
        <w:rPr>
          <w:rFonts w:ascii="Arial" w:hAnsi="Arial"/>
          <w:sz w:val="20"/>
        </w:rPr>
        <w:t xml:space="preserve">Seznam EU bi moral kot izhodišče ponoviti sezname FATF, vendar EU ni </w:t>
      </w:r>
      <w:r w:rsidR="00762545">
        <w:rPr>
          <w:rFonts w:ascii="Arial" w:hAnsi="Arial"/>
          <w:sz w:val="20"/>
        </w:rPr>
        <w:t>osvežila</w:t>
      </w:r>
      <w:r w:rsidR="000C1946" w:rsidRPr="00424274">
        <w:rPr>
          <w:rFonts w:ascii="Arial" w:hAnsi="Arial"/>
          <w:sz w:val="20"/>
        </w:rPr>
        <w:t xml:space="preserve"> </w:t>
      </w:r>
      <w:r w:rsidRPr="00424274">
        <w:rPr>
          <w:rFonts w:ascii="Arial" w:hAnsi="Arial"/>
          <w:sz w:val="20"/>
        </w:rPr>
        <w:t xml:space="preserve">zadnjih sprememb seznamov FATF iz oktobra 2018, februarja 2019, junija 2019 in oktobra 2019, zaradi česar je notranji trg izpostavljen resnim tveganjem pranja denarja in financiranja terorizma. Poleg tega je pomembno, da se države, ki so sprejele celovite akcijske načrte in so bile odstranjene s seznama FATF, hitro odstranijo s seznama. Zaradi vsega navedenega je Komisija 7. maja 2020 sprejela delegirano uredbo, ki je bolj usklajena s seznami FATF. Pri prihodnjem ocenjevanju tretjih držav se v skladu z novo metodologijo ponovno uvaja ocenjevanje </w:t>
      </w:r>
      <w:r w:rsidR="00762545">
        <w:rPr>
          <w:rFonts w:ascii="Arial" w:hAnsi="Arial"/>
          <w:sz w:val="20"/>
        </w:rPr>
        <w:t xml:space="preserve">področja </w:t>
      </w:r>
      <w:r w:rsidRPr="00424274">
        <w:rPr>
          <w:rFonts w:ascii="Arial" w:hAnsi="Arial"/>
          <w:sz w:val="20"/>
        </w:rPr>
        <w:t xml:space="preserve">PPD/FT tretjih držav, in sicer glede na različne situacije. </w:t>
      </w:r>
      <w:r w:rsidR="00705BF2">
        <w:rPr>
          <w:rFonts w:ascii="Arial" w:hAnsi="Arial"/>
          <w:sz w:val="20"/>
        </w:rPr>
        <w:t>Za</w:t>
      </w:r>
      <w:r w:rsidR="00705BF2" w:rsidRPr="00424274">
        <w:rPr>
          <w:rFonts w:ascii="Arial" w:hAnsi="Arial"/>
          <w:sz w:val="20"/>
        </w:rPr>
        <w:t xml:space="preserve"> </w:t>
      </w:r>
      <w:r w:rsidRPr="00424274">
        <w:rPr>
          <w:rFonts w:ascii="Arial" w:hAnsi="Arial"/>
          <w:sz w:val="20"/>
        </w:rPr>
        <w:t>tretj</w:t>
      </w:r>
      <w:r w:rsidR="00705BF2">
        <w:rPr>
          <w:rFonts w:ascii="Arial" w:hAnsi="Arial"/>
          <w:sz w:val="20"/>
        </w:rPr>
        <w:t>e</w:t>
      </w:r>
      <w:r w:rsidRPr="00424274">
        <w:rPr>
          <w:rFonts w:ascii="Arial" w:hAnsi="Arial"/>
          <w:sz w:val="20"/>
        </w:rPr>
        <w:t xml:space="preserve"> držav</w:t>
      </w:r>
      <w:r w:rsidR="00705BF2">
        <w:rPr>
          <w:rFonts w:ascii="Arial" w:hAnsi="Arial"/>
          <w:sz w:val="20"/>
        </w:rPr>
        <w:t>e</w:t>
      </w:r>
      <w:r w:rsidRPr="00424274">
        <w:rPr>
          <w:rFonts w:ascii="Arial" w:hAnsi="Arial"/>
          <w:sz w:val="20"/>
        </w:rPr>
        <w:t>, ki so uvrščene pri FATF, metodologija določa, da Komisija oceni, ali so akcijski načrti FATF dovolj obsežni, da izpolnjujejo zahteve evropskih direktiv. Iz te ocene izhaja, ali morajo tretje države izvesti dodatne ukrepe</w:t>
      </w:r>
      <w:r w:rsidR="00762545">
        <w:rPr>
          <w:rFonts w:ascii="Arial" w:hAnsi="Arial"/>
          <w:sz w:val="20"/>
        </w:rPr>
        <w:t>,</w:t>
      </w:r>
      <w:r w:rsidRPr="00424274">
        <w:rPr>
          <w:rFonts w:ascii="Arial" w:hAnsi="Arial"/>
          <w:sz w:val="20"/>
        </w:rPr>
        <w:t xml:space="preserve"> vezane na zakonodajo EU</w:t>
      </w:r>
      <w:r w:rsidR="00762545">
        <w:rPr>
          <w:rFonts w:ascii="Arial" w:hAnsi="Arial"/>
          <w:sz w:val="20"/>
        </w:rPr>
        <w:t>, ki</w:t>
      </w:r>
      <w:r w:rsidRPr="00424274">
        <w:rPr>
          <w:rFonts w:ascii="Arial" w:hAnsi="Arial"/>
          <w:sz w:val="20"/>
        </w:rPr>
        <w:t xml:space="preserve"> zagotavlja večjo jasnost. Na podlagi osnutkov ocen je potekalo posvetovanje z državami članicami. Dodatna pričakovanja EU se nanašajo predvsem na vidike preglednosti dejanskega lastništva in učinkovitost nadzora. Za države, ki so predmet avtonomne presoje, Komisija ponovno začne presojo na podlagi ugotovitev, ki so se odražale v delegirani uredbi iz februarja 2020, ki pa ni bila sprejeta. Ocene se posodabljajo, saj so številne jurisdikcije medtem sprejele ukrepe. Pri državah v t.</w:t>
      </w:r>
      <w:r w:rsidR="00762545">
        <w:rPr>
          <w:rFonts w:ascii="Arial" w:hAnsi="Arial"/>
          <w:sz w:val="20"/>
        </w:rPr>
        <w:t xml:space="preserve"> </w:t>
      </w:r>
      <w:r w:rsidRPr="00424274">
        <w:rPr>
          <w:rFonts w:ascii="Arial" w:hAnsi="Arial"/>
          <w:sz w:val="20"/>
        </w:rPr>
        <w:t>i</w:t>
      </w:r>
      <w:r w:rsidR="00762545">
        <w:rPr>
          <w:rFonts w:ascii="Arial" w:hAnsi="Arial"/>
          <w:sz w:val="20"/>
        </w:rPr>
        <w:t>.</w:t>
      </w:r>
      <w:r w:rsidRPr="00424274">
        <w:rPr>
          <w:rFonts w:ascii="Arial" w:hAnsi="Arial"/>
          <w:sz w:val="20"/>
        </w:rPr>
        <w:t xml:space="preserve"> </w:t>
      </w:r>
      <w:r w:rsidR="00762545">
        <w:rPr>
          <w:rFonts w:ascii="Arial" w:hAnsi="Arial"/>
          <w:sz w:val="20"/>
        </w:rPr>
        <w:t xml:space="preserve">postopku </w:t>
      </w:r>
      <w:r w:rsidRPr="00424274">
        <w:rPr>
          <w:rFonts w:ascii="Arial" w:hAnsi="Arial"/>
          <w:sz w:val="20"/>
        </w:rPr>
        <w:t>ICRG pri FATF se posebn</w:t>
      </w:r>
      <w:r w:rsidR="00762545">
        <w:rPr>
          <w:rFonts w:ascii="Arial" w:hAnsi="Arial"/>
          <w:sz w:val="20"/>
        </w:rPr>
        <w:t>a</w:t>
      </w:r>
      <w:r w:rsidRPr="00424274">
        <w:rPr>
          <w:rFonts w:ascii="Arial" w:hAnsi="Arial"/>
          <w:sz w:val="20"/>
        </w:rPr>
        <w:t xml:space="preserve"> pozornost </w:t>
      </w:r>
      <w:r w:rsidR="00762545">
        <w:rPr>
          <w:rFonts w:ascii="Arial" w:hAnsi="Arial"/>
          <w:sz w:val="20"/>
        </w:rPr>
        <w:t>nameni</w:t>
      </w:r>
      <w:r w:rsidRPr="00424274">
        <w:rPr>
          <w:rFonts w:ascii="Arial" w:hAnsi="Arial"/>
          <w:sz w:val="20"/>
        </w:rPr>
        <w:t xml:space="preserve"> tistim, ki so vključene </w:t>
      </w:r>
      <w:r w:rsidR="00762545">
        <w:rPr>
          <w:rFonts w:ascii="Arial" w:hAnsi="Arial"/>
          <w:sz w:val="20"/>
        </w:rPr>
        <w:t>na</w:t>
      </w:r>
      <w:r w:rsidRPr="00424274">
        <w:rPr>
          <w:rFonts w:ascii="Arial" w:hAnsi="Arial"/>
          <w:sz w:val="20"/>
        </w:rPr>
        <w:t xml:space="preserve"> seznam EU z jurisdikcijami, ki niso pripravljene sodelovati v davčne namene. Glede sodelovanja z državami v obdobju opazovanja in drugimi državami v postopku ICRG bo Komisija zagotovila pravočasno sodelovanje z njimi</w:t>
      </w:r>
      <w:r w:rsidR="00705BF2">
        <w:rPr>
          <w:rFonts w:ascii="Arial" w:hAnsi="Arial"/>
          <w:sz w:val="20"/>
        </w:rPr>
        <w:t>,</w:t>
      </w:r>
      <w:r w:rsidRPr="00424274">
        <w:rPr>
          <w:rFonts w:ascii="Arial" w:hAnsi="Arial"/>
          <w:sz w:val="20"/>
        </w:rPr>
        <w:t xml:space="preserve"> tako da bi bilo ocenjevanje izvedeno do </w:t>
      </w:r>
      <w:r w:rsidR="00762545">
        <w:rPr>
          <w:rFonts w:ascii="Arial" w:hAnsi="Arial"/>
          <w:sz w:val="20"/>
        </w:rPr>
        <w:t xml:space="preserve">leta </w:t>
      </w:r>
      <w:r w:rsidRPr="00424274">
        <w:rPr>
          <w:rFonts w:ascii="Arial" w:hAnsi="Arial"/>
          <w:sz w:val="20"/>
        </w:rPr>
        <w:t>2025.</w:t>
      </w:r>
    </w:p>
    <w:p w14:paraId="406EB690" w14:textId="77777777" w:rsidR="00AF06A0" w:rsidRPr="00424274" w:rsidRDefault="00AF06A0" w:rsidP="00AF06A0">
      <w:pPr>
        <w:widowControl/>
        <w:spacing w:line="276" w:lineRule="auto"/>
        <w:rPr>
          <w:rFonts w:ascii="Arial" w:hAnsi="Arial"/>
          <w:sz w:val="20"/>
        </w:rPr>
      </w:pPr>
    </w:p>
    <w:p w14:paraId="725E9A9C" w14:textId="31F23318" w:rsidR="00AF06A0" w:rsidRPr="00424274" w:rsidRDefault="00AF06A0" w:rsidP="00AF06A0">
      <w:pPr>
        <w:widowControl/>
        <w:numPr>
          <w:ilvl w:val="0"/>
          <w:numId w:val="32"/>
        </w:numPr>
        <w:spacing w:line="276" w:lineRule="auto"/>
        <w:contextualSpacing/>
        <w:jc w:val="left"/>
        <w:rPr>
          <w:rFonts w:ascii="Arial" w:hAnsi="Arial"/>
          <w:sz w:val="20"/>
        </w:rPr>
      </w:pPr>
      <w:r w:rsidRPr="00424274">
        <w:rPr>
          <w:rFonts w:ascii="Arial" w:hAnsi="Arial"/>
          <w:sz w:val="20"/>
        </w:rPr>
        <w:t xml:space="preserve">Postopki v zvezi </w:t>
      </w:r>
      <w:r w:rsidR="00762545">
        <w:rPr>
          <w:rFonts w:ascii="Arial" w:hAnsi="Arial"/>
          <w:sz w:val="20"/>
        </w:rPr>
        <w:t>s prenosom</w:t>
      </w:r>
      <w:r w:rsidR="00762545" w:rsidRPr="00424274">
        <w:rPr>
          <w:rFonts w:ascii="Arial" w:hAnsi="Arial"/>
          <w:sz w:val="20"/>
        </w:rPr>
        <w:t xml:space="preserve"> </w:t>
      </w:r>
      <w:r w:rsidR="00862439">
        <w:rPr>
          <w:rFonts w:ascii="Arial" w:hAnsi="Arial"/>
          <w:sz w:val="20"/>
        </w:rPr>
        <w:t xml:space="preserve">direktiv </w:t>
      </w:r>
      <w:r w:rsidRPr="00424274">
        <w:rPr>
          <w:rFonts w:ascii="Arial" w:hAnsi="Arial"/>
          <w:sz w:val="20"/>
        </w:rPr>
        <w:t>AMLD4 in AMLD5</w:t>
      </w:r>
    </w:p>
    <w:p w14:paraId="325E4CE2" w14:textId="77777777" w:rsidR="00AF06A0" w:rsidRPr="00424274" w:rsidRDefault="00AF06A0" w:rsidP="00AF06A0">
      <w:pPr>
        <w:spacing w:line="276" w:lineRule="auto"/>
        <w:rPr>
          <w:rFonts w:ascii="Arial" w:hAnsi="Arial"/>
          <w:sz w:val="20"/>
        </w:rPr>
      </w:pPr>
    </w:p>
    <w:p w14:paraId="66B83777" w14:textId="13DFF683" w:rsidR="00AF06A0" w:rsidRPr="00424274" w:rsidRDefault="00AF06A0" w:rsidP="00AF06A0">
      <w:pPr>
        <w:spacing w:line="276" w:lineRule="auto"/>
        <w:rPr>
          <w:rFonts w:ascii="Arial" w:hAnsi="Arial"/>
          <w:sz w:val="20"/>
        </w:rPr>
      </w:pPr>
      <w:r w:rsidRPr="00424274">
        <w:rPr>
          <w:rFonts w:ascii="Arial" w:hAnsi="Arial"/>
          <w:sz w:val="20"/>
        </w:rPr>
        <w:t xml:space="preserve">Pri postopkih </w:t>
      </w:r>
      <w:r w:rsidR="00762545">
        <w:rPr>
          <w:rFonts w:ascii="Arial" w:hAnsi="Arial"/>
          <w:sz w:val="20"/>
        </w:rPr>
        <w:t>prenosa</w:t>
      </w:r>
      <w:r w:rsidR="00762545" w:rsidRPr="00424274">
        <w:rPr>
          <w:rFonts w:ascii="Arial" w:hAnsi="Arial"/>
          <w:sz w:val="20"/>
        </w:rPr>
        <w:t xml:space="preserve"> </w:t>
      </w:r>
      <w:r w:rsidRPr="00424274">
        <w:rPr>
          <w:rFonts w:ascii="Arial" w:hAnsi="Arial"/>
          <w:sz w:val="20"/>
        </w:rPr>
        <w:t xml:space="preserve">evropske zakonodaje s področja PPD/FT se </w:t>
      </w:r>
      <w:r w:rsidR="00961AAC">
        <w:rPr>
          <w:rFonts w:ascii="Arial" w:hAnsi="Arial"/>
          <w:sz w:val="20"/>
        </w:rPr>
        <w:t>poudarja</w:t>
      </w:r>
      <w:r w:rsidR="00961AAC" w:rsidRPr="00424274">
        <w:rPr>
          <w:rFonts w:ascii="Arial" w:hAnsi="Arial"/>
          <w:sz w:val="20"/>
        </w:rPr>
        <w:t xml:space="preserve"> </w:t>
      </w:r>
      <w:r w:rsidRPr="00424274">
        <w:rPr>
          <w:rFonts w:ascii="Arial" w:hAnsi="Arial"/>
          <w:sz w:val="20"/>
        </w:rPr>
        <w:t xml:space="preserve">problematika </w:t>
      </w:r>
      <w:proofErr w:type="spellStart"/>
      <w:r w:rsidRPr="00424274">
        <w:rPr>
          <w:rFonts w:ascii="Arial" w:hAnsi="Arial"/>
          <w:sz w:val="20"/>
        </w:rPr>
        <w:t>nenotifikacije</w:t>
      </w:r>
      <w:proofErr w:type="spellEnd"/>
      <w:r w:rsidRPr="00424274">
        <w:rPr>
          <w:rFonts w:ascii="Arial" w:hAnsi="Arial"/>
          <w:sz w:val="20"/>
        </w:rPr>
        <w:t xml:space="preserve"> prenosa in neskladnega prenosa, pri čemer tudi Komisija ugotavlja, da prihaja do različnih razumevanj določb direktiv. Glede </w:t>
      </w:r>
      <w:r w:rsidR="005F5C24">
        <w:rPr>
          <w:rFonts w:ascii="Arial" w:hAnsi="Arial"/>
          <w:sz w:val="20"/>
        </w:rPr>
        <w:t xml:space="preserve">direktive </w:t>
      </w:r>
      <w:r w:rsidRPr="00424274">
        <w:rPr>
          <w:rFonts w:ascii="Arial" w:hAnsi="Arial"/>
          <w:sz w:val="20"/>
        </w:rPr>
        <w:t xml:space="preserve">AMLD4, za prenos katere je bil rok junija 2017, so bili začeti postopki za ugotavljanje kršitev proti vsem državam članicam, </w:t>
      </w:r>
      <w:r w:rsidR="00762545">
        <w:rPr>
          <w:rFonts w:ascii="Arial" w:hAnsi="Arial"/>
          <w:sz w:val="20"/>
        </w:rPr>
        <w:t>na</w:t>
      </w:r>
      <w:r w:rsidRPr="00424274">
        <w:rPr>
          <w:rFonts w:ascii="Arial" w:hAnsi="Arial"/>
          <w:sz w:val="20"/>
        </w:rPr>
        <w:t xml:space="preserve"> začetku leta 2020 sta se dva postopka še vodila pred Sodiščem EU, odprtih pa je bilo še 13 postopkov glede popolnosti prenosa. Proti koncu leta 2020 se je </w:t>
      </w:r>
      <w:r w:rsidR="00762545">
        <w:rPr>
          <w:rFonts w:ascii="Arial" w:hAnsi="Arial"/>
          <w:sz w:val="20"/>
        </w:rPr>
        <w:t>stanje</w:t>
      </w:r>
      <w:r w:rsidR="00762545" w:rsidRPr="00424274">
        <w:rPr>
          <w:rFonts w:ascii="Arial" w:hAnsi="Arial"/>
          <w:sz w:val="20"/>
        </w:rPr>
        <w:t xml:space="preserve"> </w:t>
      </w:r>
      <w:r w:rsidRPr="00424274">
        <w:rPr>
          <w:rFonts w:ascii="Arial" w:hAnsi="Arial"/>
          <w:sz w:val="20"/>
        </w:rPr>
        <w:t>izboljšal</w:t>
      </w:r>
      <w:r w:rsidR="00762545">
        <w:rPr>
          <w:rFonts w:ascii="Arial" w:hAnsi="Arial"/>
          <w:sz w:val="20"/>
        </w:rPr>
        <w:t>o</w:t>
      </w:r>
      <w:r w:rsidRPr="00424274">
        <w:rPr>
          <w:rFonts w:ascii="Arial" w:hAnsi="Arial"/>
          <w:sz w:val="20"/>
        </w:rPr>
        <w:t xml:space="preserve"> predvsem glede prenosa </w:t>
      </w:r>
      <w:r w:rsidR="005F5C24">
        <w:rPr>
          <w:rFonts w:ascii="Arial" w:hAnsi="Arial"/>
          <w:sz w:val="20"/>
        </w:rPr>
        <w:t xml:space="preserve">direktive </w:t>
      </w:r>
      <w:r w:rsidRPr="00424274">
        <w:rPr>
          <w:rFonts w:ascii="Arial" w:hAnsi="Arial"/>
          <w:sz w:val="20"/>
        </w:rPr>
        <w:t xml:space="preserve">AMLD4, pri čemer je Komisija </w:t>
      </w:r>
      <w:r w:rsidR="00762545">
        <w:rPr>
          <w:rFonts w:ascii="Arial" w:hAnsi="Arial"/>
          <w:sz w:val="20"/>
        </w:rPr>
        <w:t>poudarila</w:t>
      </w:r>
      <w:r w:rsidRPr="00424274">
        <w:rPr>
          <w:rFonts w:ascii="Arial" w:hAnsi="Arial"/>
          <w:sz w:val="20"/>
        </w:rPr>
        <w:t>, da bo z</w:t>
      </w:r>
      <w:r w:rsidR="00762545">
        <w:rPr>
          <w:rFonts w:ascii="Arial" w:hAnsi="Arial"/>
          <w:sz w:val="20"/>
        </w:rPr>
        <w:t>a</w:t>
      </w:r>
      <w:r w:rsidRPr="00424274">
        <w:rPr>
          <w:rFonts w:ascii="Arial" w:hAnsi="Arial"/>
          <w:sz w:val="20"/>
        </w:rPr>
        <w:t xml:space="preserve"> zagotavljanj</w:t>
      </w:r>
      <w:r w:rsidR="00762545">
        <w:rPr>
          <w:rFonts w:ascii="Arial" w:hAnsi="Arial"/>
          <w:sz w:val="20"/>
        </w:rPr>
        <w:t>e</w:t>
      </w:r>
      <w:r w:rsidRPr="00424274">
        <w:rPr>
          <w:rFonts w:ascii="Arial" w:hAnsi="Arial"/>
          <w:sz w:val="20"/>
        </w:rPr>
        <w:t xml:space="preserve"> pravilnega izvajanja še naprej sodelovala z vsemi državami članicami. Glede </w:t>
      </w:r>
      <w:r w:rsidR="00276889">
        <w:rPr>
          <w:rFonts w:ascii="Arial" w:hAnsi="Arial"/>
          <w:sz w:val="20"/>
        </w:rPr>
        <w:t xml:space="preserve">direktive </w:t>
      </w:r>
      <w:r w:rsidRPr="00424274">
        <w:rPr>
          <w:rFonts w:ascii="Arial" w:hAnsi="Arial"/>
          <w:sz w:val="20"/>
        </w:rPr>
        <w:t xml:space="preserve">AMLD5, </w:t>
      </w:r>
      <w:r w:rsidR="00833C2D">
        <w:rPr>
          <w:rFonts w:ascii="Arial" w:hAnsi="Arial"/>
          <w:sz w:val="20"/>
        </w:rPr>
        <w:t>za</w:t>
      </w:r>
      <w:r w:rsidR="00833C2D" w:rsidRPr="00424274">
        <w:rPr>
          <w:rFonts w:ascii="Arial" w:hAnsi="Arial"/>
          <w:sz w:val="20"/>
        </w:rPr>
        <w:t xml:space="preserve"> </w:t>
      </w:r>
      <w:r w:rsidRPr="00424274">
        <w:rPr>
          <w:rFonts w:ascii="Arial" w:hAnsi="Arial"/>
          <w:sz w:val="20"/>
        </w:rPr>
        <w:t>kater</w:t>
      </w:r>
      <w:r w:rsidR="00833C2D">
        <w:rPr>
          <w:rFonts w:ascii="Arial" w:hAnsi="Arial"/>
          <w:sz w:val="20"/>
        </w:rPr>
        <w:t>o</w:t>
      </w:r>
      <w:r w:rsidRPr="00424274">
        <w:rPr>
          <w:rFonts w:ascii="Arial" w:hAnsi="Arial"/>
          <w:sz w:val="20"/>
        </w:rPr>
        <w:t xml:space="preserve"> je rok za prenos potekel v januarju, je do septembra 15 držav članic notificiralo popoln prenos, deset držav članic pa delni prenos, medtem ko dve državi članici še nista sporočili ukrepov za prenos. Glede na to je Komisija v februarju začela osem postopkov zaradi </w:t>
      </w:r>
      <w:proofErr w:type="spellStart"/>
      <w:r w:rsidRPr="00424274">
        <w:rPr>
          <w:rFonts w:ascii="Arial" w:hAnsi="Arial"/>
          <w:sz w:val="20"/>
        </w:rPr>
        <w:t>nenotifikacije</w:t>
      </w:r>
      <w:proofErr w:type="spellEnd"/>
      <w:r w:rsidRPr="00424274">
        <w:rPr>
          <w:rFonts w:ascii="Arial" w:hAnsi="Arial"/>
          <w:sz w:val="20"/>
        </w:rPr>
        <w:t>, dodatno pa v maju devet postopkov zaradi nepopolnega prenosa.</w:t>
      </w:r>
    </w:p>
    <w:p w14:paraId="4434C75E" w14:textId="71898BB1" w:rsidR="00AF06A0" w:rsidRPr="00424274" w:rsidRDefault="00AF06A0" w:rsidP="00AF06A0">
      <w:pPr>
        <w:spacing w:line="276" w:lineRule="auto"/>
        <w:rPr>
          <w:rFonts w:ascii="Arial" w:hAnsi="Arial"/>
          <w:sz w:val="20"/>
        </w:rPr>
      </w:pPr>
    </w:p>
    <w:p w14:paraId="44C109ED" w14:textId="77777777" w:rsidR="005473D1" w:rsidRPr="00424274" w:rsidRDefault="005473D1" w:rsidP="00AF06A0">
      <w:pPr>
        <w:spacing w:line="276" w:lineRule="auto"/>
        <w:rPr>
          <w:rFonts w:ascii="Arial" w:hAnsi="Arial"/>
          <w:sz w:val="20"/>
        </w:rPr>
      </w:pPr>
    </w:p>
    <w:p w14:paraId="37D133A5" w14:textId="77777777" w:rsidR="00AF06A0" w:rsidRPr="00424274" w:rsidRDefault="00AF06A0" w:rsidP="00AF06A0">
      <w:pPr>
        <w:widowControl/>
        <w:numPr>
          <w:ilvl w:val="0"/>
          <w:numId w:val="32"/>
        </w:numPr>
        <w:spacing w:line="276" w:lineRule="auto"/>
        <w:contextualSpacing/>
        <w:jc w:val="left"/>
        <w:rPr>
          <w:rFonts w:ascii="Arial" w:hAnsi="Arial"/>
          <w:sz w:val="20"/>
        </w:rPr>
      </w:pPr>
      <w:r w:rsidRPr="00424274">
        <w:rPr>
          <w:rFonts w:ascii="Arial" w:hAnsi="Arial"/>
          <w:sz w:val="20"/>
        </w:rPr>
        <w:t>Akcijski načrt Komisije</w:t>
      </w:r>
    </w:p>
    <w:p w14:paraId="6FB71A41" w14:textId="77777777" w:rsidR="00AF06A0" w:rsidRPr="00424274" w:rsidRDefault="00AF06A0" w:rsidP="00AF06A0">
      <w:pPr>
        <w:spacing w:line="276" w:lineRule="auto"/>
        <w:rPr>
          <w:rFonts w:ascii="Arial" w:hAnsi="Arial"/>
          <w:sz w:val="20"/>
        </w:rPr>
      </w:pPr>
    </w:p>
    <w:p w14:paraId="5E771D3B" w14:textId="33FD7152" w:rsidR="00AF06A0" w:rsidRPr="00424274" w:rsidRDefault="00AF06A0" w:rsidP="00AF06A0">
      <w:pPr>
        <w:spacing w:line="276" w:lineRule="auto"/>
        <w:rPr>
          <w:rFonts w:ascii="Arial" w:hAnsi="Arial"/>
          <w:sz w:val="20"/>
        </w:rPr>
      </w:pPr>
      <w:r w:rsidRPr="00424274">
        <w:rPr>
          <w:rFonts w:ascii="Arial" w:hAnsi="Arial"/>
          <w:sz w:val="20"/>
        </w:rPr>
        <w:t xml:space="preserve">Na </w:t>
      </w:r>
      <w:r w:rsidR="00762545">
        <w:rPr>
          <w:rFonts w:ascii="Arial" w:hAnsi="Arial"/>
          <w:sz w:val="20"/>
        </w:rPr>
        <w:t>podlagi</w:t>
      </w:r>
      <w:r w:rsidR="00762545" w:rsidRPr="00424274">
        <w:rPr>
          <w:rFonts w:ascii="Arial" w:hAnsi="Arial"/>
          <w:sz w:val="20"/>
        </w:rPr>
        <w:t xml:space="preserve"> </w:t>
      </w:r>
      <w:r w:rsidRPr="00424274">
        <w:rPr>
          <w:rFonts w:ascii="Arial" w:hAnsi="Arial"/>
          <w:sz w:val="20"/>
        </w:rPr>
        <w:t xml:space="preserve">ugotovitev iz štirih poročil Komisije, objavljenih julija 2019, </w:t>
      </w:r>
      <w:r w:rsidR="00762545">
        <w:rPr>
          <w:rFonts w:ascii="Arial" w:hAnsi="Arial"/>
          <w:sz w:val="20"/>
        </w:rPr>
        <w:t>in</w:t>
      </w:r>
      <w:r w:rsidR="00762545" w:rsidRPr="00424274">
        <w:rPr>
          <w:rFonts w:ascii="Arial" w:hAnsi="Arial"/>
          <w:sz w:val="20"/>
        </w:rPr>
        <w:t xml:space="preserve"> </w:t>
      </w:r>
      <w:r w:rsidRPr="00424274">
        <w:rPr>
          <w:rFonts w:ascii="Arial" w:hAnsi="Arial"/>
          <w:sz w:val="20"/>
        </w:rPr>
        <w:t xml:space="preserve">sklepov Sveta, sprejetih decembra 2019, </w:t>
      </w:r>
      <w:r w:rsidR="008A1626">
        <w:rPr>
          <w:rFonts w:ascii="Arial" w:hAnsi="Arial"/>
          <w:sz w:val="20"/>
        </w:rPr>
        <w:t xml:space="preserve">se </w:t>
      </w:r>
      <w:r w:rsidRPr="00424274">
        <w:rPr>
          <w:rFonts w:ascii="Arial" w:hAnsi="Arial"/>
          <w:sz w:val="20"/>
        </w:rPr>
        <w:t xml:space="preserve">je Komisija </w:t>
      </w:r>
      <w:r w:rsidR="008A1626">
        <w:rPr>
          <w:rFonts w:ascii="Arial" w:hAnsi="Arial"/>
          <w:sz w:val="20"/>
        </w:rPr>
        <w:t>lotila</w:t>
      </w:r>
      <w:r w:rsidR="008A1626" w:rsidRPr="00424274">
        <w:rPr>
          <w:rFonts w:ascii="Arial" w:hAnsi="Arial"/>
          <w:sz w:val="20"/>
        </w:rPr>
        <w:t xml:space="preserve"> </w:t>
      </w:r>
      <w:r w:rsidRPr="00424274">
        <w:rPr>
          <w:rFonts w:ascii="Arial" w:hAnsi="Arial"/>
          <w:sz w:val="20"/>
        </w:rPr>
        <w:t>priprav</w:t>
      </w:r>
      <w:r w:rsidR="008A1626">
        <w:rPr>
          <w:rFonts w:ascii="Arial" w:hAnsi="Arial"/>
          <w:sz w:val="20"/>
        </w:rPr>
        <w:t>e</w:t>
      </w:r>
      <w:r w:rsidRPr="00424274">
        <w:rPr>
          <w:rFonts w:ascii="Arial" w:hAnsi="Arial"/>
          <w:sz w:val="20"/>
        </w:rPr>
        <w:t xml:space="preserve"> izhodišč za spremembe zakonodajnega okvira z</w:t>
      </w:r>
      <w:r w:rsidR="00762545">
        <w:rPr>
          <w:rFonts w:ascii="Arial" w:hAnsi="Arial"/>
          <w:sz w:val="20"/>
        </w:rPr>
        <w:t>a</w:t>
      </w:r>
      <w:r w:rsidRPr="00424274">
        <w:rPr>
          <w:rFonts w:ascii="Arial" w:hAnsi="Arial"/>
          <w:sz w:val="20"/>
        </w:rPr>
        <w:t xml:space="preserve">  </w:t>
      </w:r>
      <w:r w:rsidR="008A1626">
        <w:rPr>
          <w:rFonts w:ascii="Arial" w:hAnsi="Arial"/>
          <w:sz w:val="20"/>
        </w:rPr>
        <w:t>kar največj</w:t>
      </w:r>
      <w:r w:rsidR="00762545">
        <w:rPr>
          <w:rFonts w:ascii="Arial" w:hAnsi="Arial"/>
          <w:sz w:val="20"/>
        </w:rPr>
        <w:t>o</w:t>
      </w:r>
      <w:r w:rsidR="008A1626" w:rsidRPr="00424274">
        <w:rPr>
          <w:rFonts w:ascii="Arial" w:hAnsi="Arial"/>
          <w:sz w:val="20"/>
        </w:rPr>
        <w:t xml:space="preserve"> </w:t>
      </w:r>
      <w:r w:rsidRPr="00424274">
        <w:rPr>
          <w:rFonts w:ascii="Arial" w:hAnsi="Arial"/>
          <w:sz w:val="20"/>
        </w:rPr>
        <w:t>harmonizacij</w:t>
      </w:r>
      <w:r w:rsidR="00A564C4">
        <w:rPr>
          <w:rFonts w:ascii="Arial" w:hAnsi="Arial"/>
          <w:sz w:val="20"/>
        </w:rPr>
        <w:t>o</w:t>
      </w:r>
      <w:r w:rsidRPr="00424274">
        <w:rPr>
          <w:rFonts w:ascii="Arial" w:hAnsi="Arial"/>
          <w:sz w:val="20"/>
        </w:rPr>
        <w:t xml:space="preserve"> pravil na področju PPD/FT. Te spremembe naj bi vzpostavile dolgoročno vzdržen sistem ukrepov, ki bi ustrezno odgovoril na problematiko izvajanja zakonodajnega okvira, neusklajenosti pravnega okvira, neenakomernega nadzora in nezadostnega sodelovanja med FIU. Komisija je tako 7. maja 2020 objavila Akcijski načrt za celovito politiko EU na področju PPD/FT kot predlog odprave ugotovljenih slabosti obstoječega sedanjega zakonodajnega okvira za preprečevanje pranja denarja in financiranje terorizma. Akcijski načrt </w:t>
      </w:r>
      <w:r w:rsidR="00762545">
        <w:rPr>
          <w:rFonts w:ascii="Arial" w:hAnsi="Arial"/>
          <w:sz w:val="20"/>
        </w:rPr>
        <w:t>se opira</w:t>
      </w:r>
      <w:r w:rsidR="00762545" w:rsidRPr="00424274">
        <w:rPr>
          <w:rFonts w:ascii="Arial" w:hAnsi="Arial"/>
          <w:sz w:val="20"/>
        </w:rPr>
        <w:t xml:space="preserve"> </w:t>
      </w:r>
      <w:r w:rsidRPr="00424274">
        <w:rPr>
          <w:rFonts w:ascii="Arial" w:hAnsi="Arial"/>
          <w:sz w:val="20"/>
        </w:rPr>
        <w:t>na šest stebr</w:t>
      </w:r>
      <w:r w:rsidR="00762545">
        <w:rPr>
          <w:rFonts w:ascii="Arial" w:hAnsi="Arial"/>
          <w:sz w:val="20"/>
        </w:rPr>
        <w:t>ov</w:t>
      </w:r>
      <w:r w:rsidRPr="00424274">
        <w:rPr>
          <w:rFonts w:ascii="Arial" w:hAnsi="Arial"/>
          <w:sz w:val="20"/>
        </w:rPr>
        <w:t>, in sicer:</w:t>
      </w:r>
    </w:p>
    <w:p w14:paraId="1AA956BF" w14:textId="692041F9" w:rsidR="00AF06A0" w:rsidRPr="00424274" w:rsidRDefault="00AF06A0" w:rsidP="00AF06A0">
      <w:pPr>
        <w:spacing w:line="276" w:lineRule="auto"/>
        <w:rPr>
          <w:rFonts w:ascii="Arial" w:hAnsi="Arial"/>
          <w:sz w:val="20"/>
        </w:rPr>
      </w:pPr>
      <w:r w:rsidRPr="00424274">
        <w:rPr>
          <w:rFonts w:ascii="Arial" w:hAnsi="Arial"/>
          <w:sz w:val="20"/>
        </w:rPr>
        <w:t xml:space="preserve">- učinkovit </w:t>
      </w:r>
      <w:r w:rsidR="00A564C4">
        <w:rPr>
          <w:rFonts w:ascii="Arial" w:hAnsi="Arial"/>
          <w:sz w:val="20"/>
        </w:rPr>
        <w:t xml:space="preserve">prenos oziroma </w:t>
      </w:r>
      <w:r w:rsidR="00762545">
        <w:rPr>
          <w:rFonts w:ascii="Arial" w:hAnsi="Arial"/>
          <w:sz w:val="20"/>
        </w:rPr>
        <w:t>izvajanje</w:t>
      </w:r>
      <w:r w:rsidR="00762545" w:rsidRPr="00424274">
        <w:rPr>
          <w:rFonts w:ascii="Arial" w:hAnsi="Arial"/>
          <w:sz w:val="20"/>
        </w:rPr>
        <w:t xml:space="preserve"> </w:t>
      </w:r>
      <w:r w:rsidRPr="00424274">
        <w:rPr>
          <w:rFonts w:ascii="Arial" w:hAnsi="Arial"/>
          <w:sz w:val="20"/>
        </w:rPr>
        <w:t>obstoječih predpisov</w:t>
      </w:r>
      <w:r w:rsidR="00762545">
        <w:rPr>
          <w:rFonts w:ascii="Arial" w:hAnsi="Arial"/>
          <w:sz w:val="20"/>
        </w:rPr>
        <w:t>,</w:t>
      </w:r>
    </w:p>
    <w:p w14:paraId="6D71AFF5" w14:textId="78372E56" w:rsidR="00AF06A0" w:rsidRPr="00424274" w:rsidRDefault="00AF06A0" w:rsidP="00AF06A0">
      <w:pPr>
        <w:spacing w:line="276" w:lineRule="auto"/>
        <w:rPr>
          <w:rFonts w:ascii="Arial" w:hAnsi="Arial"/>
          <w:sz w:val="20"/>
        </w:rPr>
      </w:pPr>
      <w:r w:rsidRPr="00424274">
        <w:rPr>
          <w:rFonts w:ascii="Arial" w:hAnsi="Arial"/>
          <w:sz w:val="20"/>
        </w:rPr>
        <w:t>- oblikovanje enotnih evropskih pravil</w:t>
      </w:r>
      <w:r w:rsidR="00147AD9">
        <w:rPr>
          <w:rFonts w:ascii="Arial" w:hAnsi="Arial"/>
          <w:sz w:val="20"/>
        </w:rPr>
        <w:t>, da se doseže</w:t>
      </w:r>
      <w:r w:rsidRPr="00424274">
        <w:rPr>
          <w:rFonts w:ascii="Arial" w:hAnsi="Arial"/>
          <w:sz w:val="20"/>
        </w:rPr>
        <w:t xml:space="preserve"> </w:t>
      </w:r>
      <w:r w:rsidR="00371B95">
        <w:rPr>
          <w:rFonts w:ascii="Arial" w:hAnsi="Arial"/>
          <w:sz w:val="20"/>
        </w:rPr>
        <w:t xml:space="preserve">kar </w:t>
      </w:r>
      <w:r w:rsidRPr="00424274">
        <w:rPr>
          <w:rFonts w:ascii="Arial" w:hAnsi="Arial"/>
          <w:sz w:val="20"/>
        </w:rPr>
        <w:t>največj</w:t>
      </w:r>
      <w:r w:rsidR="00147AD9">
        <w:rPr>
          <w:rFonts w:ascii="Arial" w:hAnsi="Arial"/>
          <w:sz w:val="20"/>
        </w:rPr>
        <w:t>a</w:t>
      </w:r>
      <w:r w:rsidRPr="00424274">
        <w:rPr>
          <w:rFonts w:ascii="Arial" w:hAnsi="Arial"/>
          <w:sz w:val="20"/>
        </w:rPr>
        <w:t xml:space="preserve"> </w:t>
      </w:r>
      <w:r w:rsidR="00371B95">
        <w:rPr>
          <w:rFonts w:ascii="Arial" w:hAnsi="Arial"/>
          <w:sz w:val="20"/>
        </w:rPr>
        <w:t>mogoča</w:t>
      </w:r>
      <w:r w:rsidRPr="00424274">
        <w:rPr>
          <w:rFonts w:ascii="Arial" w:hAnsi="Arial"/>
          <w:sz w:val="20"/>
        </w:rPr>
        <w:t xml:space="preserve"> harmonizacij</w:t>
      </w:r>
      <w:r w:rsidR="00A564C4">
        <w:rPr>
          <w:rFonts w:ascii="Arial" w:hAnsi="Arial"/>
          <w:sz w:val="20"/>
        </w:rPr>
        <w:t>a</w:t>
      </w:r>
      <w:r w:rsidRPr="00424274">
        <w:rPr>
          <w:rFonts w:ascii="Arial" w:hAnsi="Arial"/>
          <w:sz w:val="20"/>
        </w:rPr>
        <w:t xml:space="preserve"> in s tem zagot</w:t>
      </w:r>
      <w:r w:rsidR="00147AD9">
        <w:rPr>
          <w:rFonts w:ascii="Arial" w:hAnsi="Arial"/>
          <w:sz w:val="20"/>
        </w:rPr>
        <w:t>ovijo</w:t>
      </w:r>
      <w:r w:rsidRPr="00424274">
        <w:rPr>
          <w:rFonts w:ascii="Arial" w:hAnsi="Arial"/>
          <w:sz w:val="20"/>
        </w:rPr>
        <w:t xml:space="preserve"> enaki pogoj</w:t>
      </w:r>
      <w:r w:rsidR="00147AD9">
        <w:rPr>
          <w:rFonts w:ascii="Arial" w:hAnsi="Arial"/>
          <w:sz w:val="20"/>
        </w:rPr>
        <w:t>i</w:t>
      </w:r>
      <w:r w:rsidRPr="00424274">
        <w:rPr>
          <w:rFonts w:ascii="Arial" w:hAnsi="Arial"/>
          <w:sz w:val="20"/>
        </w:rPr>
        <w:t xml:space="preserve"> na notranjem trgu</w:t>
      </w:r>
      <w:r w:rsidR="00147AD9">
        <w:rPr>
          <w:rFonts w:ascii="Arial" w:hAnsi="Arial"/>
          <w:sz w:val="20"/>
        </w:rPr>
        <w:t>,</w:t>
      </w:r>
    </w:p>
    <w:p w14:paraId="3D782A4A" w14:textId="6B354714" w:rsidR="00AF06A0" w:rsidRPr="00424274" w:rsidRDefault="00AF06A0" w:rsidP="00AF06A0">
      <w:pPr>
        <w:spacing w:line="276" w:lineRule="auto"/>
        <w:rPr>
          <w:rFonts w:ascii="Arial" w:hAnsi="Arial"/>
          <w:sz w:val="20"/>
        </w:rPr>
      </w:pPr>
      <w:r w:rsidRPr="00424274">
        <w:rPr>
          <w:rFonts w:ascii="Arial" w:hAnsi="Arial"/>
          <w:sz w:val="20"/>
        </w:rPr>
        <w:t>- vzpostavitev nadzora na ravni EU</w:t>
      </w:r>
      <w:r w:rsidR="008053E2">
        <w:rPr>
          <w:rFonts w:ascii="Arial" w:hAnsi="Arial"/>
          <w:sz w:val="20"/>
        </w:rPr>
        <w:t>,</w:t>
      </w:r>
    </w:p>
    <w:p w14:paraId="45FB1C18" w14:textId="16702CF2" w:rsidR="00AF06A0" w:rsidRPr="00424274" w:rsidRDefault="00AF06A0" w:rsidP="00AF06A0">
      <w:pPr>
        <w:spacing w:line="276" w:lineRule="auto"/>
        <w:rPr>
          <w:rFonts w:ascii="Arial" w:hAnsi="Arial"/>
          <w:sz w:val="20"/>
        </w:rPr>
      </w:pPr>
      <w:r w:rsidRPr="00424274">
        <w:rPr>
          <w:rFonts w:ascii="Arial" w:hAnsi="Arial"/>
          <w:sz w:val="20"/>
        </w:rPr>
        <w:t xml:space="preserve">- vzpostavitev mehanizma za podporo in sodelovanje </w:t>
      </w:r>
      <w:r w:rsidR="0027575A">
        <w:rPr>
          <w:rFonts w:ascii="Arial" w:hAnsi="Arial"/>
          <w:sz w:val="20"/>
        </w:rPr>
        <w:t>finančnih obveščevalnih enot (</w:t>
      </w:r>
      <w:r w:rsidRPr="00424274">
        <w:rPr>
          <w:rFonts w:ascii="Arial" w:hAnsi="Arial"/>
          <w:sz w:val="20"/>
        </w:rPr>
        <w:t>FIU</w:t>
      </w:r>
      <w:r w:rsidR="0027575A">
        <w:rPr>
          <w:rFonts w:ascii="Arial" w:hAnsi="Arial"/>
          <w:sz w:val="20"/>
        </w:rPr>
        <w:t>)</w:t>
      </w:r>
      <w:r w:rsidR="008053E2">
        <w:rPr>
          <w:rFonts w:ascii="Arial" w:hAnsi="Arial"/>
          <w:sz w:val="20"/>
        </w:rPr>
        <w:t>,</w:t>
      </w:r>
    </w:p>
    <w:p w14:paraId="4D719BEF" w14:textId="025A9DCC" w:rsidR="00AF06A0" w:rsidRPr="00424274" w:rsidRDefault="00AF06A0" w:rsidP="00AF06A0">
      <w:pPr>
        <w:widowControl/>
        <w:spacing w:line="276" w:lineRule="auto"/>
        <w:rPr>
          <w:rFonts w:ascii="Arial" w:hAnsi="Arial"/>
          <w:sz w:val="20"/>
        </w:rPr>
      </w:pPr>
      <w:r w:rsidRPr="00424274">
        <w:rPr>
          <w:rFonts w:ascii="Arial" w:hAnsi="Arial"/>
          <w:sz w:val="20"/>
        </w:rPr>
        <w:t xml:space="preserve">- uveljavitev kazenskopravnih določb na </w:t>
      </w:r>
      <w:r w:rsidR="00B345CE">
        <w:rPr>
          <w:rFonts w:ascii="Arial" w:hAnsi="Arial"/>
          <w:sz w:val="20"/>
        </w:rPr>
        <w:t xml:space="preserve">ravni </w:t>
      </w:r>
      <w:r w:rsidRPr="00424274">
        <w:rPr>
          <w:rFonts w:ascii="Arial" w:hAnsi="Arial"/>
          <w:sz w:val="20"/>
        </w:rPr>
        <w:t>EU in izmenjava informacij</w:t>
      </w:r>
      <w:r w:rsidR="00B345CE">
        <w:rPr>
          <w:rFonts w:ascii="Arial" w:hAnsi="Arial"/>
          <w:sz w:val="20"/>
        </w:rPr>
        <w:t>,</w:t>
      </w:r>
    </w:p>
    <w:p w14:paraId="1A780A26" w14:textId="696459D2" w:rsidR="00AF06A0" w:rsidRPr="00424274" w:rsidRDefault="00AF06A0" w:rsidP="00AF06A0">
      <w:pPr>
        <w:widowControl/>
        <w:spacing w:line="276" w:lineRule="auto"/>
        <w:rPr>
          <w:rFonts w:ascii="Arial" w:hAnsi="Arial"/>
          <w:sz w:val="20"/>
        </w:rPr>
      </w:pPr>
      <w:r w:rsidRPr="00424274">
        <w:rPr>
          <w:rFonts w:ascii="Arial" w:hAnsi="Arial"/>
          <w:sz w:val="20"/>
        </w:rPr>
        <w:t xml:space="preserve">- krepitev </w:t>
      </w:r>
      <w:r w:rsidR="00B345CE">
        <w:rPr>
          <w:rFonts w:ascii="Arial" w:hAnsi="Arial"/>
          <w:sz w:val="20"/>
        </w:rPr>
        <w:t>svetovne</w:t>
      </w:r>
      <w:r w:rsidR="00B345CE" w:rsidRPr="00424274">
        <w:rPr>
          <w:rFonts w:ascii="Arial" w:hAnsi="Arial"/>
          <w:sz w:val="20"/>
        </w:rPr>
        <w:t xml:space="preserve"> </w:t>
      </w:r>
      <w:r w:rsidRPr="00424274">
        <w:rPr>
          <w:rFonts w:ascii="Arial" w:hAnsi="Arial"/>
          <w:sz w:val="20"/>
        </w:rPr>
        <w:t>vloge za EU.</w:t>
      </w:r>
    </w:p>
    <w:p w14:paraId="0A2A23FB" w14:textId="77777777" w:rsidR="00AF06A0" w:rsidRPr="00424274" w:rsidRDefault="00AF06A0" w:rsidP="00AF06A0">
      <w:pPr>
        <w:widowControl/>
        <w:spacing w:line="276" w:lineRule="auto"/>
        <w:rPr>
          <w:rFonts w:ascii="Arial" w:hAnsi="Arial"/>
          <w:sz w:val="20"/>
        </w:rPr>
      </w:pPr>
    </w:p>
    <w:p w14:paraId="0DB3154D" w14:textId="374AA335" w:rsidR="00AF06A0" w:rsidRPr="00424274" w:rsidRDefault="00AF06A0" w:rsidP="00AF06A0">
      <w:pPr>
        <w:widowControl/>
        <w:spacing w:line="276" w:lineRule="auto"/>
        <w:rPr>
          <w:rFonts w:ascii="Arial" w:hAnsi="Arial"/>
          <w:sz w:val="20"/>
        </w:rPr>
      </w:pPr>
      <w:r w:rsidRPr="00424274">
        <w:rPr>
          <w:rFonts w:ascii="Arial" w:hAnsi="Arial"/>
          <w:sz w:val="20"/>
        </w:rPr>
        <w:t xml:space="preserve">Za potrebe izvedbe akcijskega načrta je Komisija državam članicam </w:t>
      </w:r>
      <w:r w:rsidR="00285EE9">
        <w:rPr>
          <w:rFonts w:ascii="Arial" w:hAnsi="Arial"/>
          <w:sz w:val="20"/>
        </w:rPr>
        <w:t>poslala</w:t>
      </w:r>
      <w:r w:rsidR="00285EE9" w:rsidRPr="00424274">
        <w:rPr>
          <w:rFonts w:ascii="Arial" w:hAnsi="Arial"/>
          <w:sz w:val="20"/>
        </w:rPr>
        <w:t xml:space="preserve"> </w:t>
      </w:r>
      <w:r w:rsidRPr="00424274">
        <w:rPr>
          <w:rFonts w:ascii="Arial" w:hAnsi="Arial"/>
          <w:sz w:val="20"/>
        </w:rPr>
        <w:t xml:space="preserve">tudi obsežen vprašalnik, ki je bil </w:t>
      </w:r>
      <w:r w:rsidR="00285EE9">
        <w:rPr>
          <w:rFonts w:ascii="Arial" w:hAnsi="Arial"/>
          <w:sz w:val="20"/>
        </w:rPr>
        <w:t>poslan</w:t>
      </w:r>
      <w:r w:rsidR="00285EE9" w:rsidRPr="00424274">
        <w:rPr>
          <w:rFonts w:ascii="Arial" w:hAnsi="Arial"/>
          <w:sz w:val="20"/>
        </w:rPr>
        <w:t xml:space="preserve"> </w:t>
      </w:r>
      <w:r w:rsidRPr="00424274">
        <w:rPr>
          <w:rFonts w:ascii="Arial" w:hAnsi="Arial"/>
          <w:sz w:val="20"/>
        </w:rPr>
        <w:t xml:space="preserve">vsem ključnim deležnikom sistema PPD/FT. Poleg širšega </w:t>
      </w:r>
      <w:r w:rsidR="00A564C4">
        <w:rPr>
          <w:rFonts w:ascii="Arial" w:hAnsi="Arial"/>
          <w:sz w:val="20"/>
        </w:rPr>
        <w:t xml:space="preserve">vprašalnika </w:t>
      </w:r>
      <w:r w:rsidRPr="00424274">
        <w:rPr>
          <w:rFonts w:ascii="Arial" w:hAnsi="Arial"/>
          <w:sz w:val="20"/>
        </w:rPr>
        <w:t xml:space="preserve">je bil </w:t>
      </w:r>
      <w:r w:rsidR="00285EE9">
        <w:rPr>
          <w:rFonts w:ascii="Arial" w:hAnsi="Arial"/>
          <w:sz w:val="20"/>
        </w:rPr>
        <w:t>poslan</w:t>
      </w:r>
      <w:r w:rsidR="00285EE9" w:rsidRPr="00424274">
        <w:rPr>
          <w:rFonts w:ascii="Arial" w:hAnsi="Arial"/>
          <w:sz w:val="20"/>
        </w:rPr>
        <w:t xml:space="preserve"> </w:t>
      </w:r>
      <w:r w:rsidRPr="00424274">
        <w:rPr>
          <w:rFonts w:ascii="Arial" w:hAnsi="Arial"/>
          <w:sz w:val="20"/>
        </w:rPr>
        <w:t>tudi vprašalnik</w:t>
      </w:r>
      <w:r w:rsidR="00285EE9">
        <w:rPr>
          <w:rFonts w:ascii="Arial" w:hAnsi="Arial"/>
          <w:sz w:val="20"/>
        </w:rPr>
        <w:t>,</w:t>
      </w:r>
      <w:r w:rsidRPr="00424274">
        <w:rPr>
          <w:rFonts w:ascii="Arial" w:hAnsi="Arial"/>
          <w:sz w:val="20"/>
        </w:rPr>
        <w:t xml:space="preserve"> </w:t>
      </w:r>
      <w:r w:rsidR="00285EE9">
        <w:rPr>
          <w:rFonts w:ascii="Arial" w:hAnsi="Arial"/>
          <w:sz w:val="20"/>
        </w:rPr>
        <w:t>po</w:t>
      </w:r>
      <w:r w:rsidRPr="00424274">
        <w:rPr>
          <w:rFonts w:ascii="Arial" w:hAnsi="Arial"/>
          <w:sz w:val="20"/>
        </w:rPr>
        <w:t xml:space="preserve">vezan </w:t>
      </w:r>
      <w:r w:rsidR="00285EE9">
        <w:rPr>
          <w:rFonts w:ascii="Arial" w:hAnsi="Arial"/>
          <w:sz w:val="20"/>
        </w:rPr>
        <w:t>s</w:t>
      </w:r>
      <w:r w:rsidR="00285EE9" w:rsidRPr="00424274">
        <w:rPr>
          <w:rFonts w:ascii="Arial" w:hAnsi="Arial"/>
          <w:sz w:val="20"/>
        </w:rPr>
        <w:t xml:space="preserve"> </w:t>
      </w:r>
      <w:r w:rsidRPr="00424274">
        <w:rPr>
          <w:rFonts w:ascii="Arial" w:hAnsi="Arial"/>
          <w:sz w:val="20"/>
        </w:rPr>
        <w:t>tematiko skladov in podobnih pravnih ureditev tujega prava, v zvezi s čimer je Komisija tudi objavila posebno poročilo. Posebn</w:t>
      </w:r>
      <w:r w:rsidR="00285EE9">
        <w:rPr>
          <w:rFonts w:ascii="Arial" w:hAnsi="Arial"/>
          <w:sz w:val="20"/>
        </w:rPr>
        <w:t>a</w:t>
      </w:r>
      <w:r w:rsidRPr="00424274">
        <w:rPr>
          <w:rFonts w:ascii="Arial" w:hAnsi="Arial"/>
          <w:sz w:val="20"/>
        </w:rPr>
        <w:t xml:space="preserve"> obravnav</w:t>
      </w:r>
      <w:r w:rsidR="00285EE9">
        <w:rPr>
          <w:rFonts w:ascii="Arial" w:hAnsi="Arial"/>
          <w:sz w:val="20"/>
        </w:rPr>
        <w:t>a</w:t>
      </w:r>
      <w:r w:rsidRPr="00424274">
        <w:rPr>
          <w:rFonts w:ascii="Arial" w:hAnsi="Arial"/>
          <w:sz w:val="20"/>
        </w:rPr>
        <w:t xml:space="preserve"> je </w:t>
      </w:r>
      <w:r w:rsidR="00285EE9">
        <w:rPr>
          <w:rFonts w:ascii="Arial" w:hAnsi="Arial"/>
          <w:sz w:val="20"/>
        </w:rPr>
        <w:t xml:space="preserve">bila namenjena </w:t>
      </w:r>
      <w:r w:rsidRPr="00424274">
        <w:rPr>
          <w:rFonts w:ascii="Arial" w:hAnsi="Arial"/>
          <w:sz w:val="20"/>
        </w:rPr>
        <w:t xml:space="preserve">mnenju Evropskega nadzornika za varstvo podatkov v zvezi s pravno utemeljenostjo gostovanja FIU.net pri Europolu. Kot posledica tega </w:t>
      </w:r>
      <w:r w:rsidR="00285EE9">
        <w:rPr>
          <w:rFonts w:ascii="Arial" w:hAnsi="Arial"/>
          <w:sz w:val="20"/>
        </w:rPr>
        <w:t xml:space="preserve">se </w:t>
      </w:r>
      <w:r w:rsidRPr="00424274">
        <w:rPr>
          <w:rFonts w:ascii="Arial" w:hAnsi="Arial"/>
          <w:sz w:val="20"/>
        </w:rPr>
        <w:t xml:space="preserve">je Komisija </w:t>
      </w:r>
      <w:r w:rsidR="00285EE9">
        <w:rPr>
          <w:rFonts w:ascii="Arial" w:hAnsi="Arial"/>
          <w:sz w:val="20"/>
        </w:rPr>
        <w:t>lotila</w:t>
      </w:r>
      <w:r w:rsidRPr="00424274">
        <w:rPr>
          <w:rFonts w:ascii="Arial" w:hAnsi="Arial"/>
          <w:sz w:val="20"/>
        </w:rPr>
        <w:t xml:space="preserve"> priprav</w:t>
      </w:r>
      <w:r w:rsidR="00285EE9">
        <w:rPr>
          <w:rFonts w:ascii="Arial" w:hAnsi="Arial"/>
          <w:sz w:val="20"/>
        </w:rPr>
        <w:t>e</w:t>
      </w:r>
      <w:r w:rsidRPr="00424274">
        <w:rPr>
          <w:rFonts w:ascii="Arial" w:hAnsi="Arial"/>
          <w:sz w:val="20"/>
        </w:rPr>
        <w:t xml:space="preserve"> prenosa </w:t>
      </w:r>
      <w:proofErr w:type="spellStart"/>
      <w:r w:rsidRPr="00424274">
        <w:rPr>
          <w:rFonts w:ascii="Arial" w:hAnsi="Arial"/>
          <w:sz w:val="20"/>
        </w:rPr>
        <w:t>FIU</w:t>
      </w:r>
      <w:r w:rsidR="00371B95">
        <w:rPr>
          <w:rFonts w:ascii="Arial" w:hAnsi="Arial"/>
          <w:sz w:val="20"/>
        </w:rPr>
        <w:t>.</w:t>
      </w:r>
      <w:r w:rsidRPr="00424274">
        <w:rPr>
          <w:rFonts w:ascii="Arial" w:hAnsi="Arial"/>
          <w:sz w:val="20"/>
        </w:rPr>
        <w:t>neta</w:t>
      </w:r>
      <w:proofErr w:type="spellEnd"/>
      <w:r w:rsidRPr="00424274">
        <w:rPr>
          <w:rFonts w:ascii="Arial" w:hAnsi="Arial"/>
          <w:sz w:val="20"/>
        </w:rPr>
        <w:t xml:space="preserve"> z Europola </w:t>
      </w:r>
      <w:r w:rsidR="00285EE9">
        <w:rPr>
          <w:rFonts w:ascii="Arial" w:hAnsi="Arial"/>
          <w:sz w:val="20"/>
        </w:rPr>
        <w:t>h</w:t>
      </w:r>
      <w:r w:rsidRPr="00424274">
        <w:rPr>
          <w:rFonts w:ascii="Arial" w:hAnsi="Arial"/>
          <w:sz w:val="20"/>
        </w:rPr>
        <w:t xml:space="preserve"> Komisiji, dolgoročno pa je vključila vzdrževanje in nadgradnjo </w:t>
      </w:r>
      <w:proofErr w:type="spellStart"/>
      <w:r w:rsidRPr="00424274">
        <w:rPr>
          <w:rFonts w:ascii="Arial" w:hAnsi="Arial"/>
          <w:sz w:val="20"/>
        </w:rPr>
        <w:t>FIU.neta</w:t>
      </w:r>
      <w:proofErr w:type="spellEnd"/>
      <w:r w:rsidRPr="00424274">
        <w:rPr>
          <w:rFonts w:ascii="Arial" w:hAnsi="Arial"/>
          <w:sz w:val="20"/>
        </w:rPr>
        <w:t xml:space="preserve"> kot eno izmed ključnih nalog </w:t>
      </w:r>
      <w:r w:rsidR="00285EE9">
        <w:rPr>
          <w:rFonts w:ascii="Arial" w:hAnsi="Arial"/>
          <w:sz w:val="20"/>
        </w:rPr>
        <w:t>prihodnjega</w:t>
      </w:r>
      <w:r w:rsidR="00285EE9" w:rsidRPr="00424274">
        <w:rPr>
          <w:rFonts w:ascii="Arial" w:hAnsi="Arial"/>
          <w:sz w:val="20"/>
        </w:rPr>
        <w:t xml:space="preserve"> </w:t>
      </w:r>
      <w:r w:rsidRPr="00424274">
        <w:rPr>
          <w:rFonts w:ascii="Arial" w:hAnsi="Arial"/>
          <w:sz w:val="20"/>
        </w:rPr>
        <w:t xml:space="preserve">koordinacijskega in podpornega mehanizma za </w:t>
      </w:r>
      <w:r w:rsidR="0027575A">
        <w:rPr>
          <w:rFonts w:ascii="Arial" w:hAnsi="Arial"/>
          <w:sz w:val="20"/>
        </w:rPr>
        <w:t>finančne obveščevalne enote (</w:t>
      </w:r>
      <w:r w:rsidRPr="00424274">
        <w:rPr>
          <w:rFonts w:ascii="Arial" w:hAnsi="Arial"/>
          <w:sz w:val="20"/>
        </w:rPr>
        <w:t>FIU</w:t>
      </w:r>
      <w:r w:rsidR="0027575A">
        <w:rPr>
          <w:rFonts w:ascii="Arial" w:hAnsi="Arial"/>
          <w:sz w:val="20"/>
        </w:rPr>
        <w:t>)</w:t>
      </w:r>
      <w:r w:rsidRPr="00424274">
        <w:rPr>
          <w:rFonts w:ascii="Arial" w:hAnsi="Arial"/>
          <w:sz w:val="20"/>
        </w:rPr>
        <w:t xml:space="preserve">. Za potrebe povezovanja nacionalnih registrov dejanskih lastnikov v okviru evropske platforme BORIS je Komisija vodila poseben </w:t>
      </w:r>
      <w:proofErr w:type="spellStart"/>
      <w:r w:rsidRPr="00424274">
        <w:rPr>
          <w:rFonts w:ascii="Arial" w:hAnsi="Arial"/>
          <w:sz w:val="20"/>
        </w:rPr>
        <w:t>komitološki</w:t>
      </w:r>
      <w:proofErr w:type="spellEnd"/>
      <w:r w:rsidRPr="00424274">
        <w:rPr>
          <w:rFonts w:ascii="Arial" w:hAnsi="Arial"/>
          <w:sz w:val="20"/>
        </w:rPr>
        <w:t xml:space="preserve"> postopek. Poleg navedenega so redno potekale priprave na plenarna zasedanja</w:t>
      </w:r>
      <w:r w:rsidR="00285EE9">
        <w:rPr>
          <w:rFonts w:ascii="Arial" w:hAnsi="Arial"/>
          <w:sz w:val="20"/>
        </w:rPr>
        <w:t xml:space="preserve"> FATF</w:t>
      </w:r>
      <w:r w:rsidRPr="00424274">
        <w:rPr>
          <w:rFonts w:ascii="Arial" w:hAnsi="Arial"/>
          <w:sz w:val="20"/>
        </w:rPr>
        <w:t>.</w:t>
      </w:r>
    </w:p>
    <w:p w14:paraId="43D205DE" w14:textId="08F36435" w:rsidR="00D60AF0" w:rsidRPr="00424274" w:rsidRDefault="00D60AF0" w:rsidP="00D60AF0">
      <w:pPr>
        <w:pStyle w:val="Telobesedila2"/>
        <w:widowControl/>
        <w:spacing w:line="276" w:lineRule="auto"/>
        <w:rPr>
          <w:rFonts w:ascii="Arial" w:hAnsi="Arial"/>
          <w:sz w:val="20"/>
        </w:rPr>
      </w:pPr>
    </w:p>
    <w:p w14:paraId="6B3800F2" w14:textId="77777777" w:rsidR="00FD05AD" w:rsidRPr="00424274" w:rsidRDefault="00FD05AD" w:rsidP="00D21F86">
      <w:pPr>
        <w:spacing w:line="276" w:lineRule="auto"/>
        <w:rPr>
          <w:rFonts w:ascii="Arial" w:hAnsi="Arial"/>
          <w:sz w:val="20"/>
        </w:rPr>
      </w:pPr>
    </w:p>
    <w:p w14:paraId="5E8921F3" w14:textId="2B2110E9" w:rsidR="00B81E89" w:rsidRPr="00424274" w:rsidRDefault="00C231A0" w:rsidP="006D5A5A">
      <w:pPr>
        <w:pStyle w:val="Naslov3"/>
      </w:pPr>
      <w:bookmarkStart w:id="136" w:name="_Toc113535490"/>
      <w:bookmarkStart w:id="137" w:name="_Hlk73002774"/>
      <w:r w:rsidRPr="00424274">
        <w:t xml:space="preserve">5.2.2.2 </w:t>
      </w:r>
      <w:r w:rsidR="006D5A5A">
        <w:t xml:space="preserve">Platforma </w:t>
      </w:r>
      <w:r w:rsidR="00B81E89" w:rsidRPr="00424274">
        <w:t xml:space="preserve">FIU </w:t>
      </w:r>
      <w:r w:rsidR="006D5A5A">
        <w:t>(</w:t>
      </w:r>
      <w:proofErr w:type="spellStart"/>
      <w:r w:rsidR="006D5A5A">
        <w:t>Financial</w:t>
      </w:r>
      <w:proofErr w:type="spellEnd"/>
      <w:r w:rsidR="006D5A5A">
        <w:t xml:space="preserve"> </w:t>
      </w:r>
      <w:proofErr w:type="spellStart"/>
      <w:r w:rsidR="006D5A5A">
        <w:t>Intelligence</w:t>
      </w:r>
      <w:proofErr w:type="spellEnd"/>
      <w:r w:rsidR="006D5A5A">
        <w:t xml:space="preserve"> </w:t>
      </w:r>
      <w:proofErr w:type="spellStart"/>
      <w:r w:rsidR="006D5A5A">
        <w:t>Unit</w:t>
      </w:r>
      <w:proofErr w:type="spellEnd"/>
      <w:r w:rsidR="006D5A5A">
        <w:t>)</w:t>
      </w:r>
      <w:bookmarkEnd w:id="136"/>
      <w:r w:rsidR="006D5A5A">
        <w:t xml:space="preserve"> </w:t>
      </w:r>
      <w:r w:rsidR="00B81E89" w:rsidRPr="00424274">
        <w:t xml:space="preserve"> </w:t>
      </w:r>
    </w:p>
    <w:bookmarkEnd w:id="137"/>
    <w:p w14:paraId="4DE83F9E" w14:textId="77777777" w:rsidR="00B81E89" w:rsidRPr="00424274" w:rsidRDefault="00B81E89" w:rsidP="00D21F86">
      <w:pPr>
        <w:spacing w:line="276" w:lineRule="auto"/>
        <w:rPr>
          <w:rFonts w:ascii="Arial" w:hAnsi="Arial"/>
          <w:sz w:val="20"/>
        </w:rPr>
      </w:pPr>
    </w:p>
    <w:p w14:paraId="17D9FB3C" w14:textId="65259BA9" w:rsidR="002566E2" w:rsidRPr="00424274" w:rsidRDefault="002566E2" w:rsidP="002566E2">
      <w:pPr>
        <w:spacing w:line="276" w:lineRule="auto"/>
        <w:rPr>
          <w:rFonts w:ascii="Arial" w:hAnsi="Arial"/>
          <w:sz w:val="20"/>
        </w:rPr>
      </w:pPr>
      <w:r w:rsidRPr="00424274">
        <w:rPr>
          <w:rFonts w:ascii="Arial" w:hAnsi="Arial"/>
          <w:sz w:val="20"/>
        </w:rPr>
        <w:t xml:space="preserve">V Bruslju so v letu 2020 potekali štirje virtualni sestanki </w:t>
      </w:r>
      <w:r w:rsidR="006D5A5A">
        <w:rPr>
          <w:rFonts w:ascii="Arial" w:hAnsi="Arial"/>
          <w:sz w:val="20"/>
        </w:rPr>
        <w:t>predstavnikov finančn</w:t>
      </w:r>
      <w:r w:rsidR="0027575A">
        <w:rPr>
          <w:rFonts w:ascii="Arial" w:hAnsi="Arial"/>
          <w:sz w:val="20"/>
        </w:rPr>
        <w:t xml:space="preserve">ih </w:t>
      </w:r>
      <w:r w:rsidR="006D5A5A">
        <w:rPr>
          <w:rFonts w:ascii="Arial" w:hAnsi="Arial"/>
          <w:sz w:val="20"/>
        </w:rPr>
        <w:t>obveščevalnih služb</w:t>
      </w:r>
      <w:r w:rsidR="00B11571">
        <w:rPr>
          <w:rFonts w:ascii="Arial" w:hAnsi="Arial"/>
          <w:sz w:val="20"/>
        </w:rPr>
        <w:t>/uradov</w:t>
      </w:r>
      <w:r w:rsidR="006D5A5A">
        <w:rPr>
          <w:rFonts w:ascii="Arial" w:hAnsi="Arial"/>
          <w:sz w:val="20"/>
        </w:rPr>
        <w:t xml:space="preserve"> </w:t>
      </w:r>
      <w:r w:rsidR="00B11571">
        <w:rPr>
          <w:rFonts w:ascii="Arial" w:hAnsi="Arial"/>
          <w:sz w:val="20"/>
        </w:rPr>
        <w:t xml:space="preserve">v okviru platforme </w:t>
      </w:r>
      <w:r w:rsidRPr="00424274">
        <w:rPr>
          <w:rFonts w:ascii="Arial" w:hAnsi="Arial"/>
          <w:sz w:val="20"/>
        </w:rPr>
        <w:t xml:space="preserve">FIU v organizaciji Evropske komisije, ki so se jih udeležili tudi predstavniki </w:t>
      </w:r>
      <w:r w:rsidR="00A0541B">
        <w:rPr>
          <w:rFonts w:ascii="Arial" w:hAnsi="Arial"/>
          <w:sz w:val="20"/>
        </w:rPr>
        <w:t>urad</w:t>
      </w:r>
      <w:r w:rsidRPr="00424274">
        <w:rPr>
          <w:rFonts w:ascii="Arial" w:hAnsi="Arial"/>
          <w:sz w:val="20"/>
        </w:rPr>
        <w:t xml:space="preserve">a. Glavne teme sestankov </w:t>
      </w:r>
      <w:r w:rsidR="00B11571">
        <w:rPr>
          <w:rFonts w:ascii="Arial" w:hAnsi="Arial"/>
          <w:sz w:val="20"/>
        </w:rPr>
        <w:t xml:space="preserve">platforme </w:t>
      </w:r>
      <w:r w:rsidRPr="00424274">
        <w:rPr>
          <w:rFonts w:ascii="Arial" w:hAnsi="Arial"/>
          <w:sz w:val="20"/>
        </w:rPr>
        <w:t>FIU v letu 2020 so bile:</w:t>
      </w:r>
    </w:p>
    <w:p w14:paraId="2087F089" w14:textId="78118468" w:rsidR="002566E2" w:rsidRPr="00424274" w:rsidRDefault="00A564C4" w:rsidP="002566E2">
      <w:pPr>
        <w:spacing w:line="276" w:lineRule="auto"/>
        <w:rPr>
          <w:rFonts w:ascii="Arial" w:hAnsi="Arial"/>
          <w:sz w:val="20"/>
        </w:rPr>
      </w:pPr>
      <w:r>
        <w:rPr>
          <w:rFonts w:ascii="Arial" w:hAnsi="Arial"/>
          <w:sz w:val="20"/>
        </w:rPr>
        <w:t>–</w:t>
      </w:r>
      <w:r w:rsidR="002566E2" w:rsidRPr="00424274">
        <w:rPr>
          <w:rFonts w:ascii="Arial" w:hAnsi="Arial"/>
          <w:sz w:val="20"/>
        </w:rPr>
        <w:tab/>
      </w:r>
      <w:r>
        <w:rPr>
          <w:rFonts w:ascii="Arial" w:hAnsi="Arial"/>
          <w:sz w:val="20"/>
        </w:rPr>
        <w:t>oblikovanje</w:t>
      </w:r>
      <w:r w:rsidRPr="00424274">
        <w:rPr>
          <w:rFonts w:ascii="Arial" w:hAnsi="Arial"/>
          <w:sz w:val="20"/>
        </w:rPr>
        <w:t xml:space="preserve"> </w:t>
      </w:r>
      <w:r w:rsidR="002566E2" w:rsidRPr="00424274">
        <w:rPr>
          <w:rFonts w:ascii="Arial" w:hAnsi="Arial"/>
          <w:sz w:val="20"/>
        </w:rPr>
        <w:t>mehanizma za koordinacijo in podporo (t.</w:t>
      </w:r>
      <w:r>
        <w:rPr>
          <w:rFonts w:ascii="Arial" w:hAnsi="Arial"/>
          <w:sz w:val="20"/>
        </w:rPr>
        <w:t> </w:t>
      </w:r>
      <w:r w:rsidR="002566E2" w:rsidRPr="00424274">
        <w:rPr>
          <w:rFonts w:ascii="Arial" w:hAnsi="Arial"/>
          <w:sz w:val="20"/>
        </w:rPr>
        <w:t xml:space="preserve">i. </w:t>
      </w:r>
      <w:proofErr w:type="spellStart"/>
      <w:r w:rsidR="002566E2" w:rsidRPr="00424274">
        <w:rPr>
          <w:rFonts w:ascii="Arial" w:hAnsi="Arial"/>
          <w:sz w:val="20"/>
        </w:rPr>
        <w:t>Coordination</w:t>
      </w:r>
      <w:proofErr w:type="spellEnd"/>
      <w:r w:rsidR="002566E2" w:rsidRPr="00424274">
        <w:rPr>
          <w:rFonts w:ascii="Arial" w:hAnsi="Arial"/>
          <w:sz w:val="20"/>
        </w:rPr>
        <w:t xml:space="preserve"> </w:t>
      </w:r>
      <w:proofErr w:type="spellStart"/>
      <w:r w:rsidR="002566E2" w:rsidRPr="00424274">
        <w:rPr>
          <w:rFonts w:ascii="Arial" w:hAnsi="Arial"/>
          <w:sz w:val="20"/>
        </w:rPr>
        <w:t>and</w:t>
      </w:r>
      <w:proofErr w:type="spellEnd"/>
      <w:r w:rsidR="002566E2" w:rsidRPr="00424274">
        <w:rPr>
          <w:rFonts w:ascii="Arial" w:hAnsi="Arial"/>
          <w:sz w:val="20"/>
        </w:rPr>
        <w:t xml:space="preserve"> </w:t>
      </w:r>
      <w:proofErr w:type="spellStart"/>
      <w:r w:rsidR="002566E2" w:rsidRPr="00424274">
        <w:rPr>
          <w:rFonts w:ascii="Arial" w:hAnsi="Arial"/>
          <w:sz w:val="20"/>
        </w:rPr>
        <w:t>Support</w:t>
      </w:r>
      <w:proofErr w:type="spellEnd"/>
      <w:r w:rsidR="002566E2" w:rsidRPr="00424274">
        <w:rPr>
          <w:rFonts w:ascii="Arial" w:hAnsi="Arial"/>
          <w:sz w:val="20"/>
        </w:rPr>
        <w:t xml:space="preserve"> </w:t>
      </w:r>
      <w:proofErr w:type="spellStart"/>
      <w:r w:rsidR="002566E2" w:rsidRPr="00424274">
        <w:rPr>
          <w:rFonts w:ascii="Arial" w:hAnsi="Arial"/>
          <w:sz w:val="20"/>
        </w:rPr>
        <w:t>Mechanism</w:t>
      </w:r>
      <w:proofErr w:type="spellEnd"/>
      <w:r w:rsidR="002566E2" w:rsidRPr="00424274">
        <w:rPr>
          <w:rFonts w:ascii="Arial" w:hAnsi="Arial"/>
          <w:sz w:val="20"/>
        </w:rPr>
        <w:t xml:space="preserve"> </w:t>
      </w:r>
      <w:r>
        <w:rPr>
          <w:rFonts w:ascii="Arial" w:hAnsi="Arial"/>
          <w:sz w:val="20"/>
        </w:rPr>
        <w:t>–</w:t>
      </w:r>
      <w:r w:rsidR="002566E2" w:rsidRPr="00424274">
        <w:rPr>
          <w:rFonts w:ascii="Arial" w:hAnsi="Arial"/>
          <w:sz w:val="20"/>
        </w:rPr>
        <w:t xml:space="preserve"> CSM), ki naj bi zajemal izdelavo informacijskega sistema za izmenjavo podatkov med evropskimi finančn</w:t>
      </w:r>
      <w:r w:rsidR="00804DB3">
        <w:rPr>
          <w:rFonts w:ascii="Arial" w:hAnsi="Arial"/>
          <w:sz w:val="20"/>
        </w:rPr>
        <w:t>imi</w:t>
      </w:r>
      <w:r w:rsidR="002566E2" w:rsidRPr="00424274">
        <w:rPr>
          <w:rFonts w:ascii="Arial" w:hAnsi="Arial"/>
          <w:sz w:val="20"/>
        </w:rPr>
        <w:t xml:space="preserve"> obveščevalnimi organi pa vse do morebitne ustanovitve evropske finančn</w:t>
      </w:r>
      <w:r w:rsidR="00804DB3">
        <w:rPr>
          <w:rFonts w:ascii="Arial" w:hAnsi="Arial"/>
          <w:sz w:val="20"/>
        </w:rPr>
        <w:t>e</w:t>
      </w:r>
      <w:r w:rsidR="002566E2" w:rsidRPr="00424274">
        <w:rPr>
          <w:rFonts w:ascii="Arial" w:hAnsi="Arial"/>
          <w:sz w:val="20"/>
        </w:rPr>
        <w:t xml:space="preserve"> obveščevalne enote in sodelovanja na področju nadzora,</w:t>
      </w:r>
    </w:p>
    <w:p w14:paraId="1A23730A" w14:textId="53119020" w:rsidR="002566E2" w:rsidRPr="00424274" w:rsidRDefault="00A564C4" w:rsidP="002566E2">
      <w:pPr>
        <w:spacing w:line="276" w:lineRule="auto"/>
        <w:rPr>
          <w:rFonts w:ascii="Arial" w:hAnsi="Arial"/>
          <w:sz w:val="20"/>
        </w:rPr>
      </w:pPr>
      <w:r>
        <w:rPr>
          <w:rFonts w:ascii="Arial" w:hAnsi="Arial"/>
          <w:sz w:val="20"/>
        </w:rPr>
        <w:t>–</w:t>
      </w:r>
      <w:r w:rsidR="002566E2" w:rsidRPr="00424274">
        <w:rPr>
          <w:rFonts w:ascii="Arial" w:hAnsi="Arial"/>
          <w:sz w:val="20"/>
        </w:rPr>
        <w:tab/>
        <w:t xml:space="preserve">izmenjava podatkov v skladu z direktivo o dostopu organov pregona do finančnih podatkov, </w:t>
      </w:r>
    </w:p>
    <w:p w14:paraId="5D01141B" w14:textId="330DBAA4" w:rsidR="002566E2" w:rsidRPr="00424274" w:rsidRDefault="00A564C4" w:rsidP="002566E2">
      <w:pPr>
        <w:spacing w:line="276" w:lineRule="auto"/>
        <w:rPr>
          <w:rFonts w:ascii="Arial" w:hAnsi="Arial"/>
          <w:sz w:val="20"/>
        </w:rPr>
      </w:pPr>
      <w:r>
        <w:rPr>
          <w:rFonts w:ascii="Arial" w:hAnsi="Arial"/>
          <w:sz w:val="20"/>
        </w:rPr>
        <w:t>–</w:t>
      </w:r>
      <w:r w:rsidR="002566E2" w:rsidRPr="00424274">
        <w:rPr>
          <w:rFonts w:ascii="Arial" w:hAnsi="Arial"/>
          <w:sz w:val="20"/>
        </w:rPr>
        <w:tab/>
        <w:t xml:space="preserve">dostop organov pregona do finančnih podatkov v skladu z </w:t>
      </w:r>
      <w:r>
        <w:rPr>
          <w:rFonts w:ascii="Arial" w:hAnsi="Arial"/>
          <w:sz w:val="20"/>
        </w:rPr>
        <w:t>D</w:t>
      </w:r>
      <w:r w:rsidR="002566E2" w:rsidRPr="00424274">
        <w:rPr>
          <w:rFonts w:ascii="Arial" w:hAnsi="Arial"/>
          <w:sz w:val="20"/>
        </w:rPr>
        <w:t>irektiv</w:t>
      </w:r>
      <w:r w:rsidR="00CF4765" w:rsidRPr="00424274">
        <w:rPr>
          <w:rFonts w:ascii="Arial" w:hAnsi="Arial"/>
          <w:sz w:val="20"/>
        </w:rPr>
        <w:t>o</w:t>
      </w:r>
      <w:r w:rsidR="002566E2" w:rsidRPr="00424274">
        <w:rPr>
          <w:rFonts w:ascii="Arial" w:hAnsi="Arial"/>
          <w:sz w:val="20"/>
        </w:rPr>
        <w:t xml:space="preserve"> </w:t>
      </w:r>
      <w:r>
        <w:rPr>
          <w:rFonts w:ascii="Arial" w:hAnsi="Arial"/>
          <w:sz w:val="20"/>
        </w:rPr>
        <w:t>(</w:t>
      </w:r>
      <w:r w:rsidR="002566E2" w:rsidRPr="00424274">
        <w:rPr>
          <w:rFonts w:ascii="Arial" w:hAnsi="Arial"/>
          <w:sz w:val="20"/>
        </w:rPr>
        <w:t>EU</w:t>
      </w:r>
      <w:r>
        <w:rPr>
          <w:rFonts w:ascii="Arial" w:hAnsi="Arial"/>
          <w:sz w:val="20"/>
        </w:rPr>
        <w:t>)</w:t>
      </w:r>
      <w:r w:rsidR="002566E2" w:rsidRPr="00424274">
        <w:rPr>
          <w:rFonts w:ascii="Arial" w:hAnsi="Arial"/>
          <w:sz w:val="20"/>
        </w:rPr>
        <w:t xml:space="preserve"> 1153/2019.</w:t>
      </w:r>
    </w:p>
    <w:p w14:paraId="60512D3E" w14:textId="77777777" w:rsidR="005879AC" w:rsidRPr="00424274" w:rsidRDefault="005879AC" w:rsidP="002566E2">
      <w:pPr>
        <w:spacing w:line="276" w:lineRule="auto"/>
        <w:rPr>
          <w:rFonts w:ascii="Arial" w:hAnsi="Arial"/>
          <w:sz w:val="20"/>
        </w:rPr>
      </w:pPr>
    </w:p>
    <w:p w14:paraId="1FFAB6E6" w14:textId="30BDE80A" w:rsidR="005879AC" w:rsidRPr="00424274" w:rsidRDefault="00B86990" w:rsidP="006D5A5A">
      <w:pPr>
        <w:pStyle w:val="Naslov3"/>
      </w:pPr>
      <w:bookmarkStart w:id="138" w:name="_Toc113535491"/>
      <w:r w:rsidRPr="00424274">
        <w:t xml:space="preserve">5.2.2.3 </w:t>
      </w:r>
      <w:r w:rsidR="00561211" w:rsidRPr="00424274">
        <w:t xml:space="preserve">Odbor za preprečevanje pranja denarja in financiranja terorizma za povezovanje registrov dejanskih lastnikov </w:t>
      </w:r>
      <w:r w:rsidR="008A1626">
        <w:t>–</w:t>
      </w:r>
      <w:r w:rsidR="00561211" w:rsidRPr="00424274">
        <w:t xml:space="preserve"> </w:t>
      </w:r>
      <w:r w:rsidR="005879AC" w:rsidRPr="00424274">
        <w:t>BORIS</w:t>
      </w:r>
      <w:bookmarkEnd w:id="138"/>
    </w:p>
    <w:p w14:paraId="609D9A7A" w14:textId="6B5046A5" w:rsidR="005879AC" w:rsidRPr="00424274" w:rsidRDefault="005879AC" w:rsidP="005879AC">
      <w:pPr>
        <w:pStyle w:val="Odstavekseznama"/>
        <w:spacing w:line="276" w:lineRule="auto"/>
        <w:ind w:left="851"/>
        <w:rPr>
          <w:rFonts w:ascii="Arial" w:hAnsi="Arial"/>
          <w:i/>
          <w:iCs/>
          <w:sz w:val="20"/>
          <w:lang w:val="sl-SI"/>
        </w:rPr>
      </w:pPr>
    </w:p>
    <w:p w14:paraId="13B696A0" w14:textId="22980900" w:rsidR="000E0460" w:rsidRPr="00424274" w:rsidRDefault="000E0460" w:rsidP="000E0460">
      <w:pPr>
        <w:spacing w:line="276" w:lineRule="auto"/>
        <w:rPr>
          <w:rFonts w:ascii="Arial" w:hAnsi="Arial"/>
          <w:sz w:val="20"/>
        </w:rPr>
      </w:pPr>
      <w:r w:rsidRPr="00424274">
        <w:rPr>
          <w:rFonts w:ascii="Arial" w:hAnsi="Arial"/>
          <w:sz w:val="20"/>
        </w:rPr>
        <w:t xml:space="preserve">Predstavniki </w:t>
      </w:r>
      <w:r w:rsidR="00A0541B">
        <w:rPr>
          <w:rFonts w:ascii="Arial" w:hAnsi="Arial"/>
          <w:sz w:val="20"/>
        </w:rPr>
        <w:t>urad</w:t>
      </w:r>
      <w:r w:rsidRPr="00424274">
        <w:rPr>
          <w:rFonts w:ascii="Arial" w:hAnsi="Arial"/>
          <w:sz w:val="20"/>
        </w:rPr>
        <w:t xml:space="preserve">a in Agencije Republike Slovenije za javnopravne evidence storitve (AJPES) so se v letu 2020 udeležili treh zasedanj </w:t>
      </w:r>
      <w:proofErr w:type="spellStart"/>
      <w:r w:rsidRPr="00424274">
        <w:rPr>
          <w:rFonts w:ascii="Arial" w:hAnsi="Arial"/>
          <w:sz w:val="20"/>
        </w:rPr>
        <w:t>komitološke</w:t>
      </w:r>
      <w:proofErr w:type="spellEnd"/>
      <w:r w:rsidRPr="00424274">
        <w:rPr>
          <w:rFonts w:ascii="Arial" w:hAnsi="Arial"/>
          <w:sz w:val="20"/>
        </w:rPr>
        <w:t xml:space="preserve"> skupine Odbora za preprečevanje pranja denarja in financiranja terorizma za povezovanje registrov dejanskih lastnikov (CPMLTF </w:t>
      </w:r>
      <w:r w:rsidR="00A564C4">
        <w:rPr>
          <w:rFonts w:ascii="Arial" w:hAnsi="Arial"/>
          <w:sz w:val="20"/>
        </w:rPr>
        <w:t>–</w:t>
      </w:r>
      <w:r w:rsidRPr="00424274">
        <w:rPr>
          <w:rFonts w:ascii="Arial" w:hAnsi="Arial"/>
          <w:sz w:val="20"/>
        </w:rPr>
        <w:t xml:space="preserve"> </w:t>
      </w:r>
      <w:proofErr w:type="spellStart"/>
      <w:r w:rsidRPr="00424274">
        <w:rPr>
          <w:rFonts w:ascii="Arial" w:hAnsi="Arial"/>
          <w:sz w:val="20"/>
        </w:rPr>
        <w:t>Committee</w:t>
      </w:r>
      <w:proofErr w:type="spellEnd"/>
      <w:r w:rsidRPr="00424274">
        <w:rPr>
          <w:rFonts w:ascii="Arial" w:hAnsi="Arial"/>
          <w:sz w:val="20"/>
        </w:rPr>
        <w:t xml:space="preserve"> on </w:t>
      </w:r>
      <w:proofErr w:type="spellStart"/>
      <w:r w:rsidRPr="00424274">
        <w:rPr>
          <w:rFonts w:ascii="Arial" w:hAnsi="Arial"/>
          <w:sz w:val="20"/>
        </w:rPr>
        <w:t>Prevention</w:t>
      </w:r>
      <w:proofErr w:type="spellEnd"/>
      <w:r w:rsidRPr="00424274">
        <w:rPr>
          <w:rFonts w:ascii="Arial" w:hAnsi="Arial"/>
          <w:sz w:val="20"/>
        </w:rPr>
        <w:t xml:space="preserve"> </w:t>
      </w:r>
      <w:proofErr w:type="spellStart"/>
      <w:r w:rsidRPr="00424274">
        <w:rPr>
          <w:rFonts w:ascii="Arial" w:hAnsi="Arial"/>
          <w:sz w:val="20"/>
        </w:rPr>
        <w:t>of</w:t>
      </w:r>
      <w:proofErr w:type="spellEnd"/>
      <w:r w:rsidRPr="00424274">
        <w:rPr>
          <w:rFonts w:ascii="Arial" w:hAnsi="Arial"/>
          <w:sz w:val="20"/>
        </w:rPr>
        <w:t xml:space="preserve"> Money </w:t>
      </w:r>
      <w:proofErr w:type="spellStart"/>
      <w:r w:rsidRPr="00424274">
        <w:rPr>
          <w:rFonts w:ascii="Arial" w:hAnsi="Arial"/>
          <w:sz w:val="20"/>
        </w:rPr>
        <w:t>Laundering</w:t>
      </w:r>
      <w:proofErr w:type="spellEnd"/>
      <w:r w:rsidRPr="00424274">
        <w:rPr>
          <w:rFonts w:ascii="Arial" w:hAnsi="Arial"/>
          <w:sz w:val="20"/>
        </w:rPr>
        <w:t xml:space="preserve"> </w:t>
      </w:r>
      <w:proofErr w:type="spellStart"/>
      <w:r w:rsidRPr="00424274">
        <w:rPr>
          <w:rFonts w:ascii="Arial" w:hAnsi="Arial"/>
          <w:sz w:val="20"/>
        </w:rPr>
        <w:t>and</w:t>
      </w:r>
      <w:proofErr w:type="spellEnd"/>
      <w:r w:rsidRPr="00424274">
        <w:rPr>
          <w:rFonts w:ascii="Arial" w:hAnsi="Arial"/>
          <w:sz w:val="20"/>
        </w:rPr>
        <w:t xml:space="preserve"> </w:t>
      </w:r>
      <w:proofErr w:type="spellStart"/>
      <w:r w:rsidRPr="00424274">
        <w:rPr>
          <w:rFonts w:ascii="Arial" w:hAnsi="Arial"/>
          <w:sz w:val="20"/>
        </w:rPr>
        <w:t>Terrorist</w:t>
      </w:r>
      <w:proofErr w:type="spellEnd"/>
      <w:r w:rsidRPr="00424274">
        <w:rPr>
          <w:rFonts w:ascii="Arial" w:hAnsi="Arial"/>
          <w:sz w:val="20"/>
        </w:rPr>
        <w:t xml:space="preserve"> </w:t>
      </w:r>
      <w:proofErr w:type="spellStart"/>
      <w:r w:rsidRPr="00424274">
        <w:rPr>
          <w:rFonts w:ascii="Arial" w:hAnsi="Arial"/>
          <w:sz w:val="20"/>
        </w:rPr>
        <w:t>Financing</w:t>
      </w:r>
      <w:proofErr w:type="spellEnd"/>
      <w:r w:rsidRPr="00424274">
        <w:rPr>
          <w:rFonts w:ascii="Arial" w:hAnsi="Arial"/>
          <w:sz w:val="20"/>
        </w:rPr>
        <w:t xml:space="preserve"> – </w:t>
      </w:r>
      <w:proofErr w:type="spellStart"/>
      <w:r w:rsidRPr="00424274">
        <w:rPr>
          <w:rFonts w:ascii="Arial" w:hAnsi="Arial"/>
          <w:sz w:val="20"/>
        </w:rPr>
        <w:t>Interconnection</w:t>
      </w:r>
      <w:proofErr w:type="spellEnd"/>
      <w:r w:rsidRPr="00424274">
        <w:rPr>
          <w:rFonts w:ascii="Arial" w:hAnsi="Arial"/>
          <w:sz w:val="20"/>
        </w:rPr>
        <w:t xml:space="preserve"> </w:t>
      </w:r>
      <w:proofErr w:type="spellStart"/>
      <w:r w:rsidRPr="00424274">
        <w:rPr>
          <w:rFonts w:ascii="Arial" w:hAnsi="Arial"/>
          <w:sz w:val="20"/>
        </w:rPr>
        <w:t>of</w:t>
      </w:r>
      <w:proofErr w:type="spellEnd"/>
      <w:r w:rsidRPr="00424274">
        <w:rPr>
          <w:rFonts w:ascii="Arial" w:hAnsi="Arial"/>
          <w:sz w:val="20"/>
        </w:rPr>
        <w:t xml:space="preserve"> BO </w:t>
      </w:r>
      <w:proofErr w:type="spellStart"/>
      <w:r w:rsidRPr="00424274">
        <w:rPr>
          <w:rFonts w:ascii="Arial" w:hAnsi="Arial"/>
          <w:sz w:val="20"/>
        </w:rPr>
        <w:t>registers</w:t>
      </w:r>
      <w:proofErr w:type="spellEnd"/>
      <w:r w:rsidRPr="00424274">
        <w:rPr>
          <w:rFonts w:ascii="Arial" w:hAnsi="Arial"/>
          <w:sz w:val="20"/>
        </w:rPr>
        <w:t>).</w:t>
      </w:r>
    </w:p>
    <w:p w14:paraId="5EBD248E" w14:textId="77777777" w:rsidR="000E0460" w:rsidRPr="00424274" w:rsidRDefault="000E0460" w:rsidP="000E0460">
      <w:pPr>
        <w:spacing w:line="276" w:lineRule="auto"/>
        <w:rPr>
          <w:rFonts w:ascii="Arial" w:hAnsi="Arial"/>
          <w:sz w:val="20"/>
        </w:rPr>
      </w:pPr>
    </w:p>
    <w:p w14:paraId="193050C7" w14:textId="77777777" w:rsidR="000E0460" w:rsidRPr="00424274" w:rsidRDefault="000E0460" w:rsidP="000E0460">
      <w:pPr>
        <w:spacing w:line="276" w:lineRule="auto"/>
        <w:rPr>
          <w:rFonts w:ascii="Arial" w:hAnsi="Arial"/>
          <w:sz w:val="20"/>
        </w:rPr>
      </w:pPr>
      <w:r w:rsidRPr="00424274">
        <w:rPr>
          <w:rFonts w:ascii="Arial" w:hAnsi="Arial"/>
          <w:sz w:val="20"/>
        </w:rPr>
        <w:t xml:space="preserve">V okviru zasedanj skupine so se člani seznanili z oblikami in stanjem registrov dejanskih lastnikov v vseh državah članicah ter začeli pripravljati besedilo Izvedbene uredbe Komisije (EU) 2021/369 o določitvi tehničnih specifikacij in postopkov, potrebnih za sistem povezovanja osrednjih registrov iz </w:t>
      </w:r>
      <w:r w:rsidRPr="00424274">
        <w:rPr>
          <w:rFonts w:ascii="Arial" w:hAnsi="Arial"/>
          <w:sz w:val="20"/>
        </w:rPr>
        <w:lastRenderedPageBreak/>
        <w:t>Direktive (EU) 2015/849 Evropskega parlamenta in Sveta.</w:t>
      </w:r>
    </w:p>
    <w:p w14:paraId="6D979910" w14:textId="77777777" w:rsidR="000E0460" w:rsidRPr="00424274" w:rsidRDefault="000E0460" w:rsidP="000E0460">
      <w:pPr>
        <w:spacing w:line="276" w:lineRule="auto"/>
        <w:rPr>
          <w:rFonts w:ascii="Arial" w:hAnsi="Arial"/>
          <w:sz w:val="20"/>
        </w:rPr>
      </w:pPr>
    </w:p>
    <w:p w14:paraId="6BD7F28C" w14:textId="740F726D" w:rsidR="000E0460" w:rsidRPr="00424274" w:rsidRDefault="000E0460" w:rsidP="000E0460">
      <w:pPr>
        <w:widowControl/>
        <w:spacing w:line="276" w:lineRule="auto"/>
        <w:rPr>
          <w:rFonts w:ascii="Arial" w:hAnsi="Arial"/>
          <w:sz w:val="20"/>
        </w:rPr>
      </w:pPr>
      <w:r w:rsidRPr="00424274">
        <w:rPr>
          <w:rFonts w:ascii="Arial" w:hAnsi="Arial"/>
          <w:sz w:val="20"/>
        </w:rPr>
        <w:t xml:space="preserve">Besedilo </w:t>
      </w:r>
      <w:r w:rsidR="00A564C4">
        <w:rPr>
          <w:rFonts w:ascii="Arial" w:hAnsi="Arial"/>
          <w:sz w:val="20"/>
        </w:rPr>
        <w:t>u</w:t>
      </w:r>
      <w:r w:rsidRPr="00424274">
        <w:rPr>
          <w:rFonts w:ascii="Arial" w:hAnsi="Arial"/>
          <w:sz w:val="20"/>
        </w:rPr>
        <w:t>redbe določa načine komunikacije, komunikacijske protokole, varnostne standarde, podatke, ki se izmenjujejo v okviru sistema BORIS (</w:t>
      </w:r>
      <w:proofErr w:type="spellStart"/>
      <w:r w:rsidRPr="00424274">
        <w:rPr>
          <w:rFonts w:ascii="Arial" w:hAnsi="Arial"/>
          <w:sz w:val="20"/>
        </w:rPr>
        <w:t>Beneficial</w:t>
      </w:r>
      <w:proofErr w:type="spellEnd"/>
      <w:r w:rsidRPr="00424274">
        <w:rPr>
          <w:rFonts w:ascii="Arial" w:hAnsi="Arial"/>
          <w:sz w:val="20"/>
        </w:rPr>
        <w:t xml:space="preserve"> </w:t>
      </w:r>
      <w:proofErr w:type="spellStart"/>
      <w:r w:rsidRPr="00424274">
        <w:rPr>
          <w:rFonts w:ascii="Arial" w:hAnsi="Arial"/>
          <w:sz w:val="20"/>
        </w:rPr>
        <w:t>ownership</w:t>
      </w:r>
      <w:proofErr w:type="spellEnd"/>
      <w:r w:rsidRPr="00424274">
        <w:rPr>
          <w:rFonts w:ascii="Arial" w:hAnsi="Arial"/>
          <w:sz w:val="20"/>
        </w:rPr>
        <w:t xml:space="preserve"> register </w:t>
      </w:r>
      <w:proofErr w:type="spellStart"/>
      <w:r w:rsidRPr="00424274">
        <w:rPr>
          <w:rFonts w:ascii="Arial" w:hAnsi="Arial"/>
          <w:sz w:val="20"/>
        </w:rPr>
        <w:t>interconnection</w:t>
      </w:r>
      <w:proofErr w:type="spellEnd"/>
      <w:r w:rsidRPr="00424274">
        <w:rPr>
          <w:rFonts w:ascii="Arial" w:hAnsi="Arial"/>
          <w:sz w:val="20"/>
        </w:rPr>
        <w:t xml:space="preserve"> </w:t>
      </w:r>
      <w:proofErr w:type="spellStart"/>
      <w:r w:rsidRPr="00424274">
        <w:rPr>
          <w:rFonts w:ascii="Arial" w:hAnsi="Arial"/>
          <w:sz w:val="20"/>
        </w:rPr>
        <w:t>system</w:t>
      </w:r>
      <w:proofErr w:type="spellEnd"/>
      <w:r w:rsidR="00A564C4">
        <w:rPr>
          <w:rFonts w:ascii="Arial" w:hAnsi="Arial"/>
          <w:sz w:val="20"/>
        </w:rPr>
        <w:t xml:space="preserve"> –</w:t>
      </w:r>
      <w:r w:rsidRPr="00424274">
        <w:rPr>
          <w:rFonts w:ascii="Arial" w:hAnsi="Arial"/>
          <w:sz w:val="20"/>
        </w:rPr>
        <w:t xml:space="preserve"> sistem povezovanja registrov dejanskega lastništva), strukturo standardnega formata za sporočila, podatke za platformo, načine delovanja sistema in storitev informacijske tehnologije, ki jih omogoča platforma, iskalne kriterije, načine plačila in spletno prijavo ter razpoložljivost storitev. </w:t>
      </w:r>
    </w:p>
    <w:p w14:paraId="5680C8E3" w14:textId="77777777" w:rsidR="000E0460" w:rsidRPr="00424274" w:rsidRDefault="000E0460" w:rsidP="000E0460">
      <w:pPr>
        <w:widowControl/>
        <w:spacing w:line="276" w:lineRule="auto"/>
        <w:rPr>
          <w:rFonts w:ascii="Arial" w:hAnsi="Arial"/>
          <w:sz w:val="20"/>
        </w:rPr>
      </w:pPr>
    </w:p>
    <w:p w14:paraId="25A79930" w14:textId="4A2871FC" w:rsidR="000E0460" w:rsidRPr="00424274" w:rsidRDefault="00A564C4" w:rsidP="000E0460">
      <w:pPr>
        <w:spacing w:line="276" w:lineRule="auto"/>
        <w:rPr>
          <w:rFonts w:ascii="Arial" w:hAnsi="Arial"/>
          <w:sz w:val="20"/>
        </w:rPr>
      </w:pPr>
      <w:r>
        <w:rPr>
          <w:rFonts w:ascii="Arial" w:hAnsi="Arial"/>
          <w:sz w:val="20"/>
        </w:rPr>
        <w:t>Med</w:t>
      </w:r>
      <w:r w:rsidR="000E0460" w:rsidRPr="00424274">
        <w:rPr>
          <w:rFonts w:ascii="Arial" w:hAnsi="Arial"/>
          <w:sz w:val="20"/>
        </w:rPr>
        <w:t xml:space="preserve"> razprav</w:t>
      </w:r>
      <w:r>
        <w:rPr>
          <w:rFonts w:ascii="Arial" w:hAnsi="Arial"/>
          <w:sz w:val="20"/>
        </w:rPr>
        <w:t>o</w:t>
      </w:r>
      <w:r w:rsidR="000E0460" w:rsidRPr="00424274">
        <w:rPr>
          <w:rFonts w:ascii="Arial" w:hAnsi="Arial"/>
          <w:sz w:val="20"/>
        </w:rPr>
        <w:t xml:space="preserve"> so številne delegacije, med njimi tudi slovenska</w:t>
      </w:r>
      <w:r>
        <w:rPr>
          <w:rFonts w:ascii="Arial" w:hAnsi="Arial"/>
          <w:sz w:val="20"/>
        </w:rPr>
        <w:t>,</w:t>
      </w:r>
      <w:r w:rsidR="000E0460" w:rsidRPr="00424274">
        <w:rPr>
          <w:rFonts w:ascii="Arial" w:hAnsi="Arial"/>
          <w:sz w:val="20"/>
        </w:rPr>
        <w:t xml:space="preserve"> </w:t>
      </w:r>
      <w:r>
        <w:rPr>
          <w:rFonts w:ascii="Arial" w:hAnsi="Arial"/>
          <w:sz w:val="20"/>
        </w:rPr>
        <w:t>poudarile</w:t>
      </w:r>
      <w:r w:rsidRPr="00424274">
        <w:rPr>
          <w:rFonts w:ascii="Arial" w:hAnsi="Arial"/>
          <w:sz w:val="20"/>
        </w:rPr>
        <w:t xml:space="preserve"> </w:t>
      </w:r>
      <w:r w:rsidR="000E0460" w:rsidRPr="00424274">
        <w:rPr>
          <w:rFonts w:ascii="Arial" w:hAnsi="Arial"/>
          <w:sz w:val="20"/>
        </w:rPr>
        <w:t xml:space="preserve">vidik varovanja osebnih podatkov pri dostopu do določenih podatkov o dejanskih lastnikih za uporabnike širše javnosti. Slovenski predstavniki so predstavili tudi lastno specifiko načina plačila, ki temelji na plačilu letne članarine za dostop do podatkov za zavezance. </w:t>
      </w:r>
    </w:p>
    <w:p w14:paraId="29AC8F6B" w14:textId="77777777" w:rsidR="000E0460" w:rsidRPr="00424274" w:rsidRDefault="000E0460" w:rsidP="000E0460">
      <w:pPr>
        <w:spacing w:line="276" w:lineRule="auto"/>
        <w:rPr>
          <w:rFonts w:ascii="Arial" w:hAnsi="Arial"/>
          <w:sz w:val="20"/>
        </w:rPr>
      </w:pPr>
    </w:p>
    <w:p w14:paraId="07248D9E" w14:textId="105D2CB6" w:rsidR="002900FF" w:rsidRDefault="000E0460" w:rsidP="00A8652F">
      <w:pPr>
        <w:widowControl/>
        <w:spacing w:line="276" w:lineRule="auto"/>
        <w:rPr>
          <w:rFonts w:ascii="Arial" w:hAnsi="Arial"/>
          <w:sz w:val="20"/>
        </w:rPr>
      </w:pPr>
      <w:r w:rsidRPr="00424274">
        <w:rPr>
          <w:rFonts w:ascii="Arial" w:hAnsi="Arial"/>
          <w:sz w:val="20"/>
        </w:rPr>
        <w:t xml:space="preserve">V okviru odbora je bila konec leta ustanovljena podskupina za informacijsko tehnologijo, ki je </w:t>
      </w:r>
      <w:r w:rsidR="00E749C6">
        <w:rPr>
          <w:rFonts w:ascii="Arial" w:hAnsi="Arial"/>
          <w:sz w:val="20"/>
        </w:rPr>
        <w:t>pristojna</w:t>
      </w:r>
      <w:r w:rsidR="00E749C6" w:rsidRPr="00424274">
        <w:rPr>
          <w:rFonts w:ascii="Arial" w:hAnsi="Arial"/>
          <w:sz w:val="20"/>
        </w:rPr>
        <w:t xml:space="preserve"> </w:t>
      </w:r>
      <w:r w:rsidRPr="00424274">
        <w:rPr>
          <w:rFonts w:ascii="Arial" w:hAnsi="Arial"/>
          <w:sz w:val="20"/>
        </w:rPr>
        <w:t>za pripravo podrobnih tehničnih specifikacij za povezavo registrov dejanskih lastnikov držav članic.</w:t>
      </w:r>
    </w:p>
    <w:p w14:paraId="6188F96A" w14:textId="77777777" w:rsidR="00AC6E5C" w:rsidRPr="00424274" w:rsidRDefault="00AC6E5C" w:rsidP="00A8652F">
      <w:pPr>
        <w:widowControl/>
        <w:spacing w:line="276" w:lineRule="auto"/>
        <w:rPr>
          <w:rFonts w:ascii="Arial" w:hAnsi="Arial"/>
          <w:sz w:val="20"/>
        </w:rPr>
      </w:pPr>
    </w:p>
    <w:p w14:paraId="2059AD22" w14:textId="77777777" w:rsidR="002F64F4" w:rsidRPr="00424274" w:rsidRDefault="002F64F4" w:rsidP="00AC6E5C">
      <w:pPr>
        <w:pStyle w:val="Naslov2"/>
      </w:pPr>
      <w:bookmarkStart w:id="139" w:name="_Toc402346336"/>
      <w:bookmarkStart w:id="140" w:name="_Toc113535492"/>
      <w:bookmarkStart w:id="141" w:name="_Toc74461975"/>
      <w:bookmarkStart w:id="142" w:name="_Toc135206761"/>
      <w:bookmarkStart w:id="143" w:name="_Toc505573540"/>
      <w:bookmarkStart w:id="144" w:name="_Toc506877165"/>
      <w:bookmarkStart w:id="145" w:name="_Toc6633746"/>
      <w:bookmarkStart w:id="146" w:name="_Toc43532595"/>
      <w:bookmarkStart w:id="147" w:name="_Toc478192120"/>
      <w:bookmarkStart w:id="148" w:name="_Toc505573537"/>
      <w:bookmarkStart w:id="149" w:name="_Toc506877162"/>
      <w:bookmarkStart w:id="150" w:name="_Toc6633743"/>
      <w:bookmarkStart w:id="151" w:name="_Toc43532592"/>
      <w:bookmarkStart w:id="152" w:name="_Toc107306537"/>
      <w:bookmarkEnd w:id="130"/>
      <w:bookmarkEnd w:id="131"/>
      <w:bookmarkEnd w:id="132"/>
      <w:bookmarkEnd w:id="133"/>
      <w:bookmarkEnd w:id="134"/>
      <w:bookmarkEnd w:id="135"/>
      <w:r w:rsidRPr="00424274">
        <w:t>SODELOVANJE PRI STROKOVNEM USPOSABLJANJU</w:t>
      </w:r>
      <w:bookmarkEnd w:id="139"/>
      <w:bookmarkEnd w:id="140"/>
      <w:r w:rsidRPr="00424274">
        <w:t xml:space="preserve"> </w:t>
      </w:r>
    </w:p>
    <w:p w14:paraId="2B53B6D0" w14:textId="77777777" w:rsidR="002F64F4" w:rsidRPr="00424274" w:rsidRDefault="002F64F4" w:rsidP="00D21F86">
      <w:pPr>
        <w:pStyle w:val="Noga"/>
        <w:tabs>
          <w:tab w:val="clear" w:pos="4153"/>
          <w:tab w:val="clear" w:pos="8306"/>
        </w:tabs>
        <w:spacing w:line="276" w:lineRule="auto"/>
        <w:rPr>
          <w:rFonts w:ascii="Arial" w:hAnsi="Arial"/>
        </w:rPr>
      </w:pPr>
    </w:p>
    <w:p w14:paraId="486AF223" w14:textId="333A1A68" w:rsidR="000D2827" w:rsidRPr="00424274" w:rsidRDefault="000D2827" w:rsidP="000D2827">
      <w:pPr>
        <w:widowControl/>
        <w:spacing w:line="276" w:lineRule="auto"/>
        <w:rPr>
          <w:rFonts w:ascii="Arial" w:hAnsi="Arial"/>
          <w:bCs/>
          <w:iCs/>
          <w:sz w:val="20"/>
        </w:rPr>
      </w:pPr>
      <w:bookmarkStart w:id="153" w:name="_Toc107306514"/>
      <w:bookmarkStart w:id="154" w:name="_Toc134427541"/>
      <w:bookmarkStart w:id="155" w:name="_Toc200524167"/>
      <w:bookmarkStart w:id="156" w:name="_Toc200853563"/>
      <w:bookmarkStart w:id="157" w:name="_Toc227744146"/>
      <w:bookmarkStart w:id="158" w:name="_Toc292714859"/>
      <w:bookmarkStart w:id="159" w:name="_Toc325462254"/>
      <w:bookmarkStart w:id="160" w:name="_Toc402346337"/>
      <w:bookmarkStart w:id="161" w:name="_Toc529353604"/>
      <w:bookmarkStart w:id="162" w:name="_Toc107306515"/>
      <w:bookmarkStart w:id="163" w:name="_Toc134427542"/>
      <w:bookmarkStart w:id="164" w:name="_Toc200524168"/>
      <w:bookmarkStart w:id="165" w:name="_Toc200853564"/>
      <w:bookmarkStart w:id="166" w:name="_Toc227744147"/>
      <w:bookmarkStart w:id="167" w:name="_Toc292714860"/>
      <w:bookmarkStart w:id="168" w:name="_Toc325462255"/>
      <w:bookmarkStart w:id="169" w:name="_Toc43532576"/>
      <w:r w:rsidRPr="00424274">
        <w:rPr>
          <w:rFonts w:ascii="Arial" w:hAnsi="Arial"/>
          <w:sz w:val="20"/>
        </w:rPr>
        <w:t xml:space="preserve">Na podlagi 6. točke prvega odstavka 79. člena ZPPDFT-1 in Pravilnika o izvajanju notranje kontrole, pooblaščencu, hrambi in varstvu podatkov, strokovnem usposabljanju ter upravljanju evidenc pri zavezancih (Uradni list RS, št. 54/17) morajo zavezanci iz 4. člena ZPPDFT-1 zagotavljati redno strokovno usposabljanje v zvezi z odkrivanjem in preprečevanjem pranja denarja in financiranjem terorizma vseh zaposlenih, ki opravljajo naloge po ZPPDFT-1. Pri strokovnem usposabljanju na podlagi 4. točke 114. člena ZPPDFT-1 sodeluje tudi </w:t>
      </w:r>
      <w:r w:rsidR="00A0541B">
        <w:rPr>
          <w:rFonts w:ascii="Arial" w:hAnsi="Arial"/>
          <w:sz w:val="20"/>
        </w:rPr>
        <w:t>urad</w:t>
      </w:r>
      <w:r w:rsidRPr="00424274">
        <w:rPr>
          <w:rFonts w:ascii="Arial" w:hAnsi="Arial"/>
          <w:sz w:val="20"/>
        </w:rPr>
        <w:t xml:space="preserve">. </w:t>
      </w:r>
      <w:r w:rsidRPr="00424274">
        <w:rPr>
          <w:rFonts w:ascii="Arial" w:hAnsi="Arial"/>
          <w:bCs/>
          <w:iCs/>
          <w:sz w:val="20"/>
        </w:rPr>
        <w:t xml:space="preserve">Na tej podlagi so predstavniki </w:t>
      </w:r>
      <w:r w:rsidR="00A0541B">
        <w:rPr>
          <w:rFonts w:ascii="Arial" w:hAnsi="Arial"/>
          <w:bCs/>
          <w:iCs/>
          <w:sz w:val="20"/>
        </w:rPr>
        <w:t>urad</w:t>
      </w:r>
      <w:r w:rsidRPr="00424274">
        <w:rPr>
          <w:rFonts w:ascii="Arial" w:hAnsi="Arial"/>
          <w:bCs/>
          <w:iCs/>
          <w:sz w:val="20"/>
        </w:rPr>
        <w:t>a v letu 2020 izvedli skupno 17 ur predavanj na različnih seminarjih doma in v tujini, ki pa so se zaradi razmer</w:t>
      </w:r>
      <w:r w:rsidR="00E749C6">
        <w:rPr>
          <w:rFonts w:ascii="Arial" w:hAnsi="Arial"/>
          <w:bCs/>
          <w:iCs/>
          <w:sz w:val="20"/>
        </w:rPr>
        <w:t>,</w:t>
      </w:r>
      <w:r w:rsidRPr="00424274">
        <w:rPr>
          <w:rFonts w:ascii="Arial" w:hAnsi="Arial"/>
          <w:bCs/>
          <w:iCs/>
          <w:sz w:val="20"/>
        </w:rPr>
        <w:t xml:space="preserve"> povezanih z epidemijo </w:t>
      </w:r>
      <w:r w:rsidR="008A1626">
        <w:rPr>
          <w:rFonts w:ascii="Arial" w:hAnsi="Arial"/>
          <w:bCs/>
          <w:iCs/>
          <w:sz w:val="20"/>
        </w:rPr>
        <w:t>covida</w:t>
      </w:r>
      <w:r w:rsidRPr="00424274">
        <w:rPr>
          <w:rFonts w:ascii="Arial" w:hAnsi="Arial"/>
          <w:bCs/>
          <w:iCs/>
          <w:sz w:val="20"/>
        </w:rPr>
        <w:t>-19, v večini izvajali na daljavo v obliki spletnega seminarja.</w:t>
      </w:r>
    </w:p>
    <w:p w14:paraId="243A3E2F" w14:textId="152C8F40" w:rsidR="000D2827" w:rsidRPr="00424274" w:rsidRDefault="000D2827" w:rsidP="000D2827">
      <w:pPr>
        <w:widowControl/>
        <w:spacing w:line="276" w:lineRule="auto"/>
        <w:rPr>
          <w:rFonts w:ascii="Arial" w:hAnsi="Arial"/>
          <w:sz w:val="20"/>
        </w:rPr>
      </w:pPr>
    </w:p>
    <w:p w14:paraId="6980388E" w14:textId="77777777" w:rsidR="007908B3" w:rsidRPr="00424274" w:rsidRDefault="007908B3" w:rsidP="000D2827">
      <w:pPr>
        <w:widowControl/>
        <w:spacing w:line="276" w:lineRule="auto"/>
        <w:rPr>
          <w:rFonts w:ascii="Arial" w:hAnsi="Arial"/>
          <w:sz w:val="20"/>
        </w:rPr>
      </w:pPr>
    </w:p>
    <w:p w14:paraId="69DC4467" w14:textId="76ACF3A4" w:rsidR="00CF0F99" w:rsidRPr="00424274" w:rsidRDefault="007908B3" w:rsidP="006D5A5A">
      <w:pPr>
        <w:pStyle w:val="Naslov3"/>
      </w:pPr>
      <w:bookmarkStart w:id="170" w:name="_Toc113535493"/>
      <w:r w:rsidRPr="00424274">
        <w:t xml:space="preserve">5.3.1 </w:t>
      </w:r>
      <w:r w:rsidR="00CF0F99" w:rsidRPr="00424274">
        <w:t>Strokovna usposabljanja in predavanja v Sloveni</w:t>
      </w:r>
      <w:bookmarkEnd w:id="153"/>
      <w:bookmarkEnd w:id="154"/>
      <w:bookmarkEnd w:id="155"/>
      <w:r w:rsidR="00CF0F99" w:rsidRPr="00424274">
        <w:t>ji</w:t>
      </w:r>
      <w:bookmarkEnd w:id="156"/>
      <w:bookmarkEnd w:id="157"/>
      <w:bookmarkEnd w:id="158"/>
      <w:bookmarkEnd w:id="159"/>
      <w:bookmarkEnd w:id="160"/>
      <w:bookmarkEnd w:id="161"/>
      <w:bookmarkEnd w:id="170"/>
    </w:p>
    <w:p w14:paraId="42391456" w14:textId="77777777" w:rsidR="00CF0F99" w:rsidRPr="00424274" w:rsidRDefault="00CF0F99" w:rsidP="00F06D8C">
      <w:pPr>
        <w:pStyle w:val="Telobesedila2"/>
        <w:widowControl/>
        <w:tabs>
          <w:tab w:val="clear" w:pos="-1049"/>
          <w:tab w:val="clear" w:pos="-689"/>
          <w:tab w:val="clear" w:pos="31"/>
          <w:tab w:val="clear" w:pos="751"/>
          <w:tab w:val="clear" w:pos="1471"/>
          <w:tab w:val="clear" w:pos="2191"/>
          <w:tab w:val="clear" w:pos="2911"/>
          <w:tab w:val="clear" w:pos="3631"/>
          <w:tab w:val="clear" w:pos="4351"/>
          <w:tab w:val="clear" w:pos="4531"/>
          <w:tab w:val="clear" w:pos="5071"/>
          <w:tab w:val="clear" w:pos="5791"/>
          <w:tab w:val="clear" w:pos="6511"/>
          <w:tab w:val="clear" w:pos="7231"/>
          <w:tab w:val="clear" w:pos="7951"/>
          <w:tab w:val="clear" w:pos="8671"/>
          <w:tab w:val="clear" w:pos="9391"/>
          <w:tab w:val="clear" w:pos="10111"/>
          <w:tab w:val="clear" w:pos="10831"/>
          <w:tab w:val="clear" w:pos="11551"/>
        </w:tabs>
        <w:spacing w:line="276" w:lineRule="auto"/>
        <w:rPr>
          <w:rFonts w:ascii="Arial" w:hAnsi="Arial"/>
          <w:sz w:val="20"/>
        </w:rPr>
      </w:pPr>
    </w:p>
    <w:p w14:paraId="63040B1B" w14:textId="640BC965" w:rsidR="006954EA" w:rsidRPr="00424274" w:rsidRDefault="006954EA" w:rsidP="006954EA">
      <w:pPr>
        <w:widowControl/>
        <w:spacing w:line="276" w:lineRule="auto"/>
        <w:rPr>
          <w:rFonts w:ascii="Arial" w:hAnsi="Arial"/>
          <w:sz w:val="20"/>
        </w:rPr>
      </w:pPr>
      <w:r w:rsidRPr="00424274">
        <w:rPr>
          <w:rFonts w:ascii="Arial" w:hAnsi="Arial"/>
          <w:sz w:val="20"/>
        </w:rPr>
        <w:t xml:space="preserve">Predavanja, ki so jih predstavniki </w:t>
      </w:r>
      <w:r w:rsidR="00A0541B">
        <w:rPr>
          <w:rFonts w:ascii="Arial" w:hAnsi="Arial"/>
          <w:sz w:val="20"/>
        </w:rPr>
        <w:t>urad</w:t>
      </w:r>
      <w:r w:rsidRPr="00424274">
        <w:rPr>
          <w:rFonts w:ascii="Arial" w:hAnsi="Arial"/>
          <w:sz w:val="20"/>
        </w:rPr>
        <w:t>a izvedli v Sloveniji, so bila namenjena predvsem zaposlenim v bankah in družbah za upravljanje. Iz nefinančnega sektorja pa so bila usposabljanja izvedena za davčne svetovalce, računovodje in odvetnike. Med pomembnejšimi predavanji naj omenimo naslednje:</w:t>
      </w:r>
    </w:p>
    <w:p w14:paraId="2D2B06D1" w14:textId="77777777" w:rsidR="006954EA" w:rsidRPr="00424274" w:rsidRDefault="006954EA" w:rsidP="006954EA">
      <w:pPr>
        <w:widowControl/>
        <w:spacing w:line="276" w:lineRule="auto"/>
        <w:rPr>
          <w:rFonts w:ascii="Arial" w:hAnsi="Arial"/>
          <w:sz w:val="20"/>
        </w:rPr>
      </w:pPr>
    </w:p>
    <w:p w14:paraId="66B14B00" w14:textId="314A7C5B" w:rsidR="006954EA" w:rsidRPr="00424274" w:rsidRDefault="006954EA" w:rsidP="006954EA">
      <w:pPr>
        <w:numPr>
          <w:ilvl w:val="0"/>
          <w:numId w:val="9"/>
        </w:numPr>
        <w:spacing w:line="276" w:lineRule="auto"/>
        <w:rPr>
          <w:rFonts w:ascii="Arial" w:hAnsi="Arial"/>
          <w:sz w:val="20"/>
        </w:rPr>
      </w:pPr>
      <w:r w:rsidRPr="00424274">
        <w:rPr>
          <w:rFonts w:ascii="Arial" w:hAnsi="Arial"/>
          <w:sz w:val="20"/>
        </w:rPr>
        <w:t xml:space="preserve">v aprilu 2020 sta predstavnika </w:t>
      </w:r>
      <w:r w:rsidR="00A0541B">
        <w:rPr>
          <w:rFonts w:ascii="Arial" w:hAnsi="Arial"/>
          <w:sz w:val="20"/>
        </w:rPr>
        <w:t>urad</w:t>
      </w:r>
      <w:r w:rsidRPr="00424274">
        <w:rPr>
          <w:rFonts w:ascii="Arial" w:hAnsi="Arial"/>
          <w:sz w:val="20"/>
        </w:rPr>
        <w:t>a sodelovala na spletnem srečanju IT</w:t>
      </w:r>
      <w:r w:rsidR="00E749C6">
        <w:rPr>
          <w:rFonts w:ascii="Arial" w:hAnsi="Arial"/>
          <w:sz w:val="20"/>
        </w:rPr>
        <w:t>-</w:t>
      </w:r>
      <w:r w:rsidRPr="00424274">
        <w:rPr>
          <w:rFonts w:ascii="Arial" w:hAnsi="Arial"/>
          <w:sz w:val="20"/>
        </w:rPr>
        <w:t>klubov, kjer sta predstavila obveznosti zavezancev po ZPPDFT-1 ter Smernice razvoja informacijskega sistema (1</w:t>
      </w:r>
      <w:r w:rsidR="00E749C6">
        <w:rPr>
          <w:rFonts w:ascii="Arial" w:hAnsi="Arial"/>
          <w:sz w:val="20"/>
        </w:rPr>
        <w:t> </w:t>
      </w:r>
      <w:r w:rsidRPr="00424274">
        <w:rPr>
          <w:rFonts w:ascii="Arial" w:hAnsi="Arial"/>
          <w:sz w:val="20"/>
        </w:rPr>
        <w:t>h);</w:t>
      </w:r>
    </w:p>
    <w:p w14:paraId="3A973F5A" w14:textId="587F8808" w:rsidR="006954EA" w:rsidRPr="00424274" w:rsidRDefault="006954EA" w:rsidP="006954EA">
      <w:pPr>
        <w:numPr>
          <w:ilvl w:val="0"/>
          <w:numId w:val="9"/>
        </w:numPr>
        <w:spacing w:line="276" w:lineRule="auto"/>
        <w:rPr>
          <w:rFonts w:ascii="Arial" w:hAnsi="Arial"/>
          <w:sz w:val="20"/>
        </w:rPr>
      </w:pPr>
      <w:r w:rsidRPr="00424274">
        <w:rPr>
          <w:rFonts w:ascii="Arial" w:hAnsi="Arial"/>
          <w:sz w:val="20"/>
        </w:rPr>
        <w:t>v septembru je ZBS organizira</w:t>
      </w:r>
      <w:r w:rsidR="00E749C6">
        <w:rPr>
          <w:rFonts w:ascii="Arial" w:hAnsi="Arial"/>
          <w:sz w:val="20"/>
        </w:rPr>
        <w:t>l</w:t>
      </w:r>
      <w:r w:rsidRPr="00424274">
        <w:rPr>
          <w:rFonts w:ascii="Arial" w:hAnsi="Arial"/>
          <w:sz w:val="20"/>
        </w:rPr>
        <w:t xml:space="preserve"> </w:t>
      </w:r>
      <w:r w:rsidR="00E749C6">
        <w:rPr>
          <w:rFonts w:ascii="Arial" w:hAnsi="Arial"/>
          <w:sz w:val="20"/>
        </w:rPr>
        <w:t>p</w:t>
      </w:r>
      <w:r w:rsidRPr="00424274">
        <w:rPr>
          <w:rFonts w:ascii="Arial" w:hAnsi="Arial"/>
          <w:sz w:val="20"/>
        </w:rPr>
        <w:t xml:space="preserve">osvet o odkrivanju in preprečevanju pranja denarja, kjer sta predstavnika </w:t>
      </w:r>
      <w:r w:rsidR="00A0541B">
        <w:rPr>
          <w:rFonts w:ascii="Arial" w:hAnsi="Arial"/>
          <w:sz w:val="20"/>
        </w:rPr>
        <w:t>urad</w:t>
      </w:r>
      <w:r w:rsidRPr="00424274">
        <w:rPr>
          <w:rFonts w:ascii="Arial" w:hAnsi="Arial"/>
          <w:sz w:val="20"/>
        </w:rPr>
        <w:t>a predstavila novosti na področju preprečevanja pranja denarja in financiranja terorizma ter tipologije pranja denarja (1</w:t>
      </w:r>
      <w:r w:rsidR="00E749C6">
        <w:rPr>
          <w:rFonts w:ascii="Arial" w:hAnsi="Arial"/>
          <w:sz w:val="20"/>
        </w:rPr>
        <w:t> </w:t>
      </w:r>
      <w:r w:rsidRPr="00424274">
        <w:rPr>
          <w:rFonts w:ascii="Arial" w:hAnsi="Arial"/>
          <w:sz w:val="20"/>
        </w:rPr>
        <w:t>h 45</w:t>
      </w:r>
      <w:r w:rsidR="00E749C6">
        <w:rPr>
          <w:rFonts w:ascii="Arial" w:hAnsi="Arial"/>
          <w:sz w:val="20"/>
        </w:rPr>
        <w:t xml:space="preserve"> </w:t>
      </w:r>
      <w:r w:rsidRPr="00424274">
        <w:rPr>
          <w:rFonts w:ascii="Arial" w:hAnsi="Arial"/>
          <w:sz w:val="20"/>
        </w:rPr>
        <w:t>min</w:t>
      </w:r>
      <w:r w:rsidR="00E749C6">
        <w:rPr>
          <w:rFonts w:ascii="Arial" w:hAnsi="Arial"/>
          <w:sz w:val="20"/>
        </w:rPr>
        <w:t>.</w:t>
      </w:r>
      <w:r w:rsidRPr="00424274">
        <w:rPr>
          <w:rFonts w:ascii="Arial" w:hAnsi="Arial"/>
          <w:sz w:val="20"/>
        </w:rPr>
        <w:t>);</w:t>
      </w:r>
    </w:p>
    <w:p w14:paraId="57663F4D" w14:textId="183AFA3F" w:rsidR="006954EA" w:rsidRPr="00424274" w:rsidRDefault="006954EA" w:rsidP="006954EA">
      <w:pPr>
        <w:numPr>
          <w:ilvl w:val="0"/>
          <w:numId w:val="9"/>
        </w:numPr>
        <w:spacing w:line="276" w:lineRule="auto"/>
        <w:rPr>
          <w:rFonts w:ascii="Arial" w:hAnsi="Arial"/>
          <w:sz w:val="20"/>
        </w:rPr>
      </w:pPr>
      <w:r w:rsidRPr="00424274">
        <w:rPr>
          <w:rFonts w:ascii="Arial" w:hAnsi="Arial"/>
          <w:sz w:val="20"/>
        </w:rPr>
        <w:t xml:space="preserve">na povabilo Združenja družb za upravljanje sta predstavnika </w:t>
      </w:r>
      <w:r w:rsidR="00A0541B">
        <w:rPr>
          <w:rFonts w:ascii="Arial" w:hAnsi="Arial"/>
          <w:sz w:val="20"/>
        </w:rPr>
        <w:t>urad</w:t>
      </w:r>
      <w:r w:rsidRPr="00424274">
        <w:rPr>
          <w:rFonts w:ascii="Arial" w:hAnsi="Arial"/>
          <w:sz w:val="20"/>
        </w:rPr>
        <w:t>a v septembru sodelovala na posvetu</w:t>
      </w:r>
      <w:r w:rsidR="00E749C6">
        <w:rPr>
          <w:rFonts w:ascii="Arial" w:hAnsi="Arial"/>
          <w:sz w:val="20"/>
        </w:rPr>
        <w:t xml:space="preserve"> in</w:t>
      </w:r>
      <w:r w:rsidRPr="00424274">
        <w:rPr>
          <w:rFonts w:ascii="Arial" w:hAnsi="Arial"/>
          <w:sz w:val="20"/>
        </w:rPr>
        <w:t xml:space="preserve"> predstavila spremembe ZPPDFT-1, izkušnje oziroma izzive veljavnega zakona, tipologije pranja denarja ter sumljive transakcije (2</w:t>
      </w:r>
      <w:r w:rsidR="00E749C6">
        <w:rPr>
          <w:rFonts w:ascii="Arial" w:hAnsi="Arial"/>
          <w:sz w:val="20"/>
        </w:rPr>
        <w:t> </w:t>
      </w:r>
      <w:r w:rsidRPr="00424274">
        <w:rPr>
          <w:rFonts w:ascii="Arial" w:hAnsi="Arial"/>
          <w:sz w:val="20"/>
        </w:rPr>
        <w:t>h);</w:t>
      </w:r>
    </w:p>
    <w:p w14:paraId="0897647D" w14:textId="299EFBFC" w:rsidR="006954EA" w:rsidRPr="00424274" w:rsidRDefault="006954EA" w:rsidP="006954EA">
      <w:pPr>
        <w:numPr>
          <w:ilvl w:val="0"/>
          <w:numId w:val="9"/>
        </w:numPr>
        <w:spacing w:line="276" w:lineRule="auto"/>
        <w:rPr>
          <w:rFonts w:ascii="Arial" w:hAnsi="Arial"/>
          <w:sz w:val="20"/>
        </w:rPr>
      </w:pPr>
      <w:r w:rsidRPr="00424274">
        <w:rPr>
          <w:rFonts w:ascii="Arial" w:hAnsi="Arial"/>
          <w:sz w:val="20"/>
        </w:rPr>
        <w:t xml:space="preserve">prav tako v septembru sta se predstavnika </w:t>
      </w:r>
      <w:r w:rsidR="00A0541B">
        <w:rPr>
          <w:rFonts w:ascii="Arial" w:hAnsi="Arial"/>
          <w:sz w:val="20"/>
        </w:rPr>
        <w:t>urad</w:t>
      </w:r>
      <w:r w:rsidRPr="00424274">
        <w:rPr>
          <w:rFonts w:ascii="Arial" w:hAnsi="Arial"/>
          <w:sz w:val="20"/>
        </w:rPr>
        <w:t>a na povabilo Banke Slovenije udeležila nadzorniškega kolegija za bančno skupino NLB, kjer sta predstavila trende in tipologije pranja denarja (1</w:t>
      </w:r>
      <w:r w:rsidR="00E749C6">
        <w:rPr>
          <w:rFonts w:ascii="Arial" w:hAnsi="Arial"/>
          <w:sz w:val="20"/>
        </w:rPr>
        <w:t> </w:t>
      </w:r>
      <w:r w:rsidRPr="00424274">
        <w:rPr>
          <w:rFonts w:ascii="Arial" w:hAnsi="Arial"/>
          <w:sz w:val="20"/>
        </w:rPr>
        <w:t>h);</w:t>
      </w:r>
    </w:p>
    <w:p w14:paraId="32F6B806" w14:textId="4E8AAAB1" w:rsidR="006954EA" w:rsidRPr="00424274" w:rsidRDefault="006954EA" w:rsidP="006954EA">
      <w:pPr>
        <w:numPr>
          <w:ilvl w:val="0"/>
          <w:numId w:val="9"/>
        </w:numPr>
        <w:spacing w:line="276" w:lineRule="auto"/>
        <w:rPr>
          <w:rFonts w:ascii="Arial" w:hAnsi="Arial"/>
          <w:sz w:val="20"/>
        </w:rPr>
      </w:pPr>
      <w:r w:rsidRPr="00424274">
        <w:rPr>
          <w:rFonts w:ascii="Arial" w:hAnsi="Arial"/>
          <w:sz w:val="20"/>
        </w:rPr>
        <w:t xml:space="preserve">na povabilo Odvetniške zbornice </w:t>
      </w:r>
      <w:r w:rsidR="00E749C6">
        <w:rPr>
          <w:rFonts w:ascii="Arial" w:hAnsi="Arial"/>
          <w:sz w:val="20"/>
        </w:rPr>
        <w:t xml:space="preserve">Slovenije </w:t>
      </w:r>
      <w:r w:rsidRPr="00424274">
        <w:rPr>
          <w:rFonts w:ascii="Arial" w:hAnsi="Arial"/>
          <w:sz w:val="20"/>
        </w:rPr>
        <w:t xml:space="preserve">je predstavnik </w:t>
      </w:r>
      <w:r w:rsidR="00A0541B">
        <w:rPr>
          <w:rFonts w:ascii="Arial" w:hAnsi="Arial"/>
          <w:sz w:val="20"/>
        </w:rPr>
        <w:t>urad</w:t>
      </w:r>
      <w:r w:rsidRPr="00424274">
        <w:rPr>
          <w:rFonts w:ascii="Arial" w:hAnsi="Arial"/>
          <w:sz w:val="20"/>
        </w:rPr>
        <w:t>a v septembru izvedel usposabljanje, kjer je predstavil vlogo odvetnikov pri preprečevanju pranja denarja in financiranja terorizma (30</w:t>
      </w:r>
      <w:r w:rsidR="00E749C6">
        <w:rPr>
          <w:rFonts w:ascii="Arial" w:hAnsi="Arial"/>
          <w:sz w:val="20"/>
        </w:rPr>
        <w:t xml:space="preserve"> </w:t>
      </w:r>
      <w:r w:rsidRPr="00424274">
        <w:rPr>
          <w:rFonts w:ascii="Arial" w:hAnsi="Arial"/>
          <w:sz w:val="20"/>
        </w:rPr>
        <w:t>min</w:t>
      </w:r>
      <w:r w:rsidR="00E749C6">
        <w:rPr>
          <w:rFonts w:ascii="Arial" w:hAnsi="Arial"/>
          <w:sz w:val="20"/>
        </w:rPr>
        <w:t>.</w:t>
      </w:r>
      <w:r w:rsidRPr="00424274">
        <w:rPr>
          <w:rFonts w:ascii="Arial" w:hAnsi="Arial"/>
          <w:sz w:val="20"/>
        </w:rPr>
        <w:t>);</w:t>
      </w:r>
    </w:p>
    <w:p w14:paraId="3DFE82E4" w14:textId="6318BF44" w:rsidR="006954EA" w:rsidRPr="00424274" w:rsidRDefault="006954EA" w:rsidP="006954EA">
      <w:pPr>
        <w:numPr>
          <w:ilvl w:val="0"/>
          <w:numId w:val="9"/>
        </w:numPr>
        <w:spacing w:line="276" w:lineRule="auto"/>
        <w:rPr>
          <w:rFonts w:ascii="Arial" w:hAnsi="Arial"/>
          <w:sz w:val="20"/>
        </w:rPr>
      </w:pPr>
      <w:r w:rsidRPr="00424274">
        <w:rPr>
          <w:rFonts w:ascii="Arial" w:hAnsi="Arial"/>
          <w:sz w:val="20"/>
        </w:rPr>
        <w:t>na povabilo Davčno</w:t>
      </w:r>
      <w:r w:rsidR="00E749C6">
        <w:rPr>
          <w:rFonts w:ascii="Arial" w:hAnsi="Arial"/>
          <w:sz w:val="20"/>
        </w:rPr>
        <w:t xml:space="preserve"> </w:t>
      </w:r>
      <w:r w:rsidRPr="00424274">
        <w:rPr>
          <w:rFonts w:ascii="Arial" w:hAnsi="Arial"/>
          <w:sz w:val="20"/>
        </w:rPr>
        <w:t>izobraževalnega in</w:t>
      </w:r>
      <w:r w:rsidR="00E749C6">
        <w:rPr>
          <w:rFonts w:ascii="Arial" w:hAnsi="Arial"/>
          <w:sz w:val="20"/>
        </w:rPr>
        <w:t>š</w:t>
      </w:r>
      <w:r w:rsidRPr="00424274">
        <w:rPr>
          <w:rFonts w:ascii="Arial" w:hAnsi="Arial"/>
          <w:sz w:val="20"/>
        </w:rPr>
        <w:t xml:space="preserve">tituta je predstavnica </w:t>
      </w:r>
      <w:r w:rsidR="00A0541B">
        <w:rPr>
          <w:rFonts w:ascii="Arial" w:hAnsi="Arial"/>
          <w:sz w:val="20"/>
        </w:rPr>
        <w:t>urad</w:t>
      </w:r>
      <w:r w:rsidRPr="00424274">
        <w:rPr>
          <w:rFonts w:ascii="Arial" w:hAnsi="Arial"/>
          <w:sz w:val="20"/>
        </w:rPr>
        <w:t>a v oktobru sodelovala na seminarju, kjer je predstavila novosti ZPPDFT-1, sistem PPDFT, ključne pojme ter naloge in obveznosti zavezancev (1</w:t>
      </w:r>
      <w:r w:rsidR="00E749C6">
        <w:rPr>
          <w:rFonts w:ascii="Arial" w:hAnsi="Arial"/>
          <w:sz w:val="20"/>
        </w:rPr>
        <w:t> </w:t>
      </w:r>
      <w:r w:rsidRPr="00424274">
        <w:rPr>
          <w:rFonts w:ascii="Arial" w:hAnsi="Arial"/>
          <w:sz w:val="20"/>
        </w:rPr>
        <w:t>h 30</w:t>
      </w:r>
      <w:r w:rsidR="00E749C6">
        <w:rPr>
          <w:rFonts w:ascii="Arial" w:hAnsi="Arial"/>
          <w:sz w:val="20"/>
        </w:rPr>
        <w:t> </w:t>
      </w:r>
      <w:r w:rsidRPr="00424274">
        <w:rPr>
          <w:rFonts w:ascii="Arial" w:hAnsi="Arial"/>
          <w:sz w:val="20"/>
        </w:rPr>
        <w:t>min</w:t>
      </w:r>
      <w:r w:rsidR="00E749C6">
        <w:rPr>
          <w:rFonts w:ascii="Arial" w:hAnsi="Arial"/>
          <w:sz w:val="20"/>
        </w:rPr>
        <w:t>.</w:t>
      </w:r>
      <w:r w:rsidRPr="00424274">
        <w:rPr>
          <w:rFonts w:ascii="Arial" w:hAnsi="Arial"/>
          <w:sz w:val="20"/>
        </w:rPr>
        <w:t>);</w:t>
      </w:r>
    </w:p>
    <w:p w14:paraId="67F02DF5" w14:textId="6FEB1896" w:rsidR="006954EA" w:rsidRPr="00424274" w:rsidRDefault="006954EA" w:rsidP="006954EA">
      <w:pPr>
        <w:numPr>
          <w:ilvl w:val="0"/>
          <w:numId w:val="9"/>
        </w:numPr>
        <w:spacing w:line="276" w:lineRule="auto"/>
        <w:rPr>
          <w:rFonts w:ascii="Arial" w:hAnsi="Arial"/>
          <w:sz w:val="20"/>
        </w:rPr>
      </w:pPr>
      <w:r w:rsidRPr="00424274">
        <w:rPr>
          <w:rFonts w:ascii="Arial" w:hAnsi="Arial"/>
          <w:sz w:val="20"/>
        </w:rPr>
        <w:t xml:space="preserve">na povabilo Pravne fakultete je predstavnik </w:t>
      </w:r>
      <w:r w:rsidR="00A0541B">
        <w:rPr>
          <w:rFonts w:ascii="Arial" w:hAnsi="Arial"/>
          <w:sz w:val="20"/>
        </w:rPr>
        <w:t>urad</w:t>
      </w:r>
      <w:r w:rsidRPr="00424274">
        <w:rPr>
          <w:rFonts w:ascii="Arial" w:hAnsi="Arial"/>
          <w:sz w:val="20"/>
        </w:rPr>
        <w:t>a oktobr</w:t>
      </w:r>
      <w:r w:rsidR="00E749C6">
        <w:rPr>
          <w:rFonts w:ascii="Arial" w:hAnsi="Arial"/>
          <w:sz w:val="20"/>
        </w:rPr>
        <w:t>a</w:t>
      </w:r>
      <w:r w:rsidRPr="00424274">
        <w:rPr>
          <w:rFonts w:ascii="Arial" w:hAnsi="Arial"/>
          <w:sz w:val="20"/>
        </w:rPr>
        <w:t xml:space="preserve"> študentom predstavil pooblastila in naloge </w:t>
      </w:r>
      <w:r w:rsidR="00A0541B">
        <w:rPr>
          <w:rFonts w:ascii="Arial" w:hAnsi="Arial"/>
          <w:sz w:val="20"/>
        </w:rPr>
        <w:t>urad</w:t>
      </w:r>
      <w:r w:rsidRPr="00424274">
        <w:rPr>
          <w:rFonts w:ascii="Arial" w:hAnsi="Arial"/>
          <w:sz w:val="20"/>
        </w:rPr>
        <w:t>a (4</w:t>
      </w:r>
      <w:r w:rsidR="00E749C6">
        <w:rPr>
          <w:rFonts w:ascii="Arial" w:hAnsi="Arial"/>
          <w:sz w:val="20"/>
        </w:rPr>
        <w:t> </w:t>
      </w:r>
      <w:r w:rsidRPr="00424274">
        <w:rPr>
          <w:rFonts w:ascii="Arial" w:hAnsi="Arial"/>
          <w:sz w:val="20"/>
        </w:rPr>
        <w:t>h);</w:t>
      </w:r>
    </w:p>
    <w:p w14:paraId="041FF4A3" w14:textId="608BD018" w:rsidR="006954EA" w:rsidRPr="00424274" w:rsidRDefault="006954EA" w:rsidP="006954EA">
      <w:pPr>
        <w:numPr>
          <w:ilvl w:val="0"/>
          <w:numId w:val="9"/>
        </w:numPr>
        <w:spacing w:line="276" w:lineRule="auto"/>
        <w:rPr>
          <w:rFonts w:ascii="Arial" w:hAnsi="Arial"/>
          <w:sz w:val="20"/>
        </w:rPr>
      </w:pPr>
      <w:r w:rsidRPr="00424274">
        <w:rPr>
          <w:rFonts w:ascii="Arial" w:hAnsi="Arial"/>
          <w:sz w:val="20"/>
        </w:rPr>
        <w:t xml:space="preserve">predstavnica </w:t>
      </w:r>
      <w:r w:rsidR="00A0541B">
        <w:rPr>
          <w:rFonts w:ascii="Arial" w:hAnsi="Arial"/>
          <w:sz w:val="20"/>
        </w:rPr>
        <w:t>urad</w:t>
      </w:r>
      <w:r w:rsidRPr="00424274">
        <w:rPr>
          <w:rFonts w:ascii="Arial" w:hAnsi="Arial"/>
          <w:sz w:val="20"/>
        </w:rPr>
        <w:t xml:space="preserve">a se je v decembru na povabilo </w:t>
      </w:r>
      <w:proofErr w:type="spellStart"/>
      <w:r w:rsidRPr="00424274">
        <w:rPr>
          <w:rFonts w:ascii="Arial" w:hAnsi="Arial"/>
          <w:sz w:val="20"/>
        </w:rPr>
        <w:t>Blockchain</w:t>
      </w:r>
      <w:proofErr w:type="spellEnd"/>
      <w:r w:rsidRPr="00424274">
        <w:rPr>
          <w:rFonts w:ascii="Arial" w:hAnsi="Arial"/>
          <w:sz w:val="20"/>
        </w:rPr>
        <w:t xml:space="preserve"> </w:t>
      </w:r>
      <w:proofErr w:type="spellStart"/>
      <w:r w:rsidRPr="00424274">
        <w:rPr>
          <w:rFonts w:ascii="Arial" w:hAnsi="Arial"/>
          <w:sz w:val="20"/>
        </w:rPr>
        <w:t>Think</w:t>
      </w:r>
      <w:proofErr w:type="spellEnd"/>
      <w:r w:rsidRPr="00424274">
        <w:rPr>
          <w:rFonts w:ascii="Arial" w:hAnsi="Arial"/>
          <w:sz w:val="20"/>
        </w:rPr>
        <w:t xml:space="preserve"> Tank udeležila seminarja, </w:t>
      </w:r>
      <w:r w:rsidRPr="00424274">
        <w:rPr>
          <w:rFonts w:ascii="Arial" w:hAnsi="Arial"/>
          <w:sz w:val="20"/>
        </w:rPr>
        <w:lastRenderedPageBreak/>
        <w:t xml:space="preserve">kjer je predstavila obveznosti ponudnikov virtualnih valut po ZPPDFT-1 </w:t>
      </w:r>
      <w:r w:rsidR="00E749C6">
        <w:rPr>
          <w:rFonts w:ascii="Arial" w:hAnsi="Arial"/>
          <w:sz w:val="20"/>
        </w:rPr>
        <w:t>in</w:t>
      </w:r>
      <w:r w:rsidR="00E749C6" w:rsidRPr="00424274">
        <w:rPr>
          <w:rFonts w:ascii="Arial" w:hAnsi="Arial"/>
          <w:sz w:val="20"/>
        </w:rPr>
        <w:t xml:space="preserve"> </w:t>
      </w:r>
      <w:r w:rsidRPr="00424274">
        <w:rPr>
          <w:rFonts w:ascii="Arial" w:hAnsi="Arial"/>
          <w:sz w:val="20"/>
        </w:rPr>
        <w:t>register ponudnikov (30</w:t>
      </w:r>
      <w:r w:rsidR="00E749C6">
        <w:rPr>
          <w:rFonts w:ascii="Arial" w:hAnsi="Arial"/>
          <w:sz w:val="20"/>
        </w:rPr>
        <w:t xml:space="preserve"> </w:t>
      </w:r>
      <w:r w:rsidRPr="00424274">
        <w:rPr>
          <w:rFonts w:ascii="Arial" w:hAnsi="Arial"/>
          <w:sz w:val="20"/>
        </w:rPr>
        <w:t>min</w:t>
      </w:r>
      <w:r w:rsidR="00E749C6">
        <w:rPr>
          <w:rFonts w:ascii="Arial" w:hAnsi="Arial"/>
          <w:sz w:val="20"/>
        </w:rPr>
        <w:t>.</w:t>
      </w:r>
      <w:r w:rsidRPr="00424274">
        <w:rPr>
          <w:rFonts w:ascii="Arial" w:hAnsi="Arial"/>
          <w:sz w:val="20"/>
        </w:rPr>
        <w:t>).</w:t>
      </w:r>
    </w:p>
    <w:p w14:paraId="528CA968" w14:textId="6EBB06E7" w:rsidR="00FE4EA2" w:rsidRPr="00424274" w:rsidRDefault="00FE4EA2" w:rsidP="006D5A5A">
      <w:pPr>
        <w:pStyle w:val="Naslov3"/>
      </w:pPr>
      <w:bookmarkStart w:id="171" w:name="_Toc113535494"/>
      <w:r w:rsidRPr="00424274">
        <w:t>5.3.2 Strokovna usposabljanja in predavanja v tujini</w:t>
      </w:r>
      <w:bookmarkEnd w:id="171"/>
    </w:p>
    <w:p w14:paraId="6220C35C" w14:textId="1DF396F6" w:rsidR="00285E30" w:rsidRPr="00424274" w:rsidRDefault="00285E30" w:rsidP="00285E30"/>
    <w:p w14:paraId="1D986E9B" w14:textId="07321FD0" w:rsidR="00285E30" w:rsidRPr="00424274" w:rsidRDefault="00285E30" w:rsidP="00285E30">
      <w:pPr>
        <w:widowControl/>
        <w:numPr>
          <w:ilvl w:val="0"/>
          <w:numId w:val="9"/>
        </w:numPr>
        <w:spacing w:line="276" w:lineRule="auto"/>
        <w:contextualSpacing/>
        <w:rPr>
          <w:rFonts w:ascii="Arial" w:hAnsi="Arial" w:cs="Times New Roman"/>
          <w:sz w:val="20"/>
          <w:szCs w:val="24"/>
        </w:rPr>
      </w:pPr>
      <w:r w:rsidRPr="00424274">
        <w:rPr>
          <w:rFonts w:ascii="Arial" w:hAnsi="Arial" w:cs="Times New Roman"/>
          <w:sz w:val="20"/>
          <w:szCs w:val="24"/>
        </w:rPr>
        <w:t xml:space="preserve">Predstavnica </w:t>
      </w:r>
      <w:r w:rsidR="00A0541B">
        <w:rPr>
          <w:rFonts w:ascii="Arial" w:hAnsi="Arial" w:cs="Times New Roman"/>
          <w:sz w:val="20"/>
          <w:szCs w:val="24"/>
        </w:rPr>
        <w:t>urad</w:t>
      </w:r>
      <w:r w:rsidRPr="00424274">
        <w:rPr>
          <w:rFonts w:ascii="Arial" w:hAnsi="Arial" w:cs="Times New Roman"/>
          <w:sz w:val="20"/>
          <w:szCs w:val="24"/>
        </w:rPr>
        <w:t xml:space="preserve">a je v juniju (v okviru </w:t>
      </w:r>
      <w:proofErr w:type="spellStart"/>
      <w:r w:rsidRPr="00424274">
        <w:rPr>
          <w:rFonts w:ascii="Arial" w:hAnsi="Arial" w:cs="Times New Roman"/>
          <w:sz w:val="20"/>
          <w:szCs w:val="24"/>
        </w:rPr>
        <w:t>Organization</w:t>
      </w:r>
      <w:proofErr w:type="spellEnd"/>
      <w:r w:rsidRPr="00424274">
        <w:rPr>
          <w:rFonts w:ascii="Arial" w:hAnsi="Arial" w:cs="Times New Roman"/>
          <w:sz w:val="20"/>
          <w:szCs w:val="24"/>
        </w:rPr>
        <w:t xml:space="preserve"> </w:t>
      </w:r>
      <w:proofErr w:type="spellStart"/>
      <w:r w:rsidRPr="00424274">
        <w:rPr>
          <w:rFonts w:ascii="Arial" w:hAnsi="Arial" w:cs="Times New Roman"/>
          <w:sz w:val="20"/>
          <w:szCs w:val="24"/>
        </w:rPr>
        <w:t>for</w:t>
      </w:r>
      <w:proofErr w:type="spellEnd"/>
      <w:r w:rsidRPr="00424274">
        <w:rPr>
          <w:rFonts w:ascii="Arial" w:hAnsi="Arial" w:cs="Times New Roman"/>
          <w:sz w:val="20"/>
          <w:szCs w:val="24"/>
        </w:rPr>
        <w:t xml:space="preserve"> </w:t>
      </w:r>
      <w:proofErr w:type="spellStart"/>
      <w:r w:rsidRPr="00424274">
        <w:rPr>
          <w:rFonts w:ascii="Arial" w:hAnsi="Arial" w:cs="Times New Roman"/>
          <w:sz w:val="20"/>
          <w:szCs w:val="24"/>
        </w:rPr>
        <w:t>Security</w:t>
      </w:r>
      <w:proofErr w:type="spellEnd"/>
      <w:r w:rsidRPr="00424274">
        <w:rPr>
          <w:rFonts w:ascii="Arial" w:hAnsi="Arial" w:cs="Times New Roman"/>
          <w:sz w:val="20"/>
          <w:szCs w:val="24"/>
        </w:rPr>
        <w:t xml:space="preserve"> </w:t>
      </w:r>
      <w:proofErr w:type="spellStart"/>
      <w:r w:rsidRPr="00424274">
        <w:rPr>
          <w:rFonts w:ascii="Arial" w:hAnsi="Arial" w:cs="Times New Roman"/>
          <w:sz w:val="20"/>
          <w:szCs w:val="24"/>
        </w:rPr>
        <w:t>and</w:t>
      </w:r>
      <w:proofErr w:type="spellEnd"/>
      <w:r w:rsidRPr="00424274">
        <w:rPr>
          <w:rFonts w:ascii="Arial" w:hAnsi="Arial" w:cs="Times New Roman"/>
          <w:sz w:val="20"/>
          <w:szCs w:val="24"/>
        </w:rPr>
        <w:t xml:space="preserve"> Co-</w:t>
      </w:r>
      <w:proofErr w:type="spellStart"/>
      <w:r w:rsidRPr="00424274">
        <w:rPr>
          <w:rFonts w:ascii="Arial" w:hAnsi="Arial" w:cs="Times New Roman"/>
          <w:sz w:val="20"/>
          <w:szCs w:val="24"/>
        </w:rPr>
        <w:t>operation</w:t>
      </w:r>
      <w:proofErr w:type="spellEnd"/>
      <w:r w:rsidRPr="00424274">
        <w:rPr>
          <w:rFonts w:ascii="Arial" w:hAnsi="Arial" w:cs="Times New Roman"/>
          <w:sz w:val="20"/>
          <w:szCs w:val="24"/>
        </w:rPr>
        <w:t xml:space="preserve"> in </w:t>
      </w:r>
      <w:proofErr w:type="spellStart"/>
      <w:r w:rsidRPr="00424274">
        <w:rPr>
          <w:rFonts w:ascii="Arial" w:hAnsi="Arial" w:cs="Times New Roman"/>
          <w:sz w:val="20"/>
          <w:szCs w:val="24"/>
        </w:rPr>
        <w:t>Europe</w:t>
      </w:r>
      <w:proofErr w:type="spellEnd"/>
      <w:r w:rsidRPr="00424274">
        <w:rPr>
          <w:rFonts w:ascii="Arial" w:hAnsi="Arial" w:cs="Times New Roman"/>
          <w:sz w:val="20"/>
          <w:szCs w:val="24"/>
        </w:rPr>
        <w:t xml:space="preserve">) sodelovala na spletnem seminarju: </w:t>
      </w:r>
      <w:proofErr w:type="spellStart"/>
      <w:r w:rsidRPr="00424274">
        <w:rPr>
          <w:rFonts w:ascii="Arial" w:hAnsi="Arial" w:cs="Times New Roman"/>
          <w:sz w:val="20"/>
          <w:szCs w:val="24"/>
        </w:rPr>
        <w:t>Preventing</w:t>
      </w:r>
      <w:proofErr w:type="spellEnd"/>
      <w:r w:rsidRPr="00424274">
        <w:rPr>
          <w:rFonts w:ascii="Arial" w:hAnsi="Arial" w:cs="Times New Roman"/>
          <w:sz w:val="20"/>
          <w:szCs w:val="24"/>
        </w:rPr>
        <w:t xml:space="preserve"> </w:t>
      </w:r>
      <w:proofErr w:type="spellStart"/>
      <w:r w:rsidRPr="00424274">
        <w:rPr>
          <w:rFonts w:ascii="Arial" w:hAnsi="Arial" w:cs="Times New Roman"/>
          <w:sz w:val="20"/>
          <w:szCs w:val="24"/>
        </w:rPr>
        <w:t>and</w:t>
      </w:r>
      <w:proofErr w:type="spellEnd"/>
      <w:r w:rsidRPr="00424274">
        <w:rPr>
          <w:rFonts w:ascii="Arial" w:hAnsi="Arial" w:cs="Times New Roman"/>
          <w:sz w:val="20"/>
          <w:szCs w:val="24"/>
        </w:rPr>
        <w:t xml:space="preserve"> </w:t>
      </w:r>
      <w:proofErr w:type="spellStart"/>
      <w:r w:rsidRPr="00424274">
        <w:rPr>
          <w:rFonts w:ascii="Arial" w:hAnsi="Arial" w:cs="Times New Roman"/>
          <w:sz w:val="20"/>
          <w:szCs w:val="24"/>
        </w:rPr>
        <w:t>combating</w:t>
      </w:r>
      <w:proofErr w:type="spellEnd"/>
      <w:r w:rsidRPr="00424274">
        <w:rPr>
          <w:rFonts w:ascii="Arial" w:hAnsi="Arial" w:cs="Times New Roman"/>
          <w:sz w:val="20"/>
          <w:szCs w:val="24"/>
        </w:rPr>
        <w:t xml:space="preserve"> </w:t>
      </w:r>
      <w:proofErr w:type="spellStart"/>
      <w:r w:rsidRPr="00424274">
        <w:rPr>
          <w:rFonts w:ascii="Arial" w:hAnsi="Arial" w:cs="Times New Roman"/>
          <w:sz w:val="20"/>
          <w:szCs w:val="24"/>
        </w:rPr>
        <w:t>corruption</w:t>
      </w:r>
      <w:proofErr w:type="spellEnd"/>
      <w:r w:rsidRPr="00424274">
        <w:rPr>
          <w:rFonts w:ascii="Arial" w:hAnsi="Arial" w:cs="Times New Roman"/>
          <w:sz w:val="20"/>
          <w:szCs w:val="24"/>
        </w:rPr>
        <w:t xml:space="preserve"> </w:t>
      </w:r>
      <w:proofErr w:type="spellStart"/>
      <w:r w:rsidRPr="00424274">
        <w:rPr>
          <w:rFonts w:ascii="Arial" w:hAnsi="Arial" w:cs="Times New Roman"/>
          <w:sz w:val="20"/>
          <w:szCs w:val="24"/>
        </w:rPr>
        <w:t>and</w:t>
      </w:r>
      <w:proofErr w:type="spellEnd"/>
      <w:r w:rsidRPr="00424274">
        <w:rPr>
          <w:rFonts w:ascii="Arial" w:hAnsi="Arial" w:cs="Times New Roman"/>
          <w:sz w:val="20"/>
          <w:szCs w:val="24"/>
        </w:rPr>
        <w:t xml:space="preserve"> </w:t>
      </w:r>
      <w:proofErr w:type="spellStart"/>
      <w:r w:rsidRPr="00424274">
        <w:rPr>
          <w:rFonts w:ascii="Arial" w:hAnsi="Arial" w:cs="Times New Roman"/>
          <w:sz w:val="20"/>
          <w:szCs w:val="24"/>
        </w:rPr>
        <w:t>money</w:t>
      </w:r>
      <w:proofErr w:type="spellEnd"/>
      <w:r w:rsidRPr="00424274">
        <w:rPr>
          <w:rFonts w:ascii="Arial" w:hAnsi="Arial" w:cs="Times New Roman"/>
          <w:sz w:val="20"/>
          <w:szCs w:val="24"/>
        </w:rPr>
        <w:t xml:space="preserve"> </w:t>
      </w:r>
      <w:proofErr w:type="spellStart"/>
      <w:r w:rsidRPr="00424274">
        <w:rPr>
          <w:rFonts w:ascii="Arial" w:hAnsi="Arial" w:cs="Times New Roman"/>
          <w:sz w:val="20"/>
          <w:szCs w:val="24"/>
        </w:rPr>
        <w:t>laundering</w:t>
      </w:r>
      <w:proofErr w:type="spellEnd"/>
      <w:r w:rsidRPr="00424274">
        <w:rPr>
          <w:rFonts w:ascii="Arial" w:hAnsi="Arial" w:cs="Times New Roman"/>
          <w:sz w:val="20"/>
          <w:szCs w:val="24"/>
        </w:rPr>
        <w:t xml:space="preserve"> </w:t>
      </w:r>
      <w:proofErr w:type="spellStart"/>
      <w:r w:rsidRPr="00424274">
        <w:rPr>
          <w:rFonts w:ascii="Arial" w:hAnsi="Arial" w:cs="Times New Roman"/>
          <w:sz w:val="20"/>
          <w:szCs w:val="24"/>
        </w:rPr>
        <w:t>by</w:t>
      </w:r>
      <w:proofErr w:type="spellEnd"/>
      <w:r w:rsidRPr="00424274">
        <w:rPr>
          <w:rFonts w:ascii="Arial" w:hAnsi="Arial" w:cs="Times New Roman"/>
          <w:sz w:val="20"/>
          <w:szCs w:val="24"/>
        </w:rPr>
        <w:t xml:space="preserve"> </w:t>
      </w:r>
      <w:proofErr w:type="spellStart"/>
      <w:r w:rsidRPr="00424274">
        <w:rPr>
          <w:rFonts w:ascii="Arial" w:hAnsi="Arial" w:cs="Times New Roman"/>
          <w:sz w:val="20"/>
          <w:szCs w:val="24"/>
        </w:rPr>
        <w:t>promoting</w:t>
      </w:r>
      <w:proofErr w:type="spellEnd"/>
      <w:r w:rsidRPr="00424274">
        <w:rPr>
          <w:rFonts w:ascii="Arial" w:hAnsi="Arial" w:cs="Times New Roman"/>
          <w:sz w:val="20"/>
          <w:szCs w:val="24"/>
        </w:rPr>
        <w:t xml:space="preserve"> </w:t>
      </w:r>
      <w:proofErr w:type="spellStart"/>
      <w:r w:rsidRPr="00424274">
        <w:rPr>
          <w:rFonts w:ascii="Arial" w:hAnsi="Arial" w:cs="Times New Roman"/>
          <w:sz w:val="20"/>
          <w:szCs w:val="24"/>
        </w:rPr>
        <w:t>transparency</w:t>
      </w:r>
      <w:proofErr w:type="spellEnd"/>
      <w:r w:rsidRPr="00424274">
        <w:rPr>
          <w:rFonts w:ascii="Arial" w:hAnsi="Arial" w:cs="Times New Roman"/>
          <w:sz w:val="20"/>
          <w:szCs w:val="24"/>
        </w:rPr>
        <w:t xml:space="preserve"> </w:t>
      </w:r>
      <w:proofErr w:type="spellStart"/>
      <w:r w:rsidRPr="00424274">
        <w:rPr>
          <w:rFonts w:ascii="Arial" w:hAnsi="Arial" w:cs="Times New Roman"/>
          <w:sz w:val="20"/>
          <w:szCs w:val="24"/>
        </w:rPr>
        <w:t>andaccountability</w:t>
      </w:r>
      <w:proofErr w:type="spellEnd"/>
      <w:r w:rsidRPr="00424274">
        <w:rPr>
          <w:rFonts w:ascii="Arial" w:hAnsi="Arial" w:cs="Times New Roman"/>
          <w:sz w:val="20"/>
          <w:szCs w:val="24"/>
        </w:rPr>
        <w:t xml:space="preserve"> (2</w:t>
      </w:r>
      <w:r w:rsidR="00123B4D">
        <w:rPr>
          <w:rFonts w:ascii="Arial" w:hAnsi="Arial" w:cs="Times New Roman"/>
          <w:sz w:val="20"/>
          <w:szCs w:val="24"/>
        </w:rPr>
        <w:t> </w:t>
      </w:r>
      <w:r w:rsidRPr="00424274">
        <w:rPr>
          <w:rFonts w:ascii="Arial" w:hAnsi="Arial" w:cs="Times New Roman"/>
          <w:sz w:val="20"/>
          <w:szCs w:val="24"/>
        </w:rPr>
        <w:t>h);</w:t>
      </w:r>
    </w:p>
    <w:p w14:paraId="7BD7F491" w14:textId="46D9B9D8" w:rsidR="00285E30" w:rsidRPr="00424274" w:rsidRDefault="00123B4D" w:rsidP="00285E30">
      <w:pPr>
        <w:widowControl/>
        <w:numPr>
          <w:ilvl w:val="0"/>
          <w:numId w:val="9"/>
        </w:numPr>
        <w:spacing w:line="276" w:lineRule="auto"/>
        <w:contextualSpacing/>
        <w:rPr>
          <w:rFonts w:ascii="Arial" w:hAnsi="Arial" w:cs="Times New Roman"/>
          <w:sz w:val="20"/>
          <w:szCs w:val="24"/>
        </w:rPr>
      </w:pPr>
      <w:r>
        <w:rPr>
          <w:rFonts w:ascii="Arial" w:hAnsi="Arial" w:cs="Times New Roman"/>
          <w:sz w:val="20"/>
          <w:szCs w:val="24"/>
        </w:rPr>
        <w:t>p</w:t>
      </w:r>
      <w:r w:rsidR="00285E30" w:rsidRPr="00424274">
        <w:rPr>
          <w:rFonts w:ascii="Arial" w:hAnsi="Arial" w:cs="Times New Roman"/>
          <w:sz w:val="20"/>
          <w:szCs w:val="24"/>
        </w:rPr>
        <w:t xml:space="preserve">redstavnika </w:t>
      </w:r>
      <w:r w:rsidR="00A0541B">
        <w:rPr>
          <w:rFonts w:ascii="Arial" w:hAnsi="Arial" w:cs="Times New Roman"/>
          <w:sz w:val="20"/>
          <w:szCs w:val="24"/>
        </w:rPr>
        <w:t>urad</w:t>
      </w:r>
      <w:r w:rsidR="00285E30" w:rsidRPr="00424274">
        <w:rPr>
          <w:rFonts w:ascii="Arial" w:hAnsi="Arial" w:cs="Times New Roman"/>
          <w:sz w:val="20"/>
          <w:szCs w:val="24"/>
        </w:rPr>
        <w:t xml:space="preserve">a sta na povabilo družbe </w:t>
      </w:r>
      <w:proofErr w:type="spellStart"/>
      <w:r w:rsidR="00285E30" w:rsidRPr="00424274">
        <w:rPr>
          <w:rFonts w:ascii="Arial" w:hAnsi="Arial" w:cs="Times New Roman"/>
          <w:sz w:val="20"/>
          <w:szCs w:val="24"/>
        </w:rPr>
        <w:t>Delloitte</w:t>
      </w:r>
      <w:proofErr w:type="spellEnd"/>
      <w:r w:rsidR="00285E30" w:rsidRPr="00424274">
        <w:rPr>
          <w:rFonts w:ascii="Arial" w:hAnsi="Arial" w:cs="Times New Roman"/>
          <w:sz w:val="20"/>
          <w:szCs w:val="24"/>
        </w:rPr>
        <w:t xml:space="preserve"> in </w:t>
      </w:r>
      <w:proofErr w:type="spellStart"/>
      <w:r w:rsidR="00285E30" w:rsidRPr="00424274">
        <w:rPr>
          <w:rFonts w:ascii="Arial" w:hAnsi="Arial" w:cs="Times New Roman"/>
          <w:sz w:val="20"/>
          <w:szCs w:val="24"/>
        </w:rPr>
        <w:t>Financial</w:t>
      </w:r>
      <w:proofErr w:type="spellEnd"/>
      <w:r w:rsidR="00285E30" w:rsidRPr="00424274">
        <w:rPr>
          <w:rFonts w:ascii="Arial" w:hAnsi="Arial" w:cs="Times New Roman"/>
          <w:sz w:val="20"/>
          <w:szCs w:val="24"/>
        </w:rPr>
        <w:t xml:space="preserve"> </w:t>
      </w:r>
      <w:proofErr w:type="spellStart"/>
      <w:r w:rsidR="00285E30" w:rsidRPr="00424274">
        <w:rPr>
          <w:rFonts w:ascii="Arial" w:hAnsi="Arial" w:cs="Times New Roman"/>
          <w:sz w:val="20"/>
          <w:szCs w:val="24"/>
        </w:rPr>
        <w:t>Crime</w:t>
      </w:r>
      <w:proofErr w:type="spellEnd"/>
      <w:r w:rsidR="00285E30" w:rsidRPr="00424274">
        <w:rPr>
          <w:rFonts w:ascii="Arial" w:hAnsi="Arial" w:cs="Times New Roman"/>
          <w:sz w:val="20"/>
          <w:szCs w:val="24"/>
        </w:rPr>
        <w:t xml:space="preserve"> </w:t>
      </w:r>
      <w:proofErr w:type="spellStart"/>
      <w:r w:rsidR="00285E30" w:rsidRPr="00424274">
        <w:rPr>
          <w:rFonts w:ascii="Arial" w:hAnsi="Arial" w:cs="Times New Roman"/>
          <w:sz w:val="20"/>
          <w:szCs w:val="24"/>
        </w:rPr>
        <w:t>Academy</w:t>
      </w:r>
      <w:proofErr w:type="spellEnd"/>
      <w:r w:rsidR="00285E30" w:rsidRPr="00424274">
        <w:rPr>
          <w:rFonts w:ascii="Arial" w:hAnsi="Arial" w:cs="Times New Roman"/>
          <w:sz w:val="20"/>
          <w:szCs w:val="24"/>
        </w:rPr>
        <w:t xml:space="preserve"> udeležila seminarja: EU </w:t>
      </w:r>
      <w:proofErr w:type="spellStart"/>
      <w:r w:rsidR="00285E30" w:rsidRPr="00424274">
        <w:rPr>
          <w:rFonts w:ascii="Arial" w:hAnsi="Arial" w:cs="Times New Roman"/>
          <w:sz w:val="20"/>
          <w:szCs w:val="24"/>
        </w:rPr>
        <w:t>regulation</w:t>
      </w:r>
      <w:proofErr w:type="spellEnd"/>
      <w:r w:rsidR="00285E30" w:rsidRPr="00424274">
        <w:rPr>
          <w:rFonts w:ascii="Arial" w:hAnsi="Arial" w:cs="Times New Roman"/>
          <w:sz w:val="20"/>
          <w:szCs w:val="24"/>
        </w:rPr>
        <w:t xml:space="preserve"> on AML (1</w:t>
      </w:r>
      <w:r>
        <w:rPr>
          <w:rFonts w:ascii="Arial" w:hAnsi="Arial" w:cs="Times New Roman"/>
          <w:sz w:val="20"/>
          <w:szCs w:val="24"/>
        </w:rPr>
        <w:t> </w:t>
      </w:r>
      <w:r w:rsidR="00285E30" w:rsidRPr="00424274">
        <w:rPr>
          <w:rFonts w:ascii="Arial" w:hAnsi="Arial" w:cs="Times New Roman"/>
          <w:sz w:val="20"/>
          <w:szCs w:val="24"/>
        </w:rPr>
        <w:t>h);</w:t>
      </w:r>
    </w:p>
    <w:p w14:paraId="62495036" w14:textId="6A4F3ED8" w:rsidR="00FA7399" w:rsidRDefault="00123B4D" w:rsidP="0062252E">
      <w:pPr>
        <w:widowControl/>
        <w:numPr>
          <w:ilvl w:val="0"/>
          <w:numId w:val="9"/>
        </w:numPr>
        <w:spacing w:line="276" w:lineRule="auto"/>
        <w:contextualSpacing/>
        <w:rPr>
          <w:rFonts w:ascii="Arial" w:hAnsi="Arial" w:cs="Times New Roman"/>
          <w:sz w:val="20"/>
          <w:szCs w:val="24"/>
        </w:rPr>
      </w:pPr>
      <w:r>
        <w:rPr>
          <w:rFonts w:ascii="Arial" w:hAnsi="Arial" w:cs="Times New Roman"/>
          <w:sz w:val="20"/>
          <w:szCs w:val="24"/>
        </w:rPr>
        <w:t>n</w:t>
      </w:r>
      <w:r w:rsidR="00285E30" w:rsidRPr="00424274">
        <w:rPr>
          <w:rFonts w:ascii="Arial" w:hAnsi="Arial" w:cs="Times New Roman"/>
          <w:sz w:val="20"/>
          <w:szCs w:val="24"/>
        </w:rPr>
        <w:t xml:space="preserve">a povabilo OZN je predstavnica </w:t>
      </w:r>
      <w:r w:rsidR="00A0541B">
        <w:rPr>
          <w:rFonts w:ascii="Arial" w:hAnsi="Arial" w:cs="Times New Roman"/>
          <w:sz w:val="20"/>
          <w:szCs w:val="24"/>
        </w:rPr>
        <w:t>urad</w:t>
      </w:r>
      <w:r w:rsidR="00285E30" w:rsidRPr="00424274">
        <w:rPr>
          <w:rFonts w:ascii="Arial" w:hAnsi="Arial" w:cs="Times New Roman"/>
          <w:sz w:val="20"/>
          <w:szCs w:val="24"/>
        </w:rPr>
        <w:t>a v novembru prek spleta predstavila izzive pri prepoznavanju, izsleditvi in zamrznitvi premoženjske koristi, pridobljene s korupcijo, ter možne rešitve (1</w:t>
      </w:r>
      <w:r w:rsidR="00E00D16">
        <w:rPr>
          <w:rFonts w:ascii="Arial" w:hAnsi="Arial" w:cs="Times New Roman"/>
          <w:sz w:val="20"/>
          <w:szCs w:val="24"/>
        </w:rPr>
        <w:t xml:space="preserve"> </w:t>
      </w:r>
      <w:r w:rsidR="00285E30" w:rsidRPr="00424274">
        <w:rPr>
          <w:rFonts w:ascii="Arial" w:hAnsi="Arial" w:cs="Times New Roman"/>
          <w:sz w:val="20"/>
          <w:szCs w:val="24"/>
        </w:rPr>
        <w:t>h 45 min</w:t>
      </w:r>
      <w:r w:rsidR="008126B7">
        <w:rPr>
          <w:rFonts w:ascii="Arial" w:hAnsi="Arial" w:cs="Times New Roman"/>
          <w:sz w:val="20"/>
          <w:szCs w:val="24"/>
        </w:rPr>
        <w:t>.</w:t>
      </w:r>
      <w:r w:rsidR="00285E30" w:rsidRPr="00424274">
        <w:rPr>
          <w:rFonts w:ascii="Arial" w:hAnsi="Arial" w:cs="Times New Roman"/>
          <w:sz w:val="20"/>
          <w:szCs w:val="24"/>
        </w:rPr>
        <w:t>).</w:t>
      </w:r>
    </w:p>
    <w:p w14:paraId="7D2ACB6B" w14:textId="77777777" w:rsidR="00446A4A" w:rsidRPr="00424274" w:rsidRDefault="00446A4A" w:rsidP="00446A4A">
      <w:pPr>
        <w:widowControl/>
        <w:spacing w:line="276" w:lineRule="auto"/>
        <w:ind w:left="826"/>
        <w:contextualSpacing/>
        <w:rPr>
          <w:rFonts w:ascii="Arial" w:hAnsi="Arial" w:cs="Times New Roman"/>
          <w:sz w:val="20"/>
          <w:szCs w:val="24"/>
        </w:rPr>
      </w:pPr>
    </w:p>
    <w:p w14:paraId="08DD9A27" w14:textId="39301624" w:rsidR="002A2FEC" w:rsidRPr="00424274" w:rsidRDefault="002F64F4" w:rsidP="00446A4A">
      <w:pPr>
        <w:pStyle w:val="Naslov2"/>
      </w:pPr>
      <w:bookmarkStart w:id="172" w:name="_Toc292714861"/>
      <w:bookmarkStart w:id="173" w:name="_Toc325462256"/>
      <w:bookmarkStart w:id="174" w:name="_Toc402346338"/>
      <w:bookmarkStart w:id="175" w:name="_Toc113535495"/>
      <w:bookmarkEnd w:id="162"/>
      <w:bookmarkEnd w:id="163"/>
      <w:bookmarkEnd w:id="164"/>
      <w:bookmarkEnd w:id="165"/>
      <w:bookmarkEnd w:id="166"/>
      <w:bookmarkEnd w:id="167"/>
      <w:bookmarkEnd w:id="168"/>
      <w:r w:rsidRPr="00424274">
        <w:t>NADZOR NAD IZVAJANJEM DOLOČIL ZPPDFT</w:t>
      </w:r>
      <w:r w:rsidR="002A2FEC" w:rsidRPr="00424274">
        <w:t>-1</w:t>
      </w:r>
      <w:r w:rsidRPr="00424274">
        <w:t xml:space="preserve"> PRI ZAVEZANCIH</w:t>
      </w:r>
      <w:bookmarkEnd w:id="172"/>
      <w:bookmarkEnd w:id="173"/>
      <w:bookmarkEnd w:id="174"/>
      <w:bookmarkEnd w:id="175"/>
      <w:r w:rsidRPr="00424274">
        <w:t xml:space="preserve"> </w:t>
      </w:r>
      <w:bookmarkStart w:id="176" w:name="_Toc292714862"/>
      <w:bookmarkStart w:id="177" w:name="_Toc325462257"/>
      <w:bookmarkStart w:id="178" w:name="_Toc402346339"/>
    </w:p>
    <w:p w14:paraId="386F8F41" w14:textId="69BA54A6" w:rsidR="002A2FEC" w:rsidRPr="00424274" w:rsidRDefault="00292A8B" w:rsidP="006D5A5A">
      <w:pPr>
        <w:pStyle w:val="Naslov3"/>
      </w:pPr>
      <w:bookmarkStart w:id="179" w:name="_Toc113535496"/>
      <w:r w:rsidRPr="00424274">
        <w:t xml:space="preserve">5.4.1 </w:t>
      </w:r>
      <w:r w:rsidR="002A2FEC" w:rsidRPr="00424274">
        <w:t>Inšpekcijski postopki</w:t>
      </w:r>
      <w:bookmarkEnd w:id="179"/>
    </w:p>
    <w:p w14:paraId="2AD77639" w14:textId="77777777" w:rsidR="002A2FEC" w:rsidRPr="00424274" w:rsidRDefault="002A2FEC" w:rsidP="00D21F86">
      <w:pPr>
        <w:spacing w:line="276" w:lineRule="auto"/>
        <w:rPr>
          <w:rFonts w:ascii="Arial" w:hAnsi="Arial"/>
          <w:sz w:val="20"/>
          <w:u w:val="single"/>
        </w:rPr>
      </w:pPr>
    </w:p>
    <w:p w14:paraId="1CC4D685" w14:textId="77777777" w:rsidR="00917725" w:rsidRPr="00424274" w:rsidRDefault="00917725" w:rsidP="00917725">
      <w:pPr>
        <w:spacing w:line="276" w:lineRule="auto"/>
        <w:rPr>
          <w:rFonts w:ascii="Arial" w:hAnsi="Arial"/>
          <w:sz w:val="20"/>
        </w:rPr>
      </w:pPr>
      <w:bookmarkStart w:id="180" w:name="_Toc292714863"/>
      <w:bookmarkStart w:id="181" w:name="_Toc325462258"/>
      <w:bookmarkStart w:id="182" w:name="_Toc402346340"/>
      <w:bookmarkEnd w:id="169"/>
      <w:bookmarkEnd w:id="176"/>
      <w:bookmarkEnd w:id="177"/>
      <w:bookmarkEnd w:id="178"/>
      <w:r w:rsidRPr="00424274">
        <w:rPr>
          <w:rFonts w:ascii="Arial" w:hAnsi="Arial"/>
          <w:sz w:val="20"/>
        </w:rPr>
        <w:t>Organizacijsko je naloga izvajanja inšpekcijskih nadzorov umeščena v Sektor za preventivo in nadzor, v katerega poleg inšpekcijskih nadzorov spada še vrsta drugih delovnih nalog, razvidnih iz prejšnjih točk.</w:t>
      </w:r>
    </w:p>
    <w:p w14:paraId="46665B26" w14:textId="77777777" w:rsidR="00917725" w:rsidRPr="00424274" w:rsidRDefault="00917725" w:rsidP="00917725">
      <w:pPr>
        <w:spacing w:line="276" w:lineRule="auto"/>
        <w:rPr>
          <w:rFonts w:ascii="Arial" w:hAnsi="Arial"/>
          <w:sz w:val="20"/>
        </w:rPr>
      </w:pPr>
      <w:r w:rsidRPr="00424274">
        <w:rPr>
          <w:rFonts w:ascii="Arial" w:hAnsi="Arial"/>
          <w:sz w:val="20"/>
        </w:rPr>
        <w:t xml:space="preserve"> </w:t>
      </w:r>
    </w:p>
    <w:p w14:paraId="5FC3886F" w14:textId="77ABFE66" w:rsidR="00917725" w:rsidRPr="00424274" w:rsidRDefault="00917725" w:rsidP="00917725">
      <w:pPr>
        <w:spacing w:line="276" w:lineRule="auto"/>
        <w:rPr>
          <w:rFonts w:ascii="Arial" w:hAnsi="Arial"/>
          <w:sz w:val="20"/>
        </w:rPr>
      </w:pPr>
      <w:r w:rsidRPr="00424274">
        <w:rPr>
          <w:rFonts w:ascii="Arial" w:hAnsi="Arial"/>
          <w:sz w:val="20"/>
        </w:rPr>
        <w:t xml:space="preserve">Zaradi šibke kadrovske zasedenosti sta bila </w:t>
      </w:r>
      <w:r w:rsidR="00E00D16">
        <w:rPr>
          <w:rFonts w:ascii="Arial" w:hAnsi="Arial"/>
          <w:sz w:val="20"/>
        </w:rPr>
        <w:t xml:space="preserve">septembra </w:t>
      </w:r>
      <w:r w:rsidRPr="00424274">
        <w:rPr>
          <w:rFonts w:ascii="Arial" w:hAnsi="Arial"/>
          <w:sz w:val="20"/>
        </w:rPr>
        <w:t>izvedena razpisa za zasedbo dveh delovnih mest inšpektorjev za preprečevanje pranja denarja</w:t>
      </w:r>
      <w:r w:rsidR="00E00D16">
        <w:rPr>
          <w:rFonts w:ascii="Arial" w:hAnsi="Arial"/>
          <w:sz w:val="20"/>
        </w:rPr>
        <w:t>.</w:t>
      </w:r>
      <w:r w:rsidRPr="00424274">
        <w:rPr>
          <w:rFonts w:ascii="Arial" w:hAnsi="Arial"/>
          <w:sz w:val="20"/>
        </w:rPr>
        <w:t xml:space="preserve"> Pomanjkanje kadrovskih </w:t>
      </w:r>
      <w:r w:rsidR="00E00D16">
        <w:rPr>
          <w:rFonts w:ascii="Arial" w:hAnsi="Arial"/>
          <w:sz w:val="20"/>
        </w:rPr>
        <w:t>zmogljivosti</w:t>
      </w:r>
      <w:r w:rsidR="00E00D16" w:rsidRPr="00424274">
        <w:rPr>
          <w:rFonts w:ascii="Arial" w:hAnsi="Arial"/>
          <w:sz w:val="20"/>
        </w:rPr>
        <w:t xml:space="preserve"> </w:t>
      </w:r>
      <w:r w:rsidRPr="00424274">
        <w:rPr>
          <w:rFonts w:ascii="Arial" w:hAnsi="Arial"/>
          <w:sz w:val="20"/>
        </w:rPr>
        <w:t xml:space="preserve">ostaja poleg bistveno večjega pripada zadev na področju izvajanja strokovne pomoči </w:t>
      </w:r>
      <w:r w:rsidR="00E00D16">
        <w:rPr>
          <w:rFonts w:ascii="Arial" w:hAnsi="Arial"/>
          <w:sz w:val="20"/>
        </w:rPr>
        <w:t>in</w:t>
      </w:r>
      <w:r w:rsidR="00E00D16" w:rsidRPr="00424274">
        <w:rPr>
          <w:rFonts w:ascii="Arial" w:hAnsi="Arial"/>
          <w:sz w:val="20"/>
        </w:rPr>
        <w:t xml:space="preserve"> </w:t>
      </w:r>
      <w:r w:rsidR="00E00D16">
        <w:rPr>
          <w:rFonts w:ascii="Arial" w:hAnsi="Arial"/>
          <w:sz w:val="20"/>
        </w:rPr>
        <w:t>drugih</w:t>
      </w:r>
      <w:r w:rsidR="00E00D16" w:rsidRPr="00424274">
        <w:rPr>
          <w:rFonts w:ascii="Arial" w:hAnsi="Arial"/>
          <w:sz w:val="20"/>
        </w:rPr>
        <w:t xml:space="preserve"> </w:t>
      </w:r>
      <w:r w:rsidRPr="00424274">
        <w:rPr>
          <w:rFonts w:ascii="Arial" w:hAnsi="Arial"/>
          <w:sz w:val="20"/>
        </w:rPr>
        <w:t>nalog v okviru sektorja ključna ovira za učinkovit</w:t>
      </w:r>
      <w:r w:rsidR="00E00D16">
        <w:rPr>
          <w:rFonts w:ascii="Arial" w:hAnsi="Arial"/>
          <w:sz w:val="20"/>
        </w:rPr>
        <w:t>ejše</w:t>
      </w:r>
      <w:r w:rsidRPr="00424274">
        <w:rPr>
          <w:rFonts w:ascii="Arial" w:hAnsi="Arial"/>
          <w:sz w:val="20"/>
        </w:rPr>
        <w:t xml:space="preserve"> izvajanje nadzornih pristojnosti. </w:t>
      </w:r>
    </w:p>
    <w:p w14:paraId="6B55FD0A" w14:textId="77777777" w:rsidR="00917725" w:rsidRPr="00424274" w:rsidRDefault="00917725" w:rsidP="00917725">
      <w:pPr>
        <w:spacing w:line="276" w:lineRule="auto"/>
        <w:rPr>
          <w:rFonts w:ascii="Arial" w:hAnsi="Arial"/>
          <w:sz w:val="20"/>
        </w:rPr>
      </w:pPr>
    </w:p>
    <w:p w14:paraId="00731231" w14:textId="368A83B3" w:rsidR="002971C7" w:rsidRPr="00424274" w:rsidRDefault="00917725" w:rsidP="00917725">
      <w:pPr>
        <w:spacing w:line="276" w:lineRule="auto"/>
        <w:rPr>
          <w:rFonts w:ascii="Arial" w:hAnsi="Arial"/>
          <w:sz w:val="20"/>
        </w:rPr>
      </w:pPr>
      <w:r w:rsidRPr="00424274">
        <w:rPr>
          <w:rFonts w:ascii="Arial" w:hAnsi="Arial"/>
          <w:sz w:val="20"/>
        </w:rPr>
        <w:t xml:space="preserve">Skladno s sprejetimi strateškimi usmeritvami in </w:t>
      </w:r>
      <w:r w:rsidR="00E00D16">
        <w:rPr>
          <w:rFonts w:ascii="Arial" w:hAnsi="Arial"/>
          <w:sz w:val="20"/>
        </w:rPr>
        <w:t>prednostnimi nalogami</w:t>
      </w:r>
      <w:r w:rsidR="00E00D16" w:rsidRPr="00424274">
        <w:rPr>
          <w:rFonts w:ascii="Arial" w:hAnsi="Arial"/>
          <w:sz w:val="20"/>
        </w:rPr>
        <w:t xml:space="preserve"> </w:t>
      </w:r>
      <w:r w:rsidRPr="00424274">
        <w:rPr>
          <w:rFonts w:ascii="Arial" w:hAnsi="Arial"/>
          <w:sz w:val="20"/>
        </w:rPr>
        <w:t xml:space="preserve">inšpekcijskega nadzora za leto 2020 je </w:t>
      </w:r>
      <w:r w:rsidR="00A0541B">
        <w:rPr>
          <w:rFonts w:ascii="Arial" w:hAnsi="Arial"/>
          <w:sz w:val="20"/>
        </w:rPr>
        <w:t>urad</w:t>
      </w:r>
      <w:r w:rsidRPr="00424274">
        <w:rPr>
          <w:rFonts w:ascii="Arial" w:hAnsi="Arial"/>
          <w:sz w:val="20"/>
        </w:rPr>
        <w:t xml:space="preserve"> nadaljeval izvedbo inšpekcijskih nadzorov pri pravnih in fizičnih osebah, ki opravljajo posle v zvezi z dejavnostjo računovodskih storitev, storitev davčnega svetovanja ter podjetniških ali fiduciarnih storitev. Ta skupina poklicev spada med zavezance že od začetka vzpostavitve sistema preprečevanja pranja denarja in financiranja terorizma, vendar nadzorne pristojnosti doslej niso bile določene, zaradi česar tudi nadzor nad njimi ni bil izveden. Za to skupino zavezancev je značilno, da imajo podroben vpogled v poslovanje svojih strank in imajo s tega vidika lahko pomembno vlogo tako pri preprečevanju pranja denarja kot tudi pri njegovem odkrivanju. Zaradi navedenega je </w:t>
      </w:r>
      <w:r w:rsidR="00A0541B">
        <w:rPr>
          <w:rFonts w:ascii="Arial" w:hAnsi="Arial"/>
          <w:sz w:val="20"/>
        </w:rPr>
        <w:t>urad</w:t>
      </w:r>
      <w:r w:rsidRPr="00424274">
        <w:rPr>
          <w:rFonts w:ascii="Arial" w:hAnsi="Arial"/>
          <w:sz w:val="20"/>
        </w:rPr>
        <w:t xml:space="preserve"> v letu 2018 za </w:t>
      </w:r>
      <w:r w:rsidR="00123B4D">
        <w:rPr>
          <w:rFonts w:ascii="Arial" w:hAnsi="Arial"/>
          <w:sz w:val="20"/>
        </w:rPr>
        <w:t>te</w:t>
      </w:r>
      <w:r w:rsidR="00123B4D" w:rsidRPr="00424274">
        <w:rPr>
          <w:rFonts w:ascii="Arial" w:hAnsi="Arial"/>
          <w:sz w:val="20"/>
        </w:rPr>
        <w:t xml:space="preserve"> </w:t>
      </w:r>
      <w:r w:rsidRPr="00424274">
        <w:rPr>
          <w:rFonts w:ascii="Arial" w:hAnsi="Arial"/>
          <w:sz w:val="20"/>
        </w:rPr>
        <w:t>zavezance sprejel Smernice za lažje razumevanj</w:t>
      </w:r>
      <w:r w:rsidR="009A5AEB" w:rsidRPr="00424274">
        <w:rPr>
          <w:rFonts w:ascii="Arial" w:hAnsi="Arial"/>
          <w:sz w:val="20"/>
        </w:rPr>
        <w:t>e</w:t>
      </w:r>
      <w:r w:rsidRPr="00424274">
        <w:rPr>
          <w:rFonts w:ascii="Arial" w:hAnsi="Arial"/>
          <w:sz w:val="20"/>
        </w:rPr>
        <w:t xml:space="preserve"> in izvajanje določb ZPPDFT-1. </w:t>
      </w:r>
      <w:bookmarkStart w:id="183" w:name="_Hlk69394456"/>
      <w:r w:rsidRPr="00424274">
        <w:rPr>
          <w:rFonts w:ascii="Arial" w:hAnsi="Arial"/>
          <w:sz w:val="20"/>
        </w:rPr>
        <w:t xml:space="preserve">V letu 2020 je urad nadaljeval izvajanje samostojnih inšpekcijskih nadzorov pri tej kategoriji zavezancev. V letu 2020 je bilo tako </w:t>
      </w:r>
      <w:r w:rsidR="008A1626">
        <w:rPr>
          <w:rFonts w:ascii="Arial" w:hAnsi="Arial"/>
          <w:sz w:val="20"/>
        </w:rPr>
        <w:t>opravljenih</w:t>
      </w:r>
      <w:r w:rsidR="008A1626" w:rsidRPr="00424274">
        <w:rPr>
          <w:rFonts w:ascii="Arial" w:hAnsi="Arial"/>
          <w:sz w:val="20"/>
        </w:rPr>
        <w:t xml:space="preserve"> </w:t>
      </w:r>
      <w:r w:rsidRPr="00424274">
        <w:rPr>
          <w:rFonts w:ascii="Arial" w:hAnsi="Arial"/>
          <w:sz w:val="20"/>
        </w:rPr>
        <w:t xml:space="preserve">50 inšpekcijskih nadzorov na terenu </w:t>
      </w:r>
      <w:r w:rsidR="008A1626">
        <w:rPr>
          <w:rFonts w:ascii="Arial" w:hAnsi="Arial"/>
          <w:sz w:val="20"/>
        </w:rPr>
        <w:t>in</w:t>
      </w:r>
      <w:r w:rsidRPr="00424274">
        <w:rPr>
          <w:rFonts w:ascii="Arial" w:hAnsi="Arial"/>
          <w:sz w:val="20"/>
        </w:rPr>
        <w:t xml:space="preserve"> izdanih 46 ureditvenih odločb. Zaradi epidemije </w:t>
      </w:r>
      <w:r w:rsidR="006729D3">
        <w:rPr>
          <w:rFonts w:ascii="Arial" w:hAnsi="Arial"/>
          <w:sz w:val="20"/>
        </w:rPr>
        <w:t>covida</w:t>
      </w:r>
      <w:r w:rsidRPr="00424274">
        <w:rPr>
          <w:rFonts w:ascii="Arial" w:hAnsi="Arial"/>
          <w:sz w:val="20"/>
        </w:rPr>
        <w:t xml:space="preserve">-19 pa so bili opravljeni tudi 103 posredni nadzori na podlagi </w:t>
      </w:r>
      <w:r w:rsidR="006729D3">
        <w:rPr>
          <w:rFonts w:ascii="Arial" w:hAnsi="Arial"/>
          <w:sz w:val="20"/>
        </w:rPr>
        <w:t>poslanih</w:t>
      </w:r>
      <w:r w:rsidR="006729D3" w:rsidRPr="00424274">
        <w:rPr>
          <w:rFonts w:ascii="Arial" w:hAnsi="Arial"/>
          <w:sz w:val="20"/>
        </w:rPr>
        <w:t xml:space="preserve"> </w:t>
      </w:r>
      <w:r w:rsidRPr="00424274">
        <w:rPr>
          <w:rFonts w:ascii="Arial" w:hAnsi="Arial"/>
          <w:sz w:val="20"/>
        </w:rPr>
        <w:t xml:space="preserve">vprašalnikov o aktivnostih poslovnih subjektov na področju preprečevanja pranja denarja in financiranja terorizma, izdana </w:t>
      </w:r>
      <w:r w:rsidR="006729D3">
        <w:rPr>
          <w:rFonts w:ascii="Arial" w:hAnsi="Arial"/>
          <w:sz w:val="20"/>
        </w:rPr>
        <w:t xml:space="preserve">je bila </w:t>
      </w:r>
      <w:r w:rsidRPr="00424274">
        <w:rPr>
          <w:rFonts w:ascii="Arial" w:hAnsi="Arial"/>
          <w:sz w:val="20"/>
        </w:rPr>
        <w:t xml:space="preserve">ena odločba o odpravi nepravilnosti </w:t>
      </w:r>
      <w:r w:rsidR="006729D3">
        <w:rPr>
          <w:rFonts w:ascii="Arial" w:hAnsi="Arial"/>
          <w:sz w:val="20"/>
        </w:rPr>
        <w:t>in</w:t>
      </w:r>
      <w:r w:rsidR="006729D3" w:rsidRPr="00424274">
        <w:rPr>
          <w:rFonts w:ascii="Arial" w:hAnsi="Arial"/>
          <w:sz w:val="20"/>
        </w:rPr>
        <w:t xml:space="preserve"> </w:t>
      </w:r>
      <w:r w:rsidRPr="00424274">
        <w:rPr>
          <w:rFonts w:ascii="Arial" w:hAnsi="Arial"/>
          <w:sz w:val="20"/>
        </w:rPr>
        <w:t xml:space="preserve">odprta ena </w:t>
      </w:r>
      <w:proofErr w:type="spellStart"/>
      <w:r w:rsidRPr="00424274">
        <w:rPr>
          <w:rFonts w:ascii="Arial" w:hAnsi="Arial"/>
          <w:sz w:val="20"/>
        </w:rPr>
        <w:t>prekrškovna</w:t>
      </w:r>
      <w:proofErr w:type="spellEnd"/>
      <w:r w:rsidRPr="00424274">
        <w:rPr>
          <w:rFonts w:ascii="Arial" w:hAnsi="Arial"/>
          <w:sz w:val="20"/>
        </w:rPr>
        <w:t xml:space="preserve"> zadeva.</w:t>
      </w:r>
    </w:p>
    <w:p w14:paraId="26E9BEE0" w14:textId="77777777" w:rsidR="002971C7" w:rsidRPr="00424274" w:rsidRDefault="002971C7" w:rsidP="00917725">
      <w:pPr>
        <w:spacing w:line="276" w:lineRule="auto"/>
        <w:rPr>
          <w:rFonts w:ascii="Arial" w:hAnsi="Arial"/>
          <w:sz w:val="20"/>
        </w:rPr>
      </w:pPr>
    </w:p>
    <w:p w14:paraId="5CD945FE" w14:textId="64E8938C" w:rsidR="00917725" w:rsidRPr="00424274" w:rsidRDefault="00917725" w:rsidP="00917725">
      <w:pPr>
        <w:spacing w:line="276" w:lineRule="auto"/>
        <w:rPr>
          <w:rFonts w:ascii="Arial" w:hAnsi="Arial"/>
          <w:sz w:val="20"/>
        </w:rPr>
      </w:pPr>
      <w:r w:rsidRPr="00424274">
        <w:rPr>
          <w:rFonts w:ascii="Arial" w:hAnsi="Arial"/>
          <w:sz w:val="20"/>
        </w:rPr>
        <w:t xml:space="preserve">Ugotovitve opravljenih nadzorov se skladajo s predvidevanji o stanju izvajanja zakonodaje s področja preprečevanja pranja denarja in financiranja terorizma pri zavezancih na terenu kot tudi pri posrednem nadzoru. Glede na izvedena usposabljanja v nefinančnem sektorju in zaznano raven ozaveščenosti zavezancev iz nefinančnega sektorja je bilo pričakovano, da je zaradi praktično neobstoječega nadzora v preteklosti poznavanje obveznosti pri teh zavezancih izrazito pomanjkljivo ter da je treba tudi v prihodnje izvajati aktivnosti tako </w:t>
      </w:r>
      <w:r w:rsidR="00641844">
        <w:rPr>
          <w:rFonts w:ascii="Arial" w:hAnsi="Arial"/>
          <w:sz w:val="20"/>
        </w:rPr>
        <w:t>glede</w:t>
      </w:r>
      <w:r w:rsidRPr="00424274">
        <w:rPr>
          <w:rFonts w:ascii="Arial" w:hAnsi="Arial"/>
          <w:sz w:val="20"/>
        </w:rPr>
        <w:t xml:space="preserve"> usposabljanja in strokovne pomoči kot tudi nadzora. </w:t>
      </w:r>
    </w:p>
    <w:p w14:paraId="165F07B4" w14:textId="77777777" w:rsidR="00917725" w:rsidRPr="00424274" w:rsidRDefault="00917725" w:rsidP="00917725">
      <w:pPr>
        <w:spacing w:line="276" w:lineRule="auto"/>
        <w:rPr>
          <w:rFonts w:ascii="Arial" w:hAnsi="Arial"/>
          <w:sz w:val="20"/>
        </w:rPr>
      </w:pPr>
    </w:p>
    <w:p w14:paraId="56B7437B" w14:textId="05691097" w:rsidR="00917725" w:rsidRPr="00424274" w:rsidRDefault="00917725" w:rsidP="00917725">
      <w:pPr>
        <w:spacing w:line="276" w:lineRule="auto"/>
        <w:rPr>
          <w:rFonts w:ascii="Arial" w:hAnsi="Arial"/>
          <w:sz w:val="20"/>
        </w:rPr>
      </w:pPr>
      <w:r w:rsidRPr="00424274">
        <w:rPr>
          <w:rFonts w:ascii="Arial" w:hAnsi="Arial"/>
          <w:sz w:val="20"/>
        </w:rPr>
        <w:t xml:space="preserve">Poleg omenjenega je </w:t>
      </w:r>
      <w:r w:rsidR="00A0541B">
        <w:rPr>
          <w:rFonts w:ascii="Arial" w:hAnsi="Arial"/>
          <w:sz w:val="20"/>
        </w:rPr>
        <w:t>urad</w:t>
      </w:r>
      <w:r w:rsidRPr="00424274">
        <w:rPr>
          <w:rFonts w:ascii="Arial" w:hAnsi="Arial"/>
          <w:sz w:val="20"/>
        </w:rPr>
        <w:t xml:space="preserve"> v letu 2020 izvajal nadzor tudi nad spoštovanjem 44. člena ZPPDFT-1, po katerem so morali poslovni subjekti do 19. 1. 2018 v Register dejanskih lastnikov vpisati podatke o svojem dejanskem lastniku. Iz tega </w:t>
      </w:r>
      <w:r w:rsidR="00641844">
        <w:rPr>
          <w:rFonts w:ascii="Arial" w:hAnsi="Arial"/>
          <w:sz w:val="20"/>
        </w:rPr>
        <w:t>nadzora</w:t>
      </w:r>
      <w:r w:rsidR="00641844" w:rsidRPr="00424274">
        <w:rPr>
          <w:rFonts w:ascii="Arial" w:hAnsi="Arial"/>
          <w:sz w:val="20"/>
        </w:rPr>
        <w:t xml:space="preserve"> </w:t>
      </w:r>
      <w:r w:rsidRPr="00424274">
        <w:rPr>
          <w:rFonts w:ascii="Arial" w:hAnsi="Arial"/>
          <w:sz w:val="20"/>
        </w:rPr>
        <w:t xml:space="preserve">je </w:t>
      </w:r>
      <w:r w:rsidR="00A0541B">
        <w:rPr>
          <w:rFonts w:ascii="Arial" w:hAnsi="Arial"/>
          <w:sz w:val="20"/>
        </w:rPr>
        <w:t>urad</w:t>
      </w:r>
      <w:r w:rsidRPr="00424274">
        <w:rPr>
          <w:rFonts w:ascii="Arial" w:hAnsi="Arial"/>
          <w:sz w:val="20"/>
        </w:rPr>
        <w:t xml:space="preserve"> izdal </w:t>
      </w:r>
      <w:r w:rsidR="008A6A7E">
        <w:rPr>
          <w:rFonts w:ascii="Arial" w:hAnsi="Arial"/>
          <w:sz w:val="20"/>
        </w:rPr>
        <w:t>eno</w:t>
      </w:r>
      <w:r w:rsidRPr="00424274">
        <w:rPr>
          <w:rFonts w:ascii="Arial" w:hAnsi="Arial"/>
          <w:sz w:val="20"/>
        </w:rPr>
        <w:t xml:space="preserve"> opozorilo </w:t>
      </w:r>
      <w:r w:rsidR="008A6A7E">
        <w:rPr>
          <w:rFonts w:ascii="Arial" w:hAnsi="Arial"/>
          <w:sz w:val="20"/>
        </w:rPr>
        <w:t>in</w:t>
      </w:r>
      <w:r w:rsidRPr="00424274">
        <w:rPr>
          <w:rFonts w:ascii="Arial" w:hAnsi="Arial"/>
          <w:sz w:val="20"/>
        </w:rPr>
        <w:t xml:space="preserve"> </w:t>
      </w:r>
      <w:r w:rsidR="008A6A7E">
        <w:rPr>
          <w:rFonts w:ascii="Arial" w:hAnsi="Arial"/>
          <w:sz w:val="20"/>
        </w:rPr>
        <w:t>tri</w:t>
      </w:r>
      <w:r w:rsidRPr="00424274">
        <w:rPr>
          <w:rFonts w:ascii="Arial" w:hAnsi="Arial"/>
          <w:sz w:val="20"/>
        </w:rPr>
        <w:t xml:space="preserve"> opomine po Zakonu o prekrških.</w:t>
      </w:r>
    </w:p>
    <w:p w14:paraId="4FA49D46" w14:textId="77777777" w:rsidR="00917725" w:rsidRPr="00424274" w:rsidRDefault="00917725" w:rsidP="00917725">
      <w:pPr>
        <w:spacing w:line="276" w:lineRule="auto"/>
        <w:rPr>
          <w:rFonts w:ascii="Arial" w:hAnsi="Arial"/>
          <w:sz w:val="20"/>
        </w:rPr>
      </w:pPr>
    </w:p>
    <w:p w14:paraId="79326D3A" w14:textId="14E11D44" w:rsidR="00917725" w:rsidRPr="00424274" w:rsidRDefault="00917725" w:rsidP="00917725">
      <w:pPr>
        <w:spacing w:line="276" w:lineRule="auto"/>
        <w:rPr>
          <w:rFonts w:ascii="Arial" w:hAnsi="Arial"/>
          <w:sz w:val="20"/>
        </w:rPr>
      </w:pPr>
      <w:r w:rsidRPr="00424274">
        <w:rPr>
          <w:rFonts w:ascii="Arial" w:hAnsi="Arial"/>
          <w:sz w:val="20"/>
        </w:rPr>
        <w:t xml:space="preserve">V letu 2020 so inšpektorice </w:t>
      </w:r>
      <w:r w:rsidR="00A0541B">
        <w:rPr>
          <w:rFonts w:ascii="Arial" w:hAnsi="Arial"/>
          <w:sz w:val="20"/>
        </w:rPr>
        <w:t>urad</w:t>
      </w:r>
      <w:r w:rsidRPr="00424274">
        <w:rPr>
          <w:rFonts w:ascii="Arial" w:hAnsi="Arial"/>
          <w:sz w:val="20"/>
        </w:rPr>
        <w:t xml:space="preserve">a izvedle tudi 36 nadzorov nad spoštovanjem </w:t>
      </w:r>
      <w:r w:rsidR="006729D3">
        <w:rPr>
          <w:rFonts w:ascii="Arial" w:hAnsi="Arial"/>
          <w:sz w:val="20"/>
        </w:rPr>
        <w:t>covidskih</w:t>
      </w:r>
      <w:r w:rsidR="006729D3" w:rsidRPr="00424274">
        <w:rPr>
          <w:rFonts w:ascii="Arial" w:hAnsi="Arial"/>
          <w:sz w:val="20"/>
        </w:rPr>
        <w:t xml:space="preserve"> </w:t>
      </w:r>
      <w:r w:rsidRPr="00424274">
        <w:rPr>
          <w:rFonts w:ascii="Arial" w:hAnsi="Arial"/>
          <w:sz w:val="20"/>
        </w:rPr>
        <w:t xml:space="preserve">ukrepov na podlagi Zakona o nalezljivih boleznih (Uradni list RS, št. Uradni list RS, št. 33/06 – uradno prečiščeno </w:t>
      </w:r>
      <w:r w:rsidRPr="00424274">
        <w:rPr>
          <w:rFonts w:ascii="Arial" w:hAnsi="Arial"/>
          <w:sz w:val="20"/>
        </w:rPr>
        <w:lastRenderedPageBreak/>
        <w:t>besedilo, 49/20 – ZIUZEOP, 142/20, 175/20 – ZIUOPDVE in 15/21 – ZDUOP</w:t>
      </w:r>
      <w:r w:rsidR="002971C7" w:rsidRPr="00424274">
        <w:rPr>
          <w:rFonts w:ascii="Arial" w:hAnsi="Arial"/>
          <w:sz w:val="20"/>
        </w:rPr>
        <w:t>)</w:t>
      </w:r>
      <w:r w:rsidRPr="00424274">
        <w:rPr>
          <w:rFonts w:ascii="Arial" w:hAnsi="Arial"/>
          <w:sz w:val="20"/>
        </w:rPr>
        <w:t xml:space="preserve"> ter predpis</w:t>
      </w:r>
      <w:r w:rsidR="00641844">
        <w:rPr>
          <w:rFonts w:ascii="Arial" w:hAnsi="Arial"/>
          <w:sz w:val="20"/>
        </w:rPr>
        <w:t>ov,</w:t>
      </w:r>
      <w:r w:rsidRPr="00424274">
        <w:rPr>
          <w:rFonts w:ascii="Arial" w:hAnsi="Arial"/>
          <w:sz w:val="20"/>
        </w:rPr>
        <w:t xml:space="preserve"> izdanih na njegovi podlagi. Iz </w:t>
      </w:r>
      <w:r w:rsidR="00641844">
        <w:rPr>
          <w:rFonts w:ascii="Arial" w:hAnsi="Arial"/>
          <w:sz w:val="20"/>
        </w:rPr>
        <w:t xml:space="preserve">teh nadzorov </w:t>
      </w:r>
      <w:r w:rsidRPr="00424274">
        <w:rPr>
          <w:rFonts w:ascii="Arial" w:hAnsi="Arial"/>
          <w:sz w:val="20"/>
        </w:rPr>
        <w:t xml:space="preserve">je bilo na podlagi zapisnika zaključenih 30 zadev, saj nepravilnosti niso bile ugotovljene. V </w:t>
      </w:r>
      <w:r w:rsidR="00641844">
        <w:rPr>
          <w:rFonts w:ascii="Arial" w:hAnsi="Arial"/>
          <w:sz w:val="20"/>
        </w:rPr>
        <w:t>šestih</w:t>
      </w:r>
      <w:r w:rsidRPr="00424274">
        <w:rPr>
          <w:rFonts w:ascii="Arial" w:hAnsi="Arial"/>
          <w:sz w:val="20"/>
        </w:rPr>
        <w:t xml:space="preserve"> primerih je bilo na kraju ugotovljeno, da poslovni subjekti ne poslujejo, zato je bil o tem napisan uradni zaznamek.</w:t>
      </w:r>
    </w:p>
    <w:p w14:paraId="1E95525E" w14:textId="77777777" w:rsidR="00917725" w:rsidRPr="00424274" w:rsidRDefault="00917725" w:rsidP="00917725">
      <w:pPr>
        <w:spacing w:line="276" w:lineRule="auto"/>
        <w:rPr>
          <w:rFonts w:ascii="Arial" w:hAnsi="Arial"/>
          <w:sz w:val="20"/>
        </w:rPr>
      </w:pPr>
    </w:p>
    <w:p w14:paraId="6185A335" w14:textId="1398E18C" w:rsidR="00917725" w:rsidRPr="00424274" w:rsidRDefault="00917725" w:rsidP="00917725">
      <w:pPr>
        <w:spacing w:line="276" w:lineRule="auto"/>
        <w:rPr>
          <w:rFonts w:ascii="Arial" w:hAnsi="Arial"/>
          <w:sz w:val="20"/>
        </w:rPr>
      </w:pPr>
      <w:r w:rsidRPr="00424274">
        <w:rPr>
          <w:rFonts w:ascii="Arial" w:hAnsi="Arial"/>
          <w:sz w:val="20"/>
        </w:rPr>
        <w:t>V letu 2020 se zaradi razmer</w:t>
      </w:r>
      <w:r w:rsidR="00641844">
        <w:rPr>
          <w:rFonts w:ascii="Arial" w:hAnsi="Arial"/>
          <w:sz w:val="20"/>
        </w:rPr>
        <w:t>,</w:t>
      </w:r>
      <w:r w:rsidRPr="00424274">
        <w:rPr>
          <w:rFonts w:ascii="Arial" w:hAnsi="Arial"/>
          <w:sz w:val="20"/>
        </w:rPr>
        <w:t xml:space="preserve"> povezanih z epidemijo </w:t>
      </w:r>
      <w:r w:rsidR="00641844">
        <w:rPr>
          <w:rFonts w:ascii="Arial" w:hAnsi="Arial"/>
          <w:sz w:val="20"/>
        </w:rPr>
        <w:t>covida-19,</w:t>
      </w:r>
      <w:r w:rsidR="00641844" w:rsidRPr="00424274">
        <w:rPr>
          <w:rFonts w:ascii="Arial" w:hAnsi="Arial"/>
          <w:sz w:val="20"/>
        </w:rPr>
        <w:t xml:space="preserve"> </w:t>
      </w:r>
      <w:r w:rsidRPr="00424274">
        <w:rPr>
          <w:rFonts w:ascii="Arial" w:hAnsi="Arial"/>
          <w:sz w:val="20"/>
        </w:rPr>
        <w:t xml:space="preserve">niso izvajali skupni nadzori z drugimi pristojnimi nadzornimi organi iz 151. člena ZPPDFT-1. </w:t>
      </w:r>
    </w:p>
    <w:bookmarkEnd w:id="183"/>
    <w:p w14:paraId="5ED317E5" w14:textId="77777777" w:rsidR="00917725" w:rsidRPr="00424274" w:rsidRDefault="00917725" w:rsidP="00917725">
      <w:pPr>
        <w:spacing w:line="276" w:lineRule="auto"/>
        <w:rPr>
          <w:rFonts w:ascii="Arial" w:hAnsi="Arial"/>
          <w:color w:val="FF0000"/>
          <w:sz w:val="20"/>
        </w:rPr>
      </w:pPr>
    </w:p>
    <w:p w14:paraId="63489EC1" w14:textId="77777777" w:rsidR="00917725" w:rsidRPr="00424274" w:rsidRDefault="00917725" w:rsidP="00917725">
      <w:pPr>
        <w:spacing w:line="276" w:lineRule="auto"/>
        <w:rPr>
          <w:rFonts w:ascii="Arial" w:hAnsi="Arial"/>
          <w:sz w:val="20"/>
        </w:rPr>
      </w:pPr>
      <w:r w:rsidRPr="00424274">
        <w:rPr>
          <w:rFonts w:ascii="Arial" w:hAnsi="Arial"/>
          <w:sz w:val="20"/>
        </w:rPr>
        <w:t>Glede na obseg zavezancev za izvajanje določb ZPPDFT-1 ter številčnost in raznolikost nadzornih organov, ki nadzorujejo posamezne vrste zavezancev (Banka Slovenije, Agencija za trg vrednostnih papirjev, Agencija za zavarovalni nadzor, Finančna uprava RS, Tržni inšpektorat RS, Agencija za javni</w:t>
      </w:r>
    </w:p>
    <w:p w14:paraId="73FF47E6" w14:textId="557EED7D" w:rsidR="00917725" w:rsidRPr="00424274" w:rsidRDefault="00917725" w:rsidP="00917725">
      <w:pPr>
        <w:spacing w:line="276" w:lineRule="auto"/>
        <w:rPr>
          <w:rFonts w:ascii="Arial" w:hAnsi="Arial"/>
          <w:sz w:val="20"/>
        </w:rPr>
      </w:pPr>
      <w:r w:rsidRPr="00424274">
        <w:rPr>
          <w:rFonts w:ascii="Arial" w:hAnsi="Arial"/>
          <w:sz w:val="20"/>
        </w:rPr>
        <w:t>nadzor nad revidiranjem, Odvetniška zbornica in Notarska zbornica)</w:t>
      </w:r>
      <w:r w:rsidR="00A0541B">
        <w:rPr>
          <w:rFonts w:ascii="Arial" w:hAnsi="Arial"/>
          <w:sz w:val="20"/>
        </w:rPr>
        <w:t>,</w:t>
      </w:r>
      <w:r w:rsidRPr="00424274">
        <w:rPr>
          <w:rFonts w:ascii="Arial" w:hAnsi="Arial"/>
          <w:sz w:val="20"/>
        </w:rPr>
        <w:t xml:space="preserve"> </w:t>
      </w:r>
      <w:r w:rsidR="00A0541B">
        <w:rPr>
          <w:rFonts w:ascii="Arial" w:hAnsi="Arial"/>
          <w:sz w:val="20"/>
        </w:rPr>
        <w:t>urad</w:t>
      </w:r>
      <w:r w:rsidRPr="00424274">
        <w:rPr>
          <w:rFonts w:ascii="Arial" w:hAnsi="Arial"/>
          <w:sz w:val="20"/>
        </w:rPr>
        <w:t xml:space="preserve"> v okviru obstoječih kadrovskih </w:t>
      </w:r>
      <w:r w:rsidR="00641844">
        <w:rPr>
          <w:rFonts w:ascii="Arial" w:hAnsi="Arial"/>
          <w:sz w:val="20"/>
        </w:rPr>
        <w:t>z</w:t>
      </w:r>
      <w:r w:rsidRPr="00424274">
        <w:rPr>
          <w:rFonts w:ascii="Arial" w:hAnsi="Arial"/>
          <w:sz w:val="20"/>
        </w:rPr>
        <w:t>možnosti tudi v prihodnje predvideva izvajanje inšpekcijskega nadzora na način, ki vključuje tako samostojne inšpekcijske nadzore predvsem pri zavezancih, ki primarnega nadzornika nimajo, kot tudi skupne inšpekcijske nadzore z drugimi nadzorniki z namenom poenotenja nadzorniških praks in izboljšanja izvajanja določb ZPPDFT-1 v praksi.</w:t>
      </w:r>
    </w:p>
    <w:p w14:paraId="70949F94" w14:textId="1DD57CE8" w:rsidR="004352D3" w:rsidRPr="00424274" w:rsidRDefault="00292A8B" w:rsidP="006D5A5A">
      <w:pPr>
        <w:pStyle w:val="Naslov3"/>
      </w:pPr>
      <w:bookmarkStart w:id="184" w:name="_Toc113535497"/>
      <w:r w:rsidRPr="00424274">
        <w:t xml:space="preserve">5.4.2 </w:t>
      </w:r>
      <w:r w:rsidR="004352D3" w:rsidRPr="00424274">
        <w:t xml:space="preserve">Urad kot </w:t>
      </w:r>
      <w:proofErr w:type="spellStart"/>
      <w:r w:rsidR="004352D3" w:rsidRPr="00424274">
        <w:t>prekrškovni</w:t>
      </w:r>
      <w:proofErr w:type="spellEnd"/>
      <w:r w:rsidR="004352D3" w:rsidRPr="00424274">
        <w:t xml:space="preserve"> organ</w:t>
      </w:r>
      <w:bookmarkEnd w:id="180"/>
      <w:bookmarkEnd w:id="181"/>
      <w:bookmarkEnd w:id="182"/>
      <w:r w:rsidR="000D0254" w:rsidRPr="00424274">
        <w:t xml:space="preserve"> – splošno</w:t>
      </w:r>
      <w:bookmarkEnd w:id="184"/>
      <w:r w:rsidR="000D0254" w:rsidRPr="00424274">
        <w:t xml:space="preserve"> </w:t>
      </w:r>
    </w:p>
    <w:p w14:paraId="10BAE848" w14:textId="77777777" w:rsidR="004352D3" w:rsidRPr="00424274" w:rsidRDefault="004352D3" w:rsidP="004352D3">
      <w:pPr>
        <w:tabs>
          <w:tab w:val="left" w:pos="-1026"/>
          <w:tab w:val="left" w:pos="-756"/>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rPr>
          <w:rFonts w:ascii="Arial" w:hAnsi="Arial"/>
          <w:sz w:val="20"/>
        </w:rPr>
      </w:pPr>
    </w:p>
    <w:p w14:paraId="5E6B6083" w14:textId="77777777" w:rsidR="002E62E0" w:rsidRPr="00424274" w:rsidRDefault="002E62E0" w:rsidP="002E62E0">
      <w:pPr>
        <w:tabs>
          <w:tab w:val="left" w:pos="-1026"/>
          <w:tab w:val="left" w:pos="-756"/>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rPr>
          <w:rFonts w:ascii="Arial" w:hAnsi="Arial"/>
          <w:sz w:val="20"/>
        </w:rPr>
      </w:pPr>
      <w:bookmarkStart w:id="185" w:name="_Toc200853573"/>
      <w:bookmarkStart w:id="186" w:name="_Toc227744154"/>
      <w:bookmarkStart w:id="187" w:name="_Toc292714867"/>
      <w:bookmarkStart w:id="188" w:name="_Toc325462262"/>
      <w:bookmarkStart w:id="189" w:name="_Toc402346342"/>
      <w:bookmarkStart w:id="190" w:name="_Toc463955082"/>
      <w:bookmarkStart w:id="191" w:name="_Toc499807237"/>
      <w:bookmarkStart w:id="192" w:name="_Toc529353607"/>
      <w:r w:rsidRPr="00424274">
        <w:rPr>
          <w:rFonts w:ascii="Arial" w:hAnsi="Arial"/>
          <w:sz w:val="20"/>
        </w:rPr>
        <w:t xml:space="preserve">ZPPDFT-1 ima podrobno opredeljene kršitve zakona, pri čemer je tudi krog oseb, katerih ravnanja so sankcionirana, bolj natančno določen (opredeljene so kršitve registriranih overiteljev kvalificiranih digitalnih potrdil, kršitve tretjih oseb, kršitve oseb, ki opravljajo dejavnost prodaje blaga, kršitve poslovnih subjektov, ki so obvezani ugotoviti in vpisati podatke o svojem dejanskem lastniku itd.). </w:t>
      </w:r>
    </w:p>
    <w:p w14:paraId="58627ABF" w14:textId="77777777" w:rsidR="002E62E0" w:rsidRPr="00424274" w:rsidRDefault="002E62E0" w:rsidP="002E62E0">
      <w:pPr>
        <w:tabs>
          <w:tab w:val="left" w:pos="-1026"/>
          <w:tab w:val="left" w:pos="-756"/>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rPr>
          <w:rFonts w:ascii="Arial" w:hAnsi="Arial"/>
          <w:color w:val="FF0000"/>
          <w:sz w:val="20"/>
        </w:rPr>
      </w:pPr>
    </w:p>
    <w:p w14:paraId="550BE693" w14:textId="0169B61F" w:rsidR="002E62E0" w:rsidRPr="00424274" w:rsidRDefault="002E62E0" w:rsidP="002E62E0">
      <w:pPr>
        <w:tabs>
          <w:tab w:val="left" w:pos="-1026"/>
          <w:tab w:val="left" w:pos="-756"/>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rPr>
          <w:rFonts w:ascii="Arial" w:hAnsi="Arial"/>
          <w:sz w:val="20"/>
        </w:rPr>
      </w:pPr>
      <w:r w:rsidRPr="00424274">
        <w:rPr>
          <w:rFonts w:ascii="Arial" w:hAnsi="Arial"/>
          <w:sz w:val="20"/>
        </w:rPr>
        <w:t xml:space="preserve">Kršitve ZPPDFT-1 so </w:t>
      </w:r>
      <w:r w:rsidR="00641844">
        <w:rPr>
          <w:rFonts w:ascii="Arial" w:hAnsi="Arial"/>
          <w:sz w:val="20"/>
        </w:rPr>
        <w:t>razvrščene</w:t>
      </w:r>
      <w:r w:rsidR="00641844" w:rsidRPr="00424274">
        <w:rPr>
          <w:rFonts w:ascii="Arial" w:hAnsi="Arial"/>
          <w:sz w:val="20"/>
        </w:rPr>
        <w:t xml:space="preserve"> </w:t>
      </w:r>
      <w:r w:rsidRPr="00424274">
        <w:rPr>
          <w:rFonts w:ascii="Arial" w:hAnsi="Arial"/>
          <w:sz w:val="20"/>
        </w:rPr>
        <w:t>glede na težo prekrška na:</w:t>
      </w:r>
    </w:p>
    <w:p w14:paraId="4499728A" w14:textId="70858266" w:rsidR="002E62E0" w:rsidRPr="00424274" w:rsidRDefault="002E62E0" w:rsidP="002E62E0">
      <w:pPr>
        <w:numPr>
          <w:ilvl w:val="0"/>
          <w:numId w:val="10"/>
        </w:numPr>
        <w:tabs>
          <w:tab w:val="left" w:pos="-1026"/>
          <w:tab w:val="left" w:pos="-756"/>
          <w:tab w:val="left" w:pos="3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rPr>
          <w:rFonts w:ascii="Arial" w:hAnsi="Arial"/>
          <w:sz w:val="20"/>
        </w:rPr>
      </w:pPr>
      <w:r w:rsidRPr="00424274">
        <w:rPr>
          <w:rFonts w:ascii="Arial" w:hAnsi="Arial"/>
          <w:sz w:val="20"/>
        </w:rPr>
        <w:t>najtežje (zagrožena globa za pravno osebo je od 12.000 do 120.000 EUR, za odgovorno osebo je od 800 do 4.000 EUR, za samostojnega podjetnika posameznika oziroma posameznika, ki samostojno opravlja dejavnost</w:t>
      </w:r>
      <w:r w:rsidR="00641844">
        <w:rPr>
          <w:rFonts w:ascii="Arial" w:hAnsi="Arial"/>
          <w:sz w:val="20"/>
        </w:rPr>
        <w:t>,</w:t>
      </w:r>
      <w:r w:rsidRPr="00424274">
        <w:rPr>
          <w:rFonts w:ascii="Arial" w:hAnsi="Arial"/>
          <w:sz w:val="20"/>
        </w:rPr>
        <w:t xml:space="preserve"> pa je od 4.000 do 40.000 EUR), </w:t>
      </w:r>
    </w:p>
    <w:p w14:paraId="4DCBE981" w14:textId="4CE8710D" w:rsidR="002E62E0" w:rsidRPr="00424274" w:rsidRDefault="002E62E0" w:rsidP="002E62E0">
      <w:pPr>
        <w:numPr>
          <w:ilvl w:val="0"/>
          <w:numId w:val="10"/>
        </w:numPr>
        <w:tabs>
          <w:tab w:val="left" w:pos="-1026"/>
          <w:tab w:val="left" w:pos="-756"/>
          <w:tab w:val="left" w:pos="3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rPr>
          <w:rFonts w:ascii="Arial" w:hAnsi="Arial"/>
          <w:sz w:val="20"/>
        </w:rPr>
      </w:pPr>
      <w:r w:rsidRPr="00424274">
        <w:rPr>
          <w:rFonts w:ascii="Arial" w:hAnsi="Arial"/>
          <w:sz w:val="20"/>
        </w:rPr>
        <w:t>težje (zagrožena globa za pravno osebo je od 6.000 do 60.000 EUR, za odgovorno osebo je od 400 do 2.000 EUR, za samostojnega podjetnika posameznika oziroma posameznika, ki samostojno opravlja dejavnost</w:t>
      </w:r>
      <w:r w:rsidR="00641844">
        <w:rPr>
          <w:rFonts w:ascii="Arial" w:hAnsi="Arial"/>
          <w:sz w:val="20"/>
        </w:rPr>
        <w:t>,</w:t>
      </w:r>
      <w:r w:rsidRPr="00424274">
        <w:rPr>
          <w:rFonts w:ascii="Arial" w:hAnsi="Arial"/>
          <w:sz w:val="20"/>
        </w:rPr>
        <w:t xml:space="preserve"> pa je od 2.000 do 20.000 EUR), </w:t>
      </w:r>
    </w:p>
    <w:p w14:paraId="22C9DDBF" w14:textId="7065BD28" w:rsidR="002E62E0" w:rsidRPr="00424274" w:rsidRDefault="002E62E0" w:rsidP="002E62E0">
      <w:pPr>
        <w:numPr>
          <w:ilvl w:val="0"/>
          <w:numId w:val="10"/>
        </w:numPr>
        <w:tabs>
          <w:tab w:val="left" w:pos="-1026"/>
          <w:tab w:val="left" w:pos="-756"/>
          <w:tab w:val="left" w:pos="3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rPr>
          <w:rFonts w:ascii="Arial" w:hAnsi="Arial"/>
          <w:sz w:val="20"/>
        </w:rPr>
      </w:pPr>
      <w:r w:rsidRPr="00424274">
        <w:rPr>
          <w:rFonts w:ascii="Arial" w:hAnsi="Arial"/>
          <w:sz w:val="20"/>
        </w:rPr>
        <w:t>in lažje kršitve (zagrožena globa za pravno osebo je od 3.000 do 30.000 EUR, za odgovorno osebo je od 200 do 1.000 EUR, za samostojnega podjetnika posameznika oziroma posameznika, ki samostojno opravlja dejavnost</w:t>
      </w:r>
      <w:r w:rsidR="00641844">
        <w:rPr>
          <w:rFonts w:ascii="Arial" w:hAnsi="Arial"/>
          <w:sz w:val="20"/>
        </w:rPr>
        <w:t>,</w:t>
      </w:r>
      <w:r w:rsidRPr="00424274">
        <w:rPr>
          <w:rFonts w:ascii="Arial" w:hAnsi="Arial"/>
          <w:sz w:val="20"/>
        </w:rPr>
        <w:t xml:space="preserve"> pa je od 1.000 do 10.000 EUR).</w:t>
      </w:r>
    </w:p>
    <w:p w14:paraId="354CA0BC" w14:textId="77777777" w:rsidR="002E62E0" w:rsidRPr="00424274" w:rsidRDefault="002E62E0" w:rsidP="002E62E0">
      <w:pPr>
        <w:tabs>
          <w:tab w:val="left" w:pos="-1026"/>
          <w:tab w:val="left" w:pos="-756"/>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rPr>
          <w:rFonts w:ascii="Arial" w:hAnsi="Arial"/>
          <w:color w:val="FF0000"/>
          <w:sz w:val="20"/>
        </w:rPr>
      </w:pPr>
    </w:p>
    <w:p w14:paraId="57BF168D" w14:textId="6B3B8D03" w:rsidR="002E62E0" w:rsidRPr="00424274" w:rsidRDefault="002E62E0" w:rsidP="002E62E0">
      <w:pPr>
        <w:tabs>
          <w:tab w:val="left" w:pos="-1026"/>
          <w:tab w:val="left" w:pos="-756"/>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rPr>
          <w:rFonts w:ascii="Arial" w:hAnsi="Arial"/>
          <w:sz w:val="20"/>
        </w:rPr>
      </w:pPr>
      <w:r w:rsidRPr="00424274">
        <w:rPr>
          <w:rFonts w:ascii="Arial" w:hAnsi="Arial"/>
          <w:sz w:val="20"/>
        </w:rPr>
        <w:t xml:space="preserve">Skladno z evropsko direktivo so zagrožene sankcije pri najtežjih kršitvah v določenih okoliščinah oziroma za določene kategorije zavezancev v ZPPDFT-1 opredeljene še višje. Posebej so izpostavljeni prekrški, ki so posebno hude narave, ali so povzročili izrazito višino škode oziroma protipravno pridobljene premoženjske koristi, ali so posebni zaradi storilčevega naklepa oziroma njegovega namena koristoljubnosti, ali zaradi ponavljanja ali sistematičnosti njegove storitve prekrška. Ob ugotovitvi tovrstnih okoliščin </w:t>
      </w:r>
      <w:r w:rsidR="00994BFB">
        <w:rPr>
          <w:rFonts w:ascii="Arial" w:hAnsi="Arial"/>
          <w:sz w:val="20"/>
        </w:rPr>
        <w:t>je</w:t>
      </w:r>
      <w:r w:rsidR="00994BFB" w:rsidRPr="00424274">
        <w:rPr>
          <w:rFonts w:ascii="Arial" w:hAnsi="Arial"/>
          <w:sz w:val="20"/>
        </w:rPr>
        <w:t xml:space="preserve"> </w:t>
      </w:r>
      <w:r w:rsidRPr="00424274">
        <w:rPr>
          <w:rFonts w:ascii="Arial" w:hAnsi="Arial"/>
          <w:sz w:val="20"/>
        </w:rPr>
        <w:t>pravn</w:t>
      </w:r>
      <w:r w:rsidR="002D7513">
        <w:rPr>
          <w:rFonts w:ascii="Arial" w:hAnsi="Arial"/>
          <w:sz w:val="20"/>
        </w:rPr>
        <w:t>a</w:t>
      </w:r>
      <w:r w:rsidRPr="00424274">
        <w:rPr>
          <w:rFonts w:ascii="Arial" w:hAnsi="Arial"/>
          <w:sz w:val="20"/>
        </w:rPr>
        <w:t xml:space="preserve"> oseb</w:t>
      </w:r>
      <w:r w:rsidR="002D7513">
        <w:rPr>
          <w:rFonts w:ascii="Arial" w:hAnsi="Arial"/>
          <w:sz w:val="20"/>
        </w:rPr>
        <w:t>a</w:t>
      </w:r>
      <w:r w:rsidRPr="00424274">
        <w:rPr>
          <w:rFonts w:ascii="Arial" w:hAnsi="Arial"/>
          <w:sz w:val="20"/>
        </w:rPr>
        <w:t xml:space="preserve"> lahko </w:t>
      </w:r>
      <w:r w:rsidR="00994BFB">
        <w:rPr>
          <w:rFonts w:ascii="Arial" w:hAnsi="Arial"/>
          <w:sz w:val="20"/>
        </w:rPr>
        <w:t>kaznovana</w:t>
      </w:r>
      <w:r w:rsidR="00994BFB" w:rsidRPr="00424274">
        <w:rPr>
          <w:rFonts w:ascii="Arial" w:hAnsi="Arial"/>
          <w:sz w:val="20"/>
        </w:rPr>
        <w:t xml:space="preserve"> </w:t>
      </w:r>
      <w:r w:rsidRPr="00424274">
        <w:rPr>
          <w:rFonts w:ascii="Arial" w:hAnsi="Arial"/>
          <w:sz w:val="20"/>
        </w:rPr>
        <w:t>z globo do 1 milijona e</w:t>
      </w:r>
      <w:r w:rsidR="002D7513">
        <w:rPr>
          <w:rFonts w:ascii="Arial" w:hAnsi="Arial"/>
          <w:sz w:val="20"/>
        </w:rPr>
        <w:t>v</w:t>
      </w:r>
      <w:r w:rsidRPr="00424274">
        <w:rPr>
          <w:rFonts w:ascii="Arial" w:hAnsi="Arial"/>
          <w:sz w:val="20"/>
        </w:rPr>
        <w:t>rov (samostojn</w:t>
      </w:r>
      <w:r w:rsidR="00994BFB">
        <w:rPr>
          <w:rFonts w:ascii="Arial" w:hAnsi="Arial"/>
          <w:sz w:val="20"/>
        </w:rPr>
        <w:t>i</w:t>
      </w:r>
      <w:r w:rsidRPr="00424274">
        <w:rPr>
          <w:rFonts w:ascii="Arial" w:hAnsi="Arial"/>
          <w:sz w:val="20"/>
        </w:rPr>
        <w:t xml:space="preserve"> podjetnik posameznik ali posameznik, ki samostojno opravlja dejavnost</w:t>
      </w:r>
      <w:r w:rsidR="002D7513">
        <w:rPr>
          <w:rFonts w:ascii="Arial" w:hAnsi="Arial"/>
          <w:sz w:val="20"/>
        </w:rPr>
        <w:t>,</w:t>
      </w:r>
      <w:r w:rsidRPr="00424274">
        <w:rPr>
          <w:rFonts w:ascii="Arial" w:hAnsi="Arial"/>
          <w:sz w:val="20"/>
        </w:rPr>
        <w:t xml:space="preserve"> </w:t>
      </w:r>
      <w:r w:rsidR="00994BFB">
        <w:rPr>
          <w:rFonts w:ascii="Arial" w:hAnsi="Arial"/>
          <w:sz w:val="20"/>
        </w:rPr>
        <w:t xml:space="preserve">pa z globo </w:t>
      </w:r>
      <w:r w:rsidRPr="00424274">
        <w:rPr>
          <w:rFonts w:ascii="Arial" w:hAnsi="Arial"/>
          <w:sz w:val="20"/>
        </w:rPr>
        <w:t>do pol milijona e</w:t>
      </w:r>
      <w:r w:rsidR="002D7513">
        <w:rPr>
          <w:rFonts w:ascii="Arial" w:hAnsi="Arial"/>
          <w:sz w:val="20"/>
        </w:rPr>
        <w:t>v</w:t>
      </w:r>
      <w:r w:rsidRPr="00424274">
        <w:rPr>
          <w:rFonts w:ascii="Arial" w:hAnsi="Arial"/>
          <w:sz w:val="20"/>
        </w:rPr>
        <w:t>rov) ali do dvakratnega zneska premoženjske koristi. Višje globe so določene tudi za odgovorne osebe.</w:t>
      </w:r>
    </w:p>
    <w:p w14:paraId="58D0F949" w14:textId="77777777" w:rsidR="002E62E0" w:rsidRPr="00424274" w:rsidRDefault="002E62E0" w:rsidP="002E62E0">
      <w:pPr>
        <w:tabs>
          <w:tab w:val="left" w:pos="-1026"/>
          <w:tab w:val="left" w:pos="-756"/>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rPr>
          <w:rFonts w:ascii="Arial" w:hAnsi="Arial"/>
          <w:color w:val="FF0000"/>
          <w:sz w:val="20"/>
        </w:rPr>
      </w:pPr>
    </w:p>
    <w:p w14:paraId="63F84C18" w14:textId="2B26F223" w:rsidR="002E62E0" w:rsidRPr="00424274" w:rsidRDefault="002D7513" w:rsidP="002E62E0">
      <w:pPr>
        <w:tabs>
          <w:tab w:val="left" w:pos="-1026"/>
          <w:tab w:val="left" w:pos="-756"/>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rPr>
          <w:rFonts w:ascii="Arial" w:hAnsi="Arial"/>
          <w:sz w:val="20"/>
        </w:rPr>
      </w:pPr>
      <w:r>
        <w:rPr>
          <w:rFonts w:ascii="Arial" w:hAnsi="Arial"/>
          <w:sz w:val="20"/>
        </w:rPr>
        <w:t>Če</w:t>
      </w:r>
      <w:r w:rsidR="002E62E0" w:rsidRPr="00424274">
        <w:rPr>
          <w:rFonts w:ascii="Arial" w:hAnsi="Arial"/>
          <w:sz w:val="20"/>
        </w:rPr>
        <w:t xml:space="preserve"> je v teh primerih storilec prekrška pravna oseba, ki je kreditna ali finančna institucija, je zagrožen kazen še višja, in sicer znaša do 5 milijonov e</w:t>
      </w:r>
      <w:r w:rsidR="00A0541B">
        <w:rPr>
          <w:rFonts w:ascii="Arial" w:hAnsi="Arial"/>
          <w:sz w:val="20"/>
        </w:rPr>
        <w:t>v</w:t>
      </w:r>
      <w:r w:rsidR="002E62E0" w:rsidRPr="00424274">
        <w:rPr>
          <w:rFonts w:ascii="Arial" w:hAnsi="Arial"/>
          <w:sz w:val="20"/>
        </w:rPr>
        <w:t xml:space="preserve">rov ali do deset odstotkov skupnega letnega prometa v predhodnem poslovnem letu, če je ta znesek višji. Dodatna sankcija predstavlja poleg izreka globe tudi trajen ali začasen umik dovoljenja za opravljanje dejavnosti </w:t>
      </w:r>
      <w:r>
        <w:rPr>
          <w:rFonts w:ascii="Arial" w:hAnsi="Arial"/>
          <w:sz w:val="20"/>
        </w:rPr>
        <w:t>in</w:t>
      </w:r>
      <w:r w:rsidR="002E62E0" w:rsidRPr="00424274">
        <w:rPr>
          <w:rFonts w:ascii="Arial" w:hAnsi="Arial"/>
          <w:sz w:val="20"/>
        </w:rPr>
        <w:t xml:space="preserve"> zoper odgovorno osebo tudi začasna prepoved izvrševanja vodstvenih nalog.</w:t>
      </w:r>
    </w:p>
    <w:p w14:paraId="478C281C" w14:textId="77777777" w:rsidR="002E62E0" w:rsidRPr="00424274" w:rsidRDefault="002E62E0" w:rsidP="002E62E0">
      <w:pPr>
        <w:tabs>
          <w:tab w:val="left" w:pos="-1026"/>
          <w:tab w:val="left" w:pos="-756"/>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rPr>
          <w:rFonts w:ascii="Arial" w:hAnsi="Arial"/>
          <w:color w:val="FF0000"/>
          <w:sz w:val="20"/>
        </w:rPr>
      </w:pPr>
    </w:p>
    <w:p w14:paraId="66EB8985" w14:textId="774E5E90" w:rsidR="002E62E0" w:rsidRPr="00424274" w:rsidRDefault="002E62E0" w:rsidP="002E62E0">
      <w:pPr>
        <w:tabs>
          <w:tab w:val="left" w:pos="-1026"/>
          <w:tab w:val="left" w:pos="-756"/>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rPr>
          <w:rFonts w:ascii="Arial" w:hAnsi="Arial"/>
          <w:sz w:val="20"/>
        </w:rPr>
      </w:pPr>
      <w:r w:rsidRPr="00424274">
        <w:rPr>
          <w:rFonts w:ascii="Arial" w:hAnsi="Arial"/>
          <w:sz w:val="20"/>
        </w:rPr>
        <w:t xml:space="preserve">V skladu z ZPPDFT-1 </w:t>
      </w:r>
      <w:r w:rsidR="00A0541B">
        <w:rPr>
          <w:rFonts w:ascii="Arial" w:hAnsi="Arial"/>
          <w:sz w:val="20"/>
        </w:rPr>
        <w:t>urad</w:t>
      </w:r>
      <w:r w:rsidRPr="00424274">
        <w:rPr>
          <w:rFonts w:ascii="Arial" w:hAnsi="Arial"/>
          <w:sz w:val="20"/>
        </w:rPr>
        <w:t xml:space="preserve"> ni edini nadzornik nad izvajanjem določil zakona pri zavezancih, ampak so nadzorniki tudi organi, ki izvajajo t.</w:t>
      </w:r>
      <w:r w:rsidR="002D7513">
        <w:rPr>
          <w:rFonts w:ascii="Arial" w:hAnsi="Arial"/>
          <w:sz w:val="20"/>
        </w:rPr>
        <w:t> </w:t>
      </w:r>
      <w:r w:rsidRPr="00424274">
        <w:rPr>
          <w:rFonts w:ascii="Arial" w:hAnsi="Arial"/>
          <w:sz w:val="20"/>
        </w:rPr>
        <w:t xml:space="preserve">i. primarni nadzor tudi na podlagi področne zakonodaje posameznih skupin zavezancev. Drugi nadzorni organi so Banka Slovenije, Agencija za trg vrednostnih papirjev, Agencija za zavarovalni nadzor, Finančna uprava RS, Tržni inšpektorat RS, Agencija za javno revidiranje, Odvetniška zbornica </w:t>
      </w:r>
      <w:r w:rsidR="007A61B8">
        <w:rPr>
          <w:rFonts w:ascii="Arial" w:hAnsi="Arial"/>
          <w:sz w:val="20"/>
        </w:rPr>
        <w:t>Slovenije</w:t>
      </w:r>
      <w:r w:rsidRPr="00424274">
        <w:rPr>
          <w:rFonts w:ascii="Arial" w:hAnsi="Arial"/>
          <w:sz w:val="20"/>
        </w:rPr>
        <w:t xml:space="preserve"> </w:t>
      </w:r>
      <w:r w:rsidR="002D7513">
        <w:rPr>
          <w:rFonts w:ascii="Arial" w:hAnsi="Arial"/>
          <w:sz w:val="20"/>
        </w:rPr>
        <w:t>in</w:t>
      </w:r>
      <w:r w:rsidR="002D7513" w:rsidRPr="00424274">
        <w:rPr>
          <w:rFonts w:ascii="Arial" w:hAnsi="Arial"/>
          <w:sz w:val="20"/>
        </w:rPr>
        <w:t xml:space="preserve"> </w:t>
      </w:r>
      <w:r w:rsidRPr="00424274">
        <w:rPr>
          <w:rFonts w:ascii="Arial" w:hAnsi="Arial"/>
          <w:sz w:val="20"/>
        </w:rPr>
        <w:t>Notarska zbornica</w:t>
      </w:r>
      <w:r w:rsidR="007A61B8">
        <w:rPr>
          <w:rFonts w:ascii="Arial" w:hAnsi="Arial"/>
          <w:sz w:val="20"/>
        </w:rPr>
        <w:t xml:space="preserve"> Slovenije</w:t>
      </w:r>
      <w:r w:rsidRPr="00424274">
        <w:rPr>
          <w:rFonts w:ascii="Arial" w:hAnsi="Arial"/>
          <w:sz w:val="20"/>
        </w:rPr>
        <w:t xml:space="preserve">, ki v skladu s svojimi pooblastili nadzirajo poslovanje in posledično tudi ustrezno izvajanje določil ZPPDFT-1 pri posameznem segmentu zavezancev. Nadzorniki imajo pristojnost pri ugotovljenih kršitvah zakonodaje s področja </w:t>
      </w:r>
      <w:r w:rsidRPr="00424274">
        <w:rPr>
          <w:rFonts w:ascii="Arial" w:hAnsi="Arial"/>
          <w:sz w:val="20"/>
        </w:rPr>
        <w:lastRenderedPageBreak/>
        <w:t xml:space="preserve">preprečevanja pranja denarja in financiranja terorizma odrediti ukrepe za odpravo nepravilnosti in pomanjkljivosti, pri čemer lahko izvedejo tudi </w:t>
      </w:r>
      <w:proofErr w:type="spellStart"/>
      <w:r w:rsidRPr="00424274">
        <w:rPr>
          <w:rFonts w:ascii="Arial" w:hAnsi="Arial"/>
          <w:sz w:val="20"/>
        </w:rPr>
        <w:t>prekrškovni</w:t>
      </w:r>
      <w:proofErr w:type="spellEnd"/>
      <w:r w:rsidRPr="00424274">
        <w:rPr>
          <w:rFonts w:ascii="Arial" w:hAnsi="Arial"/>
          <w:sz w:val="20"/>
        </w:rPr>
        <w:t xml:space="preserve"> postopek, in o vseh svojih ukrepih obvestiti </w:t>
      </w:r>
      <w:r w:rsidR="00A0541B">
        <w:rPr>
          <w:rFonts w:ascii="Arial" w:hAnsi="Arial"/>
          <w:sz w:val="20"/>
        </w:rPr>
        <w:t>urad</w:t>
      </w:r>
      <w:r w:rsidRPr="00424274">
        <w:rPr>
          <w:rFonts w:ascii="Arial" w:hAnsi="Arial"/>
          <w:sz w:val="20"/>
        </w:rPr>
        <w:t xml:space="preserve">. </w:t>
      </w:r>
    </w:p>
    <w:p w14:paraId="75079ADD" w14:textId="77777777" w:rsidR="002E62E0" w:rsidRPr="00424274" w:rsidRDefault="002E62E0" w:rsidP="002E62E0">
      <w:pPr>
        <w:tabs>
          <w:tab w:val="left" w:pos="-1026"/>
          <w:tab w:val="left" w:pos="-756"/>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rPr>
          <w:rFonts w:ascii="Arial" w:hAnsi="Arial"/>
          <w:color w:val="FF0000"/>
          <w:sz w:val="20"/>
        </w:rPr>
      </w:pPr>
    </w:p>
    <w:p w14:paraId="3FCD1189" w14:textId="3198F601" w:rsidR="002E62E0" w:rsidRPr="00424274" w:rsidRDefault="002E62E0" w:rsidP="002E62E0">
      <w:pPr>
        <w:tabs>
          <w:tab w:val="left" w:pos="-1026"/>
          <w:tab w:val="left" w:pos="-756"/>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rPr>
          <w:rFonts w:ascii="Arial" w:hAnsi="Arial"/>
          <w:sz w:val="20"/>
        </w:rPr>
      </w:pPr>
      <w:r w:rsidRPr="00424274">
        <w:rPr>
          <w:rFonts w:ascii="Arial" w:hAnsi="Arial"/>
          <w:sz w:val="20"/>
        </w:rPr>
        <w:t xml:space="preserve">Urad </w:t>
      </w:r>
      <w:r w:rsidR="002D7513">
        <w:rPr>
          <w:rFonts w:ascii="Arial" w:hAnsi="Arial"/>
          <w:sz w:val="20"/>
        </w:rPr>
        <w:t xml:space="preserve">ima </w:t>
      </w:r>
      <w:r w:rsidRPr="00424274">
        <w:rPr>
          <w:rFonts w:ascii="Arial" w:hAnsi="Arial"/>
          <w:sz w:val="20"/>
        </w:rPr>
        <w:t xml:space="preserve">kot osrednji nacionalni organ za področje preprečevanja pranja denarja in financiranja terorizma nadzorne pristojnosti nad celotnim krogom zavezancev, vendar do uveljavitve ZPPDFT-1 ni imel inšpekcijskih pooblastil, na podlagi katerih </w:t>
      </w:r>
      <w:r w:rsidR="002D7513">
        <w:rPr>
          <w:rFonts w:ascii="Arial" w:hAnsi="Arial"/>
          <w:sz w:val="20"/>
        </w:rPr>
        <w:t>z</w:t>
      </w:r>
      <w:r w:rsidRPr="00424274">
        <w:rPr>
          <w:rFonts w:ascii="Arial" w:hAnsi="Arial"/>
          <w:sz w:val="20"/>
        </w:rPr>
        <w:t xml:space="preserve">daj lahko izvaja nadzorne aktivnosti pri zavezancih na kraju samem. Naloge inšpekcijskega nadzora </w:t>
      </w:r>
      <w:r w:rsidR="00A0541B">
        <w:rPr>
          <w:rFonts w:ascii="Arial" w:hAnsi="Arial"/>
          <w:sz w:val="20"/>
        </w:rPr>
        <w:t>urad</w:t>
      </w:r>
      <w:r w:rsidRPr="00424274">
        <w:rPr>
          <w:rFonts w:ascii="Arial" w:hAnsi="Arial"/>
          <w:sz w:val="20"/>
        </w:rPr>
        <w:t xml:space="preserve">a opravljajo uradne osebe, to so inšpektorji za preprečevanje pranja denarja, ki samostojno opravljajo naloge nadzora po ZPPDFT-1, vodijo postopke ter izdajajo odločbe in sklepe v upravnem in </w:t>
      </w:r>
      <w:proofErr w:type="spellStart"/>
      <w:r w:rsidRPr="00424274">
        <w:rPr>
          <w:rFonts w:ascii="Arial" w:hAnsi="Arial"/>
          <w:sz w:val="20"/>
        </w:rPr>
        <w:t>prekrškovnem</w:t>
      </w:r>
      <w:proofErr w:type="spellEnd"/>
      <w:r w:rsidRPr="00424274">
        <w:rPr>
          <w:rFonts w:ascii="Arial" w:hAnsi="Arial"/>
          <w:sz w:val="20"/>
        </w:rPr>
        <w:t xml:space="preserve"> postopku. Pooblastila inšpektorjev izhajajo iz 146. člena ZPPDFT-1. V letu 2020 je </w:t>
      </w:r>
      <w:r w:rsidR="00A0541B">
        <w:rPr>
          <w:rFonts w:ascii="Arial" w:hAnsi="Arial"/>
          <w:sz w:val="20"/>
        </w:rPr>
        <w:t>urad</w:t>
      </w:r>
      <w:r w:rsidRPr="00424274">
        <w:rPr>
          <w:rFonts w:ascii="Arial" w:hAnsi="Arial"/>
          <w:sz w:val="20"/>
        </w:rPr>
        <w:t xml:space="preserve"> izdal </w:t>
      </w:r>
      <w:r w:rsidR="008A1626">
        <w:rPr>
          <w:rFonts w:ascii="Arial" w:hAnsi="Arial"/>
          <w:sz w:val="20"/>
        </w:rPr>
        <w:t>eno</w:t>
      </w:r>
      <w:r w:rsidRPr="00424274">
        <w:rPr>
          <w:rFonts w:ascii="Arial" w:hAnsi="Arial"/>
          <w:sz w:val="20"/>
        </w:rPr>
        <w:t xml:space="preserve"> opozorilo </w:t>
      </w:r>
      <w:r w:rsidR="008A1626">
        <w:rPr>
          <w:rFonts w:ascii="Arial" w:hAnsi="Arial"/>
          <w:sz w:val="20"/>
        </w:rPr>
        <w:t>in tri</w:t>
      </w:r>
      <w:r w:rsidRPr="00424274">
        <w:rPr>
          <w:rFonts w:ascii="Arial" w:hAnsi="Arial"/>
          <w:sz w:val="20"/>
        </w:rPr>
        <w:t xml:space="preserve"> opomine po Zakonu o prekrških.</w:t>
      </w:r>
      <w:r w:rsidR="00AE5F5F">
        <w:rPr>
          <w:rFonts w:ascii="Arial" w:hAnsi="Arial"/>
          <w:sz w:val="20"/>
        </w:rPr>
        <w:t xml:space="preserve"> </w:t>
      </w:r>
    </w:p>
    <w:p w14:paraId="1C38D1AB" w14:textId="13CB12AE" w:rsidR="004352D3" w:rsidRPr="00424274" w:rsidRDefault="00292A8B" w:rsidP="006D5A5A">
      <w:pPr>
        <w:pStyle w:val="Naslov3"/>
      </w:pPr>
      <w:bookmarkStart w:id="193" w:name="_Toc113535498"/>
      <w:r w:rsidRPr="00424274">
        <w:t xml:space="preserve">5.4.3 </w:t>
      </w:r>
      <w:r w:rsidR="004352D3" w:rsidRPr="00424274">
        <w:t>Zaznane kršitve</w:t>
      </w:r>
      <w:bookmarkEnd w:id="185"/>
      <w:bookmarkEnd w:id="186"/>
      <w:bookmarkEnd w:id="187"/>
      <w:bookmarkEnd w:id="188"/>
      <w:bookmarkEnd w:id="189"/>
      <w:bookmarkEnd w:id="190"/>
      <w:bookmarkEnd w:id="191"/>
      <w:bookmarkEnd w:id="192"/>
      <w:bookmarkEnd w:id="193"/>
    </w:p>
    <w:p w14:paraId="7AC6DDA5" w14:textId="77777777" w:rsidR="009A037B" w:rsidRPr="00424274" w:rsidRDefault="009A037B" w:rsidP="009A037B">
      <w:pPr>
        <w:widowControl/>
        <w:tabs>
          <w:tab w:val="left" w:pos="-1026"/>
          <w:tab w:val="left" w:pos="-756"/>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right="-766"/>
        <w:rPr>
          <w:rFonts w:ascii="Arial" w:hAnsi="Arial"/>
          <w:b/>
          <w:i/>
          <w:sz w:val="20"/>
        </w:rPr>
      </w:pPr>
    </w:p>
    <w:p w14:paraId="3A31F0F0" w14:textId="1D237E0E" w:rsidR="009A037B" w:rsidRPr="00424274" w:rsidRDefault="009A037B" w:rsidP="009A037B">
      <w:pPr>
        <w:widowControl/>
        <w:tabs>
          <w:tab w:val="left" w:pos="-1026"/>
          <w:tab w:val="left" w:pos="-756"/>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rPr>
          <w:rFonts w:ascii="Arial" w:hAnsi="Arial"/>
          <w:sz w:val="20"/>
        </w:rPr>
      </w:pPr>
      <w:r w:rsidRPr="00424274">
        <w:rPr>
          <w:rFonts w:ascii="Arial" w:hAnsi="Arial"/>
          <w:sz w:val="20"/>
        </w:rPr>
        <w:t xml:space="preserve">V letu 2020 je </w:t>
      </w:r>
      <w:r w:rsidR="00A0541B">
        <w:rPr>
          <w:rFonts w:ascii="Arial" w:hAnsi="Arial"/>
          <w:sz w:val="20"/>
        </w:rPr>
        <w:t>urad</w:t>
      </w:r>
      <w:r w:rsidRPr="00424274">
        <w:rPr>
          <w:rFonts w:ascii="Arial" w:hAnsi="Arial"/>
          <w:sz w:val="20"/>
        </w:rPr>
        <w:t xml:space="preserve"> pri zavezancih iz 4. člena ZPPDFT-1 evidentiral </w:t>
      </w:r>
      <w:r w:rsidR="001E3FDE">
        <w:rPr>
          <w:rFonts w:ascii="Arial" w:hAnsi="Arial"/>
          <w:sz w:val="20"/>
        </w:rPr>
        <w:t>štiri</w:t>
      </w:r>
      <w:r w:rsidRPr="00424274">
        <w:rPr>
          <w:rFonts w:ascii="Arial" w:hAnsi="Arial"/>
          <w:sz w:val="20"/>
        </w:rPr>
        <w:t xml:space="preserve"> kršitve v zvezi z zamudo pri poročanju podatkov o gotovinskih transakcijah nad 15.000 EUR </w:t>
      </w:r>
      <w:r w:rsidR="00584EAA">
        <w:rPr>
          <w:rFonts w:ascii="Arial" w:hAnsi="Arial"/>
          <w:sz w:val="20"/>
        </w:rPr>
        <w:t>in</w:t>
      </w:r>
      <w:r w:rsidRPr="00424274">
        <w:rPr>
          <w:rFonts w:ascii="Arial" w:hAnsi="Arial"/>
          <w:sz w:val="20"/>
        </w:rPr>
        <w:t xml:space="preserve"> nakazilih v tvegane države (68. člen ZPPDFT-1). V omenjenih primerih je šlo za manjše prekoračitve zakonsko določenega roka, ali pa so le</w:t>
      </w:r>
      <w:r w:rsidR="0035145B">
        <w:rPr>
          <w:rFonts w:ascii="Arial" w:hAnsi="Arial"/>
          <w:sz w:val="20"/>
        </w:rPr>
        <w:t>-</w:t>
      </w:r>
      <w:r w:rsidRPr="00424274">
        <w:rPr>
          <w:rFonts w:ascii="Arial" w:hAnsi="Arial"/>
          <w:sz w:val="20"/>
        </w:rPr>
        <w:t xml:space="preserve">te nastale zaradi tehničnih težav, kar so zavezanci </w:t>
      </w:r>
      <w:r w:rsidR="00584EAA">
        <w:rPr>
          <w:rFonts w:ascii="Arial" w:hAnsi="Arial"/>
          <w:sz w:val="20"/>
        </w:rPr>
        <w:t>na svojo pobudo</w:t>
      </w:r>
      <w:r w:rsidR="00584EAA" w:rsidRPr="00424274">
        <w:rPr>
          <w:rFonts w:ascii="Arial" w:hAnsi="Arial"/>
          <w:sz w:val="20"/>
        </w:rPr>
        <w:t xml:space="preserve"> </w:t>
      </w:r>
      <w:r w:rsidRPr="00424274">
        <w:rPr>
          <w:rFonts w:ascii="Arial" w:hAnsi="Arial"/>
          <w:sz w:val="20"/>
        </w:rPr>
        <w:t>tudi obrazložili. Urad je glede na navedeno presodil, da gre za prekršek neznatnega pomena, postopek v omenjenih zadevah pa ne bi bil smotrn. V letu 20</w:t>
      </w:r>
      <w:r w:rsidR="006A0238" w:rsidRPr="00424274">
        <w:rPr>
          <w:rFonts w:ascii="Arial" w:hAnsi="Arial"/>
          <w:sz w:val="20"/>
        </w:rPr>
        <w:t>19</w:t>
      </w:r>
      <w:r w:rsidRPr="00424274">
        <w:rPr>
          <w:rFonts w:ascii="Arial" w:hAnsi="Arial"/>
          <w:sz w:val="20"/>
        </w:rPr>
        <w:t xml:space="preserve"> je bilo zaznanih </w:t>
      </w:r>
      <w:r w:rsidR="00584EAA">
        <w:rPr>
          <w:rFonts w:ascii="Arial" w:hAnsi="Arial"/>
          <w:sz w:val="20"/>
        </w:rPr>
        <w:t>šest</w:t>
      </w:r>
      <w:r w:rsidRPr="00424274">
        <w:rPr>
          <w:rFonts w:ascii="Arial" w:hAnsi="Arial"/>
          <w:sz w:val="20"/>
        </w:rPr>
        <w:t xml:space="preserve"> kršitev. </w:t>
      </w:r>
    </w:p>
    <w:p w14:paraId="28F4F38B" w14:textId="77777777" w:rsidR="009A037B" w:rsidRPr="00424274" w:rsidRDefault="009A037B" w:rsidP="009A037B">
      <w:pPr>
        <w:widowControl/>
        <w:tabs>
          <w:tab w:val="left" w:pos="-1026"/>
          <w:tab w:val="left" w:pos="-756"/>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rPr>
          <w:rFonts w:ascii="Arial" w:hAnsi="Arial"/>
          <w:sz w:val="20"/>
        </w:rPr>
      </w:pPr>
    </w:p>
    <w:p w14:paraId="582FD27E" w14:textId="3860D37A" w:rsidR="009A037B" w:rsidRPr="00424274" w:rsidRDefault="009A037B" w:rsidP="009A037B">
      <w:pPr>
        <w:rPr>
          <w:rFonts w:ascii="Arial" w:hAnsi="Arial"/>
          <w:sz w:val="20"/>
        </w:rPr>
      </w:pPr>
      <w:r w:rsidRPr="00424274">
        <w:rPr>
          <w:rFonts w:ascii="Arial" w:hAnsi="Arial"/>
          <w:sz w:val="20"/>
        </w:rPr>
        <w:t xml:space="preserve">V zvezi z izvajanjem nadzornih aktivnosti drugih pristojnih nadzornih organov je </w:t>
      </w:r>
      <w:r w:rsidR="00A0541B">
        <w:rPr>
          <w:rFonts w:ascii="Arial" w:hAnsi="Arial"/>
          <w:sz w:val="20"/>
        </w:rPr>
        <w:t>urad</w:t>
      </w:r>
      <w:r w:rsidRPr="00424274">
        <w:rPr>
          <w:rFonts w:ascii="Arial" w:hAnsi="Arial"/>
          <w:sz w:val="20"/>
        </w:rPr>
        <w:t xml:space="preserve"> prejel naslednje podatke o izvedenih nadzorih in ugotovljenih kršitvah v letu 2020:</w:t>
      </w:r>
    </w:p>
    <w:p w14:paraId="3DAB120D" w14:textId="77777777" w:rsidR="009A037B" w:rsidRPr="00424274" w:rsidRDefault="009A037B" w:rsidP="009A037B">
      <w:pPr>
        <w:rPr>
          <w:rFonts w:ascii="Arial" w:hAnsi="Arial"/>
          <w:sz w:val="20"/>
        </w:rPr>
      </w:pPr>
      <w:r w:rsidRPr="00424274">
        <w:rPr>
          <w:rFonts w:ascii="Arial" w:hAnsi="Arial"/>
          <w:sz w:val="20"/>
        </w:rPr>
        <w:t xml:space="preserve"> </w:t>
      </w:r>
    </w:p>
    <w:p w14:paraId="66E0543D" w14:textId="2D3A74A0" w:rsidR="009A037B" w:rsidRPr="00424274" w:rsidRDefault="009A037B" w:rsidP="005D168C">
      <w:pPr>
        <w:widowControl/>
        <w:numPr>
          <w:ilvl w:val="0"/>
          <w:numId w:val="10"/>
        </w:numPr>
        <w:spacing w:line="276" w:lineRule="auto"/>
        <w:contextualSpacing/>
        <w:rPr>
          <w:rFonts w:ascii="Arial" w:hAnsi="Arial" w:cs="Times New Roman"/>
          <w:sz w:val="20"/>
          <w:szCs w:val="24"/>
          <w:lang w:eastAsia="sl-SI"/>
        </w:rPr>
      </w:pPr>
      <w:r w:rsidRPr="00424274">
        <w:rPr>
          <w:rFonts w:ascii="Arial" w:hAnsi="Arial" w:cs="Times New Roman"/>
          <w:sz w:val="20"/>
          <w:szCs w:val="24"/>
          <w:lang w:eastAsia="sl-SI"/>
        </w:rPr>
        <w:t xml:space="preserve">Inšpektorji Tržnega inšpektorata RS so v letu 2020 pregledali skupno 34 zavezancev na področju nepremičninskega poslovanja. V </w:t>
      </w:r>
      <w:r w:rsidR="00C55525">
        <w:rPr>
          <w:rFonts w:ascii="Arial" w:hAnsi="Arial" w:cs="Times New Roman"/>
          <w:sz w:val="20"/>
          <w:szCs w:val="24"/>
          <w:lang w:eastAsia="sl-SI"/>
        </w:rPr>
        <w:t>šestih</w:t>
      </w:r>
      <w:r w:rsidRPr="00424274">
        <w:rPr>
          <w:rFonts w:ascii="Arial" w:hAnsi="Arial" w:cs="Times New Roman"/>
          <w:sz w:val="20"/>
          <w:szCs w:val="24"/>
          <w:lang w:eastAsia="sl-SI"/>
        </w:rPr>
        <w:t xml:space="preserve"> primerih ni bilo ugotovljenih nepravilnosti, zato je bil postopek ustavljen že </w:t>
      </w:r>
      <w:r w:rsidR="00C55525">
        <w:rPr>
          <w:rFonts w:ascii="Arial" w:hAnsi="Arial" w:cs="Times New Roman"/>
          <w:sz w:val="20"/>
          <w:szCs w:val="24"/>
          <w:lang w:eastAsia="sl-SI"/>
        </w:rPr>
        <w:t>med</w:t>
      </w:r>
      <w:r w:rsidRPr="00424274">
        <w:rPr>
          <w:rFonts w:ascii="Arial" w:hAnsi="Arial" w:cs="Times New Roman"/>
          <w:sz w:val="20"/>
          <w:szCs w:val="24"/>
          <w:lang w:eastAsia="sl-SI"/>
        </w:rPr>
        <w:t xml:space="preserve"> nadzor</w:t>
      </w:r>
      <w:r w:rsidR="00C55525">
        <w:rPr>
          <w:rFonts w:ascii="Arial" w:hAnsi="Arial" w:cs="Times New Roman"/>
          <w:sz w:val="20"/>
          <w:szCs w:val="24"/>
          <w:lang w:eastAsia="sl-SI"/>
        </w:rPr>
        <w:t>om</w:t>
      </w:r>
      <w:r w:rsidRPr="00424274">
        <w:rPr>
          <w:rFonts w:ascii="Arial" w:hAnsi="Arial" w:cs="Times New Roman"/>
          <w:sz w:val="20"/>
          <w:szCs w:val="24"/>
          <w:lang w:eastAsia="sl-SI"/>
        </w:rPr>
        <w:t xml:space="preserve">, v </w:t>
      </w:r>
      <w:r w:rsidR="00C55525">
        <w:rPr>
          <w:rFonts w:ascii="Arial" w:hAnsi="Arial" w:cs="Times New Roman"/>
          <w:sz w:val="20"/>
          <w:szCs w:val="24"/>
          <w:lang w:eastAsia="sl-SI"/>
        </w:rPr>
        <w:t>devetih</w:t>
      </w:r>
      <w:r w:rsidRPr="00424274">
        <w:rPr>
          <w:rFonts w:ascii="Arial" w:hAnsi="Arial" w:cs="Times New Roman"/>
          <w:sz w:val="20"/>
          <w:szCs w:val="24"/>
          <w:lang w:eastAsia="sl-SI"/>
        </w:rPr>
        <w:t xml:space="preserve"> primerih pa je bil postopek naknadno ustavljen s sklepom. V </w:t>
      </w:r>
      <w:r w:rsidR="00C55525">
        <w:rPr>
          <w:rFonts w:ascii="Arial" w:hAnsi="Arial" w:cs="Times New Roman"/>
          <w:sz w:val="20"/>
          <w:szCs w:val="24"/>
          <w:lang w:eastAsia="sl-SI"/>
        </w:rPr>
        <w:t>petih</w:t>
      </w:r>
      <w:r w:rsidRPr="00424274">
        <w:rPr>
          <w:rFonts w:ascii="Arial" w:hAnsi="Arial" w:cs="Times New Roman"/>
          <w:sz w:val="20"/>
          <w:szCs w:val="24"/>
          <w:lang w:eastAsia="sl-SI"/>
        </w:rPr>
        <w:t xml:space="preserve"> primerih je bila izdana upravna odločba zaradi ugotovljenih nepravilnosti oziroma pomanjkljivosti. Z</w:t>
      </w:r>
      <w:r w:rsidR="00C55525">
        <w:rPr>
          <w:rFonts w:ascii="Arial" w:hAnsi="Arial" w:cs="Times New Roman"/>
          <w:sz w:val="20"/>
          <w:szCs w:val="24"/>
          <w:lang w:eastAsia="sl-SI"/>
        </w:rPr>
        <w:t>a</w:t>
      </w:r>
      <w:r w:rsidRPr="00424274">
        <w:rPr>
          <w:rFonts w:ascii="Arial" w:hAnsi="Arial" w:cs="Times New Roman"/>
          <w:sz w:val="20"/>
          <w:szCs w:val="24"/>
          <w:lang w:eastAsia="sl-SI"/>
        </w:rPr>
        <w:t xml:space="preserve"> odprav</w:t>
      </w:r>
      <w:r w:rsidR="00C55525">
        <w:rPr>
          <w:rFonts w:ascii="Arial" w:hAnsi="Arial" w:cs="Times New Roman"/>
          <w:sz w:val="20"/>
          <w:szCs w:val="24"/>
          <w:lang w:eastAsia="sl-SI"/>
        </w:rPr>
        <w:t>o</w:t>
      </w:r>
      <w:r w:rsidRPr="00424274">
        <w:rPr>
          <w:rFonts w:ascii="Arial" w:hAnsi="Arial" w:cs="Times New Roman"/>
          <w:sz w:val="20"/>
          <w:szCs w:val="24"/>
          <w:lang w:eastAsia="sl-SI"/>
        </w:rPr>
        <w:t xml:space="preserve"> nepravilnosti je bilo izrečenih 12 opozoril po Zakonu o inšpekcijskem nadzoru. Zavezancem je bilo izrečenih tudi </w:t>
      </w:r>
      <w:r w:rsidR="008A6A7E">
        <w:rPr>
          <w:rFonts w:ascii="Arial" w:hAnsi="Arial" w:cs="Times New Roman"/>
          <w:sz w:val="20"/>
          <w:szCs w:val="24"/>
          <w:lang w:eastAsia="sl-SI"/>
        </w:rPr>
        <w:t>sedem</w:t>
      </w:r>
      <w:r w:rsidRPr="00424274">
        <w:rPr>
          <w:rFonts w:ascii="Arial" w:hAnsi="Arial" w:cs="Times New Roman"/>
          <w:sz w:val="20"/>
          <w:szCs w:val="24"/>
          <w:lang w:eastAsia="sl-SI"/>
        </w:rPr>
        <w:t xml:space="preserve"> opozoril po ZP-1 in </w:t>
      </w:r>
      <w:r w:rsidR="008A6A7E">
        <w:rPr>
          <w:rFonts w:ascii="Arial" w:hAnsi="Arial" w:cs="Times New Roman"/>
          <w:sz w:val="20"/>
          <w:szCs w:val="24"/>
          <w:lang w:eastAsia="sl-SI"/>
        </w:rPr>
        <w:t>dva</w:t>
      </w:r>
      <w:r w:rsidRPr="00424274">
        <w:rPr>
          <w:rFonts w:ascii="Arial" w:hAnsi="Arial" w:cs="Times New Roman"/>
          <w:sz w:val="20"/>
          <w:szCs w:val="24"/>
          <w:lang w:eastAsia="sl-SI"/>
        </w:rPr>
        <w:t xml:space="preserve"> opomina. </w:t>
      </w:r>
    </w:p>
    <w:p w14:paraId="470C87FE" w14:textId="77777777" w:rsidR="009A037B" w:rsidRPr="00424274" w:rsidRDefault="009A037B" w:rsidP="009A037B">
      <w:pPr>
        <w:rPr>
          <w:rFonts w:ascii="Arial" w:hAnsi="Arial"/>
          <w:sz w:val="20"/>
          <w:lang w:eastAsia="sl-SI"/>
        </w:rPr>
      </w:pPr>
    </w:p>
    <w:p w14:paraId="46CA0153" w14:textId="2498D9F9" w:rsidR="009A037B" w:rsidRPr="00424274" w:rsidRDefault="009A037B" w:rsidP="00AE289E">
      <w:pPr>
        <w:widowControl/>
        <w:numPr>
          <w:ilvl w:val="0"/>
          <w:numId w:val="10"/>
        </w:numPr>
        <w:spacing w:line="276" w:lineRule="auto"/>
        <w:contextualSpacing/>
        <w:rPr>
          <w:rFonts w:ascii="Arial" w:hAnsi="Arial" w:cs="Times New Roman"/>
          <w:sz w:val="20"/>
          <w:szCs w:val="24"/>
          <w:lang w:eastAsia="sl-SI"/>
        </w:rPr>
      </w:pPr>
      <w:r w:rsidRPr="00424274">
        <w:rPr>
          <w:rFonts w:ascii="Arial" w:hAnsi="Arial" w:cs="Times New Roman"/>
          <w:sz w:val="20"/>
          <w:szCs w:val="24"/>
          <w:lang w:eastAsia="sl-SI"/>
        </w:rPr>
        <w:t xml:space="preserve">Agencija za trg vrednostnih papirjev je v letu 2020 </w:t>
      </w:r>
      <w:r w:rsidR="00A0541B">
        <w:rPr>
          <w:rFonts w:ascii="Arial" w:hAnsi="Arial" w:cs="Times New Roman"/>
          <w:sz w:val="20"/>
          <w:szCs w:val="24"/>
          <w:lang w:eastAsia="sl-SI"/>
        </w:rPr>
        <w:t>urad</w:t>
      </w:r>
      <w:r w:rsidRPr="00424274">
        <w:rPr>
          <w:rFonts w:ascii="Arial" w:hAnsi="Arial" w:cs="Times New Roman"/>
          <w:sz w:val="20"/>
          <w:szCs w:val="24"/>
          <w:lang w:eastAsia="sl-SI"/>
        </w:rPr>
        <w:t xml:space="preserve">u poročalo o opravljenem pregledu poslovanja pri borznoposredniški hiši. Pri nadzoru so bile ugotovljene kršitve določb ZPPDFT-1, zato je Agencija borznoposredniški hiši izdala </w:t>
      </w:r>
      <w:r w:rsidR="00C55525">
        <w:rPr>
          <w:rFonts w:ascii="Arial" w:hAnsi="Arial" w:cs="Times New Roman"/>
          <w:sz w:val="20"/>
          <w:szCs w:val="24"/>
          <w:lang w:eastAsia="sl-SI"/>
        </w:rPr>
        <w:t>o</w:t>
      </w:r>
      <w:r w:rsidRPr="00424274">
        <w:rPr>
          <w:rFonts w:ascii="Arial" w:hAnsi="Arial" w:cs="Times New Roman"/>
          <w:sz w:val="20"/>
          <w:szCs w:val="24"/>
          <w:lang w:eastAsia="sl-SI"/>
        </w:rPr>
        <w:t>dredbo o odpravi kršitev ter odredila rok in način odprave ugotovljenih nepravilnosti.</w:t>
      </w:r>
    </w:p>
    <w:p w14:paraId="4EA1B620" w14:textId="77777777" w:rsidR="009A037B" w:rsidRPr="00424274" w:rsidRDefault="009A037B" w:rsidP="009A037B">
      <w:pPr>
        <w:widowControl/>
        <w:ind w:left="720"/>
        <w:contextualSpacing/>
        <w:jc w:val="left"/>
        <w:rPr>
          <w:rFonts w:ascii="Arial" w:hAnsi="Arial" w:cs="Times New Roman"/>
          <w:sz w:val="20"/>
          <w:szCs w:val="24"/>
          <w:lang w:eastAsia="sl-SI"/>
        </w:rPr>
      </w:pPr>
    </w:p>
    <w:p w14:paraId="2CD4D5D3" w14:textId="77777777" w:rsidR="009A037B" w:rsidRPr="00424274" w:rsidRDefault="009A037B" w:rsidP="009A037B">
      <w:pPr>
        <w:widowControl/>
        <w:numPr>
          <w:ilvl w:val="0"/>
          <w:numId w:val="10"/>
        </w:numPr>
        <w:contextualSpacing/>
        <w:rPr>
          <w:rFonts w:ascii="Arial" w:hAnsi="Arial" w:cs="Times New Roman"/>
          <w:sz w:val="20"/>
          <w:szCs w:val="24"/>
          <w:lang w:eastAsia="sl-SI"/>
        </w:rPr>
      </w:pPr>
      <w:r w:rsidRPr="00424274">
        <w:rPr>
          <w:rFonts w:ascii="Arial" w:hAnsi="Arial" w:cs="Times New Roman"/>
          <w:sz w:val="20"/>
          <w:szCs w:val="24"/>
          <w:lang w:eastAsia="sl-SI"/>
        </w:rPr>
        <w:t>Agencija za trg vrednostnih papirjev je v letu 2020 borznoposredniški hiši izrekla sankcijo zaradi prekrška po ZPPDFT-1.</w:t>
      </w:r>
    </w:p>
    <w:p w14:paraId="7C1BBE37" w14:textId="77777777" w:rsidR="009A037B" w:rsidRPr="00424274" w:rsidRDefault="009A037B" w:rsidP="009A037B">
      <w:pPr>
        <w:widowControl/>
        <w:ind w:left="720"/>
        <w:contextualSpacing/>
        <w:jc w:val="left"/>
        <w:rPr>
          <w:rFonts w:ascii="Arial" w:hAnsi="Arial" w:cs="Times New Roman"/>
          <w:color w:val="FF0000"/>
          <w:sz w:val="20"/>
          <w:szCs w:val="24"/>
          <w:lang w:eastAsia="sl-SI"/>
        </w:rPr>
      </w:pPr>
    </w:p>
    <w:p w14:paraId="4F5D3785" w14:textId="16EEFCE7" w:rsidR="009A037B" w:rsidRPr="00424274" w:rsidRDefault="009A037B" w:rsidP="009A037B">
      <w:pPr>
        <w:widowControl/>
        <w:numPr>
          <w:ilvl w:val="0"/>
          <w:numId w:val="10"/>
        </w:numPr>
        <w:contextualSpacing/>
        <w:rPr>
          <w:rFonts w:ascii="Arial" w:hAnsi="Arial" w:cs="Times New Roman"/>
          <w:sz w:val="20"/>
          <w:szCs w:val="24"/>
          <w:lang w:eastAsia="sl-SI"/>
        </w:rPr>
      </w:pPr>
      <w:r w:rsidRPr="00424274">
        <w:rPr>
          <w:rFonts w:ascii="Arial" w:hAnsi="Arial" w:cs="Times New Roman"/>
          <w:sz w:val="20"/>
          <w:szCs w:val="24"/>
          <w:lang w:eastAsia="sl-SI"/>
        </w:rPr>
        <w:t xml:space="preserve">Prav tako v letu 2020 je Agencija za trg vrednostnih papirjev </w:t>
      </w:r>
      <w:r w:rsidR="00A0541B">
        <w:rPr>
          <w:rFonts w:ascii="Arial" w:hAnsi="Arial" w:cs="Times New Roman"/>
          <w:sz w:val="20"/>
          <w:szCs w:val="24"/>
          <w:lang w:eastAsia="sl-SI"/>
        </w:rPr>
        <w:t>urad</w:t>
      </w:r>
      <w:r w:rsidRPr="00424274">
        <w:rPr>
          <w:rFonts w:ascii="Arial" w:hAnsi="Arial" w:cs="Times New Roman"/>
          <w:sz w:val="20"/>
          <w:szCs w:val="24"/>
          <w:lang w:eastAsia="sl-SI"/>
        </w:rPr>
        <w:t xml:space="preserve"> obvestila o izrečeni sankciji zaradi prekrškov po določbah ZPPDFT-1 družbi za upravljanje.</w:t>
      </w:r>
    </w:p>
    <w:p w14:paraId="4627C6C0" w14:textId="77777777" w:rsidR="009A037B" w:rsidRPr="00424274" w:rsidRDefault="009A037B" w:rsidP="009A037B">
      <w:pPr>
        <w:widowControl/>
        <w:ind w:left="720"/>
        <w:contextualSpacing/>
        <w:jc w:val="left"/>
        <w:rPr>
          <w:rFonts w:ascii="Arial" w:hAnsi="Arial" w:cs="Times New Roman"/>
          <w:sz w:val="20"/>
          <w:szCs w:val="24"/>
          <w:lang w:eastAsia="sl-SI"/>
        </w:rPr>
      </w:pPr>
    </w:p>
    <w:p w14:paraId="7F00A0FE" w14:textId="2A308DA6" w:rsidR="009A037B" w:rsidRPr="00424274" w:rsidRDefault="009A037B" w:rsidP="005D168C">
      <w:pPr>
        <w:widowControl/>
        <w:numPr>
          <w:ilvl w:val="0"/>
          <w:numId w:val="10"/>
        </w:numPr>
        <w:spacing w:line="276" w:lineRule="auto"/>
        <w:contextualSpacing/>
        <w:rPr>
          <w:rFonts w:ascii="Arial" w:hAnsi="Arial" w:cs="Times New Roman"/>
          <w:sz w:val="20"/>
          <w:szCs w:val="24"/>
          <w:lang w:eastAsia="sl-SI"/>
        </w:rPr>
      </w:pPr>
      <w:r w:rsidRPr="00424274">
        <w:rPr>
          <w:rFonts w:ascii="Arial" w:hAnsi="Arial" w:cs="Times New Roman"/>
          <w:sz w:val="20"/>
          <w:szCs w:val="24"/>
          <w:lang w:eastAsia="sl-SI"/>
        </w:rPr>
        <w:t xml:space="preserve">V letu 2020 je Agencija za trg vrednostnih papirjev </w:t>
      </w:r>
      <w:r w:rsidR="00A0541B">
        <w:rPr>
          <w:rFonts w:ascii="Arial" w:hAnsi="Arial" w:cs="Times New Roman"/>
          <w:sz w:val="20"/>
          <w:szCs w:val="24"/>
          <w:lang w:eastAsia="sl-SI"/>
        </w:rPr>
        <w:t>urad</w:t>
      </w:r>
      <w:r w:rsidRPr="00424274">
        <w:rPr>
          <w:rFonts w:ascii="Arial" w:hAnsi="Arial" w:cs="Times New Roman"/>
          <w:sz w:val="20"/>
          <w:szCs w:val="24"/>
          <w:lang w:eastAsia="sl-SI"/>
        </w:rPr>
        <w:t xml:space="preserve"> obvestila tudi o opravljenem pregledu poslovanja pri banki glede izpolnjevanja zahtev ZPPDFT-1 za področje opravljanja investicijskih storitev in poslov. V postopku niso bile ugotovljene morebitne kršitve, ampak </w:t>
      </w:r>
      <w:r w:rsidR="00C55525">
        <w:rPr>
          <w:rFonts w:ascii="Arial" w:hAnsi="Arial" w:cs="Times New Roman"/>
          <w:sz w:val="20"/>
          <w:szCs w:val="24"/>
          <w:lang w:eastAsia="sl-SI"/>
        </w:rPr>
        <w:t>le</w:t>
      </w:r>
      <w:r w:rsidR="00C55525" w:rsidRPr="00424274">
        <w:rPr>
          <w:rFonts w:ascii="Arial" w:hAnsi="Arial" w:cs="Times New Roman"/>
          <w:sz w:val="20"/>
          <w:szCs w:val="24"/>
          <w:lang w:eastAsia="sl-SI"/>
        </w:rPr>
        <w:t xml:space="preserve"> </w:t>
      </w:r>
      <w:r w:rsidR="00C55525">
        <w:rPr>
          <w:rFonts w:ascii="Arial" w:hAnsi="Arial" w:cs="Times New Roman"/>
          <w:sz w:val="20"/>
          <w:szCs w:val="24"/>
          <w:lang w:eastAsia="sl-SI"/>
        </w:rPr>
        <w:t>nekatere</w:t>
      </w:r>
      <w:r w:rsidR="00C55525" w:rsidRPr="00424274">
        <w:rPr>
          <w:rFonts w:ascii="Arial" w:hAnsi="Arial" w:cs="Times New Roman"/>
          <w:sz w:val="20"/>
          <w:szCs w:val="24"/>
          <w:lang w:eastAsia="sl-SI"/>
        </w:rPr>
        <w:t xml:space="preserve"> </w:t>
      </w:r>
      <w:r w:rsidRPr="00424274">
        <w:rPr>
          <w:rFonts w:ascii="Arial" w:hAnsi="Arial" w:cs="Times New Roman"/>
          <w:sz w:val="20"/>
          <w:szCs w:val="24"/>
          <w:lang w:eastAsia="sl-SI"/>
        </w:rPr>
        <w:t xml:space="preserve">pomanjkljivosti oziroma nedoslednosti. V zvezi z navedenim je Agencija za trg vrednostnih papirjev na poslovodstvo banke naslovila </w:t>
      </w:r>
      <w:r w:rsidR="00C55525">
        <w:rPr>
          <w:rFonts w:ascii="Arial" w:hAnsi="Arial" w:cs="Times New Roman"/>
          <w:sz w:val="20"/>
          <w:szCs w:val="24"/>
          <w:lang w:eastAsia="sl-SI"/>
        </w:rPr>
        <w:t>p</w:t>
      </w:r>
      <w:r w:rsidRPr="00424274">
        <w:rPr>
          <w:rFonts w:ascii="Arial" w:hAnsi="Arial" w:cs="Times New Roman"/>
          <w:sz w:val="20"/>
          <w:szCs w:val="24"/>
          <w:lang w:eastAsia="sl-SI"/>
        </w:rPr>
        <w:t>ismo, na kater</w:t>
      </w:r>
      <w:r w:rsidR="00C55525">
        <w:rPr>
          <w:rFonts w:ascii="Arial" w:hAnsi="Arial" w:cs="Times New Roman"/>
          <w:sz w:val="20"/>
          <w:szCs w:val="24"/>
          <w:lang w:eastAsia="sl-SI"/>
        </w:rPr>
        <w:t>o</w:t>
      </w:r>
      <w:r w:rsidRPr="00424274">
        <w:rPr>
          <w:rFonts w:ascii="Arial" w:hAnsi="Arial" w:cs="Times New Roman"/>
          <w:sz w:val="20"/>
          <w:szCs w:val="24"/>
          <w:lang w:eastAsia="sl-SI"/>
        </w:rPr>
        <w:t xml:space="preserve"> pričakuje odzivno poročilo, v katerem mora banka opisati sprejete ukrepe oziroma aktivnosti z</w:t>
      </w:r>
      <w:r w:rsidR="00C55525">
        <w:rPr>
          <w:rFonts w:ascii="Arial" w:hAnsi="Arial" w:cs="Times New Roman"/>
          <w:sz w:val="20"/>
          <w:szCs w:val="24"/>
          <w:lang w:eastAsia="sl-SI"/>
        </w:rPr>
        <w:t>a</w:t>
      </w:r>
      <w:r w:rsidRPr="00424274">
        <w:rPr>
          <w:rFonts w:ascii="Arial" w:hAnsi="Arial" w:cs="Times New Roman"/>
          <w:sz w:val="20"/>
          <w:szCs w:val="24"/>
          <w:lang w:eastAsia="sl-SI"/>
        </w:rPr>
        <w:t xml:space="preserve"> odprav</w:t>
      </w:r>
      <w:r w:rsidR="00C55525">
        <w:rPr>
          <w:rFonts w:ascii="Arial" w:hAnsi="Arial" w:cs="Times New Roman"/>
          <w:sz w:val="20"/>
          <w:szCs w:val="24"/>
          <w:lang w:eastAsia="sl-SI"/>
        </w:rPr>
        <w:t>o</w:t>
      </w:r>
      <w:r w:rsidRPr="00424274">
        <w:rPr>
          <w:rFonts w:ascii="Arial" w:hAnsi="Arial" w:cs="Times New Roman"/>
          <w:sz w:val="20"/>
          <w:szCs w:val="24"/>
          <w:lang w:eastAsia="sl-SI"/>
        </w:rPr>
        <w:t xml:space="preserve"> pomanjkljivosti oziroma nedoslednosti.</w:t>
      </w:r>
    </w:p>
    <w:p w14:paraId="562D2A08" w14:textId="77777777" w:rsidR="009A037B" w:rsidRPr="00424274" w:rsidRDefault="009A037B" w:rsidP="009A037B">
      <w:pPr>
        <w:widowControl/>
        <w:ind w:left="720"/>
        <w:contextualSpacing/>
        <w:jc w:val="left"/>
        <w:rPr>
          <w:rFonts w:ascii="Arial" w:hAnsi="Arial" w:cs="Times New Roman"/>
          <w:color w:val="FF0000"/>
          <w:sz w:val="20"/>
          <w:szCs w:val="24"/>
          <w:lang w:eastAsia="sl-SI"/>
        </w:rPr>
      </w:pPr>
    </w:p>
    <w:p w14:paraId="1DB25531" w14:textId="3A72BCF2" w:rsidR="009A037B" w:rsidRPr="00424274" w:rsidRDefault="009A037B" w:rsidP="005D168C">
      <w:pPr>
        <w:widowControl/>
        <w:numPr>
          <w:ilvl w:val="0"/>
          <w:numId w:val="10"/>
        </w:numPr>
        <w:spacing w:line="276" w:lineRule="auto"/>
        <w:contextualSpacing/>
        <w:rPr>
          <w:rFonts w:ascii="Arial" w:hAnsi="Arial" w:cs="Times New Roman"/>
          <w:sz w:val="20"/>
          <w:szCs w:val="24"/>
          <w:lang w:eastAsia="sl-SI"/>
        </w:rPr>
      </w:pPr>
      <w:r w:rsidRPr="00424274">
        <w:rPr>
          <w:rFonts w:ascii="Arial" w:hAnsi="Arial" w:cs="Times New Roman"/>
          <w:sz w:val="20"/>
          <w:szCs w:val="24"/>
          <w:lang w:eastAsia="sl-SI"/>
        </w:rPr>
        <w:t xml:space="preserve">Banka Slovenije je v letu 2020 </w:t>
      </w:r>
      <w:r w:rsidR="00A0541B">
        <w:rPr>
          <w:rFonts w:ascii="Arial" w:hAnsi="Arial" w:cs="Times New Roman"/>
          <w:sz w:val="20"/>
          <w:szCs w:val="24"/>
          <w:lang w:eastAsia="sl-SI"/>
        </w:rPr>
        <w:t>urad</w:t>
      </w:r>
      <w:r w:rsidRPr="00424274">
        <w:rPr>
          <w:rFonts w:ascii="Arial" w:hAnsi="Arial" w:cs="Times New Roman"/>
          <w:sz w:val="20"/>
          <w:szCs w:val="24"/>
          <w:lang w:eastAsia="sl-SI"/>
        </w:rPr>
        <w:t>u poročala o opravljenem pregledu poslovanja pri banki. V nadzornem postopku so bile ugotovljene nepravilnosti in izdana ustrezna priporočila glede izvajanja določb ZPPDFT-1. Banki je bila izdana tudi odredbi o odpravi kršitev z odreditvijo roka in načina odprave ugotovljenih nepravilnosti.</w:t>
      </w:r>
    </w:p>
    <w:p w14:paraId="5D7AFBEF" w14:textId="77777777" w:rsidR="009A037B" w:rsidRPr="00424274" w:rsidRDefault="009A037B" w:rsidP="009A037B">
      <w:pPr>
        <w:widowControl/>
        <w:ind w:left="720"/>
        <w:contextualSpacing/>
        <w:jc w:val="left"/>
        <w:rPr>
          <w:rFonts w:ascii="Arial" w:hAnsi="Arial" w:cs="Times New Roman"/>
          <w:strike/>
          <w:sz w:val="20"/>
          <w:szCs w:val="24"/>
          <w:lang w:eastAsia="sl-SI"/>
        </w:rPr>
      </w:pPr>
    </w:p>
    <w:p w14:paraId="521FF66F" w14:textId="5EC75AEA" w:rsidR="009A037B" w:rsidRPr="00424274" w:rsidRDefault="009A037B" w:rsidP="005D168C">
      <w:pPr>
        <w:widowControl/>
        <w:numPr>
          <w:ilvl w:val="0"/>
          <w:numId w:val="10"/>
        </w:numPr>
        <w:spacing w:line="276" w:lineRule="auto"/>
        <w:contextualSpacing/>
        <w:rPr>
          <w:rFonts w:ascii="Arial" w:hAnsi="Arial" w:cs="Times New Roman"/>
          <w:sz w:val="20"/>
          <w:szCs w:val="24"/>
          <w:lang w:eastAsia="sl-SI"/>
        </w:rPr>
      </w:pPr>
      <w:r w:rsidRPr="00424274">
        <w:rPr>
          <w:rFonts w:ascii="Arial" w:hAnsi="Arial" w:cs="Times New Roman"/>
          <w:sz w:val="20"/>
          <w:szCs w:val="24"/>
          <w:lang w:eastAsia="sl-SI"/>
        </w:rPr>
        <w:lastRenderedPageBreak/>
        <w:t xml:space="preserve">Banka Slovenije je na področju menjalniškega poslovanja pri zavezancih iz 16. točke prvega odstavka 4. člena ZPPDFT-1 v letu 2020 poročala o ugotovljenih kršitvah pri petih menjalnicah </w:t>
      </w:r>
      <w:r w:rsidR="00C55525">
        <w:rPr>
          <w:rFonts w:ascii="Arial" w:hAnsi="Arial" w:cs="Times New Roman"/>
          <w:sz w:val="20"/>
          <w:szCs w:val="24"/>
          <w:lang w:eastAsia="sl-SI"/>
        </w:rPr>
        <w:t>in</w:t>
      </w:r>
      <w:r w:rsidR="00C55525" w:rsidRPr="00424274">
        <w:rPr>
          <w:rFonts w:ascii="Arial" w:hAnsi="Arial" w:cs="Times New Roman"/>
          <w:sz w:val="20"/>
          <w:szCs w:val="24"/>
          <w:lang w:eastAsia="sl-SI"/>
        </w:rPr>
        <w:t xml:space="preserve"> </w:t>
      </w:r>
      <w:r w:rsidRPr="00424274">
        <w:rPr>
          <w:rFonts w:ascii="Arial" w:hAnsi="Arial" w:cs="Times New Roman"/>
          <w:sz w:val="20"/>
          <w:szCs w:val="24"/>
          <w:lang w:eastAsia="sl-SI"/>
        </w:rPr>
        <w:t>izdaji opomina v vseh postopkih.</w:t>
      </w:r>
    </w:p>
    <w:p w14:paraId="2F3DEEC5" w14:textId="77777777" w:rsidR="009A037B" w:rsidRPr="00424274" w:rsidRDefault="009A037B" w:rsidP="009A037B">
      <w:pPr>
        <w:rPr>
          <w:rFonts w:ascii="Arial" w:hAnsi="Arial"/>
          <w:sz w:val="20"/>
          <w:lang w:eastAsia="sl-SI"/>
        </w:rPr>
      </w:pPr>
    </w:p>
    <w:p w14:paraId="75FDCB5D" w14:textId="20F7BC65" w:rsidR="009A037B" w:rsidRPr="00424274" w:rsidRDefault="009A037B" w:rsidP="005D168C">
      <w:pPr>
        <w:widowControl/>
        <w:numPr>
          <w:ilvl w:val="0"/>
          <w:numId w:val="10"/>
        </w:numPr>
        <w:spacing w:line="276" w:lineRule="auto"/>
        <w:contextualSpacing/>
        <w:rPr>
          <w:rFonts w:ascii="Arial" w:hAnsi="Arial" w:cs="Times New Roman"/>
          <w:sz w:val="20"/>
          <w:szCs w:val="24"/>
          <w:lang w:eastAsia="sl-SI"/>
        </w:rPr>
      </w:pPr>
      <w:r w:rsidRPr="00424274">
        <w:rPr>
          <w:rFonts w:ascii="Arial" w:hAnsi="Arial" w:cs="Times New Roman"/>
          <w:sz w:val="20"/>
          <w:szCs w:val="24"/>
          <w:lang w:eastAsia="sl-SI"/>
        </w:rPr>
        <w:t xml:space="preserve">Finančna uprava RS (Posebni finančni urad) je v juniju 2020 </w:t>
      </w:r>
      <w:r w:rsidR="00A0541B">
        <w:rPr>
          <w:rFonts w:ascii="Arial" w:hAnsi="Arial" w:cs="Times New Roman"/>
          <w:sz w:val="20"/>
          <w:szCs w:val="24"/>
          <w:lang w:eastAsia="sl-SI"/>
        </w:rPr>
        <w:t>urad</w:t>
      </w:r>
      <w:r w:rsidRPr="00424274">
        <w:rPr>
          <w:rFonts w:ascii="Arial" w:hAnsi="Arial" w:cs="Times New Roman"/>
          <w:sz w:val="20"/>
          <w:szCs w:val="24"/>
          <w:lang w:eastAsia="sl-SI"/>
        </w:rPr>
        <w:t xml:space="preserve">u poročala o opravljenem nadzoru pri koncesionarju, ki prireja posebne igre na srečo na igralnih avtomatih v igralnem salonu. Pri nadzoru so bile ugotovljene kršitve določb ZPPDFT-1, zato je bila koncesionarju izdana odločba za odpravo ugotovljenih nepravilnosti. </w:t>
      </w:r>
    </w:p>
    <w:p w14:paraId="246F99C9" w14:textId="77777777" w:rsidR="009A037B" w:rsidRPr="00424274" w:rsidRDefault="009A037B" w:rsidP="009A037B">
      <w:pPr>
        <w:widowControl/>
        <w:ind w:left="720"/>
        <w:contextualSpacing/>
        <w:jc w:val="left"/>
        <w:rPr>
          <w:rFonts w:ascii="Arial" w:hAnsi="Arial" w:cs="Times New Roman"/>
          <w:color w:val="FF0000"/>
          <w:sz w:val="20"/>
          <w:szCs w:val="24"/>
          <w:lang w:eastAsia="sl-SI"/>
        </w:rPr>
      </w:pPr>
    </w:p>
    <w:p w14:paraId="686B762E" w14:textId="70B8D934" w:rsidR="009A037B" w:rsidRPr="00424274" w:rsidRDefault="009A037B" w:rsidP="005D168C">
      <w:pPr>
        <w:widowControl/>
        <w:numPr>
          <w:ilvl w:val="0"/>
          <w:numId w:val="10"/>
        </w:numPr>
        <w:spacing w:line="276" w:lineRule="auto"/>
        <w:contextualSpacing/>
        <w:rPr>
          <w:rFonts w:ascii="Arial" w:hAnsi="Arial" w:cs="Times New Roman"/>
          <w:sz w:val="20"/>
          <w:szCs w:val="24"/>
          <w:lang w:eastAsia="sl-SI"/>
        </w:rPr>
      </w:pPr>
      <w:r w:rsidRPr="00424274">
        <w:rPr>
          <w:rFonts w:ascii="Arial" w:hAnsi="Arial" w:cs="Times New Roman"/>
          <w:sz w:val="20"/>
          <w:szCs w:val="24"/>
          <w:lang w:eastAsia="sl-SI"/>
        </w:rPr>
        <w:t xml:space="preserve">Poročilo Finančne uprave RS pa je </w:t>
      </w:r>
      <w:r w:rsidR="00A0541B">
        <w:rPr>
          <w:rFonts w:ascii="Arial" w:hAnsi="Arial" w:cs="Times New Roman"/>
          <w:sz w:val="20"/>
          <w:szCs w:val="24"/>
          <w:lang w:eastAsia="sl-SI"/>
        </w:rPr>
        <w:t>urad</w:t>
      </w:r>
      <w:r w:rsidRPr="00424274">
        <w:rPr>
          <w:rFonts w:ascii="Arial" w:hAnsi="Arial" w:cs="Times New Roman"/>
          <w:sz w:val="20"/>
          <w:szCs w:val="24"/>
          <w:lang w:eastAsia="sl-SI"/>
        </w:rPr>
        <w:t xml:space="preserve"> prejel tudi julij</w:t>
      </w:r>
      <w:r w:rsidR="00C55525">
        <w:rPr>
          <w:rFonts w:ascii="Arial" w:hAnsi="Arial" w:cs="Times New Roman"/>
          <w:sz w:val="20"/>
          <w:szCs w:val="24"/>
          <w:lang w:eastAsia="sl-SI"/>
        </w:rPr>
        <w:t>a</w:t>
      </w:r>
      <w:r w:rsidRPr="00424274">
        <w:rPr>
          <w:rFonts w:ascii="Arial" w:hAnsi="Arial" w:cs="Times New Roman"/>
          <w:sz w:val="20"/>
          <w:szCs w:val="24"/>
          <w:lang w:eastAsia="sl-SI"/>
        </w:rPr>
        <w:t>, in sicer prav tako za koncesionarja, ki prireja posebne igre na srečo na igralnih avtomatih v igralnem salonu. Pri nadzoru so bile ugotovljene kršitve določb ZPPDFT-1, zato je Finančna uprava RS tudi v tem primeru izdala odločbo za odpravo ugotovljenih nepravilnosti.</w:t>
      </w:r>
    </w:p>
    <w:p w14:paraId="7DA1AB75" w14:textId="77777777" w:rsidR="009A037B" w:rsidRPr="00424274" w:rsidRDefault="009A037B" w:rsidP="009A037B">
      <w:pPr>
        <w:widowControl/>
        <w:ind w:left="720"/>
        <w:contextualSpacing/>
        <w:jc w:val="left"/>
        <w:rPr>
          <w:rFonts w:ascii="Arial" w:hAnsi="Arial" w:cs="Times New Roman"/>
          <w:color w:val="FF0000"/>
          <w:sz w:val="20"/>
          <w:szCs w:val="24"/>
          <w:lang w:eastAsia="sl-SI"/>
        </w:rPr>
      </w:pPr>
    </w:p>
    <w:p w14:paraId="3E3BA529" w14:textId="39F53582" w:rsidR="009A037B" w:rsidRPr="00424274" w:rsidRDefault="009A037B" w:rsidP="009A037B">
      <w:pPr>
        <w:widowControl/>
        <w:numPr>
          <w:ilvl w:val="0"/>
          <w:numId w:val="10"/>
        </w:numPr>
        <w:contextualSpacing/>
        <w:rPr>
          <w:rFonts w:ascii="Arial" w:hAnsi="Arial" w:cs="Times New Roman"/>
          <w:sz w:val="20"/>
          <w:szCs w:val="24"/>
          <w:lang w:eastAsia="sl-SI"/>
        </w:rPr>
      </w:pPr>
      <w:r w:rsidRPr="00424274">
        <w:rPr>
          <w:rFonts w:ascii="Arial" w:hAnsi="Arial" w:cs="Times New Roman"/>
          <w:sz w:val="20"/>
          <w:szCs w:val="24"/>
          <w:lang w:eastAsia="sl-SI"/>
        </w:rPr>
        <w:t xml:space="preserve">Poleg omenjenega je Finančna uprava RS v skladu z določili 152. člena ZPPDFT-1 </w:t>
      </w:r>
      <w:r w:rsidR="004D6EE9">
        <w:rPr>
          <w:rFonts w:ascii="Arial" w:hAnsi="Arial" w:cs="Times New Roman"/>
          <w:sz w:val="20"/>
          <w:szCs w:val="24"/>
          <w:lang w:eastAsia="sl-SI"/>
        </w:rPr>
        <w:t>u</w:t>
      </w:r>
      <w:r w:rsidRPr="00424274">
        <w:rPr>
          <w:rFonts w:ascii="Arial" w:hAnsi="Arial" w:cs="Times New Roman"/>
          <w:sz w:val="20"/>
          <w:szCs w:val="24"/>
          <w:lang w:eastAsia="sl-SI"/>
        </w:rPr>
        <w:t xml:space="preserve">radu </w:t>
      </w:r>
      <w:r w:rsidR="004D6EE9">
        <w:rPr>
          <w:rFonts w:ascii="Arial" w:hAnsi="Arial" w:cs="Times New Roman"/>
          <w:sz w:val="20"/>
          <w:szCs w:val="24"/>
          <w:lang w:eastAsia="sl-SI"/>
        </w:rPr>
        <w:t>poslala</w:t>
      </w:r>
      <w:r w:rsidR="004D6EE9" w:rsidRPr="00424274">
        <w:rPr>
          <w:rFonts w:ascii="Arial" w:hAnsi="Arial" w:cs="Times New Roman"/>
          <w:sz w:val="20"/>
          <w:szCs w:val="24"/>
          <w:lang w:eastAsia="sl-SI"/>
        </w:rPr>
        <w:t xml:space="preserve"> </w:t>
      </w:r>
      <w:r w:rsidRPr="00424274">
        <w:rPr>
          <w:rFonts w:ascii="Arial" w:hAnsi="Arial" w:cs="Times New Roman"/>
          <w:sz w:val="20"/>
          <w:szCs w:val="24"/>
          <w:lang w:eastAsia="sl-SI"/>
        </w:rPr>
        <w:t xml:space="preserve">tudi podatke o obravnavanih zavezancih v </w:t>
      </w:r>
      <w:proofErr w:type="spellStart"/>
      <w:r w:rsidRPr="00424274">
        <w:rPr>
          <w:rFonts w:ascii="Arial" w:hAnsi="Arial" w:cs="Times New Roman"/>
          <w:sz w:val="20"/>
          <w:szCs w:val="24"/>
          <w:lang w:eastAsia="sl-SI"/>
        </w:rPr>
        <w:t>prekrškovnih</w:t>
      </w:r>
      <w:proofErr w:type="spellEnd"/>
      <w:r w:rsidRPr="00424274">
        <w:rPr>
          <w:rFonts w:ascii="Arial" w:hAnsi="Arial" w:cs="Times New Roman"/>
          <w:sz w:val="20"/>
          <w:szCs w:val="24"/>
          <w:lang w:eastAsia="sl-SI"/>
        </w:rPr>
        <w:t xml:space="preserve"> postopkih v letu 2020 zaradi kršitev ZPPDFT-1. V omenjenih </w:t>
      </w:r>
      <w:proofErr w:type="spellStart"/>
      <w:r w:rsidRPr="00424274">
        <w:rPr>
          <w:rFonts w:ascii="Arial" w:hAnsi="Arial" w:cs="Times New Roman"/>
          <w:sz w:val="20"/>
          <w:szCs w:val="24"/>
          <w:lang w:eastAsia="sl-SI"/>
        </w:rPr>
        <w:t>prekrškovnih</w:t>
      </w:r>
      <w:proofErr w:type="spellEnd"/>
      <w:r w:rsidRPr="00424274">
        <w:rPr>
          <w:rFonts w:ascii="Arial" w:hAnsi="Arial" w:cs="Times New Roman"/>
          <w:sz w:val="20"/>
          <w:szCs w:val="24"/>
          <w:lang w:eastAsia="sl-SI"/>
        </w:rPr>
        <w:t xml:space="preserve"> postopkih so tako izdali 24 odločb o prekršku v zvezi s kršitvami omejitve gotovinskega poslovanja (18 kršitev), dejanskimi lastniki (</w:t>
      </w:r>
      <w:r w:rsidR="00BC7F2F">
        <w:rPr>
          <w:rFonts w:ascii="Arial" w:hAnsi="Arial" w:cs="Times New Roman"/>
          <w:sz w:val="20"/>
          <w:szCs w:val="24"/>
          <w:lang w:eastAsia="sl-SI"/>
        </w:rPr>
        <w:t>štiri</w:t>
      </w:r>
      <w:r w:rsidRPr="00424274">
        <w:rPr>
          <w:rFonts w:ascii="Arial" w:hAnsi="Arial" w:cs="Times New Roman"/>
          <w:sz w:val="20"/>
          <w:szCs w:val="24"/>
          <w:lang w:eastAsia="sl-SI"/>
        </w:rPr>
        <w:t xml:space="preserve"> kršitve) in oprav</w:t>
      </w:r>
      <w:r w:rsidR="00BC7F2F">
        <w:rPr>
          <w:rFonts w:ascii="Arial" w:hAnsi="Arial" w:cs="Times New Roman"/>
          <w:sz w:val="20"/>
          <w:szCs w:val="24"/>
          <w:lang w:eastAsia="sl-SI"/>
        </w:rPr>
        <w:t>ljenim</w:t>
      </w:r>
      <w:r w:rsidRPr="00424274">
        <w:rPr>
          <w:rFonts w:ascii="Arial" w:hAnsi="Arial" w:cs="Times New Roman"/>
          <w:sz w:val="20"/>
          <w:szCs w:val="24"/>
          <w:lang w:eastAsia="sl-SI"/>
        </w:rPr>
        <w:t xml:space="preserve"> pregled</w:t>
      </w:r>
      <w:r w:rsidR="00BC7F2F">
        <w:rPr>
          <w:rFonts w:ascii="Arial" w:hAnsi="Arial" w:cs="Times New Roman"/>
          <w:sz w:val="20"/>
          <w:szCs w:val="24"/>
          <w:lang w:eastAsia="sl-SI"/>
        </w:rPr>
        <w:t>om</w:t>
      </w:r>
      <w:r w:rsidRPr="00424274">
        <w:rPr>
          <w:rFonts w:ascii="Arial" w:hAnsi="Arial" w:cs="Times New Roman"/>
          <w:sz w:val="20"/>
          <w:szCs w:val="24"/>
          <w:lang w:eastAsia="sl-SI"/>
        </w:rPr>
        <w:t xml:space="preserve"> stranke (</w:t>
      </w:r>
      <w:r w:rsidR="00BC7F2F">
        <w:rPr>
          <w:rFonts w:ascii="Arial" w:hAnsi="Arial" w:cs="Times New Roman"/>
          <w:sz w:val="20"/>
          <w:szCs w:val="24"/>
          <w:lang w:eastAsia="sl-SI"/>
        </w:rPr>
        <w:t>dve</w:t>
      </w:r>
      <w:r w:rsidRPr="00424274">
        <w:rPr>
          <w:rFonts w:ascii="Arial" w:hAnsi="Arial" w:cs="Times New Roman"/>
          <w:sz w:val="20"/>
          <w:szCs w:val="24"/>
          <w:lang w:eastAsia="sl-SI"/>
        </w:rPr>
        <w:t xml:space="preserve"> kršitvi).</w:t>
      </w:r>
    </w:p>
    <w:p w14:paraId="2D84DB74" w14:textId="77777777" w:rsidR="00C90E61" w:rsidRPr="00424274" w:rsidRDefault="00C90E61" w:rsidP="00C90E61">
      <w:pPr>
        <w:pStyle w:val="Odstavekseznama"/>
        <w:rPr>
          <w:rFonts w:ascii="Arial" w:hAnsi="Arial"/>
          <w:sz w:val="20"/>
          <w:lang w:val="sl-SI" w:eastAsia="sl-SI"/>
        </w:rPr>
      </w:pPr>
    </w:p>
    <w:p w14:paraId="5CE3AB95" w14:textId="0F1282BD" w:rsidR="009668E0" w:rsidRPr="00424274" w:rsidRDefault="009668E0" w:rsidP="00ED5132">
      <w:pPr>
        <w:pStyle w:val="Naslov2"/>
      </w:pPr>
      <w:bookmarkStart w:id="194" w:name="_Toc478192105"/>
      <w:bookmarkStart w:id="195" w:name="_Toc505573524"/>
      <w:bookmarkStart w:id="196" w:name="_Toc506877151"/>
      <w:bookmarkStart w:id="197" w:name="_Toc6633733"/>
      <w:bookmarkStart w:id="198" w:name="_Toc43532577"/>
      <w:bookmarkStart w:id="199" w:name="_Toc107306517"/>
      <w:bookmarkStart w:id="200" w:name="_Toc134427551"/>
      <w:bookmarkStart w:id="201" w:name="_Toc200524177"/>
      <w:bookmarkStart w:id="202" w:name="_Toc200853578"/>
      <w:bookmarkStart w:id="203" w:name="_Toc227744159"/>
      <w:bookmarkStart w:id="204" w:name="_Toc292714872"/>
      <w:bookmarkStart w:id="205" w:name="_Toc325462267"/>
      <w:bookmarkStart w:id="206" w:name="_Toc402346346"/>
      <w:bookmarkStart w:id="207" w:name="_Toc463955084"/>
      <w:bookmarkStart w:id="208" w:name="_Toc499807239"/>
      <w:bookmarkStart w:id="209" w:name="_Toc529353609"/>
      <w:bookmarkStart w:id="210" w:name="_Toc113535499"/>
      <w:r w:rsidRPr="00424274">
        <w:t>OBVEŠČANJE JAVNOSTI PREK MEDIJEV</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253A670C" w14:textId="77777777" w:rsidR="009668E0" w:rsidRPr="00424274" w:rsidRDefault="009668E0" w:rsidP="009668E0">
      <w:pPr>
        <w:spacing w:line="276" w:lineRule="auto"/>
        <w:rPr>
          <w:rFonts w:ascii="Arial" w:hAnsi="Arial"/>
          <w:sz w:val="20"/>
        </w:rPr>
      </w:pPr>
    </w:p>
    <w:p w14:paraId="4DEC2298" w14:textId="367CD80F" w:rsidR="00C7713E" w:rsidRPr="00424274" w:rsidRDefault="00C7713E" w:rsidP="00C7713E">
      <w:pPr>
        <w:spacing w:after="120" w:line="276" w:lineRule="auto"/>
        <w:rPr>
          <w:rFonts w:ascii="Arial" w:hAnsi="Arial"/>
          <w:sz w:val="20"/>
        </w:rPr>
      </w:pPr>
      <w:r w:rsidRPr="00424274">
        <w:rPr>
          <w:rFonts w:ascii="Arial" w:hAnsi="Arial"/>
          <w:sz w:val="20"/>
        </w:rPr>
        <w:t xml:space="preserve">Urad obvešča javnost oziroma komunicira z mediji izključno prek Službe za odnose z javnostmi Ministrstva za finance. Slednja je v letu 2020 </w:t>
      </w:r>
      <w:r w:rsidR="004D6EE9">
        <w:rPr>
          <w:rFonts w:ascii="Arial" w:hAnsi="Arial"/>
          <w:sz w:val="20"/>
        </w:rPr>
        <w:t>u</w:t>
      </w:r>
      <w:r w:rsidRPr="00424274">
        <w:rPr>
          <w:rFonts w:ascii="Arial" w:hAnsi="Arial"/>
          <w:sz w:val="20"/>
        </w:rPr>
        <w:t xml:space="preserve">radu </w:t>
      </w:r>
      <w:r w:rsidR="004D6EE9">
        <w:rPr>
          <w:rFonts w:ascii="Arial" w:hAnsi="Arial"/>
          <w:sz w:val="20"/>
        </w:rPr>
        <w:t>poslal</w:t>
      </w:r>
      <w:r w:rsidR="00BC7F2F">
        <w:rPr>
          <w:rFonts w:ascii="Arial" w:hAnsi="Arial"/>
          <w:sz w:val="20"/>
        </w:rPr>
        <w:t>a</w:t>
      </w:r>
      <w:r w:rsidR="004D6EE9" w:rsidRPr="00424274">
        <w:rPr>
          <w:rFonts w:ascii="Arial" w:hAnsi="Arial"/>
          <w:sz w:val="20"/>
        </w:rPr>
        <w:t xml:space="preserve"> </w:t>
      </w:r>
      <w:r w:rsidR="004D6EE9">
        <w:rPr>
          <w:rFonts w:ascii="Arial" w:hAnsi="Arial"/>
          <w:sz w:val="20"/>
        </w:rPr>
        <w:t>več kot</w:t>
      </w:r>
      <w:r w:rsidR="004D6EE9" w:rsidRPr="00424274">
        <w:rPr>
          <w:rFonts w:ascii="Arial" w:hAnsi="Arial"/>
          <w:sz w:val="20"/>
        </w:rPr>
        <w:t xml:space="preserve"> </w:t>
      </w:r>
      <w:r w:rsidRPr="00424274">
        <w:rPr>
          <w:rFonts w:ascii="Arial" w:hAnsi="Arial"/>
          <w:sz w:val="20"/>
        </w:rPr>
        <w:t>25 vprašanj različnih TV</w:t>
      </w:r>
      <w:r w:rsidR="00BC7F2F">
        <w:rPr>
          <w:rFonts w:ascii="Arial" w:hAnsi="Arial"/>
          <w:sz w:val="20"/>
        </w:rPr>
        <w:t>-</w:t>
      </w:r>
      <w:r w:rsidRPr="00424274">
        <w:rPr>
          <w:rFonts w:ascii="Arial" w:hAnsi="Arial"/>
          <w:sz w:val="20"/>
        </w:rPr>
        <w:t>postaj, dnevnikov, tednikov itd. Vprašanja so se nanašala na naslednja področja oziroma teme:</w:t>
      </w:r>
    </w:p>
    <w:p w14:paraId="76F80BD7" w14:textId="44A2E547" w:rsidR="00C7713E" w:rsidRPr="00424274" w:rsidRDefault="00C7713E" w:rsidP="00C7713E">
      <w:pPr>
        <w:widowControl/>
        <w:numPr>
          <w:ilvl w:val="0"/>
          <w:numId w:val="23"/>
        </w:numPr>
        <w:spacing w:after="120" w:line="276" w:lineRule="auto"/>
        <w:contextualSpacing/>
        <w:rPr>
          <w:rFonts w:ascii="Arial" w:hAnsi="Arial" w:cs="Times New Roman"/>
          <w:sz w:val="20"/>
          <w:szCs w:val="24"/>
        </w:rPr>
      </w:pPr>
      <w:r w:rsidRPr="00424274">
        <w:rPr>
          <w:rFonts w:ascii="Arial" w:hAnsi="Arial" w:cs="Times New Roman"/>
          <w:sz w:val="20"/>
          <w:szCs w:val="24"/>
        </w:rPr>
        <w:t xml:space="preserve">vprašanja </w:t>
      </w:r>
      <w:r w:rsidR="004D6EE9">
        <w:rPr>
          <w:rFonts w:ascii="Arial" w:hAnsi="Arial" w:cs="Times New Roman"/>
          <w:sz w:val="20"/>
          <w:szCs w:val="24"/>
        </w:rPr>
        <w:t>v zvezi z delom</w:t>
      </w:r>
      <w:r w:rsidRPr="00424274">
        <w:rPr>
          <w:rFonts w:ascii="Arial" w:hAnsi="Arial" w:cs="Times New Roman"/>
          <w:sz w:val="20"/>
          <w:szCs w:val="24"/>
        </w:rPr>
        <w:t xml:space="preserve"> od doma;</w:t>
      </w:r>
    </w:p>
    <w:p w14:paraId="24EB2327" w14:textId="3842A065" w:rsidR="00C7713E" w:rsidRPr="00424274" w:rsidRDefault="00C7713E" w:rsidP="00C7713E">
      <w:pPr>
        <w:widowControl/>
        <w:numPr>
          <w:ilvl w:val="0"/>
          <w:numId w:val="23"/>
        </w:numPr>
        <w:spacing w:after="120" w:line="276" w:lineRule="auto"/>
        <w:contextualSpacing/>
        <w:rPr>
          <w:rFonts w:ascii="Arial" w:hAnsi="Arial" w:cs="Times New Roman"/>
          <w:sz w:val="20"/>
          <w:szCs w:val="24"/>
        </w:rPr>
      </w:pPr>
      <w:r w:rsidRPr="00424274">
        <w:rPr>
          <w:rFonts w:ascii="Arial" w:hAnsi="Arial" w:cs="Times New Roman"/>
          <w:sz w:val="20"/>
          <w:szCs w:val="24"/>
        </w:rPr>
        <w:t xml:space="preserve">opomin EU glede prenosa </w:t>
      </w:r>
      <w:r w:rsidR="004D6EE9">
        <w:rPr>
          <w:rFonts w:ascii="Arial" w:hAnsi="Arial" w:cs="Times New Roman"/>
          <w:sz w:val="20"/>
          <w:szCs w:val="24"/>
        </w:rPr>
        <w:t>d</w:t>
      </w:r>
      <w:r w:rsidRPr="00424274">
        <w:rPr>
          <w:rFonts w:ascii="Arial" w:hAnsi="Arial" w:cs="Times New Roman"/>
          <w:sz w:val="20"/>
          <w:szCs w:val="24"/>
        </w:rPr>
        <w:t>irektive;</w:t>
      </w:r>
    </w:p>
    <w:p w14:paraId="6BB0664F" w14:textId="59B8ACD8" w:rsidR="00C7713E" w:rsidRPr="00424274" w:rsidRDefault="00C7713E" w:rsidP="00C7713E">
      <w:pPr>
        <w:widowControl/>
        <w:numPr>
          <w:ilvl w:val="0"/>
          <w:numId w:val="23"/>
        </w:numPr>
        <w:spacing w:after="120" w:line="276" w:lineRule="auto"/>
        <w:contextualSpacing/>
        <w:rPr>
          <w:rFonts w:ascii="Arial" w:hAnsi="Arial" w:cs="Times New Roman"/>
          <w:sz w:val="20"/>
          <w:szCs w:val="24"/>
        </w:rPr>
      </w:pPr>
      <w:r w:rsidRPr="00424274">
        <w:rPr>
          <w:rFonts w:ascii="Arial" w:hAnsi="Arial" w:cs="Times New Roman"/>
          <w:sz w:val="20"/>
          <w:szCs w:val="24"/>
        </w:rPr>
        <w:t>transakcije</w:t>
      </w:r>
      <w:r w:rsidR="00BC7F2F">
        <w:rPr>
          <w:rFonts w:ascii="Arial" w:hAnsi="Arial" w:cs="Times New Roman"/>
          <w:sz w:val="20"/>
          <w:szCs w:val="24"/>
        </w:rPr>
        <w:t>, ki so jih izvedle tuje banke</w:t>
      </w:r>
      <w:r w:rsidRPr="00424274">
        <w:rPr>
          <w:rFonts w:ascii="Arial" w:hAnsi="Arial" w:cs="Times New Roman"/>
          <w:sz w:val="20"/>
          <w:szCs w:val="24"/>
        </w:rPr>
        <w:t>;</w:t>
      </w:r>
    </w:p>
    <w:p w14:paraId="6951C80D" w14:textId="71D35AA5" w:rsidR="00C7713E" w:rsidRPr="00424274" w:rsidRDefault="00C7713E" w:rsidP="00C7713E">
      <w:pPr>
        <w:widowControl/>
        <w:numPr>
          <w:ilvl w:val="0"/>
          <w:numId w:val="23"/>
        </w:numPr>
        <w:spacing w:after="120" w:line="276" w:lineRule="auto"/>
        <w:contextualSpacing/>
        <w:rPr>
          <w:rFonts w:ascii="Arial" w:hAnsi="Arial" w:cs="Times New Roman"/>
          <w:sz w:val="20"/>
          <w:szCs w:val="24"/>
        </w:rPr>
      </w:pPr>
      <w:r w:rsidRPr="00424274">
        <w:rPr>
          <w:rFonts w:ascii="Arial" w:hAnsi="Arial" w:cs="Times New Roman"/>
          <w:sz w:val="20"/>
          <w:szCs w:val="24"/>
        </w:rPr>
        <w:t>sumljiv</w:t>
      </w:r>
      <w:r w:rsidR="00BC7F2F">
        <w:rPr>
          <w:rFonts w:ascii="Arial" w:hAnsi="Arial" w:cs="Times New Roman"/>
          <w:sz w:val="20"/>
          <w:szCs w:val="24"/>
        </w:rPr>
        <w:t>e</w:t>
      </w:r>
      <w:r w:rsidRPr="00424274">
        <w:rPr>
          <w:rFonts w:ascii="Arial" w:hAnsi="Arial" w:cs="Times New Roman"/>
          <w:sz w:val="20"/>
          <w:szCs w:val="24"/>
        </w:rPr>
        <w:t xml:space="preserve"> transakcij</w:t>
      </w:r>
      <w:r w:rsidR="00BC7F2F">
        <w:rPr>
          <w:rFonts w:ascii="Arial" w:hAnsi="Arial" w:cs="Times New Roman"/>
          <w:sz w:val="20"/>
          <w:szCs w:val="24"/>
        </w:rPr>
        <w:t>e, ki so jih prijavile banke</w:t>
      </w:r>
      <w:r w:rsidRPr="00424274">
        <w:rPr>
          <w:rFonts w:ascii="Arial" w:hAnsi="Arial" w:cs="Times New Roman"/>
          <w:sz w:val="20"/>
          <w:szCs w:val="24"/>
        </w:rPr>
        <w:t>;</w:t>
      </w:r>
    </w:p>
    <w:p w14:paraId="01749589" w14:textId="77777777" w:rsidR="00C7713E" w:rsidRPr="00424274" w:rsidRDefault="00C7713E" w:rsidP="00C7713E">
      <w:pPr>
        <w:widowControl/>
        <w:numPr>
          <w:ilvl w:val="0"/>
          <w:numId w:val="23"/>
        </w:numPr>
        <w:spacing w:after="120" w:line="276" w:lineRule="auto"/>
        <w:contextualSpacing/>
        <w:rPr>
          <w:rFonts w:ascii="Arial" w:hAnsi="Arial" w:cs="Times New Roman"/>
          <w:sz w:val="20"/>
          <w:szCs w:val="24"/>
        </w:rPr>
      </w:pPr>
      <w:r w:rsidRPr="00424274">
        <w:rPr>
          <w:rFonts w:ascii="Arial" w:hAnsi="Arial" w:cs="Times New Roman"/>
          <w:sz w:val="20"/>
          <w:szCs w:val="24"/>
        </w:rPr>
        <w:t>izvajanje Konvencije 198;</w:t>
      </w:r>
    </w:p>
    <w:p w14:paraId="70995114" w14:textId="77777777" w:rsidR="00C7713E" w:rsidRPr="00424274" w:rsidRDefault="00C7713E" w:rsidP="00C7713E">
      <w:pPr>
        <w:widowControl/>
        <w:numPr>
          <w:ilvl w:val="0"/>
          <w:numId w:val="23"/>
        </w:numPr>
        <w:spacing w:after="120" w:line="276" w:lineRule="auto"/>
        <w:contextualSpacing/>
        <w:rPr>
          <w:rFonts w:ascii="Arial" w:hAnsi="Arial" w:cs="Times New Roman"/>
          <w:sz w:val="20"/>
          <w:szCs w:val="24"/>
        </w:rPr>
      </w:pPr>
      <w:r w:rsidRPr="00424274">
        <w:rPr>
          <w:rFonts w:ascii="Arial" w:hAnsi="Arial" w:cs="Times New Roman"/>
          <w:sz w:val="20"/>
          <w:szCs w:val="24"/>
        </w:rPr>
        <w:t>aktivnosti na področju oglaševanja;</w:t>
      </w:r>
    </w:p>
    <w:p w14:paraId="44C861D4" w14:textId="544968EC" w:rsidR="00C7713E" w:rsidRPr="00424274" w:rsidRDefault="00C7713E" w:rsidP="00C7713E">
      <w:pPr>
        <w:widowControl/>
        <w:numPr>
          <w:ilvl w:val="0"/>
          <w:numId w:val="23"/>
        </w:numPr>
        <w:spacing w:after="120" w:line="276" w:lineRule="auto"/>
        <w:contextualSpacing/>
        <w:rPr>
          <w:rFonts w:ascii="Arial" w:hAnsi="Arial" w:cs="Times New Roman"/>
          <w:sz w:val="20"/>
          <w:szCs w:val="24"/>
        </w:rPr>
      </w:pPr>
      <w:r w:rsidRPr="00424274">
        <w:rPr>
          <w:rFonts w:ascii="Arial" w:hAnsi="Arial" w:cs="Times New Roman"/>
          <w:sz w:val="20"/>
          <w:szCs w:val="24"/>
        </w:rPr>
        <w:t xml:space="preserve">vodenje </w:t>
      </w:r>
      <w:r w:rsidR="004D6EE9">
        <w:rPr>
          <w:rFonts w:ascii="Arial" w:hAnsi="Arial" w:cs="Times New Roman"/>
          <w:sz w:val="20"/>
          <w:szCs w:val="24"/>
        </w:rPr>
        <w:t>u</w:t>
      </w:r>
      <w:r w:rsidRPr="00424274">
        <w:rPr>
          <w:rFonts w:ascii="Arial" w:hAnsi="Arial" w:cs="Times New Roman"/>
          <w:sz w:val="20"/>
          <w:szCs w:val="24"/>
        </w:rPr>
        <w:t>rada;</w:t>
      </w:r>
    </w:p>
    <w:p w14:paraId="565DE73E" w14:textId="1F4AFEAD" w:rsidR="00C7713E" w:rsidRPr="00424274" w:rsidRDefault="00C7713E" w:rsidP="00C7713E">
      <w:pPr>
        <w:widowControl/>
        <w:numPr>
          <w:ilvl w:val="0"/>
          <w:numId w:val="23"/>
        </w:numPr>
        <w:spacing w:after="120" w:line="276" w:lineRule="auto"/>
        <w:contextualSpacing/>
        <w:rPr>
          <w:rFonts w:ascii="Arial" w:hAnsi="Arial" w:cs="Times New Roman"/>
          <w:sz w:val="20"/>
          <w:szCs w:val="24"/>
        </w:rPr>
      </w:pPr>
      <w:r w:rsidRPr="00424274">
        <w:rPr>
          <w:rFonts w:ascii="Arial" w:hAnsi="Arial" w:cs="Times New Roman"/>
          <w:sz w:val="20"/>
          <w:szCs w:val="24"/>
        </w:rPr>
        <w:t>lobistični stiki v marcu in aprilu;</w:t>
      </w:r>
    </w:p>
    <w:p w14:paraId="6B7D1E92" w14:textId="02816DEE" w:rsidR="00C7713E" w:rsidRPr="00424274" w:rsidRDefault="00C7713E" w:rsidP="00C7713E">
      <w:pPr>
        <w:widowControl/>
        <w:numPr>
          <w:ilvl w:val="0"/>
          <w:numId w:val="23"/>
        </w:numPr>
        <w:spacing w:after="120" w:line="276" w:lineRule="auto"/>
        <w:contextualSpacing/>
        <w:rPr>
          <w:rFonts w:ascii="Arial" w:hAnsi="Arial" w:cs="Times New Roman"/>
          <w:sz w:val="20"/>
          <w:szCs w:val="24"/>
        </w:rPr>
      </w:pPr>
      <w:r w:rsidRPr="00424274">
        <w:rPr>
          <w:rFonts w:ascii="Arial" w:hAnsi="Arial" w:cs="Times New Roman"/>
          <w:sz w:val="20"/>
          <w:szCs w:val="24"/>
        </w:rPr>
        <w:t>seznam držav</w:t>
      </w:r>
      <w:r w:rsidR="00C53292">
        <w:rPr>
          <w:rFonts w:ascii="Arial" w:hAnsi="Arial" w:cs="Times New Roman"/>
          <w:sz w:val="20"/>
          <w:szCs w:val="24"/>
        </w:rPr>
        <w:t>,</w:t>
      </w:r>
      <w:r w:rsidRPr="00424274">
        <w:rPr>
          <w:rFonts w:ascii="Arial" w:hAnsi="Arial" w:cs="Times New Roman"/>
          <w:sz w:val="20"/>
          <w:szCs w:val="24"/>
        </w:rPr>
        <w:t xml:space="preserve"> pri katerih obstaja večja verjetnost za pojav pranja denarja ali financiranja terorizma;</w:t>
      </w:r>
    </w:p>
    <w:p w14:paraId="3A0ABA34" w14:textId="77777777" w:rsidR="00C7713E" w:rsidRPr="00424274" w:rsidRDefault="00C7713E" w:rsidP="00C7713E">
      <w:pPr>
        <w:widowControl/>
        <w:numPr>
          <w:ilvl w:val="0"/>
          <w:numId w:val="23"/>
        </w:numPr>
        <w:spacing w:after="120" w:line="276" w:lineRule="auto"/>
        <w:contextualSpacing/>
        <w:rPr>
          <w:rFonts w:ascii="Arial" w:hAnsi="Arial" w:cs="Times New Roman"/>
          <w:sz w:val="20"/>
          <w:szCs w:val="24"/>
        </w:rPr>
      </w:pPr>
      <w:r w:rsidRPr="00424274">
        <w:rPr>
          <w:rFonts w:ascii="Arial" w:hAnsi="Arial" w:cs="Times New Roman"/>
          <w:sz w:val="20"/>
          <w:szCs w:val="24"/>
        </w:rPr>
        <w:t>sklenjene pogodbe za svetovanje pri komuniciranju;</w:t>
      </w:r>
    </w:p>
    <w:p w14:paraId="48963DC6" w14:textId="77777777" w:rsidR="00C7713E" w:rsidRPr="00424274" w:rsidRDefault="00C7713E" w:rsidP="00C7713E">
      <w:pPr>
        <w:widowControl/>
        <w:numPr>
          <w:ilvl w:val="0"/>
          <w:numId w:val="23"/>
        </w:numPr>
        <w:spacing w:after="120" w:line="276" w:lineRule="auto"/>
        <w:contextualSpacing/>
        <w:rPr>
          <w:rFonts w:ascii="Arial" w:hAnsi="Arial" w:cs="Times New Roman"/>
          <w:sz w:val="20"/>
          <w:szCs w:val="24"/>
        </w:rPr>
      </w:pPr>
      <w:r w:rsidRPr="00424274">
        <w:rPr>
          <w:rFonts w:ascii="Arial" w:hAnsi="Arial" w:cs="Times New Roman"/>
          <w:sz w:val="20"/>
          <w:szCs w:val="24"/>
        </w:rPr>
        <w:t>obveznost sporočanja gotovinskih transakcij in nakazil v tvegane države;</w:t>
      </w:r>
    </w:p>
    <w:p w14:paraId="46CCA973" w14:textId="77777777" w:rsidR="00C7713E" w:rsidRPr="00424274" w:rsidRDefault="00C7713E" w:rsidP="00C7713E">
      <w:pPr>
        <w:widowControl/>
        <w:numPr>
          <w:ilvl w:val="0"/>
          <w:numId w:val="23"/>
        </w:numPr>
        <w:spacing w:after="120" w:line="276" w:lineRule="auto"/>
        <w:contextualSpacing/>
        <w:rPr>
          <w:rFonts w:ascii="Arial" w:hAnsi="Arial" w:cs="Times New Roman"/>
          <w:sz w:val="20"/>
          <w:szCs w:val="24"/>
        </w:rPr>
      </w:pPr>
      <w:r w:rsidRPr="00424274">
        <w:rPr>
          <w:rFonts w:ascii="Arial" w:hAnsi="Arial" w:cs="Times New Roman"/>
          <w:sz w:val="20"/>
          <w:szCs w:val="24"/>
        </w:rPr>
        <w:t>imenovanje in prenehanje funkcije pooblaščenca za preprečevanje pranja denarja;</w:t>
      </w:r>
    </w:p>
    <w:p w14:paraId="348D766C" w14:textId="28C6C79B" w:rsidR="00C7713E" w:rsidRPr="00424274" w:rsidRDefault="00C7713E" w:rsidP="00C7713E">
      <w:pPr>
        <w:widowControl/>
        <w:numPr>
          <w:ilvl w:val="0"/>
          <w:numId w:val="23"/>
        </w:numPr>
        <w:spacing w:after="120" w:line="276" w:lineRule="auto"/>
        <w:contextualSpacing/>
        <w:rPr>
          <w:rFonts w:ascii="Arial" w:hAnsi="Arial" w:cs="Times New Roman"/>
          <w:sz w:val="20"/>
          <w:szCs w:val="24"/>
        </w:rPr>
      </w:pPr>
      <w:r w:rsidRPr="00424274">
        <w:rPr>
          <w:rFonts w:ascii="Arial" w:hAnsi="Arial" w:cs="Times New Roman"/>
          <w:sz w:val="20"/>
          <w:szCs w:val="24"/>
        </w:rPr>
        <w:t xml:space="preserve">prenos </w:t>
      </w:r>
      <w:r w:rsidR="00C53292">
        <w:rPr>
          <w:rFonts w:ascii="Arial" w:hAnsi="Arial" w:cs="Times New Roman"/>
          <w:sz w:val="20"/>
          <w:szCs w:val="24"/>
        </w:rPr>
        <w:t xml:space="preserve">direktive </w:t>
      </w:r>
      <w:r w:rsidRPr="00424274">
        <w:rPr>
          <w:rFonts w:ascii="Arial" w:hAnsi="Arial" w:cs="Times New Roman"/>
          <w:sz w:val="20"/>
          <w:szCs w:val="24"/>
        </w:rPr>
        <w:t>5AML;</w:t>
      </w:r>
    </w:p>
    <w:p w14:paraId="3204D850" w14:textId="77777777" w:rsidR="00C7713E" w:rsidRPr="00424274" w:rsidRDefault="00C7713E" w:rsidP="00C7713E">
      <w:pPr>
        <w:widowControl/>
        <w:numPr>
          <w:ilvl w:val="0"/>
          <w:numId w:val="23"/>
        </w:numPr>
        <w:spacing w:after="120" w:line="276" w:lineRule="auto"/>
        <w:contextualSpacing/>
        <w:rPr>
          <w:rFonts w:ascii="Arial" w:hAnsi="Arial" w:cs="Times New Roman"/>
          <w:sz w:val="20"/>
          <w:szCs w:val="24"/>
        </w:rPr>
      </w:pPr>
      <w:r w:rsidRPr="00424274">
        <w:rPr>
          <w:rFonts w:ascii="Arial" w:hAnsi="Arial" w:cs="Times New Roman"/>
          <w:sz w:val="20"/>
          <w:szCs w:val="24"/>
        </w:rPr>
        <w:t>objava nakazil v tvegane države;</w:t>
      </w:r>
    </w:p>
    <w:p w14:paraId="7EEB4F0C" w14:textId="77777777" w:rsidR="00C7713E" w:rsidRPr="00424274" w:rsidRDefault="00C7713E" w:rsidP="00C7713E">
      <w:pPr>
        <w:widowControl/>
        <w:numPr>
          <w:ilvl w:val="0"/>
          <w:numId w:val="23"/>
        </w:numPr>
        <w:spacing w:after="120" w:line="276" w:lineRule="auto"/>
        <w:contextualSpacing/>
        <w:rPr>
          <w:rFonts w:ascii="Arial" w:hAnsi="Arial" w:cs="Times New Roman"/>
          <w:sz w:val="20"/>
          <w:szCs w:val="24"/>
        </w:rPr>
      </w:pPr>
      <w:r w:rsidRPr="00424274">
        <w:rPr>
          <w:rFonts w:ascii="Arial" w:hAnsi="Arial" w:cs="Times New Roman"/>
          <w:sz w:val="20"/>
          <w:szCs w:val="24"/>
        </w:rPr>
        <w:t>statistika prijav sumljivih transakcij;</w:t>
      </w:r>
    </w:p>
    <w:p w14:paraId="24448555" w14:textId="77777777" w:rsidR="00C7713E" w:rsidRPr="00424274" w:rsidRDefault="00C7713E" w:rsidP="00C7713E">
      <w:pPr>
        <w:widowControl/>
        <w:numPr>
          <w:ilvl w:val="0"/>
          <w:numId w:val="23"/>
        </w:numPr>
        <w:spacing w:after="120" w:line="276" w:lineRule="auto"/>
        <w:contextualSpacing/>
        <w:rPr>
          <w:rFonts w:ascii="Arial" w:hAnsi="Arial" w:cs="Times New Roman"/>
          <w:sz w:val="20"/>
          <w:szCs w:val="24"/>
        </w:rPr>
      </w:pPr>
      <w:r w:rsidRPr="00424274">
        <w:rPr>
          <w:rFonts w:ascii="Arial" w:hAnsi="Arial" w:cs="Times New Roman"/>
          <w:sz w:val="20"/>
          <w:szCs w:val="24"/>
        </w:rPr>
        <w:t>odredba o začasni ustavitvi transakcije;</w:t>
      </w:r>
    </w:p>
    <w:p w14:paraId="73BBDF06" w14:textId="77777777" w:rsidR="00C7713E" w:rsidRPr="00424274" w:rsidRDefault="00C7713E" w:rsidP="00C7713E">
      <w:pPr>
        <w:widowControl/>
        <w:numPr>
          <w:ilvl w:val="0"/>
          <w:numId w:val="23"/>
        </w:numPr>
        <w:spacing w:after="120" w:line="276" w:lineRule="auto"/>
        <w:contextualSpacing/>
        <w:rPr>
          <w:rFonts w:ascii="Arial" w:hAnsi="Arial" w:cs="Times New Roman"/>
          <w:sz w:val="20"/>
          <w:szCs w:val="24"/>
        </w:rPr>
      </w:pPr>
      <w:r w:rsidRPr="00424274">
        <w:rPr>
          <w:rFonts w:ascii="Arial" w:hAnsi="Arial" w:cs="Times New Roman"/>
          <w:sz w:val="20"/>
          <w:szCs w:val="24"/>
        </w:rPr>
        <w:t>sodelovanje z drugimi organi pregona;</w:t>
      </w:r>
    </w:p>
    <w:p w14:paraId="0967DE85" w14:textId="0D99614C" w:rsidR="00C7713E" w:rsidRPr="00424274" w:rsidRDefault="00C7713E" w:rsidP="00C7713E">
      <w:pPr>
        <w:widowControl/>
        <w:numPr>
          <w:ilvl w:val="0"/>
          <w:numId w:val="23"/>
        </w:numPr>
        <w:spacing w:after="120" w:line="276" w:lineRule="auto"/>
        <w:contextualSpacing/>
        <w:rPr>
          <w:rFonts w:ascii="Arial" w:hAnsi="Arial" w:cs="Times New Roman"/>
          <w:sz w:val="20"/>
          <w:szCs w:val="24"/>
        </w:rPr>
      </w:pPr>
      <w:r w:rsidRPr="00424274">
        <w:rPr>
          <w:rFonts w:ascii="Arial" w:hAnsi="Arial" w:cs="Times New Roman"/>
          <w:sz w:val="20"/>
          <w:szCs w:val="24"/>
        </w:rPr>
        <w:t xml:space="preserve">vprašanja </w:t>
      </w:r>
      <w:r w:rsidR="00C53292">
        <w:rPr>
          <w:rFonts w:ascii="Arial" w:hAnsi="Arial" w:cs="Times New Roman"/>
          <w:sz w:val="20"/>
          <w:szCs w:val="24"/>
        </w:rPr>
        <w:t>v zvezi s</w:t>
      </w:r>
      <w:r w:rsidRPr="00424274">
        <w:rPr>
          <w:rFonts w:ascii="Arial" w:hAnsi="Arial" w:cs="Times New Roman"/>
          <w:sz w:val="20"/>
          <w:szCs w:val="24"/>
        </w:rPr>
        <w:t xml:space="preserve"> število</w:t>
      </w:r>
      <w:r w:rsidR="00C53292">
        <w:rPr>
          <w:rFonts w:ascii="Arial" w:hAnsi="Arial" w:cs="Times New Roman"/>
          <w:sz w:val="20"/>
          <w:szCs w:val="24"/>
        </w:rPr>
        <w:t>m</w:t>
      </w:r>
      <w:r w:rsidRPr="00424274">
        <w:rPr>
          <w:rFonts w:ascii="Arial" w:hAnsi="Arial" w:cs="Times New Roman"/>
          <w:sz w:val="20"/>
          <w:szCs w:val="24"/>
        </w:rPr>
        <w:t xml:space="preserve"> zaposlenih</w:t>
      </w:r>
      <w:r w:rsidR="00C53292">
        <w:rPr>
          <w:rFonts w:ascii="Arial" w:hAnsi="Arial" w:cs="Times New Roman"/>
          <w:sz w:val="20"/>
          <w:szCs w:val="24"/>
        </w:rPr>
        <w:t xml:space="preserve"> in</w:t>
      </w:r>
      <w:r w:rsidRPr="00424274">
        <w:rPr>
          <w:rFonts w:ascii="Arial" w:hAnsi="Arial" w:cs="Times New Roman"/>
          <w:sz w:val="20"/>
          <w:szCs w:val="24"/>
        </w:rPr>
        <w:t xml:space="preserve"> število</w:t>
      </w:r>
      <w:r w:rsidR="00C53292">
        <w:rPr>
          <w:rFonts w:ascii="Arial" w:hAnsi="Arial" w:cs="Times New Roman"/>
          <w:sz w:val="20"/>
          <w:szCs w:val="24"/>
        </w:rPr>
        <w:t>m</w:t>
      </w:r>
      <w:r w:rsidRPr="00424274">
        <w:rPr>
          <w:rFonts w:ascii="Arial" w:hAnsi="Arial" w:cs="Times New Roman"/>
          <w:sz w:val="20"/>
          <w:szCs w:val="24"/>
        </w:rPr>
        <w:t xml:space="preserve"> odprtih razpisov.</w:t>
      </w:r>
    </w:p>
    <w:p w14:paraId="5B149DD7" w14:textId="77777777" w:rsidR="00066D2B" w:rsidRPr="00424274" w:rsidRDefault="00066D2B" w:rsidP="00066D2B">
      <w:pPr>
        <w:widowControl/>
        <w:spacing w:after="120" w:line="276" w:lineRule="auto"/>
        <w:ind w:left="720"/>
        <w:contextualSpacing/>
        <w:rPr>
          <w:rFonts w:ascii="Arial" w:hAnsi="Arial" w:cs="Times New Roman"/>
          <w:sz w:val="20"/>
          <w:szCs w:val="24"/>
        </w:rPr>
      </w:pPr>
    </w:p>
    <w:p w14:paraId="70D0592C" w14:textId="7C77E0B3" w:rsidR="00C7713E" w:rsidRPr="00424274" w:rsidRDefault="00C7713E" w:rsidP="00192801">
      <w:pPr>
        <w:spacing w:after="120" w:line="276" w:lineRule="auto"/>
        <w:rPr>
          <w:rFonts w:ascii="Arial" w:hAnsi="Arial"/>
          <w:sz w:val="20"/>
        </w:rPr>
      </w:pPr>
      <w:r w:rsidRPr="00424274">
        <w:rPr>
          <w:rFonts w:ascii="Arial" w:hAnsi="Arial"/>
          <w:sz w:val="20"/>
        </w:rPr>
        <w:t xml:space="preserve">Poleg </w:t>
      </w:r>
      <w:r w:rsidR="00C53292">
        <w:rPr>
          <w:rFonts w:ascii="Arial" w:hAnsi="Arial"/>
          <w:sz w:val="20"/>
        </w:rPr>
        <w:t>tega</w:t>
      </w:r>
      <w:r w:rsidR="00C53292" w:rsidRPr="00424274">
        <w:rPr>
          <w:rFonts w:ascii="Arial" w:hAnsi="Arial"/>
          <w:sz w:val="20"/>
        </w:rPr>
        <w:t xml:space="preserve"> </w:t>
      </w:r>
      <w:r w:rsidRPr="00424274">
        <w:rPr>
          <w:rFonts w:ascii="Arial" w:hAnsi="Arial"/>
          <w:sz w:val="20"/>
        </w:rPr>
        <w:t xml:space="preserve">je </w:t>
      </w:r>
      <w:r w:rsidR="00C53292">
        <w:rPr>
          <w:rFonts w:ascii="Arial" w:hAnsi="Arial"/>
          <w:sz w:val="20"/>
        </w:rPr>
        <w:t>u</w:t>
      </w:r>
      <w:r w:rsidRPr="00424274">
        <w:rPr>
          <w:rFonts w:ascii="Arial" w:hAnsi="Arial"/>
          <w:sz w:val="20"/>
        </w:rPr>
        <w:t xml:space="preserve">rad v letu 2020 prejel tudi 15 vprašanj, ki so se nanašala na točno določene primere, zato je v zvezi </w:t>
      </w:r>
      <w:r w:rsidR="00BC7F2F">
        <w:rPr>
          <w:rFonts w:ascii="Arial" w:hAnsi="Arial"/>
          <w:sz w:val="20"/>
        </w:rPr>
        <w:t xml:space="preserve">z </w:t>
      </w:r>
      <w:r w:rsidRPr="00424274">
        <w:rPr>
          <w:rFonts w:ascii="Arial" w:hAnsi="Arial"/>
          <w:sz w:val="20"/>
        </w:rPr>
        <w:t xml:space="preserve">njimi lahko </w:t>
      </w:r>
      <w:r w:rsidR="00C53292">
        <w:rPr>
          <w:rFonts w:ascii="Arial" w:hAnsi="Arial"/>
          <w:sz w:val="20"/>
        </w:rPr>
        <w:t>dal</w:t>
      </w:r>
      <w:r w:rsidR="00C53292" w:rsidRPr="00424274">
        <w:rPr>
          <w:rFonts w:ascii="Arial" w:hAnsi="Arial"/>
          <w:sz w:val="20"/>
        </w:rPr>
        <w:t xml:space="preserve"> </w:t>
      </w:r>
      <w:r w:rsidRPr="00424274">
        <w:rPr>
          <w:rFonts w:ascii="Arial" w:hAnsi="Arial"/>
          <w:sz w:val="20"/>
        </w:rPr>
        <w:t xml:space="preserve">le pojasnilo, da ne more razkrivati podatkov o konkretnih zadevah, ki so označene z ustrezno stopnjo tajnosti po Zakonu o tajnih podatkih. </w:t>
      </w:r>
    </w:p>
    <w:p w14:paraId="1331BE61" w14:textId="77777777" w:rsidR="009668E0" w:rsidRPr="00424274" w:rsidRDefault="009668E0" w:rsidP="009668E0">
      <w:pPr>
        <w:tabs>
          <w:tab w:val="left" w:pos="-1026"/>
          <w:tab w:val="left" w:pos="-756"/>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ind w:left="720"/>
        <w:rPr>
          <w:rFonts w:ascii="Arial" w:hAnsi="Arial"/>
          <w:sz w:val="20"/>
        </w:rPr>
      </w:pPr>
    </w:p>
    <w:p w14:paraId="76614C9A" w14:textId="77777777" w:rsidR="009668E0" w:rsidRPr="00424274" w:rsidRDefault="009668E0">
      <w:pPr>
        <w:pStyle w:val="Naslov2"/>
      </w:pPr>
      <w:bookmarkStart w:id="211" w:name="_Toc134427552"/>
      <w:bookmarkStart w:id="212" w:name="_Toc200853579"/>
      <w:bookmarkStart w:id="213" w:name="_Toc227744160"/>
      <w:bookmarkStart w:id="214" w:name="_Toc292714873"/>
      <w:bookmarkStart w:id="215" w:name="_Toc325462268"/>
      <w:bookmarkStart w:id="216" w:name="_Toc402346347"/>
      <w:bookmarkStart w:id="217" w:name="_Toc529353610"/>
      <w:bookmarkStart w:id="218" w:name="_Toc113535500"/>
      <w:r w:rsidRPr="00424274">
        <w:t>INFORMACIJE JAVNEGA ZNAČAJA</w:t>
      </w:r>
      <w:bookmarkEnd w:id="211"/>
      <w:bookmarkEnd w:id="212"/>
      <w:bookmarkEnd w:id="213"/>
      <w:bookmarkEnd w:id="214"/>
      <w:bookmarkEnd w:id="215"/>
      <w:bookmarkEnd w:id="216"/>
      <w:bookmarkEnd w:id="217"/>
      <w:bookmarkEnd w:id="218"/>
    </w:p>
    <w:p w14:paraId="0DC4A716" w14:textId="77777777" w:rsidR="009668E0" w:rsidRPr="00424274" w:rsidRDefault="009668E0" w:rsidP="009668E0">
      <w:pPr>
        <w:spacing w:line="276" w:lineRule="auto"/>
        <w:rPr>
          <w:rFonts w:ascii="Arial" w:hAnsi="Arial"/>
          <w:sz w:val="20"/>
        </w:rPr>
      </w:pPr>
    </w:p>
    <w:p w14:paraId="7E19DF47" w14:textId="702E2F63" w:rsidR="00AA00DC" w:rsidRPr="00424274" w:rsidRDefault="00AA00DC" w:rsidP="00AA00DC">
      <w:pPr>
        <w:widowControl/>
        <w:tabs>
          <w:tab w:val="left" w:pos="-1080"/>
          <w:tab w:val="left" w:pos="-720"/>
          <w:tab w:val="left" w:pos="0"/>
          <w:tab w:val="left" w:pos="720"/>
          <w:tab w:val="left" w:pos="1440"/>
          <w:tab w:val="left" w:pos="2160"/>
          <w:tab w:val="left" w:pos="2880"/>
          <w:tab w:val="left" w:pos="3600"/>
          <w:tab w:val="left" w:pos="4320"/>
          <w:tab w:val="left" w:pos="5040"/>
          <w:tab w:val="left" w:pos="5580"/>
        </w:tabs>
        <w:spacing w:line="276" w:lineRule="auto"/>
        <w:ind w:right="-45"/>
        <w:rPr>
          <w:rFonts w:ascii="Arial" w:hAnsi="Arial"/>
          <w:sz w:val="20"/>
        </w:rPr>
      </w:pPr>
      <w:r w:rsidRPr="00424274">
        <w:rPr>
          <w:rFonts w:ascii="Arial" w:hAnsi="Arial"/>
          <w:sz w:val="20"/>
        </w:rPr>
        <w:t>Skladno s 4. členom Zakona o dostopu do informacij javnega značaja (Uradni list RS, št. 51/2006</w:t>
      </w:r>
      <w:r w:rsidR="00BC7F2F">
        <w:rPr>
          <w:rFonts w:ascii="Arial" w:hAnsi="Arial"/>
          <w:sz w:val="20"/>
        </w:rPr>
        <w:t xml:space="preserve"> –</w:t>
      </w:r>
      <w:r w:rsidRPr="00424274">
        <w:rPr>
          <w:rFonts w:ascii="Arial" w:hAnsi="Arial"/>
          <w:sz w:val="20"/>
        </w:rPr>
        <w:t xml:space="preserve"> UPB2, 117/06 – ZDavP-2 in 23/14, 50/14, 19/15 – </w:t>
      </w:r>
      <w:proofErr w:type="spellStart"/>
      <w:r w:rsidRPr="00424274">
        <w:rPr>
          <w:rFonts w:ascii="Arial" w:hAnsi="Arial"/>
          <w:sz w:val="20"/>
        </w:rPr>
        <w:t>odl</w:t>
      </w:r>
      <w:proofErr w:type="spellEnd"/>
      <w:r w:rsidRPr="00424274">
        <w:rPr>
          <w:rFonts w:ascii="Arial" w:hAnsi="Arial"/>
          <w:sz w:val="20"/>
        </w:rPr>
        <w:t xml:space="preserve">. US, 102/15 in 7/18; v nadaljevanju: ZDIJZ) je informacija javnega značaja vsaka informacija, ki izvira z delovnega področja organa, </w:t>
      </w:r>
      <w:r w:rsidR="00083FED">
        <w:rPr>
          <w:rFonts w:ascii="Arial" w:hAnsi="Arial"/>
          <w:sz w:val="20"/>
        </w:rPr>
        <w:t xml:space="preserve">in je </w:t>
      </w:r>
      <w:r w:rsidRPr="00424274">
        <w:rPr>
          <w:rFonts w:ascii="Arial" w:hAnsi="Arial"/>
          <w:sz w:val="20"/>
        </w:rPr>
        <w:t xml:space="preserve">v obliki dokumenta, zadeve, dosjeja, registra, evidence ali drugega dokumentarnega gradiva, ki ga je organ izdelal sam, v sodelovanju z drugim organom ali pridobil od drugih oseb. </w:t>
      </w:r>
    </w:p>
    <w:p w14:paraId="41979144" w14:textId="77777777" w:rsidR="00AA00DC" w:rsidRPr="00424274" w:rsidRDefault="00AA00DC" w:rsidP="00AA00DC">
      <w:pPr>
        <w:widowControl/>
        <w:tabs>
          <w:tab w:val="left" w:pos="-1080"/>
          <w:tab w:val="left" w:pos="-720"/>
          <w:tab w:val="left" w:pos="0"/>
          <w:tab w:val="left" w:pos="720"/>
          <w:tab w:val="left" w:pos="1440"/>
          <w:tab w:val="left" w:pos="2160"/>
          <w:tab w:val="left" w:pos="2880"/>
          <w:tab w:val="left" w:pos="3600"/>
          <w:tab w:val="left" w:pos="4320"/>
          <w:tab w:val="left" w:pos="5040"/>
          <w:tab w:val="left" w:pos="5580"/>
        </w:tabs>
        <w:spacing w:line="276" w:lineRule="auto"/>
        <w:ind w:right="-45"/>
        <w:rPr>
          <w:rFonts w:ascii="Arial" w:hAnsi="Arial"/>
          <w:sz w:val="20"/>
        </w:rPr>
      </w:pPr>
    </w:p>
    <w:p w14:paraId="6EACBBE3" w14:textId="36DCCB7F" w:rsidR="00AA00DC" w:rsidRPr="00424274" w:rsidRDefault="00AA00DC" w:rsidP="00AA00DC">
      <w:pPr>
        <w:widowControl/>
        <w:tabs>
          <w:tab w:val="left" w:pos="-1080"/>
          <w:tab w:val="left" w:pos="-720"/>
          <w:tab w:val="left" w:pos="0"/>
          <w:tab w:val="left" w:pos="720"/>
          <w:tab w:val="left" w:pos="1440"/>
          <w:tab w:val="left" w:pos="2160"/>
          <w:tab w:val="left" w:pos="2880"/>
          <w:tab w:val="left" w:pos="3600"/>
          <w:tab w:val="left" w:pos="4320"/>
          <w:tab w:val="left" w:pos="5040"/>
          <w:tab w:val="left" w:pos="5580"/>
        </w:tabs>
        <w:spacing w:line="276" w:lineRule="auto"/>
        <w:ind w:right="-45"/>
        <w:rPr>
          <w:rFonts w:ascii="Arial" w:hAnsi="Arial"/>
          <w:sz w:val="20"/>
        </w:rPr>
      </w:pPr>
      <w:r w:rsidRPr="00424274">
        <w:rPr>
          <w:rFonts w:ascii="Arial" w:hAnsi="Arial"/>
          <w:sz w:val="20"/>
        </w:rPr>
        <w:t xml:space="preserve">Na podlagi 5. člena ZDIJZ so informacije javnega značaja prosto dostopne pravnim in fizičnim osebam, pri čemer ima vsak prosilec na svojo zahtevo pravico pridobiti od organa informacijo javnega značaja tako, da jo pridobi na vpogled, ali pa pridobi njen prepis, fotokopijo ali njen elektronski zapis. Organ lahko v skladu z določbo 26. člena ZDIJZ v celoti ali delno zavrne zahtevo prosilca samo, če ugotovi, da zahtevani podatek oziroma dokument pomeni izjemo iz 5.a in 6. člena ZDIJZ, razen če je javni interes do razkritja informacije močnejši od javnega interesa ali interesa drugih oseb za omejitev dostopa do zahtevane informacije. </w:t>
      </w:r>
    </w:p>
    <w:p w14:paraId="73B0D9AA" w14:textId="77777777" w:rsidR="00AA00DC" w:rsidRPr="00424274" w:rsidRDefault="00AA00DC" w:rsidP="00AA00DC">
      <w:pPr>
        <w:spacing w:line="276" w:lineRule="auto"/>
        <w:rPr>
          <w:rFonts w:ascii="Arial" w:hAnsi="Arial"/>
          <w:sz w:val="20"/>
        </w:rPr>
      </w:pPr>
    </w:p>
    <w:p w14:paraId="629B45AB" w14:textId="51C6BE3B" w:rsidR="00AA00DC" w:rsidRPr="00424274" w:rsidRDefault="00AA00DC" w:rsidP="00AA00DC">
      <w:pPr>
        <w:widowControl/>
        <w:spacing w:line="276" w:lineRule="auto"/>
        <w:rPr>
          <w:rFonts w:ascii="Arial" w:hAnsi="Arial"/>
          <w:sz w:val="20"/>
        </w:rPr>
      </w:pPr>
      <w:r w:rsidRPr="00424274">
        <w:rPr>
          <w:rFonts w:ascii="Arial" w:hAnsi="Arial"/>
          <w:sz w:val="20"/>
        </w:rPr>
        <w:t xml:space="preserve">V skladu s 37. členom ZDIJZ in 27. členom Uredbe o posredovanju in ponovni uporabi informacij javnega značaja (Uradni list RS, št. 24/16) </w:t>
      </w:r>
      <w:r w:rsidR="00083FED">
        <w:rPr>
          <w:rFonts w:ascii="Arial" w:hAnsi="Arial"/>
          <w:sz w:val="20"/>
        </w:rPr>
        <w:t>ima</w:t>
      </w:r>
      <w:r w:rsidR="00083FED" w:rsidRPr="00424274">
        <w:rPr>
          <w:rFonts w:ascii="Arial" w:hAnsi="Arial"/>
          <w:sz w:val="20"/>
        </w:rPr>
        <w:t xml:space="preserve"> </w:t>
      </w:r>
      <w:r w:rsidR="00083FED">
        <w:rPr>
          <w:rFonts w:ascii="Arial" w:hAnsi="Arial"/>
          <w:sz w:val="20"/>
        </w:rPr>
        <w:t>u</w:t>
      </w:r>
      <w:r w:rsidRPr="00424274">
        <w:rPr>
          <w:rFonts w:ascii="Arial" w:hAnsi="Arial"/>
          <w:sz w:val="20"/>
        </w:rPr>
        <w:t xml:space="preserve">rad do konca januarja tekočega leta </w:t>
      </w:r>
      <w:r w:rsidR="00083FED">
        <w:rPr>
          <w:rFonts w:ascii="Arial" w:hAnsi="Arial"/>
          <w:sz w:val="20"/>
        </w:rPr>
        <w:t>dolžnost</w:t>
      </w:r>
      <w:r w:rsidR="00083FED" w:rsidRPr="00424274">
        <w:rPr>
          <w:rFonts w:ascii="Arial" w:hAnsi="Arial"/>
          <w:sz w:val="20"/>
        </w:rPr>
        <w:t xml:space="preserve"> </w:t>
      </w:r>
      <w:r w:rsidRPr="00424274">
        <w:rPr>
          <w:rFonts w:ascii="Arial" w:hAnsi="Arial"/>
          <w:sz w:val="20"/>
        </w:rPr>
        <w:t>pripraviti letno poročilo o izvajanju ZDIJZ za preteklo leto.</w:t>
      </w:r>
    </w:p>
    <w:p w14:paraId="79CC9526" w14:textId="77777777" w:rsidR="00AA00DC" w:rsidRPr="00424274" w:rsidRDefault="00AA00DC" w:rsidP="00AA00DC">
      <w:pPr>
        <w:spacing w:line="276" w:lineRule="auto"/>
        <w:rPr>
          <w:rFonts w:ascii="Arial" w:hAnsi="Arial"/>
          <w:sz w:val="20"/>
        </w:rPr>
      </w:pPr>
    </w:p>
    <w:p w14:paraId="3882BF74" w14:textId="77777777" w:rsidR="00AA00DC" w:rsidRPr="00424274" w:rsidRDefault="00AA00DC" w:rsidP="00AA00DC">
      <w:pPr>
        <w:spacing w:line="276" w:lineRule="auto"/>
        <w:rPr>
          <w:rFonts w:ascii="Arial" w:hAnsi="Arial"/>
          <w:sz w:val="20"/>
        </w:rPr>
      </w:pPr>
      <w:r w:rsidRPr="00424274">
        <w:rPr>
          <w:rFonts w:ascii="Arial" w:hAnsi="Arial"/>
          <w:sz w:val="20"/>
        </w:rPr>
        <w:t>Urad v letu 2020 ni prejel nobene zahteve za posredovanje informacij javnega značaja.</w:t>
      </w:r>
    </w:p>
    <w:p w14:paraId="74CA58A2" w14:textId="77777777" w:rsidR="009668E0" w:rsidRPr="00424274" w:rsidRDefault="009668E0" w:rsidP="009668E0">
      <w:pPr>
        <w:widowControl/>
        <w:spacing w:line="276" w:lineRule="auto"/>
        <w:rPr>
          <w:rFonts w:ascii="Arial" w:hAnsi="Arial"/>
          <w:sz w:val="20"/>
        </w:rPr>
      </w:pPr>
    </w:p>
    <w:p w14:paraId="11B7244F" w14:textId="162F32DB" w:rsidR="00E92042" w:rsidRPr="00424274" w:rsidRDefault="00E92042" w:rsidP="00D21F86">
      <w:pPr>
        <w:widowControl/>
        <w:spacing w:line="276" w:lineRule="auto"/>
        <w:rPr>
          <w:rFonts w:ascii="Arial" w:hAnsi="Arial"/>
          <w:sz w:val="20"/>
        </w:rPr>
      </w:pPr>
      <w:r w:rsidRPr="00424274">
        <w:rPr>
          <w:rFonts w:ascii="Arial" w:hAnsi="Arial"/>
          <w:sz w:val="20"/>
        </w:rPr>
        <w:br w:type="page"/>
      </w:r>
    </w:p>
    <w:p w14:paraId="39F89C14" w14:textId="77777777" w:rsidR="00851C49" w:rsidRPr="00424274" w:rsidRDefault="00851C49" w:rsidP="00D21F86">
      <w:pPr>
        <w:pStyle w:val="Naslov1"/>
        <w:numPr>
          <w:ilvl w:val="0"/>
          <w:numId w:val="6"/>
        </w:numPr>
        <w:spacing w:line="276" w:lineRule="auto"/>
        <w:rPr>
          <w:rFonts w:ascii="Arial" w:hAnsi="Arial"/>
          <w:sz w:val="20"/>
        </w:rPr>
      </w:pPr>
      <w:bookmarkStart w:id="219" w:name="_Toc113535501"/>
      <w:r w:rsidRPr="00424274">
        <w:rPr>
          <w:rFonts w:ascii="Arial" w:hAnsi="Arial"/>
          <w:sz w:val="20"/>
        </w:rPr>
        <w:lastRenderedPageBreak/>
        <w:t>MEDNARODNO SODELOVANJE</w:t>
      </w:r>
      <w:bookmarkEnd w:id="141"/>
      <w:bookmarkEnd w:id="142"/>
      <w:bookmarkEnd w:id="219"/>
    </w:p>
    <w:p w14:paraId="118879A5" w14:textId="77777777" w:rsidR="00851C49" w:rsidRPr="00424274" w:rsidRDefault="00851C49" w:rsidP="00D21F86">
      <w:pPr>
        <w:spacing w:line="276" w:lineRule="auto"/>
        <w:ind w:left="31"/>
        <w:rPr>
          <w:rFonts w:ascii="Arial" w:hAnsi="Arial"/>
          <w:sz w:val="20"/>
        </w:rPr>
      </w:pPr>
    </w:p>
    <w:p w14:paraId="10AFE849" w14:textId="7D0CD006" w:rsidR="00CF278C" w:rsidRPr="00424274" w:rsidRDefault="00CF278C" w:rsidP="00CF278C">
      <w:pPr>
        <w:spacing w:line="276" w:lineRule="auto"/>
        <w:rPr>
          <w:rFonts w:ascii="Arial" w:hAnsi="Arial"/>
          <w:sz w:val="20"/>
        </w:rPr>
      </w:pPr>
      <w:r w:rsidRPr="00424274">
        <w:rPr>
          <w:rFonts w:ascii="Arial" w:hAnsi="Arial"/>
          <w:sz w:val="20"/>
        </w:rPr>
        <w:t xml:space="preserve">Pravna podlaga za mednarodno delovanje </w:t>
      </w:r>
      <w:r w:rsidR="00A0541B">
        <w:rPr>
          <w:rFonts w:ascii="Arial" w:hAnsi="Arial"/>
          <w:sz w:val="20"/>
        </w:rPr>
        <w:t>urad</w:t>
      </w:r>
      <w:r w:rsidRPr="00424274">
        <w:rPr>
          <w:rFonts w:ascii="Arial" w:hAnsi="Arial"/>
          <w:sz w:val="20"/>
        </w:rPr>
        <w:t>a je določena s 105</w:t>
      </w:r>
      <w:r w:rsidR="00E63671">
        <w:rPr>
          <w:rFonts w:ascii="Arial" w:hAnsi="Arial"/>
          <w:sz w:val="20"/>
        </w:rPr>
        <w:t>.</w:t>
      </w:r>
      <w:r w:rsidRPr="00424274">
        <w:rPr>
          <w:rFonts w:ascii="Arial" w:hAnsi="Arial"/>
          <w:sz w:val="20"/>
        </w:rPr>
        <w:t>, 106</w:t>
      </w:r>
      <w:r w:rsidR="00E63671">
        <w:rPr>
          <w:rFonts w:ascii="Arial" w:hAnsi="Arial"/>
          <w:sz w:val="20"/>
        </w:rPr>
        <w:t>.</w:t>
      </w:r>
      <w:r w:rsidRPr="00424274">
        <w:rPr>
          <w:rFonts w:ascii="Arial" w:hAnsi="Arial"/>
          <w:sz w:val="20"/>
        </w:rPr>
        <w:t xml:space="preserve"> in 108</w:t>
      </w:r>
      <w:r w:rsidR="00E63671">
        <w:rPr>
          <w:rFonts w:ascii="Arial" w:hAnsi="Arial"/>
          <w:sz w:val="20"/>
        </w:rPr>
        <w:t>. členom</w:t>
      </w:r>
      <w:r w:rsidRPr="00424274">
        <w:rPr>
          <w:rFonts w:ascii="Arial" w:hAnsi="Arial"/>
          <w:sz w:val="20"/>
        </w:rPr>
        <w:t xml:space="preserve"> ZPPDFT-1, ki pooblaščajo </w:t>
      </w:r>
      <w:r w:rsidR="00A0541B">
        <w:rPr>
          <w:rFonts w:ascii="Arial" w:hAnsi="Arial"/>
          <w:sz w:val="20"/>
        </w:rPr>
        <w:t>urad</w:t>
      </w:r>
      <w:r w:rsidRPr="00424274">
        <w:rPr>
          <w:rFonts w:ascii="Arial" w:hAnsi="Arial"/>
          <w:sz w:val="20"/>
        </w:rPr>
        <w:t xml:space="preserve">, da izmenjuje podatke s tujimi organi, pristojnimi za preprečevanje pranja denarja in financiranje terorizma. Poglavje </w:t>
      </w:r>
      <w:r w:rsidR="00E63671">
        <w:rPr>
          <w:rFonts w:ascii="Arial" w:hAnsi="Arial"/>
          <w:sz w:val="20"/>
        </w:rPr>
        <w:t>tega</w:t>
      </w:r>
      <w:r w:rsidR="00E63671" w:rsidRPr="00424274">
        <w:rPr>
          <w:rFonts w:ascii="Arial" w:hAnsi="Arial"/>
          <w:sz w:val="20"/>
        </w:rPr>
        <w:t xml:space="preserve"> </w:t>
      </w:r>
      <w:r w:rsidRPr="00424274">
        <w:rPr>
          <w:rFonts w:ascii="Arial" w:hAnsi="Arial"/>
          <w:sz w:val="20"/>
        </w:rPr>
        <w:t>zakona, ki se nanaša na mednarodno sodelovanje</w:t>
      </w:r>
      <w:r w:rsidR="00E63671">
        <w:rPr>
          <w:rFonts w:ascii="Arial" w:hAnsi="Arial"/>
          <w:sz w:val="20"/>
        </w:rPr>
        <w:t>,</w:t>
      </w:r>
      <w:r w:rsidRPr="00424274">
        <w:rPr>
          <w:rFonts w:ascii="Arial" w:hAnsi="Arial"/>
          <w:sz w:val="20"/>
        </w:rPr>
        <w:t xml:space="preserve"> tudi določa pogoje, pod katerimi lahko </w:t>
      </w:r>
      <w:r w:rsidR="00A0541B">
        <w:rPr>
          <w:rFonts w:ascii="Arial" w:hAnsi="Arial"/>
          <w:sz w:val="20"/>
        </w:rPr>
        <w:t>urad</w:t>
      </w:r>
      <w:r w:rsidRPr="00424274">
        <w:rPr>
          <w:rFonts w:ascii="Arial" w:hAnsi="Arial"/>
          <w:sz w:val="20"/>
        </w:rPr>
        <w:t xml:space="preserve"> začasno ustavi transakcijo na pobudo tujega organa </w:t>
      </w:r>
      <w:r w:rsidR="00210B00">
        <w:rPr>
          <w:rFonts w:ascii="Arial" w:hAnsi="Arial"/>
          <w:sz w:val="20"/>
        </w:rPr>
        <w:t>oziroma</w:t>
      </w:r>
      <w:r w:rsidRPr="00424274">
        <w:rPr>
          <w:rFonts w:ascii="Arial" w:hAnsi="Arial"/>
          <w:sz w:val="20"/>
        </w:rPr>
        <w:t xml:space="preserve"> mu omogoča, da v okviru svojih nalog preprečevanja pranja denarja in financiranja terorizma pošlje pisno pobudo tujemu organu za ustavitev transakcije </w:t>
      </w:r>
      <w:r w:rsidR="00E63671">
        <w:rPr>
          <w:rFonts w:ascii="Arial" w:hAnsi="Arial"/>
          <w:sz w:val="20"/>
        </w:rPr>
        <w:t>ob</w:t>
      </w:r>
      <w:r w:rsidRPr="00424274">
        <w:rPr>
          <w:rFonts w:ascii="Arial" w:hAnsi="Arial"/>
          <w:sz w:val="20"/>
        </w:rPr>
        <w:t xml:space="preserve"> utemeljene</w:t>
      </w:r>
      <w:r w:rsidR="00E63671">
        <w:rPr>
          <w:rFonts w:ascii="Arial" w:hAnsi="Arial"/>
          <w:sz w:val="20"/>
        </w:rPr>
        <w:t>m</w:t>
      </w:r>
      <w:r w:rsidRPr="00424274">
        <w:rPr>
          <w:rFonts w:ascii="Arial" w:hAnsi="Arial"/>
          <w:sz w:val="20"/>
        </w:rPr>
        <w:t xml:space="preserve"> sum</w:t>
      </w:r>
      <w:r w:rsidR="00E63671">
        <w:rPr>
          <w:rFonts w:ascii="Arial" w:hAnsi="Arial"/>
          <w:sz w:val="20"/>
        </w:rPr>
        <w:t>u</w:t>
      </w:r>
      <w:r w:rsidRPr="00424274">
        <w:rPr>
          <w:rFonts w:ascii="Arial" w:hAnsi="Arial"/>
          <w:sz w:val="20"/>
        </w:rPr>
        <w:t xml:space="preserve"> pranja denarja ali financiranja terorizma.</w:t>
      </w:r>
    </w:p>
    <w:p w14:paraId="476EFDFA" w14:textId="77777777" w:rsidR="00CF278C" w:rsidRPr="00424274" w:rsidRDefault="00CF278C" w:rsidP="00CF278C">
      <w:pPr>
        <w:spacing w:line="276" w:lineRule="auto"/>
        <w:rPr>
          <w:rFonts w:ascii="Arial" w:hAnsi="Arial"/>
          <w:sz w:val="20"/>
        </w:rPr>
      </w:pPr>
    </w:p>
    <w:p w14:paraId="08124846" w14:textId="0B8037F1" w:rsidR="00CF278C" w:rsidRPr="00424274" w:rsidRDefault="00CF278C" w:rsidP="00CF278C">
      <w:pPr>
        <w:spacing w:line="276" w:lineRule="auto"/>
        <w:rPr>
          <w:rFonts w:ascii="Arial" w:hAnsi="Arial"/>
          <w:sz w:val="20"/>
        </w:rPr>
      </w:pPr>
      <w:r w:rsidRPr="00424274">
        <w:rPr>
          <w:rFonts w:ascii="Arial" w:hAnsi="Arial"/>
          <w:sz w:val="20"/>
        </w:rPr>
        <w:t>Urad ima določene pristojnosti tudi na podlagi Konvencije Sveta Evrope št. 198 o pranju, odkrivanju, zasegu in odvzemu premoženjske koristi, pridobljene s kaznivim dejanjem</w:t>
      </w:r>
      <w:r w:rsidR="00E63671">
        <w:rPr>
          <w:rFonts w:ascii="Arial" w:hAnsi="Arial"/>
          <w:sz w:val="20"/>
        </w:rPr>
        <w:t>,</w:t>
      </w:r>
      <w:r w:rsidRPr="00424274">
        <w:rPr>
          <w:rFonts w:ascii="Arial" w:hAnsi="Arial"/>
          <w:sz w:val="20"/>
        </w:rPr>
        <w:t xml:space="preserve"> in o financiranju terorizma, ki jo je Slovenija podpisala 28. </w:t>
      </w:r>
      <w:r w:rsidR="00E63671">
        <w:rPr>
          <w:rFonts w:ascii="Arial" w:hAnsi="Arial"/>
          <w:sz w:val="20"/>
        </w:rPr>
        <w:t>marca</w:t>
      </w:r>
      <w:r w:rsidRPr="00424274">
        <w:rPr>
          <w:rFonts w:ascii="Arial" w:hAnsi="Arial"/>
          <w:sz w:val="20"/>
        </w:rPr>
        <w:t xml:space="preserve"> 2007, ratificirala 26.</w:t>
      </w:r>
      <w:r w:rsidR="00E63671">
        <w:rPr>
          <w:rFonts w:ascii="Arial" w:hAnsi="Arial"/>
          <w:sz w:val="20"/>
        </w:rPr>
        <w:t xml:space="preserve"> aprila </w:t>
      </w:r>
      <w:r w:rsidRPr="00424274">
        <w:rPr>
          <w:rFonts w:ascii="Arial" w:hAnsi="Arial"/>
          <w:sz w:val="20"/>
        </w:rPr>
        <w:t xml:space="preserve">2010, veljati pa je </w:t>
      </w:r>
      <w:r w:rsidR="00E63671">
        <w:rPr>
          <w:rFonts w:ascii="Arial" w:hAnsi="Arial"/>
          <w:sz w:val="20"/>
        </w:rPr>
        <w:t>za</w:t>
      </w:r>
      <w:r w:rsidRPr="00424274">
        <w:rPr>
          <w:rFonts w:ascii="Arial" w:hAnsi="Arial"/>
          <w:sz w:val="20"/>
        </w:rPr>
        <w:t>čela 1.</w:t>
      </w:r>
      <w:r w:rsidR="00E63671">
        <w:rPr>
          <w:rFonts w:ascii="Arial" w:hAnsi="Arial"/>
          <w:sz w:val="20"/>
        </w:rPr>
        <w:t xml:space="preserve"> avgusta </w:t>
      </w:r>
      <w:r w:rsidRPr="00424274">
        <w:rPr>
          <w:rFonts w:ascii="Arial" w:hAnsi="Arial"/>
          <w:sz w:val="20"/>
        </w:rPr>
        <w:t xml:space="preserve">2010. Urad je v konvenciji predviden kot </w:t>
      </w:r>
      <w:r w:rsidR="00E63671">
        <w:rPr>
          <w:rFonts w:ascii="Arial" w:hAnsi="Arial"/>
          <w:sz w:val="20"/>
        </w:rPr>
        <w:t>osrednji</w:t>
      </w:r>
      <w:r w:rsidR="00E63671" w:rsidRPr="00424274">
        <w:rPr>
          <w:rFonts w:ascii="Arial" w:hAnsi="Arial"/>
          <w:sz w:val="20"/>
        </w:rPr>
        <w:t xml:space="preserve"> </w:t>
      </w:r>
      <w:r w:rsidRPr="00424274">
        <w:rPr>
          <w:rFonts w:ascii="Arial" w:hAnsi="Arial"/>
          <w:sz w:val="20"/>
        </w:rPr>
        <w:t xml:space="preserve">organ, prek katerega bi šla vsa zaprosila in zahtevki, ki se nanašajo </w:t>
      </w:r>
      <w:r w:rsidR="00E63671">
        <w:rPr>
          <w:rFonts w:ascii="Arial" w:hAnsi="Arial"/>
          <w:sz w:val="20"/>
        </w:rPr>
        <w:t xml:space="preserve">na </w:t>
      </w:r>
      <w:r w:rsidRPr="00424274">
        <w:rPr>
          <w:rFonts w:ascii="Arial" w:hAnsi="Arial"/>
          <w:sz w:val="20"/>
        </w:rPr>
        <w:t xml:space="preserve">pranje denarja, odkrivanje, zaseg in odvzem premoženjske koristi, pridobljene s kaznivim dejanjem pranja denarja in financiranjem terorizma. </w:t>
      </w:r>
    </w:p>
    <w:p w14:paraId="406B60D9" w14:textId="77777777" w:rsidR="00CF278C" w:rsidRPr="00424274" w:rsidRDefault="00CF278C" w:rsidP="00CF278C">
      <w:pPr>
        <w:spacing w:line="276" w:lineRule="auto"/>
        <w:rPr>
          <w:rFonts w:ascii="Arial" w:hAnsi="Arial"/>
          <w:sz w:val="20"/>
        </w:rPr>
      </w:pPr>
    </w:p>
    <w:p w14:paraId="726F403E" w14:textId="5483B29D" w:rsidR="00CF278C" w:rsidRPr="00424274" w:rsidRDefault="00CF278C" w:rsidP="00CF278C">
      <w:pPr>
        <w:spacing w:line="276" w:lineRule="auto"/>
        <w:rPr>
          <w:rFonts w:ascii="Arial" w:hAnsi="Arial"/>
          <w:sz w:val="20"/>
        </w:rPr>
      </w:pPr>
      <w:r w:rsidRPr="00424274">
        <w:rPr>
          <w:rFonts w:ascii="Arial" w:hAnsi="Arial"/>
          <w:sz w:val="20"/>
        </w:rPr>
        <w:t xml:space="preserve">V nadaljevanju prikazujemo aktivnosti </w:t>
      </w:r>
      <w:r w:rsidR="00A0541B">
        <w:rPr>
          <w:rFonts w:ascii="Arial" w:hAnsi="Arial"/>
          <w:sz w:val="20"/>
        </w:rPr>
        <w:t>urad</w:t>
      </w:r>
      <w:r w:rsidRPr="00424274">
        <w:rPr>
          <w:rFonts w:ascii="Arial" w:hAnsi="Arial"/>
          <w:sz w:val="20"/>
        </w:rPr>
        <w:t xml:space="preserve">a na področju mednarodnega sodelovanja, in sicer ločeno za področje </w:t>
      </w:r>
      <w:r w:rsidR="00E63671">
        <w:rPr>
          <w:rFonts w:ascii="Arial" w:hAnsi="Arial"/>
          <w:sz w:val="20"/>
        </w:rPr>
        <w:t>večstranskega</w:t>
      </w:r>
      <w:r w:rsidR="00E63671" w:rsidRPr="00424274">
        <w:rPr>
          <w:rFonts w:ascii="Arial" w:hAnsi="Arial"/>
          <w:sz w:val="20"/>
        </w:rPr>
        <w:t xml:space="preserve"> </w:t>
      </w:r>
      <w:r w:rsidRPr="00424274">
        <w:rPr>
          <w:rFonts w:ascii="Arial" w:hAnsi="Arial"/>
          <w:sz w:val="20"/>
        </w:rPr>
        <w:t xml:space="preserve">in </w:t>
      </w:r>
      <w:r w:rsidR="00E63671">
        <w:rPr>
          <w:rFonts w:ascii="Arial" w:hAnsi="Arial"/>
          <w:sz w:val="20"/>
        </w:rPr>
        <w:t>dvostranskega sodelovanja</w:t>
      </w:r>
      <w:r w:rsidRPr="00424274">
        <w:rPr>
          <w:rFonts w:ascii="Arial" w:hAnsi="Arial"/>
          <w:sz w:val="20"/>
        </w:rPr>
        <w:t>.</w:t>
      </w:r>
    </w:p>
    <w:p w14:paraId="69EE2040" w14:textId="77777777" w:rsidR="00EE2FEB" w:rsidRPr="00424274" w:rsidRDefault="00EE2FEB" w:rsidP="00D21F86">
      <w:pPr>
        <w:spacing w:line="276" w:lineRule="auto"/>
        <w:rPr>
          <w:rFonts w:ascii="Arial" w:hAnsi="Arial"/>
          <w:sz w:val="20"/>
        </w:rPr>
      </w:pPr>
    </w:p>
    <w:p w14:paraId="6F581462" w14:textId="5B681510" w:rsidR="00851C49" w:rsidRPr="00424274" w:rsidRDefault="00E63671">
      <w:pPr>
        <w:pStyle w:val="Naslov2"/>
      </w:pPr>
      <w:bookmarkStart w:id="220" w:name="_Toc113535502"/>
      <w:r>
        <w:t>VEČSTRANSKO</w:t>
      </w:r>
      <w:r w:rsidRPr="00424274">
        <w:t xml:space="preserve"> </w:t>
      </w:r>
      <w:r w:rsidR="00851C49" w:rsidRPr="00424274">
        <w:t>SODELOVANJE</w:t>
      </w:r>
      <w:bookmarkEnd w:id="220"/>
    </w:p>
    <w:p w14:paraId="2112EB57" w14:textId="77777777" w:rsidR="00851C49" w:rsidRPr="00424274" w:rsidRDefault="00851C49" w:rsidP="00D21F86">
      <w:pPr>
        <w:snapToGrid w:val="0"/>
        <w:spacing w:line="276" w:lineRule="auto"/>
        <w:rPr>
          <w:rFonts w:ascii="Arial" w:hAnsi="Arial"/>
          <w:sz w:val="20"/>
        </w:rPr>
      </w:pPr>
    </w:p>
    <w:p w14:paraId="228DC4E0" w14:textId="1F3E11A8" w:rsidR="00EB5154" w:rsidRPr="00424274" w:rsidRDefault="00EB5154" w:rsidP="00EB5154">
      <w:pPr>
        <w:snapToGrid w:val="0"/>
        <w:spacing w:line="276" w:lineRule="auto"/>
        <w:rPr>
          <w:rFonts w:ascii="Arial" w:hAnsi="Arial"/>
          <w:sz w:val="20"/>
        </w:rPr>
      </w:pPr>
      <w:bookmarkStart w:id="221" w:name="_Toc135206763"/>
      <w:r w:rsidRPr="00424274">
        <w:rPr>
          <w:rFonts w:ascii="Arial" w:hAnsi="Arial"/>
          <w:sz w:val="20"/>
        </w:rPr>
        <w:t xml:space="preserve">V tem delu predstavljamo aktivnosti </w:t>
      </w:r>
      <w:r w:rsidR="00A0541B">
        <w:rPr>
          <w:rFonts w:ascii="Arial" w:hAnsi="Arial"/>
          <w:sz w:val="20"/>
        </w:rPr>
        <w:t>urad</w:t>
      </w:r>
      <w:r w:rsidRPr="00424274">
        <w:rPr>
          <w:rFonts w:ascii="Arial" w:hAnsi="Arial"/>
          <w:sz w:val="20"/>
        </w:rPr>
        <w:t xml:space="preserve">a, ki so se leta 2020 (kot tudi v preteklih letih) nanašale predvsem na sodelovanje v mednarodni skupini EGMONT, medtem ko so aktivnosti </w:t>
      </w:r>
      <w:r w:rsidR="00A0541B">
        <w:rPr>
          <w:rFonts w:ascii="Arial" w:hAnsi="Arial"/>
          <w:sz w:val="20"/>
        </w:rPr>
        <w:t>urad</w:t>
      </w:r>
      <w:r w:rsidRPr="00424274">
        <w:rPr>
          <w:rFonts w:ascii="Arial" w:hAnsi="Arial"/>
          <w:sz w:val="20"/>
        </w:rPr>
        <w:t xml:space="preserve">a v okviru Sveta Evrope in Evropske </w:t>
      </w:r>
      <w:r w:rsidR="00920770" w:rsidRPr="00424274">
        <w:rPr>
          <w:rFonts w:ascii="Arial" w:hAnsi="Arial"/>
          <w:sz w:val="20"/>
        </w:rPr>
        <w:t xml:space="preserve">komisije </w:t>
      </w:r>
      <w:r w:rsidRPr="00424274">
        <w:rPr>
          <w:rFonts w:ascii="Arial" w:hAnsi="Arial"/>
          <w:sz w:val="20"/>
        </w:rPr>
        <w:t>podrobneje opisane v poglavju Preventiva in nadzor.</w:t>
      </w:r>
    </w:p>
    <w:p w14:paraId="0B5811B7" w14:textId="77777777" w:rsidR="002A449C" w:rsidRPr="00424274" w:rsidRDefault="002A449C" w:rsidP="002A449C">
      <w:pPr>
        <w:snapToGrid w:val="0"/>
        <w:spacing w:line="276" w:lineRule="auto"/>
        <w:rPr>
          <w:rFonts w:ascii="Arial" w:hAnsi="Arial"/>
          <w:sz w:val="20"/>
        </w:rPr>
      </w:pPr>
    </w:p>
    <w:p w14:paraId="4CAC5BA4" w14:textId="77777777" w:rsidR="004F666B" w:rsidRPr="00424274" w:rsidRDefault="004F666B" w:rsidP="002A449C">
      <w:pPr>
        <w:snapToGrid w:val="0"/>
        <w:spacing w:line="276" w:lineRule="auto"/>
        <w:rPr>
          <w:rFonts w:ascii="Arial" w:hAnsi="Arial"/>
          <w:sz w:val="20"/>
          <w:u w:val="single"/>
        </w:rPr>
      </w:pPr>
      <w:r w:rsidRPr="00424274">
        <w:rPr>
          <w:rFonts w:ascii="Arial" w:hAnsi="Arial"/>
          <w:sz w:val="20"/>
          <w:u w:val="single"/>
        </w:rPr>
        <w:t>Aktivnosti v okviru mednarodne skupine EGMONT</w:t>
      </w:r>
      <w:bookmarkEnd w:id="221"/>
    </w:p>
    <w:p w14:paraId="0B448B55" w14:textId="77777777" w:rsidR="004F666B" w:rsidRPr="00424274" w:rsidRDefault="004F666B" w:rsidP="004F666B">
      <w:pPr>
        <w:spacing w:line="276" w:lineRule="auto"/>
        <w:rPr>
          <w:rFonts w:ascii="Arial" w:hAnsi="Arial"/>
          <w:sz w:val="20"/>
        </w:rPr>
      </w:pPr>
    </w:p>
    <w:p w14:paraId="70CF5524" w14:textId="2BAEA5C3" w:rsidR="004B4EB5" w:rsidRPr="00424274" w:rsidRDefault="004B4EB5" w:rsidP="004B4EB5">
      <w:pPr>
        <w:spacing w:line="276" w:lineRule="auto"/>
        <w:rPr>
          <w:rFonts w:ascii="Arial" w:hAnsi="Arial"/>
          <w:sz w:val="20"/>
        </w:rPr>
      </w:pPr>
      <w:r w:rsidRPr="00424274">
        <w:rPr>
          <w:rFonts w:ascii="Arial" w:hAnsi="Arial"/>
          <w:sz w:val="20"/>
        </w:rPr>
        <w:t>V letu 2020 je bil organiziran sestanek predstavnikov uradov, članov skupine EGMONT</w:t>
      </w:r>
      <w:r w:rsidR="00C80DA5">
        <w:rPr>
          <w:rFonts w:ascii="Arial" w:hAnsi="Arial"/>
          <w:sz w:val="20"/>
        </w:rPr>
        <w:t>,</w:t>
      </w:r>
      <w:r w:rsidRPr="00424274">
        <w:rPr>
          <w:rFonts w:ascii="Arial" w:hAnsi="Arial"/>
          <w:sz w:val="20"/>
        </w:rPr>
        <w:t xml:space="preserve"> na Mauri</w:t>
      </w:r>
      <w:r w:rsidR="0001383A">
        <w:rPr>
          <w:rFonts w:ascii="Arial" w:hAnsi="Arial"/>
          <w:sz w:val="20"/>
        </w:rPr>
        <w:t>tiusu</w:t>
      </w:r>
      <w:r w:rsidRPr="00424274">
        <w:rPr>
          <w:rFonts w:ascii="Arial" w:hAnsi="Arial"/>
          <w:sz w:val="20"/>
        </w:rPr>
        <w:t xml:space="preserve"> (27. </w:t>
      </w:r>
      <w:r w:rsidR="00C80DA5">
        <w:rPr>
          <w:rFonts w:ascii="Arial" w:hAnsi="Arial"/>
          <w:sz w:val="20"/>
        </w:rPr>
        <w:t>do</w:t>
      </w:r>
      <w:r w:rsidRPr="00424274">
        <w:rPr>
          <w:rFonts w:ascii="Arial" w:hAnsi="Arial"/>
          <w:sz w:val="20"/>
        </w:rPr>
        <w:t xml:space="preserve"> 30. </w:t>
      </w:r>
      <w:r w:rsidR="00C80DA5">
        <w:rPr>
          <w:rFonts w:ascii="Arial" w:hAnsi="Arial"/>
          <w:sz w:val="20"/>
        </w:rPr>
        <w:t>januar</w:t>
      </w:r>
      <w:r w:rsidRPr="00424274">
        <w:rPr>
          <w:rFonts w:ascii="Arial" w:hAnsi="Arial"/>
          <w:sz w:val="20"/>
        </w:rPr>
        <w:t xml:space="preserve"> 2020)</w:t>
      </w:r>
      <w:r w:rsidR="0001383A">
        <w:rPr>
          <w:rFonts w:ascii="Arial" w:hAnsi="Arial"/>
          <w:sz w:val="20"/>
        </w:rPr>
        <w:t>,</w:t>
      </w:r>
      <w:r w:rsidRPr="00424274">
        <w:rPr>
          <w:rFonts w:ascii="Arial" w:hAnsi="Arial"/>
          <w:sz w:val="20"/>
        </w:rPr>
        <w:t xml:space="preserve"> ki je minil brez predstavnikov </w:t>
      </w:r>
      <w:r w:rsidR="0001383A">
        <w:rPr>
          <w:rFonts w:ascii="Arial" w:hAnsi="Arial"/>
          <w:sz w:val="20"/>
        </w:rPr>
        <w:t>ur</w:t>
      </w:r>
      <w:r w:rsidR="00980D1F" w:rsidRPr="00424274">
        <w:rPr>
          <w:rFonts w:ascii="Arial" w:hAnsi="Arial"/>
          <w:sz w:val="20"/>
        </w:rPr>
        <w:t>ada</w:t>
      </w:r>
      <w:r w:rsidR="0001383A">
        <w:rPr>
          <w:rFonts w:ascii="Arial" w:hAnsi="Arial"/>
          <w:sz w:val="20"/>
        </w:rPr>
        <w:t>,</w:t>
      </w:r>
      <w:r w:rsidRPr="00424274">
        <w:rPr>
          <w:rFonts w:ascii="Arial" w:hAnsi="Arial"/>
          <w:sz w:val="20"/>
        </w:rPr>
        <w:t xml:space="preserve"> medtem ko je srečanje predstojnikov uradov v juliju 2020 že potekalo virtualno zaradi pandemije</w:t>
      </w:r>
      <w:r w:rsidR="008126B7">
        <w:rPr>
          <w:rFonts w:ascii="Arial" w:hAnsi="Arial"/>
          <w:sz w:val="20"/>
        </w:rPr>
        <w:t xml:space="preserve"> covida</w:t>
      </w:r>
      <w:r w:rsidRPr="00424274">
        <w:rPr>
          <w:rFonts w:ascii="Arial" w:hAnsi="Arial"/>
          <w:sz w:val="20"/>
        </w:rPr>
        <w:t>-19.</w:t>
      </w:r>
    </w:p>
    <w:p w14:paraId="5D022C21" w14:textId="77777777" w:rsidR="004B4EB5" w:rsidRPr="00424274" w:rsidRDefault="004B4EB5" w:rsidP="004B4EB5">
      <w:pPr>
        <w:spacing w:line="276" w:lineRule="auto"/>
        <w:rPr>
          <w:rFonts w:ascii="Arial" w:hAnsi="Arial"/>
          <w:sz w:val="20"/>
        </w:rPr>
      </w:pPr>
    </w:p>
    <w:p w14:paraId="3763D71D" w14:textId="0DD869B9" w:rsidR="004B4EB5" w:rsidRPr="00424274" w:rsidRDefault="004B4EB5" w:rsidP="004B4EB5">
      <w:pPr>
        <w:snapToGrid w:val="0"/>
        <w:spacing w:line="276" w:lineRule="auto"/>
        <w:rPr>
          <w:rFonts w:ascii="Arial" w:hAnsi="Arial"/>
          <w:sz w:val="20"/>
        </w:rPr>
      </w:pPr>
      <w:r w:rsidRPr="00424274">
        <w:rPr>
          <w:rFonts w:ascii="Arial" w:hAnsi="Arial"/>
          <w:sz w:val="20"/>
        </w:rPr>
        <w:t xml:space="preserve">Povzetek dogajanja v skupini EGMONT </w:t>
      </w:r>
      <w:r w:rsidR="0001383A">
        <w:rPr>
          <w:rFonts w:ascii="Arial" w:hAnsi="Arial"/>
          <w:sz w:val="20"/>
        </w:rPr>
        <w:t>in</w:t>
      </w:r>
      <w:r w:rsidR="0001383A" w:rsidRPr="00424274">
        <w:rPr>
          <w:rFonts w:ascii="Arial" w:hAnsi="Arial"/>
          <w:sz w:val="20"/>
        </w:rPr>
        <w:t xml:space="preserve"> </w:t>
      </w:r>
      <w:r w:rsidRPr="00424274">
        <w:rPr>
          <w:rFonts w:ascii="Arial" w:hAnsi="Arial"/>
          <w:sz w:val="20"/>
        </w:rPr>
        <w:t xml:space="preserve">njenih delovnih skupin je razviden iz nadaljevanja: </w:t>
      </w:r>
    </w:p>
    <w:p w14:paraId="0C40474F" w14:textId="68EFE823" w:rsidR="004B4EB5" w:rsidRPr="00424274" w:rsidRDefault="004B4EB5" w:rsidP="004B4EB5">
      <w:pPr>
        <w:snapToGrid w:val="0"/>
        <w:spacing w:line="276" w:lineRule="auto"/>
        <w:rPr>
          <w:rFonts w:ascii="Arial" w:hAnsi="Arial"/>
          <w:sz w:val="20"/>
        </w:rPr>
      </w:pPr>
      <w:r w:rsidRPr="00424274">
        <w:rPr>
          <w:rFonts w:ascii="Arial" w:hAnsi="Arial"/>
          <w:sz w:val="20"/>
        </w:rPr>
        <w:t xml:space="preserve">V letu 2020 se je število uradov, včlanjenih v skupino EGMONT, povečalo na 166, saj sta bila vanjo sprejeta urada Butana in Črne gore. Predsednica skupine EGMONT, </w:t>
      </w:r>
      <w:proofErr w:type="spellStart"/>
      <w:r w:rsidRPr="00424274">
        <w:rPr>
          <w:rFonts w:ascii="Arial" w:hAnsi="Arial"/>
          <w:sz w:val="20"/>
        </w:rPr>
        <w:t>Henni</w:t>
      </w:r>
      <w:proofErr w:type="spellEnd"/>
      <w:r w:rsidRPr="00424274">
        <w:rPr>
          <w:rFonts w:ascii="Arial" w:hAnsi="Arial"/>
          <w:sz w:val="20"/>
        </w:rPr>
        <w:t xml:space="preserve"> VERBEEK KUSTERS</w:t>
      </w:r>
      <w:r w:rsidR="00950455">
        <w:rPr>
          <w:rFonts w:ascii="Arial" w:hAnsi="Arial"/>
          <w:sz w:val="20"/>
        </w:rPr>
        <w:t>,</w:t>
      </w:r>
      <w:r w:rsidRPr="00424274">
        <w:rPr>
          <w:rFonts w:ascii="Arial" w:hAnsi="Arial"/>
          <w:sz w:val="20"/>
        </w:rPr>
        <w:t xml:space="preserve"> je na srečanju G20 predstavila vlogo uradov v boju proti korupciji. Prvikrat se je zgodilo, da je bil predstavnik skupine EGMONT povabljen na tak dogodek. V odbor skupine EGMONT so bili sprejeti predstavniki uradov iz Indije, Avstralije, Italije, Francije in Armenije. </w:t>
      </w:r>
    </w:p>
    <w:p w14:paraId="18FC5806" w14:textId="77777777" w:rsidR="004B4EB5" w:rsidRPr="00424274" w:rsidRDefault="004B4EB5" w:rsidP="004B4EB5">
      <w:pPr>
        <w:snapToGrid w:val="0"/>
        <w:spacing w:line="276" w:lineRule="auto"/>
        <w:rPr>
          <w:rFonts w:ascii="Arial" w:hAnsi="Arial"/>
          <w:sz w:val="20"/>
        </w:rPr>
      </w:pPr>
    </w:p>
    <w:p w14:paraId="23C9AC1B" w14:textId="1A77C6B6" w:rsidR="004B4EB5" w:rsidRPr="00424274" w:rsidRDefault="004B4EB5" w:rsidP="004B4EB5">
      <w:pPr>
        <w:snapToGrid w:val="0"/>
        <w:spacing w:line="276" w:lineRule="auto"/>
        <w:rPr>
          <w:rFonts w:ascii="Arial" w:hAnsi="Arial"/>
          <w:sz w:val="20"/>
        </w:rPr>
      </w:pPr>
      <w:r w:rsidRPr="00424274">
        <w:rPr>
          <w:rFonts w:ascii="Arial" w:hAnsi="Arial"/>
          <w:sz w:val="20"/>
        </w:rPr>
        <w:t xml:space="preserve">Regionalna skupina </w:t>
      </w:r>
      <w:proofErr w:type="spellStart"/>
      <w:r w:rsidRPr="00424274">
        <w:rPr>
          <w:rFonts w:ascii="Arial" w:hAnsi="Arial"/>
          <w:sz w:val="20"/>
        </w:rPr>
        <w:t>Europe</w:t>
      </w:r>
      <w:proofErr w:type="spellEnd"/>
      <w:r w:rsidRPr="00424274">
        <w:rPr>
          <w:rFonts w:ascii="Arial" w:hAnsi="Arial"/>
          <w:sz w:val="20"/>
        </w:rPr>
        <w:t xml:space="preserve"> I, katere članica je tudi Slovenija, se je sestala v juliju in novembru 2020. Obravnavane teme so bile povezane na eni strani z napredkom projektov in dela posameznih delovnih skupin, predvsem revidiranja IT</w:t>
      </w:r>
      <w:r w:rsidR="00950455">
        <w:rPr>
          <w:rFonts w:ascii="Arial" w:hAnsi="Arial"/>
          <w:sz w:val="20"/>
        </w:rPr>
        <w:t>-</w:t>
      </w:r>
      <w:r w:rsidRPr="00424274">
        <w:rPr>
          <w:rFonts w:ascii="Arial" w:hAnsi="Arial"/>
          <w:sz w:val="20"/>
        </w:rPr>
        <w:t xml:space="preserve">podpore, ter na drugi strani z razvojem aktualnih tematik v okviru Evropske unije. Zadnje se nanašajo na oblikovanje enotnih </w:t>
      </w:r>
      <w:proofErr w:type="spellStart"/>
      <w:r w:rsidRPr="00424274">
        <w:rPr>
          <w:rFonts w:ascii="Arial" w:hAnsi="Arial"/>
          <w:sz w:val="20"/>
        </w:rPr>
        <w:t>harmoniziranih</w:t>
      </w:r>
      <w:proofErr w:type="spellEnd"/>
      <w:r w:rsidRPr="00424274">
        <w:rPr>
          <w:rFonts w:ascii="Arial" w:hAnsi="Arial"/>
          <w:sz w:val="20"/>
        </w:rPr>
        <w:t xml:space="preserve"> pravnih določb, delovanje </w:t>
      </w:r>
      <w:proofErr w:type="spellStart"/>
      <w:r w:rsidRPr="00424274">
        <w:rPr>
          <w:rFonts w:ascii="Arial" w:hAnsi="Arial"/>
          <w:sz w:val="20"/>
        </w:rPr>
        <w:t>FIU.neta</w:t>
      </w:r>
      <w:proofErr w:type="spellEnd"/>
      <w:r w:rsidRPr="00424274">
        <w:rPr>
          <w:rFonts w:ascii="Arial" w:hAnsi="Arial"/>
          <w:sz w:val="20"/>
        </w:rPr>
        <w:t xml:space="preserve"> za </w:t>
      </w:r>
      <w:r w:rsidR="00CE7F4F">
        <w:rPr>
          <w:rFonts w:ascii="Arial" w:hAnsi="Arial"/>
          <w:sz w:val="20"/>
        </w:rPr>
        <w:t>fi</w:t>
      </w:r>
      <w:r w:rsidR="0027575A">
        <w:rPr>
          <w:rFonts w:ascii="Arial" w:hAnsi="Arial"/>
          <w:sz w:val="20"/>
        </w:rPr>
        <w:t xml:space="preserve">nančne </w:t>
      </w:r>
      <w:r w:rsidR="00CE7F4F">
        <w:rPr>
          <w:rFonts w:ascii="Arial" w:hAnsi="Arial"/>
          <w:sz w:val="20"/>
        </w:rPr>
        <w:t>obveščevalne enote (</w:t>
      </w:r>
      <w:r w:rsidRPr="00424274">
        <w:rPr>
          <w:rFonts w:ascii="Arial" w:hAnsi="Arial"/>
          <w:sz w:val="20"/>
        </w:rPr>
        <w:t>FIU</w:t>
      </w:r>
      <w:r w:rsidR="0008091E">
        <w:rPr>
          <w:rFonts w:ascii="Arial" w:hAnsi="Arial"/>
          <w:sz w:val="20"/>
        </w:rPr>
        <w:t>)</w:t>
      </w:r>
      <w:r w:rsidRPr="00424274">
        <w:rPr>
          <w:rFonts w:ascii="Arial" w:hAnsi="Arial"/>
          <w:sz w:val="20"/>
        </w:rPr>
        <w:t xml:space="preserve"> držav članic EU ter oblikovanje pravnega okvira za nov koordinacijski in podporni mehanizem. Ustanovila se je posebna delovna skupina, ki je proaktivno oblikovala vsebinska in formalna izhodišča za delovanje takega mehanizma, ki bo upošteval osnovno načelo neodvisnosti in avtonomnosti posamezne finančne obveščevalne enote.</w:t>
      </w:r>
    </w:p>
    <w:p w14:paraId="0ADC5E0E" w14:textId="77777777" w:rsidR="004B4EB5" w:rsidRPr="00424274" w:rsidRDefault="004B4EB5" w:rsidP="004B4EB5">
      <w:pPr>
        <w:snapToGrid w:val="0"/>
        <w:spacing w:line="276" w:lineRule="auto"/>
        <w:rPr>
          <w:rFonts w:ascii="Arial" w:hAnsi="Arial"/>
          <w:sz w:val="20"/>
        </w:rPr>
      </w:pPr>
    </w:p>
    <w:p w14:paraId="4310F52F" w14:textId="1A11A710" w:rsidR="004B4EB5" w:rsidRPr="00424274" w:rsidRDefault="004B4EB5" w:rsidP="004B4EB5">
      <w:pPr>
        <w:snapToGrid w:val="0"/>
        <w:spacing w:line="276" w:lineRule="auto"/>
        <w:rPr>
          <w:rFonts w:ascii="Arial" w:hAnsi="Arial"/>
          <w:sz w:val="20"/>
        </w:rPr>
      </w:pPr>
      <w:r w:rsidRPr="00424274">
        <w:rPr>
          <w:rFonts w:ascii="Arial" w:hAnsi="Arial"/>
          <w:sz w:val="20"/>
        </w:rPr>
        <w:t xml:space="preserve">Delovna skupina, ki se ukvarja z izmenjavo informacij med sorodnimi uradi, je predstavila naslednje projekte: boj proti spolni zlorabi otrok s pomočjo finančnih informacij; vlogo uradov v boju proti tihotapljenju ljudi; pranje denarja in hujša davčna kazniva dejanja. Poleg tega so bile aktivnosti te skupine usmerjene tudi v čezmejno pranje denarja </w:t>
      </w:r>
      <w:r w:rsidR="00950455">
        <w:rPr>
          <w:rFonts w:ascii="Arial" w:hAnsi="Arial"/>
          <w:sz w:val="20"/>
        </w:rPr>
        <w:t>in</w:t>
      </w:r>
      <w:r w:rsidR="00950455" w:rsidRPr="00424274">
        <w:rPr>
          <w:rFonts w:ascii="Arial" w:hAnsi="Arial"/>
          <w:sz w:val="20"/>
        </w:rPr>
        <w:t xml:space="preserve"> </w:t>
      </w:r>
      <w:r w:rsidRPr="00424274">
        <w:rPr>
          <w:rFonts w:ascii="Arial" w:hAnsi="Arial"/>
          <w:sz w:val="20"/>
        </w:rPr>
        <w:t xml:space="preserve">pripravo seznama indikatorjev, ki se nanašajo nanj. </w:t>
      </w:r>
    </w:p>
    <w:p w14:paraId="6C00A907" w14:textId="77777777" w:rsidR="00617726" w:rsidRPr="00424274" w:rsidRDefault="00617726" w:rsidP="004B4EB5">
      <w:pPr>
        <w:snapToGrid w:val="0"/>
        <w:spacing w:line="276" w:lineRule="auto"/>
        <w:rPr>
          <w:rFonts w:ascii="Arial" w:hAnsi="Arial"/>
          <w:sz w:val="20"/>
        </w:rPr>
      </w:pPr>
    </w:p>
    <w:p w14:paraId="7C9AEB74" w14:textId="609D4B5C" w:rsidR="004B4EB5" w:rsidRPr="00424274" w:rsidRDefault="004B4EB5" w:rsidP="004B4EB5">
      <w:pPr>
        <w:snapToGrid w:val="0"/>
        <w:spacing w:line="276" w:lineRule="auto"/>
        <w:rPr>
          <w:rFonts w:ascii="Arial" w:hAnsi="Arial"/>
          <w:sz w:val="20"/>
        </w:rPr>
      </w:pPr>
      <w:r w:rsidRPr="00424274">
        <w:rPr>
          <w:rFonts w:ascii="Arial" w:hAnsi="Arial"/>
          <w:sz w:val="20"/>
        </w:rPr>
        <w:t xml:space="preserve">Delovna skupina, ki se ukvarja z izobraževanjem, je izvedla vrsto virtualnih tečajev, povezanih s financiranjem terorizma </w:t>
      </w:r>
      <w:r w:rsidR="00950455">
        <w:rPr>
          <w:rFonts w:ascii="Arial" w:hAnsi="Arial"/>
          <w:sz w:val="20"/>
        </w:rPr>
        <w:t>in</w:t>
      </w:r>
      <w:r w:rsidR="00950455" w:rsidRPr="00424274">
        <w:rPr>
          <w:rFonts w:ascii="Arial" w:hAnsi="Arial"/>
          <w:sz w:val="20"/>
        </w:rPr>
        <w:t xml:space="preserve"> </w:t>
      </w:r>
      <w:r w:rsidRPr="00424274">
        <w:rPr>
          <w:rFonts w:ascii="Arial" w:hAnsi="Arial"/>
          <w:sz w:val="20"/>
        </w:rPr>
        <w:t>boj</w:t>
      </w:r>
      <w:r w:rsidR="00950455">
        <w:rPr>
          <w:rFonts w:ascii="Arial" w:hAnsi="Arial"/>
          <w:sz w:val="20"/>
        </w:rPr>
        <w:t>em</w:t>
      </w:r>
      <w:r w:rsidRPr="00424274">
        <w:rPr>
          <w:rFonts w:ascii="Arial" w:hAnsi="Arial"/>
          <w:sz w:val="20"/>
        </w:rPr>
        <w:t xml:space="preserve"> uradov s skrajno desničarskim terorizmom. Skupina namerava izdati </w:t>
      </w:r>
      <w:r w:rsidRPr="00424274">
        <w:rPr>
          <w:rFonts w:ascii="Arial" w:hAnsi="Arial"/>
          <w:sz w:val="20"/>
        </w:rPr>
        <w:lastRenderedPageBreak/>
        <w:t xml:space="preserve">katalog v zvezi z regulacijo ponudnikov storitev virtualnega premoženja, se posvetiti sodelovanju med uradi </w:t>
      </w:r>
      <w:r w:rsidR="00950455">
        <w:rPr>
          <w:rFonts w:ascii="Arial" w:hAnsi="Arial"/>
          <w:sz w:val="20"/>
        </w:rPr>
        <w:t>in</w:t>
      </w:r>
      <w:r w:rsidR="00950455" w:rsidRPr="00424274">
        <w:rPr>
          <w:rFonts w:ascii="Arial" w:hAnsi="Arial"/>
          <w:sz w:val="20"/>
        </w:rPr>
        <w:t xml:space="preserve"> </w:t>
      </w:r>
      <w:r w:rsidRPr="00424274">
        <w:rPr>
          <w:rFonts w:ascii="Arial" w:hAnsi="Arial"/>
          <w:sz w:val="20"/>
        </w:rPr>
        <w:t>FINTECH</w:t>
      </w:r>
      <w:r w:rsidR="00950455">
        <w:rPr>
          <w:rFonts w:ascii="Arial" w:hAnsi="Arial"/>
          <w:sz w:val="20"/>
        </w:rPr>
        <w:t>-</w:t>
      </w:r>
      <w:r w:rsidRPr="00424274">
        <w:rPr>
          <w:rFonts w:ascii="Arial" w:hAnsi="Arial"/>
          <w:sz w:val="20"/>
        </w:rPr>
        <w:t>om</w:t>
      </w:r>
      <w:r w:rsidR="00950455">
        <w:rPr>
          <w:rFonts w:ascii="Arial" w:hAnsi="Arial"/>
          <w:sz w:val="20"/>
        </w:rPr>
        <w:t xml:space="preserve"> ter</w:t>
      </w:r>
      <w:r w:rsidRPr="00424274">
        <w:rPr>
          <w:rFonts w:ascii="Arial" w:hAnsi="Arial"/>
          <w:sz w:val="20"/>
        </w:rPr>
        <w:t xml:space="preserve"> </w:t>
      </w:r>
      <w:r w:rsidR="00AD0D1C">
        <w:rPr>
          <w:rFonts w:ascii="Arial" w:hAnsi="Arial"/>
          <w:sz w:val="20"/>
        </w:rPr>
        <w:t>doslednosti</w:t>
      </w:r>
      <w:r w:rsidR="00AD0D1C" w:rsidRPr="00424274">
        <w:rPr>
          <w:rFonts w:ascii="Arial" w:hAnsi="Arial"/>
          <w:sz w:val="20"/>
        </w:rPr>
        <w:t xml:space="preserve"> </w:t>
      </w:r>
      <w:r w:rsidRPr="00424274">
        <w:rPr>
          <w:rFonts w:ascii="Arial" w:hAnsi="Arial"/>
          <w:sz w:val="20"/>
        </w:rPr>
        <w:t>standardov izmenjave informacij med uradi</w:t>
      </w:r>
      <w:r w:rsidR="001C114D" w:rsidRPr="00424274">
        <w:rPr>
          <w:rFonts w:ascii="Arial" w:hAnsi="Arial"/>
          <w:sz w:val="20"/>
        </w:rPr>
        <w:t>.</w:t>
      </w:r>
      <w:r w:rsidRPr="00424274">
        <w:rPr>
          <w:rFonts w:ascii="Arial" w:hAnsi="Arial"/>
          <w:sz w:val="20"/>
        </w:rPr>
        <w:t xml:space="preserve"> Poleg tega pa je ECOFEL (izobraževalni center skupine EGMONT) organiziral vrsto virtualnih seminarjev, ki so se nanašali na trgovanje z redkimi živalmi in rastlinami, strateško analizo ter vodenje uradov za preprečevanje pranja denarja in financiranje terorizma. ECOFEL je (v koordinaciji z GIZ) izvedel program za urade s področja Zahodnega Balkana</w:t>
      </w:r>
      <w:r w:rsidR="00A0541B">
        <w:rPr>
          <w:rFonts w:ascii="Arial" w:hAnsi="Arial"/>
          <w:sz w:val="20"/>
        </w:rPr>
        <w:t>,</w:t>
      </w:r>
      <w:r w:rsidRPr="00424274">
        <w:rPr>
          <w:rFonts w:ascii="Arial" w:hAnsi="Arial"/>
          <w:sz w:val="20"/>
        </w:rPr>
        <w:t xml:space="preserve"> in sicer iz Albanije, Kosova, Severne Makedonije </w:t>
      </w:r>
      <w:r w:rsidR="00A0541B">
        <w:rPr>
          <w:rFonts w:ascii="Arial" w:hAnsi="Arial"/>
          <w:sz w:val="20"/>
        </w:rPr>
        <w:t>in</w:t>
      </w:r>
      <w:r w:rsidR="00A0541B" w:rsidRPr="00424274">
        <w:rPr>
          <w:rFonts w:ascii="Arial" w:hAnsi="Arial"/>
          <w:sz w:val="20"/>
        </w:rPr>
        <w:t xml:space="preserve"> </w:t>
      </w:r>
      <w:r w:rsidRPr="00424274">
        <w:rPr>
          <w:rFonts w:ascii="Arial" w:hAnsi="Arial"/>
          <w:sz w:val="20"/>
        </w:rPr>
        <w:t xml:space="preserve">Črne gore. Izdano je bilo poročilo z dobrimi praksami, namenjenimi uspešnemu boju uradov z izzivi, ki so se pojavili s pandemijo </w:t>
      </w:r>
      <w:r w:rsidR="00A0541B">
        <w:rPr>
          <w:rFonts w:ascii="Arial" w:hAnsi="Arial"/>
          <w:sz w:val="20"/>
        </w:rPr>
        <w:t>covida</w:t>
      </w:r>
      <w:r w:rsidRPr="00424274">
        <w:rPr>
          <w:rFonts w:ascii="Arial" w:hAnsi="Arial"/>
          <w:sz w:val="20"/>
        </w:rPr>
        <w:t xml:space="preserve">-19. </w:t>
      </w:r>
    </w:p>
    <w:p w14:paraId="44767921" w14:textId="77777777" w:rsidR="00617726" w:rsidRPr="00424274" w:rsidRDefault="00617726" w:rsidP="004B4EB5">
      <w:pPr>
        <w:snapToGrid w:val="0"/>
        <w:spacing w:line="276" w:lineRule="auto"/>
        <w:rPr>
          <w:rFonts w:ascii="Arial" w:hAnsi="Arial"/>
          <w:sz w:val="20"/>
        </w:rPr>
      </w:pPr>
    </w:p>
    <w:p w14:paraId="5E47CA1C" w14:textId="5E1079BF" w:rsidR="004B4EB5" w:rsidRPr="00424274" w:rsidRDefault="004B4EB5" w:rsidP="004B4EB5">
      <w:pPr>
        <w:snapToGrid w:val="0"/>
        <w:spacing w:line="276" w:lineRule="auto"/>
        <w:rPr>
          <w:rFonts w:ascii="Arial" w:hAnsi="Arial"/>
          <w:sz w:val="20"/>
        </w:rPr>
      </w:pPr>
      <w:r w:rsidRPr="00424274">
        <w:rPr>
          <w:rFonts w:ascii="Arial" w:hAnsi="Arial"/>
          <w:sz w:val="20"/>
        </w:rPr>
        <w:t>Delovna skupina, ki se ukvarja s sprejemom zainteresiranih uradov v skupino EGMONT</w:t>
      </w:r>
      <w:r w:rsidR="00451D7B">
        <w:rPr>
          <w:rFonts w:ascii="Arial" w:hAnsi="Arial"/>
          <w:sz w:val="20"/>
        </w:rPr>
        <w:t>,</w:t>
      </w:r>
      <w:r w:rsidRPr="00424274">
        <w:rPr>
          <w:rFonts w:ascii="Arial" w:hAnsi="Arial"/>
          <w:sz w:val="20"/>
        </w:rPr>
        <w:t xml:space="preserve"> je predlagala vključitev urada iz Bocvane v letu 2021 </w:t>
      </w:r>
      <w:r w:rsidR="00451D7B">
        <w:rPr>
          <w:rFonts w:ascii="Arial" w:hAnsi="Arial"/>
          <w:sz w:val="20"/>
        </w:rPr>
        <w:t>in</w:t>
      </w:r>
      <w:r w:rsidR="00451D7B" w:rsidRPr="00424274">
        <w:rPr>
          <w:rFonts w:ascii="Arial" w:hAnsi="Arial"/>
          <w:sz w:val="20"/>
        </w:rPr>
        <w:t xml:space="preserve"> </w:t>
      </w:r>
      <w:r w:rsidRPr="00424274">
        <w:rPr>
          <w:rFonts w:ascii="Arial" w:hAnsi="Arial"/>
          <w:sz w:val="20"/>
        </w:rPr>
        <w:t xml:space="preserve">– v skladu s postopkovnimi pravili skupine EGMONT </w:t>
      </w:r>
      <w:r w:rsidR="00451D7B">
        <w:rPr>
          <w:rFonts w:ascii="Arial" w:hAnsi="Arial"/>
          <w:sz w:val="20"/>
        </w:rPr>
        <w:t>–</w:t>
      </w:r>
      <w:r w:rsidRPr="00424274">
        <w:rPr>
          <w:rFonts w:ascii="Arial" w:hAnsi="Arial"/>
          <w:sz w:val="20"/>
        </w:rPr>
        <w:t xml:space="preserve"> preverila akcijske načrte uradov iz Velike Britanije, Jamajke, Kanade in Švice. </w:t>
      </w:r>
    </w:p>
    <w:p w14:paraId="11F48FA7" w14:textId="77777777" w:rsidR="00617726" w:rsidRPr="00424274" w:rsidRDefault="00617726" w:rsidP="004B4EB5">
      <w:pPr>
        <w:snapToGrid w:val="0"/>
        <w:spacing w:line="276" w:lineRule="auto"/>
        <w:rPr>
          <w:rFonts w:ascii="Arial" w:hAnsi="Arial"/>
          <w:sz w:val="20"/>
        </w:rPr>
      </w:pPr>
    </w:p>
    <w:p w14:paraId="03216F83" w14:textId="460499F5" w:rsidR="004B4EB5" w:rsidRPr="00424274" w:rsidRDefault="004B4EB5" w:rsidP="004B4EB5">
      <w:pPr>
        <w:snapToGrid w:val="0"/>
        <w:spacing w:line="276" w:lineRule="auto"/>
        <w:rPr>
          <w:rFonts w:ascii="Arial" w:hAnsi="Arial"/>
          <w:sz w:val="20"/>
        </w:rPr>
      </w:pPr>
      <w:r w:rsidRPr="00424274">
        <w:rPr>
          <w:rFonts w:ascii="Arial" w:hAnsi="Arial"/>
          <w:sz w:val="20"/>
        </w:rPr>
        <w:t xml:space="preserve">Pravna delovna skupina se je v letu 2020 ukvarjala predvsem z ovirami, povezanimi z </w:t>
      </w:r>
      <w:r w:rsidR="00451D7B">
        <w:rPr>
          <w:rFonts w:ascii="Arial" w:hAnsi="Arial"/>
          <w:sz w:val="20"/>
        </w:rPr>
        <w:t>dvostransko</w:t>
      </w:r>
      <w:r w:rsidR="00451D7B" w:rsidRPr="00424274">
        <w:rPr>
          <w:rFonts w:ascii="Arial" w:hAnsi="Arial"/>
          <w:sz w:val="20"/>
        </w:rPr>
        <w:t xml:space="preserve"> </w:t>
      </w:r>
      <w:r w:rsidR="00451D7B">
        <w:rPr>
          <w:rFonts w:ascii="Arial" w:hAnsi="Arial"/>
          <w:sz w:val="20"/>
        </w:rPr>
        <w:t>in</w:t>
      </w:r>
      <w:r w:rsidR="00451D7B" w:rsidRPr="00424274">
        <w:rPr>
          <w:rFonts w:ascii="Arial" w:hAnsi="Arial"/>
          <w:sz w:val="20"/>
        </w:rPr>
        <w:t xml:space="preserve"> </w:t>
      </w:r>
      <w:r w:rsidR="00451D7B">
        <w:rPr>
          <w:rFonts w:ascii="Arial" w:hAnsi="Arial"/>
          <w:sz w:val="20"/>
        </w:rPr>
        <w:t>večstransko</w:t>
      </w:r>
      <w:r w:rsidR="00451D7B" w:rsidRPr="00424274">
        <w:rPr>
          <w:rFonts w:ascii="Arial" w:hAnsi="Arial"/>
          <w:sz w:val="20"/>
        </w:rPr>
        <w:t xml:space="preserve"> </w:t>
      </w:r>
      <w:r w:rsidRPr="00424274">
        <w:rPr>
          <w:rFonts w:ascii="Arial" w:hAnsi="Arial"/>
          <w:sz w:val="20"/>
        </w:rPr>
        <w:t>izmenjavo informacij med uradi. Pripravila bo tudi slovar ključnih izrazov, ki se uporabljajo v skupini EGMONT</w:t>
      </w:r>
      <w:r w:rsidR="00451D7B">
        <w:rPr>
          <w:rFonts w:ascii="Arial" w:hAnsi="Arial"/>
          <w:sz w:val="20"/>
        </w:rPr>
        <w:t>,</w:t>
      </w:r>
      <w:r w:rsidRPr="00424274">
        <w:rPr>
          <w:rFonts w:ascii="Arial" w:hAnsi="Arial"/>
          <w:sz w:val="20"/>
        </w:rPr>
        <w:t xml:space="preserve"> </w:t>
      </w:r>
      <w:r w:rsidR="00451D7B">
        <w:rPr>
          <w:rFonts w:ascii="Arial" w:hAnsi="Arial"/>
          <w:sz w:val="20"/>
        </w:rPr>
        <w:t>in</w:t>
      </w:r>
      <w:r w:rsidR="00451D7B" w:rsidRPr="00424274">
        <w:rPr>
          <w:rFonts w:ascii="Arial" w:hAnsi="Arial"/>
          <w:sz w:val="20"/>
        </w:rPr>
        <w:t xml:space="preserve"> </w:t>
      </w:r>
      <w:r w:rsidRPr="00424274">
        <w:rPr>
          <w:rFonts w:ascii="Arial" w:hAnsi="Arial"/>
          <w:sz w:val="20"/>
        </w:rPr>
        <w:t xml:space="preserve">opravila revizijo postopkovnih pravil, ki se nanašajo na pravočasno zaznavanje uradov, </w:t>
      </w:r>
      <w:r w:rsidR="00451D7B">
        <w:rPr>
          <w:rFonts w:ascii="Arial" w:hAnsi="Arial"/>
          <w:sz w:val="20"/>
        </w:rPr>
        <w:t>ki</w:t>
      </w:r>
      <w:r w:rsidR="00451D7B" w:rsidRPr="00424274">
        <w:rPr>
          <w:rFonts w:ascii="Arial" w:hAnsi="Arial"/>
          <w:sz w:val="20"/>
        </w:rPr>
        <w:t xml:space="preserve"> </w:t>
      </w:r>
      <w:r w:rsidRPr="00424274">
        <w:rPr>
          <w:rFonts w:ascii="Arial" w:hAnsi="Arial"/>
          <w:sz w:val="20"/>
        </w:rPr>
        <w:t xml:space="preserve">ne izpolnjujejo pogojev </w:t>
      </w:r>
      <w:r w:rsidR="00451D7B">
        <w:rPr>
          <w:rFonts w:ascii="Arial" w:hAnsi="Arial"/>
          <w:sz w:val="20"/>
        </w:rPr>
        <w:t xml:space="preserve">za </w:t>
      </w:r>
      <w:r w:rsidRPr="00424274">
        <w:rPr>
          <w:rFonts w:ascii="Arial" w:hAnsi="Arial"/>
          <w:sz w:val="20"/>
        </w:rPr>
        <w:t>izmenjavo informacij.</w:t>
      </w:r>
    </w:p>
    <w:p w14:paraId="48A5A9A2" w14:textId="77777777" w:rsidR="00617726" w:rsidRPr="00424274" w:rsidRDefault="00617726" w:rsidP="004B4EB5">
      <w:pPr>
        <w:snapToGrid w:val="0"/>
        <w:spacing w:line="276" w:lineRule="auto"/>
        <w:rPr>
          <w:rFonts w:ascii="Arial" w:hAnsi="Arial"/>
          <w:sz w:val="20"/>
        </w:rPr>
      </w:pPr>
    </w:p>
    <w:p w14:paraId="34BFB82D" w14:textId="5FA0A44D" w:rsidR="004B4EB5" w:rsidRPr="00424274" w:rsidRDefault="004B4EB5" w:rsidP="00DC78D1">
      <w:pPr>
        <w:snapToGrid w:val="0"/>
        <w:spacing w:line="276" w:lineRule="auto"/>
        <w:rPr>
          <w:rFonts w:ascii="Arial" w:hAnsi="Arial"/>
          <w:sz w:val="20"/>
        </w:rPr>
      </w:pPr>
      <w:r w:rsidRPr="00424274">
        <w:rPr>
          <w:rFonts w:ascii="Arial" w:hAnsi="Arial"/>
          <w:sz w:val="20"/>
        </w:rPr>
        <w:t xml:space="preserve">Tehnična delovna skupina je objavila rezultate vsakoletnega tekmovanja najboljših primerov s področja pranja denarja in financiranja terorizma skupine EGMONT (BECA). Tipologije prejetih primerov so se nanašale predvsem na korupcijo, virtualne valute, tihotapljenje mamil, igre na srečo, terorizem, tihotapljenje ljudi in organizirani kriminal. </w:t>
      </w:r>
    </w:p>
    <w:p w14:paraId="1A6A8D82" w14:textId="77777777" w:rsidR="00D67521" w:rsidRPr="00424274" w:rsidRDefault="00EE2FEB" w:rsidP="004F666B">
      <w:pPr>
        <w:snapToGrid w:val="0"/>
        <w:spacing w:line="276" w:lineRule="auto"/>
        <w:rPr>
          <w:rFonts w:ascii="Arial" w:hAnsi="Arial"/>
          <w:sz w:val="20"/>
        </w:rPr>
      </w:pPr>
      <w:r w:rsidRPr="00424274">
        <w:rPr>
          <w:rFonts w:ascii="Arial" w:hAnsi="Arial"/>
          <w:sz w:val="20"/>
        </w:rPr>
        <w:t xml:space="preserve"> </w:t>
      </w:r>
    </w:p>
    <w:p w14:paraId="04C37FE8" w14:textId="77777777" w:rsidR="00851C49" w:rsidRPr="00424274" w:rsidRDefault="00851C49" w:rsidP="00D21F86">
      <w:pPr>
        <w:spacing w:line="276" w:lineRule="auto"/>
        <w:rPr>
          <w:rFonts w:ascii="Arial" w:hAnsi="Arial"/>
          <w:sz w:val="20"/>
        </w:rPr>
      </w:pPr>
    </w:p>
    <w:p w14:paraId="5B0EAC4A" w14:textId="30CBF916" w:rsidR="00851C49" w:rsidRPr="00424274" w:rsidRDefault="00D94A4B">
      <w:pPr>
        <w:pStyle w:val="Naslov2"/>
      </w:pPr>
      <w:bookmarkStart w:id="222" w:name="_Toc113535503"/>
      <w:r>
        <w:t>DVOSTRANSKO</w:t>
      </w:r>
      <w:r w:rsidRPr="00424274">
        <w:t xml:space="preserve"> </w:t>
      </w:r>
      <w:r w:rsidR="00851C49" w:rsidRPr="00424274">
        <w:t>SODELOVANJE</w:t>
      </w:r>
      <w:bookmarkEnd w:id="222"/>
    </w:p>
    <w:p w14:paraId="5CF477E2" w14:textId="77777777" w:rsidR="00851C49" w:rsidRPr="00424274" w:rsidRDefault="00851C49" w:rsidP="00D21F86">
      <w:pPr>
        <w:spacing w:line="276" w:lineRule="auto"/>
        <w:rPr>
          <w:rFonts w:ascii="Arial" w:hAnsi="Arial"/>
          <w:sz w:val="20"/>
        </w:rPr>
      </w:pPr>
    </w:p>
    <w:p w14:paraId="0D5D8867" w14:textId="21D62EDC" w:rsidR="00E14F70" w:rsidRPr="00424274" w:rsidRDefault="00E14F70" w:rsidP="00E14F70">
      <w:pPr>
        <w:spacing w:line="276" w:lineRule="auto"/>
        <w:rPr>
          <w:rFonts w:ascii="Arial" w:hAnsi="Arial"/>
          <w:sz w:val="20"/>
        </w:rPr>
      </w:pPr>
      <w:bookmarkStart w:id="223" w:name="_Toc74461985"/>
      <w:bookmarkStart w:id="224" w:name="_Toc135206768"/>
      <w:r w:rsidRPr="00424274">
        <w:rPr>
          <w:rFonts w:ascii="Arial" w:hAnsi="Arial"/>
          <w:sz w:val="20"/>
        </w:rPr>
        <w:t xml:space="preserve">V skladu z dosedanjo prakso so bili za </w:t>
      </w:r>
      <w:r w:rsidR="00EC241E">
        <w:rPr>
          <w:rFonts w:ascii="Arial" w:hAnsi="Arial"/>
          <w:sz w:val="20"/>
        </w:rPr>
        <w:t>dvostransko</w:t>
      </w:r>
      <w:r w:rsidR="00EC241E" w:rsidRPr="00424274">
        <w:rPr>
          <w:rFonts w:ascii="Arial" w:hAnsi="Arial"/>
          <w:sz w:val="20"/>
        </w:rPr>
        <w:t xml:space="preserve"> </w:t>
      </w:r>
      <w:r w:rsidRPr="00424274">
        <w:rPr>
          <w:rFonts w:ascii="Arial" w:hAnsi="Arial"/>
          <w:sz w:val="20"/>
        </w:rPr>
        <w:t xml:space="preserve">sodelovanje v letu 2020 </w:t>
      </w:r>
      <w:r w:rsidR="00EC241E">
        <w:rPr>
          <w:rFonts w:ascii="Arial" w:hAnsi="Arial"/>
          <w:sz w:val="20"/>
        </w:rPr>
        <w:t>prav</w:t>
      </w:r>
      <w:r w:rsidR="00EC241E" w:rsidRPr="00424274">
        <w:rPr>
          <w:rFonts w:ascii="Arial" w:hAnsi="Arial"/>
          <w:sz w:val="20"/>
        </w:rPr>
        <w:t xml:space="preserve"> </w:t>
      </w:r>
      <w:r w:rsidRPr="00424274">
        <w:rPr>
          <w:rFonts w:ascii="Arial" w:hAnsi="Arial"/>
          <w:sz w:val="20"/>
        </w:rPr>
        <w:t xml:space="preserve">tako značilni številni stiki med </w:t>
      </w:r>
      <w:r w:rsidR="00A0541B">
        <w:rPr>
          <w:rFonts w:ascii="Arial" w:hAnsi="Arial"/>
          <w:sz w:val="20"/>
        </w:rPr>
        <w:t>urad</w:t>
      </w:r>
      <w:r w:rsidRPr="00424274">
        <w:rPr>
          <w:rFonts w:ascii="Arial" w:hAnsi="Arial"/>
          <w:sz w:val="20"/>
        </w:rPr>
        <w:t>om ter sorodnimi uradi iz drugih držav z namenom izmenjave podatkov v konkretnih zadevah, kot sledi v nadaljevanju.</w:t>
      </w:r>
    </w:p>
    <w:p w14:paraId="58469BAD" w14:textId="77777777" w:rsidR="00E14F70" w:rsidRPr="00424274" w:rsidRDefault="00E14F70" w:rsidP="00E14F70">
      <w:pPr>
        <w:spacing w:line="276" w:lineRule="auto"/>
        <w:rPr>
          <w:rFonts w:ascii="Arial" w:hAnsi="Arial"/>
          <w:sz w:val="20"/>
        </w:rPr>
      </w:pPr>
    </w:p>
    <w:p w14:paraId="300520D6" w14:textId="6360CA6F" w:rsidR="00403773" w:rsidRPr="00424274" w:rsidRDefault="00403773" w:rsidP="00EC6D0D">
      <w:pPr>
        <w:pStyle w:val="Naslov3"/>
        <w:numPr>
          <w:ilvl w:val="2"/>
          <w:numId w:val="6"/>
        </w:numPr>
      </w:pPr>
      <w:bookmarkStart w:id="225" w:name="_Toc113535504"/>
      <w:r w:rsidRPr="00424274">
        <w:t xml:space="preserve">Mednarodno sodelovanje na podlagi </w:t>
      </w:r>
      <w:bookmarkEnd w:id="223"/>
      <w:bookmarkEnd w:id="224"/>
      <w:r w:rsidRPr="00424274">
        <w:t>določil Zakona o preprečevanju pranja denarja in financiranja terorizma</w:t>
      </w:r>
      <w:bookmarkEnd w:id="225"/>
    </w:p>
    <w:p w14:paraId="4FC9916D" w14:textId="77777777" w:rsidR="00403773" w:rsidRPr="00424274" w:rsidRDefault="00403773" w:rsidP="00403773">
      <w:pPr>
        <w:spacing w:line="276" w:lineRule="auto"/>
        <w:rPr>
          <w:rFonts w:ascii="Arial" w:hAnsi="Arial"/>
          <w:sz w:val="20"/>
        </w:rPr>
      </w:pPr>
    </w:p>
    <w:p w14:paraId="35843A59" w14:textId="1D90D78A" w:rsidR="00DC3A3F" w:rsidRPr="00424274" w:rsidRDefault="00874D75" w:rsidP="00874D75">
      <w:pPr>
        <w:spacing w:line="276" w:lineRule="auto"/>
        <w:rPr>
          <w:rFonts w:ascii="Arial" w:hAnsi="Arial"/>
          <w:sz w:val="20"/>
        </w:rPr>
      </w:pPr>
      <w:r w:rsidRPr="00424274">
        <w:rPr>
          <w:rFonts w:ascii="Arial" w:hAnsi="Arial"/>
          <w:sz w:val="20"/>
        </w:rPr>
        <w:t xml:space="preserve">Leta 2020 je </w:t>
      </w:r>
      <w:r w:rsidR="00A0541B">
        <w:rPr>
          <w:rFonts w:ascii="Arial" w:hAnsi="Arial"/>
          <w:sz w:val="20"/>
        </w:rPr>
        <w:t>urad</w:t>
      </w:r>
      <w:r w:rsidRPr="00424274">
        <w:rPr>
          <w:rFonts w:ascii="Arial" w:hAnsi="Arial"/>
          <w:sz w:val="20"/>
        </w:rPr>
        <w:t xml:space="preserve"> na podlagi 105. člena ZPPDFT-1 </w:t>
      </w:r>
      <w:r w:rsidRPr="00424274">
        <w:rPr>
          <w:rFonts w:ascii="Arial" w:hAnsi="Arial"/>
          <w:bCs/>
          <w:sz w:val="20"/>
          <w:u w:val="single"/>
        </w:rPr>
        <w:t>poslal</w:t>
      </w:r>
      <w:r w:rsidRPr="00424274">
        <w:rPr>
          <w:rFonts w:ascii="Arial" w:hAnsi="Arial"/>
          <w:bCs/>
          <w:sz w:val="20"/>
        </w:rPr>
        <w:t xml:space="preserve"> </w:t>
      </w:r>
      <w:r w:rsidRPr="00424274">
        <w:rPr>
          <w:rFonts w:ascii="Arial" w:hAnsi="Arial"/>
          <w:iCs/>
          <w:sz w:val="20"/>
        </w:rPr>
        <w:t>345</w:t>
      </w:r>
      <w:r w:rsidRPr="00424274">
        <w:rPr>
          <w:rFonts w:ascii="Arial" w:hAnsi="Arial"/>
          <w:b/>
          <w:bCs/>
          <w:iCs/>
          <w:sz w:val="20"/>
        </w:rPr>
        <w:t xml:space="preserve"> </w:t>
      </w:r>
      <w:r w:rsidRPr="00424274">
        <w:rPr>
          <w:rFonts w:ascii="Arial" w:hAnsi="Arial"/>
          <w:i/>
          <w:sz w:val="20"/>
        </w:rPr>
        <w:t>zaprosil</w:t>
      </w:r>
      <w:r w:rsidRPr="00424274">
        <w:rPr>
          <w:rFonts w:ascii="Arial" w:hAnsi="Arial"/>
          <w:sz w:val="20"/>
        </w:rPr>
        <w:t xml:space="preserve"> v 245 zadevah v 52 držav (v letu 2019 239 zaprosil v 189 zadevah v 52 držav), poleg tega pa na podlagi 108.</w:t>
      </w:r>
      <w:r w:rsidR="00102DB5" w:rsidRPr="00424274">
        <w:rPr>
          <w:rFonts w:ascii="Arial" w:hAnsi="Arial"/>
          <w:sz w:val="20"/>
        </w:rPr>
        <w:t xml:space="preserve"> </w:t>
      </w:r>
      <w:r w:rsidRPr="00424274">
        <w:rPr>
          <w:rFonts w:ascii="Arial" w:hAnsi="Arial"/>
          <w:sz w:val="20"/>
        </w:rPr>
        <w:t>člena ZPPDFT-1 še 168</w:t>
      </w:r>
      <w:r w:rsidRPr="00424274">
        <w:rPr>
          <w:rFonts w:ascii="Arial" w:hAnsi="Arial"/>
          <w:i/>
          <w:sz w:val="20"/>
        </w:rPr>
        <w:t xml:space="preserve"> spontanih informacij</w:t>
      </w:r>
      <w:r w:rsidRPr="00424274">
        <w:rPr>
          <w:rFonts w:ascii="Arial" w:hAnsi="Arial"/>
          <w:sz w:val="20"/>
        </w:rPr>
        <w:t xml:space="preserve"> v 38 držav (v letu 2019 141 spontanih informacij v 32 držav).</w:t>
      </w:r>
    </w:p>
    <w:p w14:paraId="41547868" w14:textId="77777777" w:rsidR="00DC3A3F" w:rsidRPr="00424274" w:rsidRDefault="00DC3A3F" w:rsidP="00874D75">
      <w:pPr>
        <w:spacing w:line="276" w:lineRule="auto"/>
        <w:rPr>
          <w:rFonts w:ascii="Arial" w:hAnsi="Arial"/>
          <w:sz w:val="20"/>
        </w:rPr>
      </w:pPr>
    </w:p>
    <w:p w14:paraId="25B18A1C" w14:textId="79E1B58C" w:rsidR="00874D75" w:rsidRPr="00424274" w:rsidRDefault="00874D75" w:rsidP="00874D75">
      <w:pPr>
        <w:spacing w:line="276" w:lineRule="auto"/>
        <w:rPr>
          <w:rFonts w:ascii="Arial" w:hAnsi="Arial"/>
          <w:sz w:val="20"/>
        </w:rPr>
      </w:pPr>
      <w:r w:rsidRPr="00424274">
        <w:rPr>
          <w:rFonts w:ascii="Arial" w:hAnsi="Arial"/>
          <w:sz w:val="20"/>
        </w:rPr>
        <w:t>V primerjavi z letom 2019 lahko torej opazimo kar 44</w:t>
      </w:r>
      <w:r w:rsidR="008A1626">
        <w:rPr>
          <w:rFonts w:ascii="Arial" w:hAnsi="Arial"/>
          <w:sz w:val="20"/>
        </w:rPr>
        <w:t xml:space="preserve"> </w:t>
      </w:r>
      <w:r w:rsidRPr="00424274">
        <w:rPr>
          <w:rFonts w:ascii="Arial" w:hAnsi="Arial"/>
          <w:sz w:val="20"/>
        </w:rPr>
        <w:t xml:space="preserve">% višje število poslanih zaprosil </w:t>
      </w:r>
      <w:r w:rsidR="00A0541B">
        <w:rPr>
          <w:rFonts w:ascii="Arial" w:hAnsi="Arial"/>
          <w:sz w:val="20"/>
        </w:rPr>
        <w:t>urad</w:t>
      </w:r>
      <w:r w:rsidRPr="00424274">
        <w:rPr>
          <w:rFonts w:ascii="Arial" w:hAnsi="Arial"/>
          <w:sz w:val="20"/>
        </w:rPr>
        <w:t>a ter</w:t>
      </w:r>
      <w:r w:rsidR="00102DB5" w:rsidRPr="00424274">
        <w:rPr>
          <w:rFonts w:ascii="Arial" w:hAnsi="Arial"/>
          <w:sz w:val="20"/>
        </w:rPr>
        <w:t xml:space="preserve"> </w:t>
      </w:r>
      <w:r w:rsidRPr="00424274">
        <w:rPr>
          <w:rFonts w:ascii="Arial" w:hAnsi="Arial"/>
          <w:sz w:val="20"/>
        </w:rPr>
        <w:t>19</w:t>
      </w:r>
      <w:r w:rsidR="00C76E23">
        <w:rPr>
          <w:rFonts w:ascii="Arial" w:hAnsi="Arial"/>
          <w:sz w:val="20"/>
        </w:rPr>
        <w:t> </w:t>
      </w:r>
      <w:r w:rsidRPr="00424274">
        <w:rPr>
          <w:rFonts w:ascii="Arial" w:hAnsi="Arial"/>
          <w:sz w:val="20"/>
        </w:rPr>
        <w:t xml:space="preserve">% višje število spontanih informacij </w:t>
      </w:r>
      <w:r w:rsidR="00A0541B">
        <w:rPr>
          <w:rFonts w:ascii="Arial" w:hAnsi="Arial"/>
          <w:sz w:val="20"/>
        </w:rPr>
        <w:t>urad</w:t>
      </w:r>
      <w:r w:rsidRPr="00424274">
        <w:rPr>
          <w:rFonts w:ascii="Arial" w:hAnsi="Arial"/>
          <w:sz w:val="20"/>
        </w:rPr>
        <w:t>a.</w:t>
      </w:r>
    </w:p>
    <w:p w14:paraId="270C2D43" w14:textId="77777777" w:rsidR="00874D75" w:rsidRPr="00424274" w:rsidRDefault="00874D75" w:rsidP="00874D75">
      <w:pPr>
        <w:spacing w:line="276" w:lineRule="auto"/>
        <w:rPr>
          <w:rFonts w:ascii="Arial" w:hAnsi="Arial"/>
          <w:sz w:val="20"/>
        </w:rPr>
      </w:pPr>
    </w:p>
    <w:p w14:paraId="19313C0F" w14:textId="7811E304" w:rsidR="00874D75" w:rsidRPr="00424274" w:rsidRDefault="00874D75" w:rsidP="00874D75">
      <w:pPr>
        <w:spacing w:line="276" w:lineRule="auto"/>
        <w:rPr>
          <w:rFonts w:ascii="Arial" w:hAnsi="Arial"/>
          <w:sz w:val="20"/>
        </w:rPr>
      </w:pPr>
      <w:r w:rsidRPr="00424274">
        <w:rPr>
          <w:rFonts w:ascii="Arial" w:hAnsi="Arial"/>
          <w:sz w:val="20"/>
        </w:rPr>
        <w:t xml:space="preserve">Na </w:t>
      </w:r>
      <w:r w:rsidR="008A1626">
        <w:rPr>
          <w:rFonts w:ascii="Arial" w:hAnsi="Arial"/>
          <w:sz w:val="20"/>
        </w:rPr>
        <w:t>podlagi</w:t>
      </w:r>
      <w:r w:rsidR="008A1626" w:rsidRPr="00424274">
        <w:rPr>
          <w:rFonts w:ascii="Arial" w:hAnsi="Arial"/>
          <w:sz w:val="20"/>
        </w:rPr>
        <w:t xml:space="preserve"> </w:t>
      </w:r>
      <w:r w:rsidRPr="00424274">
        <w:rPr>
          <w:rFonts w:ascii="Arial" w:hAnsi="Arial"/>
          <w:sz w:val="20"/>
        </w:rPr>
        <w:t xml:space="preserve">106. člena ZPPDFT-1 je </w:t>
      </w:r>
      <w:r w:rsidR="00A0541B">
        <w:rPr>
          <w:rFonts w:ascii="Arial" w:hAnsi="Arial"/>
          <w:sz w:val="20"/>
        </w:rPr>
        <w:t>urad</w:t>
      </w:r>
      <w:r w:rsidRPr="00424274">
        <w:rPr>
          <w:rFonts w:ascii="Arial" w:hAnsi="Arial"/>
          <w:sz w:val="20"/>
        </w:rPr>
        <w:t xml:space="preserve"> v letu 2020 </w:t>
      </w:r>
      <w:r w:rsidRPr="00424274">
        <w:rPr>
          <w:rFonts w:ascii="Arial" w:hAnsi="Arial"/>
          <w:bCs/>
          <w:sz w:val="20"/>
          <w:u w:val="single"/>
        </w:rPr>
        <w:t xml:space="preserve">prejel </w:t>
      </w:r>
      <w:r w:rsidRPr="00424274">
        <w:rPr>
          <w:rFonts w:ascii="Arial" w:hAnsi="Arial"/>
          <w:sz w:val="20"/>
        </w:rPr>
        <w:t xml:space="preserve">141 </w:t>
      </w:r>
      <w:r w:rsidRPr="00424274">
        <w:rPr>
          <w:rFonts w:ascii="Arial" w:hAnsi="Arial"/>
          <w:i/>
          <w:iCs/>
          <w:sz w:val="20"/>
        </w:rPr>
        <w:t>zaprosil</w:t>
      </w:r>
      <w:r w:rsidRPr="00424274">
        <w:rPr>
          <w:rFonts w:ascii="Arial" w:hAnsi="Arial"/>
          <w:sz w:val="20"/>
        </w:rPr>
        <w:t xml:space="preserve"> v 135 zadevah iz 38 držav (v letu 2019 </w:t>
      </w:r>
      <w:r w:rsidRPr="00424274">
        <w:rPr>
          <w:rFonts w:ascii="Arial" w:hAnsi="Arial"/>
          <w:i/>
          <w:sz w:val="20"/>
        </w:rPr>
        <w:t>176 zaprosil</w:t>
      </w:r>
      <w:r w:rsidRPr="00424274">
        <w:rPr>
          <w:rFonts w:ascii="Arial" w:hAnsi="Arial"/>
          <w:sz w:val="20"/>
        </w:rPr>
        <w:t xml:space="preserve"> v 142 zadevah iz 59 držav) </w:t>
      </w:r>
      <w:r w:rsidR="00C76E23">
        <w:rPr>
          <w:rFonts w:ascii="Arial" w:hAnsi="Arial"/>
          <w:sz w:val="20"/>
        </w:rPr>
        <w:t>in</w:t>
      </w:r>
      <w:r w:rsidR="00C76E23" w:rsidRPr="00424274">
        <w:rPr>
          <w:rFonts w:ascii="Arial" w:hAnsi="Arial"/>
          <w:sz w:val="20"/>
        </w:rPr>
        <w:t xml:space="preserve"> </w:t>
      </w:r>
      <w:r w:rsidRPr="00424274">
        <w:rPr>
          <w:rFonts w:ascii="Arial" w:hAnsi="Arial"/>
          <w:sz w:val="20"/>
        </w:rPr>
        <w:t>85</w:t>
      </w:r>
      <w:r w:rsidRPr="00424274">
        <w:rPr>
          <w:rFonts w:ascii="Arial" w:hAnsi="Arial"/>
          <w:i/>
          <w:sz w:val="20"/>
        </w:rPr>
        <w:t xml:space="preserve"> spontanih informacij </w:t>
      </w:r>
      <w:r w:rsidRPr="00424274">
        <w:rPr>
          <w:rFonts w:ascii="Arial" w:hAnsi="Arial"/>
          <w:sz w:val="20"/>
        </w:rPr>
        <w:t>iz 24 držav (v letu 2019 52 spontanih informacij iz 18 držav).</w:t>
      </w:r>
    </w:p>
    <w:p w14:paraId="695A43F5" w14:textId="77777777" w:rsidR="00DC3A3F" w:rsidRPr="00424274" w:rsidRDefault="00DC3A3F" w:rsidP="00874D75">
      <w:pPr>
        <w:spacing w:line="276" w:lineRule="auto"/>
        <w:rPr>
          <w:rFonts w:ascii="Arial" w:hAnsi="Arial"/>
          <w:sz w:val="20"/>
        </w:rPr>
      </w:pPr>
    </w:p>
    <w:p w14:paraId="10D9C153" w14:textId="16B7013E" w:rsidR="00874D75" w:rsidRPr="00424274" w:rsidRDefault="00874D75" w:rsidP="00874D75">
      <w:pPr>
        <w:spacing w:line="276" w:lineRule="auto"/>
        <w:rPr>
          <w:rFonts w:ascii="Arial" w:hAnsi="Arial"/>
          <w:sz w:val="20"/>
        </w:rPr>
      </w:pPr>
      <w:r w:rsidRPr="00424274">
        <w:rPr>
          <w:rFonts w:ascii="Arial" w:hAnsi="Arial"/>
          <w:sz w:val="20"/>
        </w:rPr>
        <w:t>V primerjavi z letom 2019 lahko torej opazimo 20</w:t>
      </w:r>
      <w:r w:rsidR="00C76E23">
        <w:rPr>
          <w:rFonts w:ascii="Arial" w:hAnsi="Arial"/>
          <w:sz w:val="20"/>
        </w:rPr>
        <w:t> </w:t>
      </w:r>
      <w:r w:rsidRPr="00424274">
        <w:rPr>
          <w:rFonts w:ascii="Arial" w:hAnsi="Arial"/>
          <w:sz w:val="20"/>
        </w:rPr>
        <w:t>% nižje število prejetih zaprosil tujih uradov, medtem ko se je število prejetih spontanih informacij povišalo kar za 63</w:t>
      </w:r>
      <w:r w:rsidR="00C76E23">
        <w:rPr>
          <w:rFonts w:ascii="Arial" w:hAnsi="Arial"/>
          <w:sz w:val="20"/>
        </w:rPr>
        <w:t> </w:t>
      </w:r>
      <w:r w:rsidRPr="00424274">
        <w:rPr>
          <w:rFonts w:ascii="Arial" w:hAnsi="Arial"/>
          <w:sz w:val="20"/>
        </w:rPr>
        <w:t>%.</w:t>
      </w:r>
    </w:p>
    <w:p w14:paraId="045754D2" w14:textId="4ED603EF" w:rsidR="00EE2FEB" w:rsidRPr="00424274" w:rsidRDefault="00EE2FEB" w:rsidP="00D21F86">
      <w:pPr>
        <w:spacing w:line="276" w:lineRule="auto"/>
        <w:rPr>
          <w:rFonts w:ascii="Arial" w:hAnsi="Arial"/>
          <w:sz w:val="20"/>
        </w:rPr>
      </w:pPr>
    </w:p>
    <w:p w14:paraId="1B607045" w14:textId="5DBFC063" w:rsidR="0091692A" w:rsidRPr="00424274" w:rsidRDefault="0091692A" w:rsidP="00D21F86">
      <w:pPr>
        <w:spacing w:line="276" w:lineRule="auto"/>
        <w:rPr>
          <w:rFonts w:ascii="Arial" w:hAnsi="Arial"/>
          <w:sz w:val="20"/>
        </w:rPr>
      </w:pPr>
    </w:p>
    <w:p w14:paraId="20446E15" w14:textId="7C3FE67B" w:rsidR="0091692A" w:rsidRPr="00424274" w:rsidRDefault="0091692A" w:rsidP="00D21F86">
      <w:pPr>
        <w:spacing w:line="276" w:lineRule="auto"/>
        <w:rPr>
          <w:rFonts w:ascii="Arial" w:hAnsi="Arial"/>
          <w:sz w:val="20"/>
        </w:rPr>
      </w:pPr>
    </w:p>
    <w:p w14:paraId="3A79E822" w14:textId="71CB261B" w:rsidR="0091692A" w:rsidRPr="00424274" w:rsidRDefault="0091692A" w:rsidP="00D21F86">
      <w:pPr>
        <w:spacing w:line="276" w:lineRule="auto"/>
        <w:rPr>
          <w:rFonts w:ascii="Arial" w:hAnsi="Arial"/>
          <w:sz w:val="20"/>
        </w:rPr>
      </w:pPr>
    </w:p>
    <w:p w14:paraId="1981DE22" w14:textId="26338FCD" w:rsidR="0091692A" w:rsidRPr="00424274" w:rsidRDefault="0091692A" w:rsidP="00D21F86">
      <w:pPr>
        <w:spacing w:line="276" w:lineRule="auto"/>
        <w:rPr>
          <w:rFonts w:ascii="Arial" w:hAnsi="Arial"/>
          <w:sz w:val="20"/>
        </w:rPr>
      </w:pPr>
    </w:p>
    <w:p w14:paraId="23206FF6" w14:textId="2E73E498" w:rsidR="0091692A" w:rsidRPr="00424274" w:rsidRDefault="0091692A" w:rsidP="00D21F86">
      <w:pPr>
        <w:spacing w:line="276" w:lineRule="auto"/>
        <w:rPr>
          <w:rFonts w:ascii="Arial" w:hAnsi="Arial"/>
          <w:sz w:val="20"/>
        </w:rPr>
      </w:pPr>
    </w:p>
    <w:p w14:paraId="2F1565D9" w14:textId="62F10C5F" w:rsidR="0091692A" w:rsidRPr="00424274" w:rsidRDefault="0091692A" w:rsidP="00D21F86">
      <w:pPr>
        <w:spacing w:line="276" w:lineRule="auto"/>
        <w:rPr>
          <w:rFonts w:ascii="Arial" w:hAnsi="Arial"/>
          <w:sz w:val="20"/>
        </w:rPr>
      </w:pPr>
    </w:p>
    <w:p w14:paraId="547490D8" w14:textId="16E5A3BC" w:rsidR="0091692A" w:rsidRPr="00424274" w:rsidRDefault="0091692A" w:rsidP="00D21F86">
      <w:pPr>
        <w:spacing w:line="276" w:lineRule="auto"/>
        <w:rPr>
          <w:rFonts w:ascii="Arial" w:hAnsi="Arial"/>
          <w:sz w:val="20"/>
        </w:rPr>
      </w:pPr>
    </w:p>
    <w:p w14:paraId="02C7210B" w14:textId="2C4B49E3" w:rsidR="0091692A" w:rsidRPr="00424274" w:rsidRDefault="0091692A" w:rsidP="00D21F86">
      <w:pPr>
        <w:spacing w:line="276" w:lineRule="auto"/>
        <w:rPr>
          <w:rFonts w:ascii="Arial" w:hAnsi="Arial"/>
          <w:sz w:val="20"/>
        </w:rPr>
      </w:pPr>
    </w:p>
    <w:p w14:paraId="5F5E475B" w14:textId="77777777" w:rsidR="0091692A" w:rsidRPr="00424274" w:rsidRDefault="0091692A" w:rsidP="00D21F86">
      <w:pPr>
        <w:spacing w:line="276" w:lineRule="auto"/>
        <w:rPr>
          <w:rFonts w:ascii="Arial" w:hAnsi="Arial"/>
          <w:sz w:val="20"/>
        </w:rPr>
      </w:pPr>
    </w:p>
    <w:p w14:paraId="255DAC2C" w14:textId="175B7996" w:rsidR="00EE2FEB" w:rsidRPr="00424274" w:rsidRDefault="00814A21" w:rsidP="00D21F86">
      <w:pPr>
        <w:spacing w:line="276" w:lineRule="auto"/>
        <w:rPr>
          <w:rFonts w:ascii="Arial" w:hAnsi="Arial"/>
          <w:b/>
          <w:bCs/>
          <w:i/>
          <w:iCs/>
          <w:sz w:val="20"/>
        </w:rPr>
      </w:pPr>
      <w:r>
        <w:rPr>
          <w:rFonts w:ascii="Arial" w:hAnsi="Arial"/>
          <w:b/>
          <w:bCs/>
          <w:i/>
          <w:iCs/>
          <w:sz w:val="20"/>
        </w:rPr>
        <w:lastRenderedPageBreak/>
        <w:t>Preglednica</w:t>
      </w:r>
      <w:r w:rsidR="00D5703F" w:rsidRPr="00424274">
        <w:rPr>
          <w:rFonts w:ascii="Arial" w:hAnsi="Arial"/>
          <w:b/>
          <w:bCs/>
          <w:i/>
          <w:iCs/>
          <w:sz w:val="20"/>
        </w:rPr>
        <w:t xml:space="preserve"> 13: </w:t>
      </w:r>
      <w:r w:rsidR="00D5703F" w:rsidRPr="00424274">
        <w:rPr>
          <w:rFonts w:ascii="Arial" w:hAnsi="Arial"/>
          <w:b/>
          <w:bCs/>
          <w:i/>
          <w:iCs/>
          <w:sz w:val="20"/>
        </w:rPr>
        <w:tab/>
      </w:r>
      <w:r w:rsidR="00B8271D" w:rsidRPr="00424274">
        <w:rPr>
          <w:rFonts w:ascii="Arial" w:hAnsi="Arial"/>
          <w:b/>
          <w:bCs/>
          <w:i/>
          <w:iCs/>
          <w:sz w:val="20"/>
        </w:rPr>
        <w:t>Število zaprosil/spontanih informacij, ki jih je UPPD leta 20</w:t>
      </w:r>
      <w:r w:rsidR="00A7234A" w:rsidRPr="00424274">
        <w:rPr>
          <w:rFonts w:ascii="Arial" w:hAnsi="Arial"/>
          <w:b/>
          <w:bCs/>
          <w:i/>
          <w:iCs/>
          <w:sz w:val="20"/>
        </w:rPr>
        <w:t>20</w:t>
      </w:r>
      <w:r w:rsidR="00B8271D" w:rsidRPr="00424274">
        <w:rPr>
          <w:rFonts w:ascii="Arial" w:hAnsi="Arial"/>
          <w:b/>
          <w:bCs/>
          <w:i/>
          <w:iCs/>
          <w:sz w:val="20"/>
        </w:rPr>
        <w:t xml:space="preserve"> na podlagi določil ZPPDFT</w:t>
      </w:r>
      <w:r w:rsidR="00E14662" w:rsidRPr="00424274">
        <w:rPr>
          <w:rFonts w:ascii="Arial" w:hAnsi="Arial"/>
          <w:b/>
          <w:bCs/>
          <w:i/>
          <w:iCs/>
          <w:sz w:val="20"/>
        </w:rPr>
        <w:t>-</w:t>
      </w:r>
      <w:r w:rsidR="00B8271D" w:rsidRPr="00424274">
        <w:rPr>
          <w:rFonts w:ascii="Arial" w:hAnsi="Arial"/>
          <w:b/>
          <w:bCs/>
          <w:i/>
          <w:iCs/>
          <w:sz w:val="20"/>
        </w:rPr>
        <w:t>1 poslal/prejel po posameznih državah</w:t>
      </w:r>
    </w:p>
    <w:p w14:paraId="4121A51E" w14:textId="77777777" w:rsidR="00BB4969" w:rsidRPr="00424274" w:rsidRDefault="00BB4969" w:rsidP="00D21F86">
      <w:pPr>
        <w:spacing w:line="276" w:lineRule="auto"/>
        <w:rPr>
          <w:rFonts w:ascii="Arial" w:hAnsi="Arial"/>
          <w:b/>
          <w:bCs/>
          <w:i/>
          <w:iCs/>
          <w:sz w:val="20"/>
        </w:rPr>
      </w:pPr>
    </w:p>
    <w:p w14:paraId="12DDBE92" w14:textId="5FE4B0EB" w:rsidR="00265F70" w:rsidRPr="00424274" w:rsidRDefault="00265F70" w:rsidP="00D21F86">
      <w:pPr>
        <w:spacing w:line="276" w:lineRule="auto"/>
        <w:rPr>
          <w:rFonts w:ascii="Arial" w:hAnsi="Arial"/>
          <w:b/>
          <w:bCs/>
          <w:i/>
          <w:iCs/>
          <w:sz w:val="20"/>
        </w:rPr>
      </w:pPr>
    </w:p>
    <w:tbl>
      <w:tblPr>
        <w:tblW w:w="91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62"/>
        <w:gridCol w:w="1682"/>
        <w:gridCol w:w="851"/>
        <w:gridCol w:w="1842"/>
        <w:gridCol w:w="2217"/>
      </w:tblGrid>
      <w:tr w:rsidR="00265F70" w:rsidRPr="00424274" w14:paraId="588C3DB1" w14:textId="77777777" w:rsidTr="00265F70">
        <w:tc>
          <w:tcPr>
            <w:tcW w:w="709" w:type="dxa"/>
            <w:shd w:val="clear" w:color="auto" w:fill="D9E2F3"/>
          </w:tcPr>
          <w:p w14:paraId="53638C70" w14:textId="77777777" w:rsidR="00265F70" w:rsidRPr="00424274" w:rsidRDefault="00265F70" w:rsidP="00265F70">
            <w:pPr>
              <w:spacing w:line="276" w:lineRule="auto"/>
              <w:jc w:val="center"/>
              <w:rPr>
                <w:rFonts w:ascii="Arial" w:hAnsi="Arial"/>
                <w:b/>
                <w:sz w:val="20"/>
              </w:rPr>
            </w:pPr>
            <w:bookmarkStart w:id="226" w:name="_Hlk73006194"/>
            <w:proofErr w:type="spellStart"/>
            <w:r w:rsidRPr="00424274">
              <w:rPr>
                <w:rFonts w:ascii="Arial" w:hAnsi="Arial"/>
                <w:b/>
                <w:sz w:val="20"/>
              </w:rPr>
              <w:t>Zap</w:t>
            </w:r>
            <w:proofErr w:type="spellEnd"/>
            <w:r w:rsidRPr="00424274">
              <w:rPr>
                <w:rFonts w:ascii="Arial" w:hAnsi="Arial"/>
                <w:b/>
                <w:sz w:val="20"/>
              </w:rPr>
              <w:t>. št.</w:t>
            </w:r>
          </w:p>
        </w:tc>
        <w:tc>
          <w:tcPr>
            <w:tcW w:w="1862" w:type="dxa"/>
            <w:shd w:val="clear" w:color="auto" w:fill="D9E2F3"/>
          </w:tcPr>
          <w:p w14:paraId="2D0F8BF1" w14:textId="77777777" w:rsidR="00265F70" w:rsidRPr="00424274" w:rsidRDefault="00265F70" w:rsidP="00265F70">
            <w:pPr>
              <w:spacing w:line="276" w:lineRule="auto"/>
              <w:jc w:val="center"/>
              <w:rPr>
                <w:rFonts w:ascii="Arial" w:hAnsi="Arial"/>
                <w:b/>
                <w:sz w:val="20"/>
              </w:rPr>
            </w:pPr>
          </w:p>
          <w:p w14:paraId="48785B91" w14:textId="77777777" w:rsidR="00265F70" w:rsidRPr="00424274" w:rsidRDefault="00265F70" w:rsidP="00265F70">
            <w:pPr>
              <w:spacing w:line="276" w:lineRule="auto"/>
              <w:jc w:val="center"/>
              <w:rPr>
                <w:rFonts w:ascii="Arial" w:hAnsi="Arial"/>
                <w:b/>
                <w:sz w:val="20"/>
              </w:rPr>
            </w:pPr>
            <w:r w:rsidRPr="00424274">
              <w:rPr>
                <w:rFonts w:ascii="Arial" w:hAnsi="Arial"/>
                <w:b/>
                <w:sz w:val="20"/>
              </w:rPr>
              <w:t>Država/Organ</w:t>
            </w:r>
          </w:p>
          <w:p w14:paraId="4C5D9A4C" w14:textId="77777777" w:rsidR="00265F70" w:rsidRPr="00424274" w:rsidRDefault="00265F70" w:rsidP="00265F70">
            <w:pPr>
              <w:spacing w:line="276" w:lineRule="auto"/>
              <w:jc w:val="center"/>
              <w:rPr>
                <w:rFonts w:ascii="Arial" w:hAnsi="Arial"/>
                <w:b/>
                <w:sz w:val="20"/>
              </w:rPr>
            </w:pPr>
          </w:p>
        </w:tc>
        <w:tc>
          <w:tcPr>
            <w:tcW w:w="1682" w:type="dxa"/>
            <w:shd w:val="clear" w:color="auto" w:fill="D9E2F3"/>
          </w:tcPr>
          <w:p w14:paraId="3DF54088" w14:textId="77777777" w:rsidR="00265F70" w:rsidRPr="00424274" w:rsidRDefault="00265F70" w:rsidP="00265F70">
            <w:pPr>
              <w:spacing w:line="276" w:lineRule="auto"/>
              <w:jc w:val="center"/>
              <w:rPr>
                <w:rFonts w:ascii="Arial" w:hAnsi="Arial"/>
                <w:b/>
                <w:sz w:val="20"/>
              </w:rPr>
            </w:pPr>
            <w:r w:rsidRPr="00424274">
              <w:rPr>
                <w:rFonts w:ascii="Arial" w:hAnsi="Arial"/>
                <w:b/>
                <w:sz w:val="20"/>
              </w:rPr>
              <w:t>Skupno število POSLANIH zaprosil/spontanih informacij v to državo</w:t>
            </w:r>
          </w:p>
        </w:tc>
        <w:tc>
          <w:tcPr>
            <w:tcW w:w="851" w:type="dxa"/>
            <w:shd w:val="clear" w:color="auto" w:fill="D9E2F3"/>
          </w:tcPr>
          <w:p w14:paraId="04B982F8" w14:textId="77777777" w:rsidR="00265F70" w:rsidRPr="00424274" w:rsidRDefault="00265F70" w:rsidP="00265F70">
            <w:pPr>
              <w:spacing w:line="276" w:lineRule="auto"/>
              <w:jc w:val="center"/>
              <w:rPr>
                <w:rFonts w:ascii="Arial" w:hAnsi="Arial"/>
                <w:b/>
                <w:sz w:val="20"/>
              </w:rPr>
            </w:pPr>
            <w:r w:rsidRPr="00424274">
              <w:rPr>
                <w:rFonts w:ascii="Arial" w:hAnsi="Arial"/>
                <w:b/>
                <w:sz w:val="20"/>
              </w:rPr>
              <w:t xml:space="preserve">Število </w:t>
            </w:r>
          </w:p>
          <w:p w14:paraId="5BE2043D" w14:textId="77777777" w:rsidR="00265F70" w:rsidRPr="00424274" w:rsidRDefault="00265F70" w:rsidP="00265F70">
            <w:pPr>
              <w:spacing w:line="276" w:lineRule="auto"/>
              <w:jc w:val="center"/>
              <w:rPr>
                <w:rFonts w:ascii="Arial" w:hAnsi="Arial"/>
                <w:bCs/>
                <w:sz w:val="20"/>
              </w:rPr>
            </w:pPr>
            <w:r w:rsidRPr="00424274">
              <w:rPr>
                <w:rFonts w:ascii="Arial" w:hAnsi="Arial"/>
                <w:b/>
                <w:sz w:val="20"/>
              </w:rPr>
              <w:t>zadev</w:t>
            </w:r>
          </w:p>
        </w:tc>
        <w:tc>
          <w:tcPr>
            <w:tcW w:w="1842" w:type="dxa"/>
            <w:shd w:val="clear" w:color="auto" w:fill="D9E2F3"/>
          </w:tcPr>
          <w:p w14:paraId="08C96F15" w14:textId="77777777" w:rsidR="00265F70" w:rsidRPr="00424274" w:rsidRDefault="00265F70" w:rsidP="00265F70">
            <w:pPr>
              <w:spacing w:line="276" w:lineRule="auto"/>
              <w:jc w:val="center"/>
              <w:rPr>
                <w:rFonts w:ascii="Arial" w:hAnsi="Arial"/>
                <w:b/>
                <w:sz w:val="20"/>
              </w:rPr>
            </w:pPr>
            <w:r w:rsidRPr="00424274">
              <w:rPr>
                <w:rFonts w:ascii="Arial" w:hAnsi="Arial"/>
                <w:b/>
                <w:sz w:val="20"/>
              </w:rPr>
              <w:t>Skupno število PREJETIH zaprosil/spontanih informacij iz te države</w:t>
            </w:r>
          </w:p>
        </w:tc>
        <w:tc>
          <w:tcPr>
            <w:tcW w:w="2217" w:type="dxa"/>
            <w:shd w:val="clear" w:color="auto" w:fill="D9E2F3"/>
          </w:tcPr>
          <w:p w14:paraId="32B720B7" w14:textId="77777777" w:rsidR="00265F70" w:rsidRPr="00424274" w:rsidRDefault="00265F70" w:rsidP="00265F70">
            <w:pPr>
              <w:spacing w:line="276" w:lineRule="auto"/>
              <w:jc w:val="center"/>
              <w:rPr>
                <w:rFonts w:ascii="Arial" w:hAnsi="Arial"/>
                <w:b/>
                <w:sz w:val="20"/>
              </w:rPr>
            </w:pPr>
            <w:r w:rsidRPr="00424274">
              <w:rPr>
                <w:rFonts w:ascii="Arial" w:hAnsi="Arial"/>
                <w:b/>
                <w:sz w:val="20"/>
              </w:rPr>
              <w:t>Število</w:t>
            </w:r>
          </w:p>
          <w:p w14:paraId="366EED24" w14:textId="6B6921B4" w:rsidR="00265F70" w:rsidRPr="00424274" w:rsidRDefault="00FD458F" w:rsidP="00265F70">
            <w:pPr>
              <w:spacing w:line="276" w:lineRule="auto"/>
              <w:jc w:val="center"/>
              <w:rPr>
                <w:rFonts w:ascii="Arial" w:hAnsi="Arial"/>
                <w:bCs/>
                <w:sz w:val="20"/>
              </w:rPr>
            </w:pPr>
            <w:r w:rsidRPr="00424274">
              <w:rPr>
                <w:rFonts w:ascii="Arial" w:hAnsi="Arial"/>
                <w:b/>
                <w:sz w:val="20"/>
              </w:rPr>
              <w:t>Z</w:t>
            </w:r>
            <w:r w:rsidR="00265F70" w:rsidRPr="00424274">
              <w:rPr>
                <w:rFonts w:ascii="Arial" w:hAnsi="Arial"/>
                <w:b/>
                <w:sz w:val="20"/>
              </w:rPr>
              <w:t>adev</w:t>
            </w:r>
          </w:p>
        </w:tc>
      </w:tr>
      <w:tr w:rsidR="00265F70" w:rsidRPr="00424274" w14:paraId="3F2D29FA" w14:textId="77777777" w:rsidTr="000918AC">
        <w:trPr>
          <w:trHeight w:val="50"/>
        </w:trPr>
        <w:tc>
          <w:tcPr>
            <w:tcW w:w="709" w:type="dxa"/>
          </w:tcPr>
          <w:p w14:paraId="1727914F"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1</w:t>
            </w:r>
          </w:p>
        </w:tc>
        <w:tc>
          <w:tcPr>
            <w:tcW w:w="1862" w:type="dxa"/>
          </w:tcPr>
          <w:p w14:paraId="63FE4DA7" w14:textId="77777777" w:rsidR="00265F70" w:rsidRPr="00424274" w:rsidRDefault="00265F70" w:rsidP="00265F70">
            <w:pPr>
              <w:spacing w:line="276" w:lineRule="auto"/>
              <w:jc w:val="left"/>
              <w:rPr>
                <w:rFonts w:ascii="Arial" w:hAnsi="Arial"/>
                <w:b/>
                <w:sz w:val="20"/>
              </w:rPr>
            </w:pPr>
            <w:r w:rsidRPr="00424274">
              <w:rPr>
                <w:rFonts w:ascii="Arial" w:hAnsi="Arial"/>
                <w:b/>
                <w:sz w:val="20"/>
              </w:rPr>
              <w:t>AVSTRIJA</w:t>
            </w:r>
          </w:p>
          <w:p w14:paraId="2DF5E439" w14:textId="77777777" w:rsidR="00265F70" w:rsidRPr="00424274" w:rsidRDefault="00265F70" w:rsidP="00265F70">
            <w:pPr>
              <w:spacing w:line="276" w:lineRule="auto"/>
              <w:jc w:val="left"/>
              <w:rPr>
                <w:rFonts w:ascii="Arial" w:hAnsi="Arial"/>
                <w:b/>
                <w:sz w:val="20"/>
              </w:rPr>
            </w:pPr>
          </w:p>
        </w:tc>
        <w:tc>
          <w:tcPr>
            <w:tcW w:w="1682" w:type="dxa"/>
          </w:tcPr>
          <w:p w14:paraId="4D412F68"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15</w:t>
            </w:r>
          </w:p>
        </w:tc>
        <w:tc>
          <w:tcPr>
            <w:tcW w:w="851" w:type="dxa"/>
          </w:tcPr>
          <w:p w14:paraId="58C4744F"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6</w:t>
            </w:r>
          </w:p>
        </w:tc>
        <w:tc>
          <w:tcPr>
            <w:tcW w:w="1842" w:type="dxa"/>
          </w:tcPr>
          <w:p w14:paraId="03AED824"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7</w:t>
            </w:r>
          </w:p>
        </w:tc>
        <w:tc>
          <w:tcPr>
            <w:tcW w:w="2217" w:type="dxa"/>
          </w:tcPr>
          <w:p w14:paraId="65A67D98"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7</w:t>
            </w:r>
          </w:p>
        </w:tc>
      </w:tr>
      <w:tr w:rsidR="00265F70" w:rsidRPr="00424274" w14:paraId="3F5C9F86" w14:textId="77777777" w:rsidTr="000918AC">
        <w:trPr>
          <w:trHeight w:val="234"/>
        </w:trPr>
        <w:tc>
          <w:tcPr>
            <w:tcW w:w="709" w:type="dxa"/>
          </w:tcPr>
          <w:p w14:paraId="42B03C07"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2</w:t>
            </w:r>
          </w:p>
        </w:tc>
        <w:tc>
          <w:tcPr>
            <w:tcW w:w="1862" w:type="dxa"/>
          </w:tcPr>
          <w:p w14:paraId="7DFBBB12" w14:textId="77777777" w:rsidR="00265F70" w:rsidRPr="00424274" w:rsidRDefault="00265F70" w:rsidP="00265F70">
            <w:pPr>
              <w:spacing w:line="276" w:lineRule="auto"/>
              <w:jc w:val="left"/>
              <w:rPr>
                <w:rFonts w:ascii="Arial" w:hAnsi="Arial"/>
                <w:b/>
                <w:sz w:val="20"/>
              </w:rPr>
            </w:pPr>
            <w:r w:rsidRPr="00424274">
              <w:rPr>
                <w:rFonts w:ascii="Arial" w:hAnsi="Arial"/>
                <w:b/>
                <w:sz w:val="20"/>
              </w:rPr>
              <w:t>ARGENTINA</w:t>
            </w:r>
          </w:p>
        </w:tc>
        <w:tc>
          <w:tcPr>
            <w:tcW w:w="1682" w:type="dxa"/>
          </w:tcPr>
          <w:p w14:paraId="3D449C46" w14:textId="77777777" w:rsidR="00265F70" w:rsidRPr="00424274" w:rsidRDefault="00265F70" w:rsidP="00265F70">
            <w:pPr>
              <w:spacing w:line="276" w:lineRule="auto"/>
              <w:jc w:val="center"/>
              <w:rPr>
                <w:rFonts w:ascii="Arial" w:hAnsi="Arial"/>
                <w:b/>
                <w:bCs/>
                <w:sz w:val="20"/>
              </w:rPr>
            </w:pPr>
          </w:p>
          <w:p w14:paraId="0C2BF14A" w14:textId="2B542D89" w:rsidR="00265F70" w:rsidRPr="00424274" w:rsidRDefault="00C76E23" w:rsidP="00265F70">
            <w:pPr>
              <w:spacing w:line="276" w:lineRule="auto"/>
              <w:jc w:val="center"/>
              <w:rPr>
                <w:rFonts w:ascii="Arial" w:hAnsi="Arial"/>
                <w:b/>
                <w:bCs/>
                <w:sz w:val="20"/>
              </w:rPr>
            </w:pPr>
            <w:r>
              <w:rPr>
                <w:rFonts w:ascii="Arial" w:hAnsi="Arial"/>
                <w:b/>
                <w:bCs/>
                <w:sz w:val="20"/>
              </w:rPr>
              <w:t>–</w:t>
            </w:r>
          </w:p>
        </w:tc>
        <w:tc>
          <w:tcPr>
            <w:tcW w:w="851" w:type="dxa"/>
          </w:tcPr>
          <w:p w14:paraId="0CD45EC8" w14:textId="5763A388" w:rsidR="00265F70" w:rsidRPr="00424274" w:rsidRDefault="00C76E23" w:rsidP="00265F70">
            <w:pPr>
              <w:spacing w:line="276" w:lineRule="auto"/>
              <w:jc w:val="center"/>
              <w:rPr>
                <w:rFonts w:ascii="Arial" w:hAnsi="Arial"/>
                <w:b/>
                <w:bCs/>
                <w:sz w:val="20"/>
              </w:rPr>
            </w:pPr>
            <w:r>
              <w:rPr>
                <w:rFonts w:ascii="Arial" w:hAnsi="Arial"/>
                <w:b/>
                <w:bCs/>
                <w:sz w:val="20"/>
              </w:rPr>
              <w:t>–</w:t>
            </w:r>
          </w:p>
          <w:p w14:paraId="4A44C94A" w14:textId="77777777" w:rsidR="00265F70" w:rsidRPr="00424274" w:rsidRDefault="00265F70" w:rsidP="00265F70">
            <w:pPr>
              <w:spacing w:line="276" w:lineRule="auto"/>
              <w:jc w:val="center"/>
              <w:rPr>
                <w:rFonts w:ascii="Arial" w:hAnsi="Arial"/>
                <w:b/>
                <w:bCs/>
                <w:sz w:val="20"/>
              </w:rPr>
            </w:pPr>
          </w:p>
        </w:tc>
        <w:tc>
          <w:tcPr>
            <w:tcW w:w="1842" w:type="dxa"/>
          </w:tcPr>
          <w:p w14:paraId="4BEB0349"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2</w:t>
            </w:r>
          </w:p>
          <w:p w14:paraId="11E9D479" w14:textId="77777777" w:rsidR="00265F70" w:rsidRPr="00424274" w:rsidRDefault="00265F70" w:rsidP="00265F70">
            <w:pPr>
              <w:spacing w:line="276" w:lineRule="auto"/>
              <w:jc w:val="center"/>
              <w:rPr>
                <w:rFonts w:ascii="Arial" w:hAnsi="Arial"/>
                <w:b/>
                <w:bCs/>
                <w:sz w:val="20"/>
              </w:rPr>
            </w:pPr>
          </w:p>
        </w:tc>
        <w:tc>
          <w:tcPr>
            <w:tcW w:w="2217" w:type="dxa"/>
          </w:tcPr>
          <w:p w14:paraId="5288EE56"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2</w:t>
            </w:r>
          </w:p>
          <w:p w14:paraId="6A2C44E9" w14:textId="77777777" w:rsidR="00265F70" w:rsidRPr="00424274" w:rsidRDefault="00265F70" w:rsidP="00265F70">
            <w:pPr>
              <w:spacing w:line="276" w:lineRule="auto"/>
              <w:jc w:val="center"/>
              <w:rPr>
                <w:rFonts w:ascii="Arial" w:hAnsi="Arial"/>
                <w:b/>
                <w:bCs/>
                <w:sz w:val="20"/>
              </w:rPr>
            </w:pPr>
          </w:p>
        </w:tc>
      </w:tr>
      <w:tr w:rsidR="00265F70" w:rsidRPr="00424274" w14:paraId="729E2062" w14:textId="77777777" w:rsidTr="000918AC">
        <w:trPr>
          <w:trHeight w:val="348"/>
        </w:trPr>
        <w:tc>
          <w:tcPr>
            <w:tcW w:w="709" w:type="dxa"/>
          </w:tcPr>
          <w:p w14:paraId="5F609B57"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3</w:t>
            </w:r>
          </w:p>
        </w:tc>
        <w:tc>
          <w:tcPr>
            <w:tcW w:w="1862" w:type="dxa"/>
          </w:tcPr>
          <w:p w14:paraId="18343345" w14:textId="05B770F5" w:rsidR="00265F70" w:rsidRPr="00424274" w:rsidRDefault="00265F70" w:rsidP="00265F70">
            <w:pPr>
              <w:spacing w:line="276" w:lineRule="auto"/>
              <w:jc w:val="left"/>
              <w:rPr>
                <w:rFonts w:ascii="Arial" w:hAnsi="Arial"/>
                <w:b/>
                <w:sz w:val="20"/>
              </w:rPr>
            </w:pPr>
            <w:r w:rsidRPr="00424274">
              <w:rPr>
                <w:rFonts w:ascii="Arial" w:hAnsi="Arial"/>
                <w:b/>
                <w:sz w:val="20"/>
              </w:rPr>
              <w:t>AZERB</w:t>
            </w:r>
            <w:r w:rsidR="00C76E23">
              <w:rPr>
                <w:rFonts w:ascii="Arial" w:hAnsi="Arial"/>
                <w:b/>
                <w:sz w:val="20"/>
              </w:rPr>
              <w:t>A</w:t>
            </w:r>
            <w:r w:rsidRPr="00424274">
              <w:rPr>
                <w:rFonts w:ascii="Arial" w:hAnsi="Arial"/>
                <w:b/>
                <w:sz w:val="20"/>
              </w:rPr>
              <w:t>EJDŽAN</w:t>
            </w:r>
          </w:p>
        </w:tc>
        <w:tc>
          <w:tcPr>
            <w:tcW w:w="1682" w:type="dxa"/>
          </w:tcPr>
          <w:p w14:paraId="259FAFAA"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2</w:t>
            </w:r>
          </w:p>
        </w:tc>
        <w:tc>
          <w:tcPr>
            <w:tcW w:w="851" w:type="dxa"/>
          </w:tcPr>
          <w:p w14:paraId="7A22DF2D"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c>
          <w:tcPr>
            <w:tcW w:w="1842" w:type="dxa"/>
          </w:tcPr>
          <w:p w14:paraId="26D8BA0F" w14:textId="24856C2E" w:rsidR="00265F70" w:rsidRPr="00424274" w:rsidRDefault="00C76E23" w:rsidP="00265F70">
            <w:pPr>
              <w:spacing w:line="276" w:lineRule="auto"/>
              <w:jc w:val="center"/>
              <w:rPr>
                <w:rFonts w:ascii="Arial" w:hAnsi="Arial"/>
                <w:b/>
                <w:bCs/>
                <w:sz w:val="20"/>
              </w:rPr>
            </w:pPr>
            <w:r>
              <w:rPr>
                <w:rFonts w:ascii="Arial" w:hAnsi="Arial"/>
                <w:b/>
                <w:bCs/>
                <w:sz w:val="20"/>
              </w:rPr>
              <w:t>–</w:t>
            </w:r>
          </w:p>
        </w:tc>
        <w:tc>
          <w:tcPr>
            <w:tcW w:w="2217" w:type="dxa"/>
          </w:tcPr>
          <w:p w14:paraId="63669CE6" w14:textId="2D93D709" w:rsidR="00265F70" w:rsidRPr="00424274" w:rsidRDefault="00C76E23" w:rsidP="00265F70">
            <w:pPr>
              <w:spacing w:line="276" w:lineRule="auto"/>
              <w:jc w:val="center"/>
              <w:rPr>
                <w:rFonts w:ascii="Arial" w:hAnsi="Arial"/>
                <w:b/>
                <w:bCs/>
                <w:sz w:val="20"/>
              </w:rPr>
            </w:pPr>
            <w:r>
              <w:rPr>
                <w:rFonts w:ascii="Arial" w:hAnsi="Arial"/>
                <w:b/>
                <w:bCs/>
                <w:sz w:val="20"/>
              </w:rPr>
              <w:t>–</w:t>
            </w:r>
          </w:p>
        </w:tc>
      </w:tr>
      <w:tr w:rsidR="00265F70" w:rsidRPr="00424274" w14:paraId="10E02C8F" w14:textId="77777777" w:rsidTr="000918AC">
        <w:trPr>
          <w:trHeight w:val="252"/>
        </w:trPr>
        <w:tc>
          <w:tcPr>
            <w:tcW w:w="709" w:type="dxa"/>
          </w:tcPr>
          <w:p w14:paraId="374D40F8"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4</w:t>
            </w:r>
          </w:p>
        </w:tc>
        <w:tc>
          <w:tcPr>
            <w:tcW w:w="1862" w:type="dxa"/>
          </w:tcPr>
          <w:p w14:paraId="29C23D31" w14:textId="77777777" w:rsidR="00265F70" w:rsidRPr="00424274" w:rsidRDefault="00265F70" w:rsidP="00265F70">
            <w:pPr>
              <w:spacing w:line="276" w:lineRule="auto"/>
              <w:jc w:val="left"/>
              <w:rPr>
                <w:rFonts w:ascii="Arial" w:hAnsi="Arial"/>
                <w:b/>
                <w:sz w:val="20"/>
              </w:rPr>
            </w:pPr>
            <w:r w:rsidRPr="00424274">
              <w:rPr>
                <w:rFonts w:ascii="Arial" w:hAnsi="Arial"/>
                <w:b/>
                <w:sz w:val="20"/>
              </w:rPr>
              <w:t>BELGIJA</w:t>
            </w:r>
          </w:p>
          <w:p w14:paraId="1BB24523" w14:textId="77777777" w:rsidR="00265F70" w:rsidRPr="00424274" w:rsidRDefault="00265F70" w:rsidP="00265F70">
            <w:pPr>
              <w:spacing w:line="276" w:lineRule="auto"/>
              <w:jc w:val="left"/>
              <w:rPr>
                <w:rFonts w:ascii="Arial" w:hAnsi="Arial"/>
                <w:b/>
                <w:sz w:val="20"/>
              </w:rPr>
            </w:pPr>
          </w:p>
        </w:tc>
        <w:tc>
          <w:tcPr>
            <w:tcW w:w="1682" w:type="dxa"/>
          </w:tcPr>
          <w:p w14:paraId="21131C5E"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c>
          <w:tcPr>
            <w:tcW w:w="851" w:type="dxa"/>
          </w:tcPr>
          <w:p w14:paraId="75341504"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c>
          <w:tcPr>
            <w:tcW w:w="1842" w:type="dxa"/>
          </w:tcPr>
          <w:p w14:paraId="6A17369B"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2</w:t>
            </w:r>
          </w:p>
        </w:tc>
        <w:tc>
          <w:tcPr>
            <w:tcW w:w="2217" w:type="dxa"/>
          </w:tcPr>
          <w:p w14:paraId="1796D7C4"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2</w:t>
            </w:r>
          </w:p>
        </w:tc>
      </w:tr>
      <w:tr w:rsidR="00265F70" w:rsidRPr="00424274" w14:paraId="1C4C14FA" w14:textId="77777777" w:rsidTr="000918AC">
        <w:trPr>
          <w:trHeight w:val="372"/>
        </w:trPr>
        <w:tc>
          <w:tcPr>
            <w:tcW w:w="709" w:type="dxa"/>
          </w:tcPr>
          <w:p w14:paraId="031A1FD4"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5</w:t>
            </w:r>
          </w:p>
        </w:tc>
        <w:tc>
          <w:tcPr>
            <w:tcW w:w="1862" w:type="dxa"/>
          </w:tcPr>
          <w:p w14:paraId="1C43AC22" w14:textId="77777777" w:rsidR="00265F70" w:rsidRPr="00424274" w:rsidRDefault="00265F70" w:rsidP="00265F70">
            <w:pPr>
              <w:spacing w:line="276" w:lineRule="auto"/>
              <w:jc w:val="left"/>
              <w:rPr>
                <w:rFonts w:ascii="Arial" w:hAnsi="Arial"/>
                <w:b/>
                <w:sz w:val="20"/>
              </w:rPr>
            </w:pPr>
            <w:r w:rsidRPr="00424274">
              <w:rPr>
                <w:rFonts w:ascii="Arial" w:hAnsi="Arial"/>
                <w:b/>
                <w:sz w:val="20"/>
              </w:rPr>
              <w:t>BELORUSIJA</w:t>
            </w:r>
          </w:p>
        </w:tc>
        <w:tc>
          <w:tcPr>
            <w:tcW w:w="1682" w:type="dxa"/>
          </w:tcPr>
          <w:p w14:paraId="6B2F5CF5"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2</w:t>
            </w:r>
          </w:p>
        </w:tc>
        <w:tc>
          <w:tcPr>
            <w:tcW w:w="851" w:type="dxa"/>
          </w:tcPr>
          <w:p w14:paraId="130E1439"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2</w:t>
            </w:r>
          </w:p>
        </w:tc>
        <w:tc>
          <w:tcPr>
            <w:tcW w:w="1842" w:type="dxa"/>
          </w:tcPr>
          <w:p w14:paraId="1E2A93DE" w14:textId="1BAD4233" w:rsidR="00265F70" w:rsidRPr="00424274" w:rsidRDefault="00C76E23" w:rsidP="00265F70">
            <w:pPr>
              <w:spacing w:line="276" w:lineRule="auto"/>
              <w:jc w:val="center"/>
              <w:rPr>
                <w:rFonts w:ascii="Arial" w:hAnsi="Arial"/>
                <w:b/>
                <w:bCs/>
                <w:sz w:val="20"/>
              </w:rPr>
            </w:pPr>
            <w:r>
              <w:rPr>
                <w:rFonts w:ascii="Arial" w:hAnsi="Arial"/>
                <w:b/>
                <w:bCs/>
                <w:sz w:val="20"/>
              </w:rPr>
              <w:t>–</w:t>
            </w:r>
          </w:p>
        </w:tc>
        <w:tc>
          <w:tcPr>
            <w:tcW w:w="2217" w:type="dxa"/>
          </w:tcPr>
          <w:p w14:paraId="62777839" w14:textId="60D14E68" w:rsidR="00265F70" w:rsidRPr="00424274" w:rsidRDefault="00C76E23" w:rsidP="00265F70">
            <w:pPr>
              <w:spacing w:line="276" w:lineRule="auto"/>
              <w:jc w:val="center"/>
              <w:rPr>
                <w:rFonts w:ascii="Arial" w:hAnsi="Arial"/>
                <w:b/>
                <w:bCs/>
                <w:sz w:val="20"/>
              </w:rPr>
            </w:pPr>
            <w:r>
              <w:rPr>
                <w:rFonts w:ascii="Arial" w:hAnsi="Arial"/>
                <w:b/>
                <w:bCs/>
                <w:sz w:val="20"/>
              </w:rPr>
              <w:t>–</w:t>
            </w:r>
          </w:p>
        </w:tc>
      </w:tr>
      <w:tr w:rsidR="00265F70" w:rsidRPr="00424274" w14:paraId="1DE35A91" w14:textId="77777777" w:rsidTr="000918AC">
        <w:trPr>
          <w:trHeight w:val="50"/>
        </w:trPr>
        <w:tc>
          <w:tcPr>
            <w:tcW w:w="709" w:type="dxa"/>
          </w:tcPr>
          <w:p w14:paraId="2DCD6E5F"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6</w:t>
            </w:r>
          </w:p>
        </w:tc>
        <w:tc>
          <w:tcPr>
            <w:tcW w:w="1862" w:type="dxa"/>
          </w:tcPr>
          <w:p w14:paraId="3D100B27" w14:textId="77777777" w:rsidR="00265F70" w:rsidRPr="00424274" w:rsidRDefault="00265F70" w:rsidP="00265F70">
            <w:pPr>
              <w:spacing w:line="276" w:lineRule="auto"/>
              <w:jc w:val="left"/>
              <w:rPr>
                <w:rFonts w:ascii="Arial" w:hAnsi="Arial"/>
                <w:b/>
                <w:sz w:val="20"/>
              </w:rPr>
            </w:pPr>
            <w:r w:rsidRPr="00424274">
              <w:rPr>
                <w:rFonts w:ascii="Arial" w:hAnsi="Arial"/>
                <w:b/>
                <w:sz w:val="20"/>
              </w:rPr>
              <w:t>BOSNA IN HERCEGOVINA</w:t>
            </w:r>
          </w:p>
          <w:p w14:paraId="2B88AC70" w14:textId="77777777" w:rsidR="00265F70" w:rsidRPr="00424274" w:rsidRDefault="00265F70" w:rsidP="00265F70">
            <w:pPr>
              <w:spacing w:line="276" w:lineRule="auto"/>
              <w:jc w:val="left"/>
              <w:rPr>
                <w:rFonts w:ascii="Arial" w:hAnsi="Arial"/>
                <w:b/>
                <w:sz w:val="20"/>
              </w:rPr>
            </w:pPr>
          </w:p>
        </w:tc>
        <w:tc>
          <w:tcPr>
            <w:tcW w:w="1682" w:type="dxa"/>
          </w:tcPr>
          <w:p w14:paraId="354C134A"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17</w:t>
            </w:r>
          </w:p>
        </w:tc>
        <w:tc>
          <w:tcPr>
            <w:tcW w:w="851" w:type="dxa"/>
          </w:tcPr>
          <w:p w14:paraId="428CC61D"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15</w:t>
            </w:r>
          </w:p>
        </w:tc>
        <w:tc>
          <w:tcPr>
            <w:tcW w:w="1842" w:type="dxa"/>
          </w:tcPr>
          <w:p w14:paraId="2D992446"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20</w:t>
            </w:r>
          </w:p>
        </w:tc>
        <w:tc>
          <w:tcPr>
            <w:tcW w:w="2217" w:type="dxa"/>
          </w:tcPr>
          <w:p w14:paraId="67114DD2"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18</w:t>
            </w:r>
          </w:p>
        </w:tc>
      </w:tr>
      <w:tr w:rsidR="00265F70" w:rsidRPr="00424274" w14:paraId="399AC688" w14:textId="77777777" w:rsidTr="000918AC">
        <w:trPr>
          <w:trHeight w:val="50"/>
        </w:trPr>
        <w:tc>
          <w:tcPr>
            <w:tcW w:w="709" w:type="dxa"/>
          </w:tcPr>
          <w:p w14:paraId="36162805"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7</w:t>
            </w:r>
          </w:p>
        </w:tc>
        <w:tc>
          <w:tcPr>
            <w:tcW w:w="1862" w:type="dxa"/>
          </w:tcPr>
          <w:p w14:paraId="0B0A1C44" w14:textId="77777777" w:rsidR="00265F70" w:rsidRPr="00424274" w:rsidRDefault="00265F70" w:rsidP="00265F70">
            <w:pPr>
              <w:spacing w:line="276" w:lineRule="auto"/>
              <w:jc w:val="left"/>
              <w:rPr>
                <w:rFonts w:ascii="Arial" w:hAnsi="Arial"/>
                <w:b/>
                <w:sz w:val="20"/>
              </w:rPr>
            </w:pPr>
            <w:r w:rsidRPr="00424274">
              <w:rPr>
                <w:rFonts w:ascii="Arial" w:hAnsi="Arial"/>
                <w:b/>
                <w:sz w:val="20"/>
              </w:rPr>
              <w:t>BOLGARIJA</w:t>
            </w:r>
          </w:p>
          <w:p w14:paraId="1DEB0504" w14:textId="77777777" w:rsidR="00265F70" w:rsidRPr="00424274" w:rsidRDefault="00265F70" w:rsidP="00265F70">
            <w:pPr>
              <w:spacing w:line="276" w:lineRule="auto"/>
              <w:jc w:val="left"/>
              <w:rPr>
                <w:rFonts w:ascii="Arial" w:hAnsi="Arial"/>
                <w:b/>
                <w:sz w:val="20"/>
              </w:rPr>
            </w:pPr>
          </w:p>
        </w:tc>
        <w:tc>
          <w:tcPr>
            <w:tcW w:w="1682" w:type="dxa"/>
          </w:tcPr>
          <w:p w14:paraId="5C2C39A7"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10</w:t>
            </w:r>
          </w:p>
        </w:tc>
        <w:tc>
          <w:tcPr>
            <w:tcW w:w="851" w:type="dxa"/>
          </w:tcPr>
          <w:p w14:paraId="27AC9549"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10</w:t>
            </w:r>
          </w:p>
        </w:tc>
        <w:tc>
          <w:tcPr>
            <w:tcW w:w="1842" w:type="dxa"/>
          </w:tcPr>
          <w:p w14:paraId="22E7CE4A"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2</w:t>
            </w:r>
          </w:p>
        </w:tc>
        <w:tc>
          <w:tcPr>
            <w:tcW w:w="2217" w:type="dxa"/>
          </w:tcPr>
          <w:p w14:paraId="31E1AC46"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r>
      <w:tr w:rsidR="00265F70" w:rsidRPr="00424274" w14:paraId="5DE04736" w14:textId="77777777" w:rsidTr="000918AC">
        <w:tc>
          <w:tcPr>
            <w:tcW w:w="709" w:type="dxa"/>
          </w:tcPr>
          <w:p w14:paraId="01BF25BA"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8</w:t>
            </w:r>
          </w:p>
        </w:tc>
        <w:tc>
          <w:tcPr>
            <w:tcW w:w="1862" w:type="dxa"/>
          </w:tcPr>
          <w:p w14:paraId="1D170DA4" w14:textId="77777777" w:rsidR="00265F70" w:rsidRPr="00424274" w:rsidRDefault="00265F70" w:rsidP="00265F70">
            <w:pPr>
              <w:spacing w:line="276" w:lineRule="auto"/>
              <w:jc w:val="left"/>
              <w:rPr>
                <w:rFonts w:ascii="Arial" w:hAnsi="Arial"/>
                <w:b/>
                <w:sz w:val="20"/>
              </w:rPr>
            </w:pPr>
            <w:r w:rsidRPr="00424274">
              <w:rPr>
                <w:rFonts w:ascii="Arial" w:hAnsi="Arial"/>
                <w:b/>
                <w:sz w:val="20"/>
              </w:rPr>
              <w:t>CIPER</w:t>
            </w:r>
          </w:p>
          <w:p w14:paraId="1873017C" w14:textId="77777777" w:rsidR="00265F70" w:rsidRPr="00424274" w:rsidRDefault="00265F70" w:rsidP="00265F70">
            <w:pPr>
              <w:spacing w:line="276" w:lineRule="auto"/>
              <w:jc w:val="left"/>
              <w:rPr>
                <w:rFonts w:ascii="Arial" w:hAnsi="Arial"/>
                <w:b/>
                <w:sz w:val="20"/>
              </w:rPr>
            </w:pPr>
          </w:p>
        </w:tc>
        <w:tc>
          <w:tcPr>
            <w:tcW w:w="1682" w:type="dxa"/>
          </w:tcPr>
          <w:p w14:paraId="0F0C9F4F"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4</w:t>
            </w:r>
          </w:p>
        </w:tc>
        <w:tc>
          <w:tcPr>
            <w:tcW w:w="851" w:type="dxa"/>
          </w:tcPr>
          <w:p w14:paraId="72484215"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4</w:t>
            </w:r>
          </w:p>
        </w:tc>
        <w:tc>
          <w:tcPr>
            <w:tcW w:w="1842" w:type="dxa"/>
          </w:tcPr>
          <w:p w14:paraId="591C1C29" w14:textId="58B9C83E" w:rsidR="00265F70" w:rsidRPr="00424274" w:rsidRDefault="00C76E23" w:rsidP="00265F70">
            <w:pPr>
              <w:spacing w:line="276" w:lineRule="auto"/>
              <w:jc w:val="center"/>
              <w:rPr>
                <w:rFonts w:ascii="Arial" w:hAnsi="Arial"/>
                <w:b/>
                <w:bCs/>
                <w:sz w:val="20"/>
              </w:rPr>
            </w:pPr>
            <w:r>
              <w:rPr>
                <w:rFonts w:ascii="Arial" w:hAnsi="Arial"/>
                <w:b/>
                <w:bCs/>
                <w:sz w:val="20"/>
              </w:rPr>
              <w:t>–</w:t>
            </w:r>
          </w:p>
        </w:tc>
        <w:tc>
          <w:tcPr>
            <w:tcW w:w="2217" w:type="dxa"/>
          </w:tcPr>
          <w:p w14:paraId="2671268A" w14:textId="6A43D1E8" w:rsidR="00265F70" w:rsidRPr="00424274" w:rsidRDefault="00C76E23" w:rsidP="00265F70">
            <w:pPr>
              <w:spacing w:line="276" w:lineRule="auto"/>
              <w:jc w:val="center"/>
              <w:rPr>
                <w:rFonts w:ascii="Arial" w:hAnsi="Arial"/>
                <w:b/>
                <w:bCs/>
                <w:sz w:val="20"/>
              </w:rPr>
            </w:pPr>
            <w:r>
              <w:rPr>
                <w:rFonts w:ascii="Arial" w:hAnsi="Arial"/>
                <w:b/>
                <w:bCs/>
                <w:sz w:val="20"/>
              </w:rPr>
              <w:t>–</w:t>
            </w:r>
          </w:p>
        </w:tc>
      </w:tr>
      <w:tr w:rsidR="00265F70" w:rsidRPr="00424274" w14:paraId="43D2E117" w14:textId="77777777" w:rsidTr="000918AC">
        <w:tc>
          <w:tcPr>
            <w:tcW w:w="709" w:type="dxa"/>
          </w:tcPr>
          <w:p w14:paraId="0018BC9C"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9</w:t>
            </w:r>
          </w:p>
        </w:tc>
        <w:tc>
          <w:tcPr>
            <w:tcW w:w="1862" w:type="dxa"/>
          </w:tcPr>
          <w:p w14:paraId="500865EB" w14:textId="77777777" w:rsidR="00265F70" w:rsidRPr="00424274" w:rsidRDefault="00265F70" w:rsidP="00265F70">
            <w:pPr>
              <w:spacing w:line="276" w:lineRule="auto"/>
              <w:jc w:val="left"/>
              <w:rPr>
                <w:rFonts w:ascii="Arial" w:hAnsi="Arial"/>
                <w:b/>
                <w:sz w:val="20"/>
              </w:rPr>
            </w:pPr>
            <w:r w:rsidRPr="00424274">
              <w:rPr>
                <w:rFonts w:ascii="Arial" w:hAnsi="Arial"/>
                <w:b/>
                <w:sz w:val="20"/>
              </w:rPr>
              <w:t>ČEŠKA</w:t>
            </w:r>
          </w:p>
          <w:p w14:paraId="6D3AB984" w14:textId="77777777" w:rsidR="00265F70" w:rsidRPr="00424274" w:rsidRDefault="00265F70" w:rsidP="00265F70">
            <w:pPr>
              <w:spacing w:line="276" w:lineRule="auto"/>
              <w:jc w:val="left"/>
              <w:rPr>
                <w:rFonts w:ascii="Arial" w:hAnsi="Arial"/>
                <w:b/>
                <w:sz w:val="20"/>
              </w:rPr>
            </w:pPr>
          </w:p>
        </w:tc>
        <w:tc>
          <w:tcPr>
            <w:tcW w:w="1682" w:type="dxa"/>
          </w:tcPr>
          <w:p w14:paraId="00EBFFEF"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6</w:t>
            </w:r>
          </w:p>
        </w:tc>
        <w:tc>
          <w:tcPr>
            <w:tcW w:w="851" w:type="dxa"/>
          </w:tcPr>
          <w:p w14:paraId="78C6146A"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6</w:t>
            </w:r>
          </w:p>
        </w:tc>
        <w:tc>
          <w:tcPr>
            <w:tcW w:w="1842" w:type="dxa"/>
          </w:tcPr>
          <w:p w14:paraId="620A273C" w14:textId="46D893E3" w:rsidR="00265F70" w:rsidRPr="00424274" w:rsidRDefault="00C76E23" w:rsidP="00265F70">
            <w:pPr>
              <w:spacing w:line="276" w:lineRule="auto"/>
              <w:jc w:val="center"/>
              <w:rPr>
                <w:rFonts w:ascii="Arial" w:hAnsi="Arial"/>
                <w:b/>
                <w:bCs/>
                <w:sz w:val="20"/>
              </w:rPr>
            </w:pPr>
            <w:r>
              <w:rPr>
                <w:rFonts w:ascii="Arial" w:hAnsi="Arial"/>
                <w:b/>
                <w:bCs/>
                <w:sz w:val="20"/>
              </w:rPr>
              <w:t>–</w:t>
            </w:r>
          </w:p>
        </w:tc>
        <w:tc>
          <w:tcPr>
            <w:tcW w:w="2217" w:type="dxa"/>
          </w:tcPr>
          <w:p w14:paraId="3A90106C" w14:textId="7DAE46CD" w:rsidR="00265F70" w:rsidRPr="00424274" w:rsidRDefault="00C76E23" w:rsidP="00265F70">
            <w:pPr>
              <w:spacing w:line="276" w:lineRule="auto"/>
              <w:jc w:val="center"/>
              <w:rPr>
                <w:rFonts w:ascii="Arial" w:hAnsi="Arial"/>
                <w:b/>
                <w:bCs/>
                <w:sz w:val="20"/>
              </w:rPr>
            </w:pPr>
            <w:r>
              <w:rPr>
                <w:rFonts w:ascii="Arial" w:hAnsi="Arial"/>
                <w:b/>
                <w:bCs/>
                <w:sz w:val="20"/>
              </w:rPr>
              <w:t>–</w:t>
            </w:r>
          </w:p>
        </w:tc>
      </w:tr>
      <w:tr w:rsidR="00265F70" w:rsidRPr="00424274" w14:paraId="703C5DD0" w14:textId="77777777" w:rsidTr="000918AC">
        <w:tc>
          <w:tcPr>
            <w:tcW w:w="709" w:type="dxa"/>
          </w:tcPr>
          <w:p w14:paraId="0C1211BD"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10</w:t>
            </w:r>
          </w:p>
        </w:tc>
        <w:tc>
          <w:tcPr>
            <w:tcW w:w="1862" w:type="dxa"/>
          </w:tcPr>
          <w:p w14:paraId="2C3F4618" w14:textId="77777777" w:rsidR="00265F70" w:rsidRPr="00424274" w:rsidRDefault="00265F70" w:rsidP="00265F70">
            <w:pPr>
              <w:spacing w:line="276" w:lineRule="auto"/>
              <w:jc w:val="left"/>
              <w:rPr>
                <w:rFonts w:ascii="Arial" w:hAnsi="Arial"/>
                <w:b/>
                <w:sz w:val="20"/>
              </w:rPr>
            </w:pPr>
            <w:r w:rsidRPr="00424274">
              <w:rPr>
                <w:rFonts w:ascii="Arial" w:hAnsi="Arial"/>
                <w:b/>
                <w:sz w:val="20"/>
              </w:rPr>
              <w:t>ČRNA GORA</w:t>
            </w:r>
          </w:p>
          <w:p w14:paraId="1270D6AC" w14:textId="77777777" w:rsidR="00265F70" w:rsidRPr="00424274" w:rsidRDefault="00265F70" w:rsidP="00265F70">
            <w:pPr>
              <w:spacing w:line="276" w:lineRule="auto"/>
              <w:jc w:val="left"/>
              <w:rPr>
                <w:rFonts w:ascii="Arial" w:hAnsi="Arial"/>
                <w:b/>
                <w:sz w:val="20"/>
              </w:rPr>
            </w:pPr>
          </w:p>
        </w:tc>
        <w:tc>
          <w:tcPr>
            <w:tcW w:w="1682" w:type="dxa"/>
          </w:tcPr>
          <w:p w14:paraId="0DE830B2"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6</w:t>
            </w:r>
          </w:p>
        </w:tc>
        <w:tc>
          <w:tcPr>
            <w:tcW w:w="851" w:type="dxa"/>
          </w:tcPr>
          <w:p w14:paraId="1FA0D696"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6</w:t>
            </w:r>
          </w:p>
        </w:tc>
        <w:tc>
          <w:tcPr>
            <w:tcW w:w="1842" w:type="dxa"/>
          </w:tcPr>
          <w:p w14:paraId="7854FBA0"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6</w:t>
            </w:r>
          </w:p>
        </w:tc>
        <w:tc>
          <w:tcPr>
            <w:tcW w:w="2217" w:type="dxa"/>
          </w:tcPr>
          <w:p w14:paraId="6F461FBC"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5</w:t>
            </w:r>
          </w:p>
        </w:tc>
      </w:tr>
      <w:tr w:rsidR="00265F70" w:rsidRPr="00424274" w14:paraId="162178B8" w14:textId="77777777" w:rsidTr="000918AC">
        <w:trPr>
          <w:trHeight w:val="165"/>
        </w:trPr>
        <w:tc>
          <w:tcPr>
            <w:tcW w:w="709" w:type="dxa"/>
          </w:tcPr>
          <w:p w14:paraId="56E7F1C4"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11</w:t>
            </w:r>
          </w:p>
        </w:tc>
        <w:tc>
          <w:tcPr>
            <w:tcW w:w="1862" w:type="dxa"/>
          </w:tcPr>
          <w:p w14:paraId="1B32DA20" w14:textId="77777777" w:rsidR="00265F70" w:rsidRPr="00424274" w:rsidRDefault="00265F70" w:rsidP="00265F70">
            <w:pPr>
              <w:spacing w:line="276" w:lineRule="auto"/>
              <w:jc w:val="left"/>
              <w:rPr>
                <w:rFonts w:ascii="Arial" w:hAnsi="Arial"/>
                <w:b/>
                <w:sz w:val="20"/>
              </w:rPr>
            </w:pPr>
            <w:r w:rsidRPr="00424274">
              <w:rPr>
                <w:rFonts w:ascii="Arial" w:hAnsi="Arial"/>
                <w:b/>
                <w:sz w:val="20"/>
              </w:rPr>
              <w:t>DANSKA</w:t>
            </w:r>
          </w:p>
          <w:p w14:paraId="08E6C303" w14:textId="77777777" w:rsidR="00265F70" w:rsidRPr="00424274" w:rsidRDefault="00265F70" w:rsidP="00265F70">
            <w:pPr>
              <w:spacing w:line="276" w:lineRule="auto"/>
              <w:jc w:val="left"/>
              <w:rPr>
                <w:rFonts w:ascii="Arial" w:hAnsi="Arial"/>
                <w:b/>
                <w:sz w:val="20"/>
              </w:rPr>
            </w:pPr>
          </w:p>
        </w:tc>
        <w:tc>
          <w:tcPr>
            <w:tcW w:w="1682" w:type="dxa"/>
          </w:tcPr>
          <w:p w14:paraId="17D40536"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2</w:t>
            </w:r>
          </w:p>
        </w:tc>
        <w:tc>
          <w:tcPr>
            <w:tcW w:w="851" w:type="dxa"/>
          </w:tcPr>
          <w:p w14:paraId="3BD8A828"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2</w:t>
            </w:r>
          </w:p>
        </w:tc>
        <w:tc>
          <w:tcPr>
            <w:tcW w:w="1842" w:type="dxa"/>
          </w:tcPr>
          <w:p w14:paraId="01B7E193" w14:textId="21DF106C" w:rsidR="00265F70" w:rsidRPr="00424274" w:rsidRDefault="00C76E23" w:rsidP="00265F70">
            <w:pPr>
              <w:spacing w:line="276" w:lineRule="auto"/>
              <w:jc w:val="center"/>
              <w:rPr>
                <w:rFonts w:ascii="Arial" w:hAnsi="Arial"/>
                <w:b/>
                <w:bCs/>
                <w:sz w:val="20"/>
              </w:rPr>
            </w:pPr>
            <w:r>
              <w:rPr>
                <w:rFonts w:ascii="Arial" w:hAnsi="Arial"/>
                <w:b/>
                <w:bCs/>
                <w:sz w:val="20"/>
              </w:rPr>
              <w:t>–</w:t>
            </w:r>
          </w:p>
        </w:tc>
        <w:tc>
          <w:tcPr>
            <w:tcW w:w="2217" w:type="dxa"/>
          </w:tcPr>
          <w:p w14:paraId="06556C1E" w14:textId="0585D315" w:rsidR="00265F70" w:rsidRPr="00424274" w:rsidRDefault="00C76E23" w:rsidP="00265F70">
            <w:pPr>
              <w:spacing w:line="276" w:lineRule="auto"/>
              <w:jc w:val="center"/>
              <w:rPr>
                <w:rFonts w:ascii="Arial" w:hAnsi="Arial"/>
                <w:b/>
                <w:bCs/>
                <w:sz w:val="20"/>
              </w:rPr>
            </w:pPr>
            <w:r>
              <w:rPr>
                <w:rFonts w:ascii="Arial" w:hAnsi="Arial"/>
                <w:b/>
                <w:bCs/>
                <w:sz w:val="20"/>
              </w:rPr>
              <w:t>–</w:t>
            </w:r>
          </w:p>
        </w:tc>
      </w:tr>
      <w:tr w:rsidR="00265F70" w:rsidRPr="00424274" w14:paraId="4B1938CC" w14:textId="77777777" w:rsidTr="000918AC">
        <w:tc>
          <w:tcPr>
            <w:tcW w:w="709" w:type="dxa"/>
          </w:tcPr>
          <w:p w14:paraId="1D20EFB2"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12</w:t>
            </w:r>
          </w:p>
        </w:tc>
        <w:tc>
          <w:tcPr>
            <w:tcW w:w="1862" w:type="dxa"/>
          </w:tcPr>
          <w:p w14:paraId="1398477C" w14:textId="77777777" w:rsidR="00265F70" w:rsidRPr="00424274" w:rsidRDefault="00265F70" w:rsidP="00265F70">
            <w:pPr>
              <w:spacing w:line="276" w:lineRule="auto"/>
              <w:jc w:val="left"/>
              <w:rPr>
                <w:rFonts w:ascii="Arial" w:hAnsi="Arial"/>
                <w:b/>
                <w:sz w:val="20"/>
              </w:rPr>
            </w:pPr>
            <w:r w:rsidRPr="00424274">
              <w:rPr>
                <w:rFonts w:ascii="Arial" w:hAnsi="Arial"/>
                <w:b/>
                <w:sz w:val="20"/>
              </w:rPr>
              <w:t>ESTONIJA</w:t>
            </w:r>
          </w:p>
          <w:p w14:paraId="53FB2AA3" w14:textId="77777777" w:rsidR="00265F70" w:rsidRPr="00424274" w:rsidRDefault="00265F70" w:rsidP="00265F70">
            <w:pPr>
              <w:spacing w:line="276" w:lineRule="auto"/>
              <w:jc w:val="left"/>
              <w:rPr>
                <w:rFonts w:ascii="Arial" w:hAnsi="Arial"/>
                <w:b/>
                <w:sz w:val="20"/>
              </w:rPr>
            </w:pPr>
          </w:p>
        </w:tc>
        <w:tc>
          <w:tcPr>
            <w:tcW w:w="1682" w:type="dxa"/>
          </w:tcPr>
          <w:p w14:paraId="659F9574"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3</w:t>
            </w:r>
          </w:p>
        </w:tc>
        <w:tc>
          <w:tcPr>
            <w:tcW w:w="851" w:type="dxa"/>
          </w:tcPr>
          <w:p w14:paraId="36356A65"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3</w:t>
            </w:r>
          </w:p>
        </w:tc>
        <w:tc>
          <w:tcPr>
            <w:tcW w:w="1842" w:type="dxa"/>
          </w:tcPr>
          <w:p w14:paraId="3A3F63B5" w14:textId="79FF89EB" w:rsidR="00265F70" w:rsidRPr="00424274" w:rsidRDefault="00C76E23" w:rsidP="00265F70">
            <w:pPr>
              <w:spacing w:line="276" w:lineRule="auto"/>
              <w:jc w:val="center"/>
              <w:rPr>
                <w:rFonts w:ascii="Arial" w:hAnsi="Arial"/>
                <w:b/>
                <w:bCs/>
                <w:sz w:val="20"/>
              </w:rPr>
            </w:pPr>
            <w:r>
              <w:rPr>
                <w:rFonts w:ascii="Arial" w:hAnsi="Arial"/>
                <w:b/>
                <w:bCs/>
                <w:sz w:val="20"/>
              </w:rPr>
              <w:t>–</w:t>
            </w:r>
          </w:p>
        </w:tc>
        <w:tc>
          <w:tcPr>
            <w:tcW w:w="2217" w:type="dxa"/>
          </w:tcPr>
          <w:p w14:paraId="2CE0E761" w14:textId="5B5AEC8A" w:rsidR="00265F70" w:rsidRPr="00424274" w:rsidRDefault="00C76E23" w:rsidP="00265F70">
            <w:pPr>
              <w:spacing w:line="276" w:lineRule="auto"/>
              <w:jc w:val="center"/>
              <w:rPr>
                <w:rFonts w:ascii="Arial" w:hAnsi="Arial"/>
                <w:b/>
                <w:bCs/>
                <w:sz w:val="20"/>
              </w:rPr>
            </w:pPr>
            <w:r>
              <w:rPr>
                <w:rFonts w:ascii="Arial" w:hAnsi="Arial"/>
                <w:b/>
                <w:bCs/>
                <w:sz w:val="20"/>
              </w:rPr>
              <w:t>–</w:t>
            </w:r>
          </w:p>
        </w:tc>
      </w:tr>
      <w:tr w:rsidR="00265F70" w:rsidRPr="00424274" w14:paraId="6947A433" w14:textId="77777777" w:rsidTr="000918AC">
        <w:trPr>
          <w:trHeight w:val="150"/>
        </w:trPr>
        <w:tc>
          <w:tcPr>
            <w:tcW w:w="709" w:type="dxa"/>
          </w:tcPr>
          <w:p w14:paraId="21A4CBAB"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13</w:t>
            </w:r>
          </w:p>
        </w:tc>
        <w:tc>
          <w:tcPr>
            <w:tcW w:w="1862" w:type="dxa"/>
          </w:tcPr>
          <w:p w14:paraId="4A2625A1" w14:textId="77777777" w:rsidR="00265F70" w:rsidRPr="00424274" w:rsidRDefault="00265F70" w:rsidP="00265F70">
            <w:pPr>
              <w:spacing w:line="276" w:lineRule="auto"/>
              <w:jc w:val="left"/>
              <w:rPr>
                <w:rFonts w:ascii="Arial" w:hAnsi="Arial"/>
                <w:b/>
                <w:sz w:val="20"/>
              </w:rPr>
            </w:pPr>
            <w:r w:rsidRPr="00424274">
              <w:rPr>
                <w:rFonts w:ascii="Arial" w:hAnsi="Arial"/>
                <w:b/>
                <w:sz w:val="20"/>
              </w:rPr>
              <w:t>EUROPOL</w:t>
            </w:r>
          </w:p>
          <w:p w14:paraId="347E6868" w14:textId="77777777" w:rsidR="00265F70" w:rsidRPr="00424274" w:rsidRDefault="00265F70" w:rsidP="00265F70">
            <w:pPr>
              <w:spacing w:line="276" w:lineRule="auto"/>
              <w:jc w:val="left"/>
              <w:rPr>
                <w:rFonts w:ascii="Arial" w:hAnsi="Arial"/>
                <w:b/>
                <w:sz w:val="20"/>
              </w:rPr>
            </w:pPr>
          </w:p>
        </w:tc>
        <w:tc>
          <w:tcPr>
            <w:tcW w:w="1682" w:type="dxa"/>
          </w:tcPr>
          <w:p w14:paraId="70782C3B" w14:textId="4A3140D3" w:rsidR="00265F70" w:rsidRPr="00424274" w:rsidRDefault="00C76E23" w:rsidP="00265F70">
            <w:pPr>
              <w:spacing w:line="276" w:lineRule="auto"/>
              <w:jc w:val="center"/>
              <w:rPr>
                <w:rFonts w:ascii="Arial" w:hAnsi="Arial"/>
                <w:b/>
                <w:bCs/>
                <w:sz w:val="20"/>
              </w:rPr>
            </w:pPr>
            <w:r>
              <w:rPr>
                <w:rFonts w:ascii="Arial" w:hAnsi="Arial"/>
                <w:b/>
                <w:bCs/>
                <w:sz w:val="20"/>
              </w:rPr>
              <w:t>–</w:t>
            </w:r>
          </w:p>
        </w:tc>
        <w:tc>
          <w:tcPr>
            <w:tcW w:w="851" w:type="dxa"/>
          </w:tcPr>
          <w:p w14:paraId="4D45B417" w14:textId="5E90BE8F" w:rsidR="00265F70" w:rsidRPr="00424274" w:rsidRDefault="00C76E23" w:rsidP="00265F70">
            <w:pPr>
              <w:spacing w:line="276" w:lineRule="auto"/>
              <w:jc w:val="center"/>
              <w:rPr>
                <w:rFonts w:ascii="Arial" w:hAnsi="Arial"/>
                <w:b/>
                <w:bCs/>
                <w:sz w:val="20"/>
              </w:rPr>
            </w:pPr>
            <w:r>
              <w:rPr>
                <w:rFonts w:ascii="Arial" w:hAnsi="Arial"/>
                <w:b/>
                <w:bCs/>
                <w:sz w:val="20"/>
              </w:rPr>
              <w:t>–</w:t>
            </w:r>
          </w:p>
        </w:tc>
        <w:tc>
          <w:tcPr>
            <w:tcW w:w="1842" w:type="dxa"/>
          </w:tcPr>
          <w:p w14:paraId="061ABC7D"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3</w:t>
            </w:r>
          </w:p>
        </w:tc>
        <w:tc>
          <w:tcPr>
            <w:tcW w:w="2217" w:type="dxa"/>
          </w:tcPr>
          <w:p w14:paraId="4ABDAAA0"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2</w:t>
            </w:r>
          </w:p>
        </w:tc>
      </w:tr>
      <w:tr w:rsidR="00265F70" w:rsidRPr="00424274" w14:paraId="7A68EDA9" w14:textId="77777777" w:rsidTr="000918AC">
        <w:trPr>
          <w:trHeight w:val="150"/>
        </w:trPr>
        <w:tc>
          <w:tcPr>
            <w:tcW w:w="709" w:type="dxa"/>
          </w:tcPr>
          <w:p w14:paraId="7C731DD4"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14</w:t>
            </w:r>
          </w:p>
        </w:tc>
        <w:tc>
          <w:tcPr>
            <w:tcW w:w="1862" w:type="dxa"/>
          </w:tcPr>
          <w:p w14:paraId="674C3E08" w14:textId="77777777" w:rsidR="00265F70" w:rsidRPr="00424274" w:rsidRDefault="00265F70" w:rsidP="00265F70">
            <w:pPr>
              <w:spacing w:line="276" w:lineRule="auto"/>
              <w:jc w:val="left"/>
              <w:rPr>
                <w:rFonts w:ascii="Arial" w:hAnsi="Arial"/>
                <w:b/>
                <w:sz w:val="20"/>
              </w:rPr>
            </w:pPr>
            <w:r w:rsidRPr="00424274">
              <w:rPr>
                <w:rFonts w:ascii="Arial" w:hAnsi="Arial"/>
                <w:b/>
                <w:sz w:val="20"/>
              </w:rPr>
              <w:t>FILIPINI</w:t>
            </w:r>
          </w:p>
          <w:p w14:paraId="72F4A806" w14:textId="77777777" w:rsidR="00265F70" w:rsidRPr="00424274" w:rsidRDefault="00265F70" w:rsidP="00265F70">
            <w:pPr>
              <w:spacing w:line="276" w:lineRule="auto"/>
              <w:jc w:val="left"/>
              <w:rPr>
                <w:rFonts w:ascii="Arial" w:hAnsi="Arial"/>
                <w:b/>
                <w:sz w:val="20"/>
              </w:rPr>
            </w:pPr>
          </w:p>
        </w:tc>
        <w:tc>
          <w:tcPr>
            <w:tcW w:w="1682" w:type="dxa"/>
          </w:tcPr>
          <w:p w14:paraId="2EDED655" w14:textId="71EB60F8" w:rsidR="00265F70" w:rsidRPr="00424274" w:rsidRDefault="00C76E23" w:rsidP="00265F70">
            <w:pPr>
              <w:spacing w:line="276" w:lineRule="auto"/>
              <w:jc w:val="center"/>
              <w:rPr>
                <w:rFonts w:ascii="Arial" w:hAnsi="Arial"/>
                <w:b/>
                <w:bCs/>
                <w:sz w:val="20"/>
              </w:rPr>
            </w:pPr>
            <w:r>
              <w:rPr>
                <w:rFonts w:ascii="Arial" w:hAnsi="Arial"/>
                <w:b/>
                <w:bCs/>
                <w:sz w:val="20"/>
              </w:rPr>
              <w:t>–</w:t>
            </w:r>
          </w:p>
        </w:tc>
        <w:tc>
          <w:tcPr>
            <w:tcW w:w="851" w:type="dxa"/>
          </w:tcPr>
          <w:p w14:paraId="35D140F0" w14:textId="6DF3EEF2" w:rsidR="00265F70" w:rsidRPr="00424274" w:rsidRDefault="00C76E23" w:rsidP="00265F70">
            <w:pPr>
              <w:spacing w:line="276" w:lineRule="auto"/>
              <w:jc w:val="center"/>
              <w:rPr>
                <w:rFonts w:ascii="Arial" w:hAnsi="Arial"/>
                <w:b/>
                <w:bCs/>
                <w:sz w:val="20"/>
              </w:rPr>
            </w:pPr>
            <w:r>
              <w:rPr>
                <w:rFonts w:ascii="Arial" w:hAnsi="Arial"/>
                <w:b/>
                <w:bCs/>
                <w:sz w:val="20"/>
              </w:rPr>
              <w:t>–</w:t>
            </w:r>
          </w:p>
        </w:tc>
        <w:tc>
          <w:tcPr>
            <w:tcW w:w="1842" w:type="dxa"/>
          </w:tcPr>
          <w:p w14:paraId="37B50AA9"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c>
          <w:tcPr>
            <w:tcW w:w="2217" w:type="dxa"/>
          </w:tcPr>
          <w:p w14:paraId="3766B635"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r>
      <w:tr w:rsidR="00265F70" w:rsidRPr="00424274" w14:paraId="29411E7E" w14:textId="77777777" w:rsidTr="000918AC">
        <w:trPr>
          <w:trHeight w:val="255"/>
        </w:trPr>
        <w:tc>
          <w:tcPr>
            <w:tcW w:w="709" w:type="dxa"/>
          </w:tcPr>
          <w:p w14:paraId="26726781"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15</w:t>
            </w:r>
          </w:p>
        </w:tc>
        <w:tc>
          <w:tcPr>
            <w:tcW w:w="1862" w:type="dxa"/>
          </w:tcPr>
          <w:p w14:paraId="0DF98420" w14:textId="77777777" w:rsidR="00265F70" w:rsidRPr="00424274" w:rsidRDefault="00265F70" w:rsidP="00265F70">
            <w:pPr>
              <w:spacing w:line="276" w:lineRule="auto"/>
              <w:jc w:val="left"/>
              <w:rPr>
                <w:rFonts w:ascii="Arial" w:hAnsi="Arial"/>
                <w:b/>
                <w:sz w:val="20"/>
              </w:rPr>
            </w:pPr>
            <w:r w:rsidRPr="00424274">
              <w:rPr>
                <w:rFonts w:ascii="Arial" w:hAnsi="Arial"/>
                <w:b/>
                <w:sz w:val="20"/>
              </w:rPr>
              <w:t>FINSKA</w:t>
            </w:r>
          </w:p>
          <w:p w14:paraId="384E854F" w14:textId="77777777" w:rsidR="00265F70" w:rsidRPr="00424274" w:rsidRDefault="00265F70" w:rsidP="00265F70">
            <w:pPr>
              <w:spacing w:line="276" w:lineRule="auto"/>
              <w:jc w:val="left"/>
              <w:rPr>
                <w:rFonts w:ascii="Arial" w:hAnsi="Arial"/>
                <w:b/>
                <w:sz w:val="20"/>
              </w:rPr>
            </w:pPr>
          </w:p>
        </w:tc>
        <w:tc>
          <w:tcPr>
            <w:tcW w:w="1682" w:type="dxa"/>
          </w:tcPr>
          <w:p w14:paraId="375CFEB1" w14:textId="4222A6A3" w:rsidR="00265F70" w:rsidRPr="00424274" w:rsidRDefault="00C76E23" w:rsidP="00265F70">
            <w:pPr>
              <w:spacing w:line="276" w:lineRule="auto"/>
              <w:jc w:val="center"/>
              <w:rPr>
                <w:rFonts w:ascii="Arial" w:hAnsi="Arial"/>
                <w:b/>
                <w:bCs/>
                <w:sz w:val="20"/>
              </w:rPr>
            </w:pPr>
            <w:r>
              <w:rPr>
                <w:rFonts w:ascii="Arial" w:hAnsi="Arial"/>
                <w:b/>
                <w:bCs/>
                <w:sz w:val="20"/>
              </w:rPr>
              <w:t>–</w:t>
            </w:r>
          </w:p>
        </w:tc>
        <w:tc>
          <w:tcPr>
            <w:tcW w:w="851" w:type="dxa"/>
          </w:tcPr>
          <w:p w14:paraId="05A3A1B9" w14:textId="465F8445" w:rsidR="00265F70" w:rsidRPr="00424274" w:rsidRDefault="00C76E23" w:rsidP="00265F70">
            <w:pPr>
              <w:spacing w:line="276" w:lineRule="auto"/>
              <w:jc w:val="center"/>
              <w:rPr>
                <w:rFonts w:ascii="Arial" w:hAnsi="Arial"/>
                <w:b/>
                <w:bCs/>
                <w:sz w:val="20"/>
              </w:rPr>
            </w:pPr>
            <w:r>
              <w:rPr>
                <w:rFonts w:ascii="Arial" w:hAnsi="Arial"/>
                <w:b/>
                <w:bCs/>
                <w:sz w:val="20"/>
              </w:rPr>
              <w:t>–</w:t>
            </w:r>
          </w:p>
        </w:tc>
        <w:tc>
          <w:tcPr>
            <w:tcW w:w="1842" w:type="dxa"/>
          </w:tcPr>
          <w:p w14:paraId="717FEC61"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3</w:t>
            </w:r>
          </w:p>
        </w:tc>
        <w:tc>
          <w:tcPr>
            <w:tcW w:w="2217" w:type="dxa"/>
          </w:tcPr>
          <w:p w14:paraId="539C2B97"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3</w:t>
            </w:r>
          </w:p>
        </w:tc>
      </w:tr>
      <w:tr w:rsidR="00265F70" w:rsidRPr="00424274" w14:paraId="5A617F74" w14:textId="77777777" w:rsidTr="000918AC">
        <w:trPr>
          <w:trHeight w:val="135"/>
        </w:trPr>
        <w:tc>
          <w:tcPr>
            <w:tcW w:w="709" w:type="dxa"/>
          </w:tcPr>
          <w:p w14:paraId="423B8B0F"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16</w:t>
            </w:r>
          </w:p>
        </w:tc>
        <w:tc>
          <w:tcPr>
            <w:tcW w:w="1862" w:type="dxa"/>
          </w:tcPr>
          <w:p w14:paraId="01529CA3" w14:textId="77777777" w:rsidR="00265F70" w:rsidRPr="00424274" w:rsidRDefault="00265F70" w:rsidP="00265F70">
            <w:pPr>
              <w:spacing w:line="276" w:lineRule="auto"/>
              <w:jc w:val="left"/>
              <w:rPr>
                <w:rFonts w:ascii="Arial" w:hAnsi="Arial"/>
                <w:b/>
                <w:sz w:val="20"/>
              </w:rPr>
            </w:pPr>
            <w:r w:rsidRPr="00424274">
              <w:rPr>
                <w:rFonts w:ascii="Arial" w:hAnsi="Arial"/>
                <w:b/>
                <w:sz w:val="20"/>
              </w:rPr>
              <w:t>FRANCIJA</w:t>
            </w:r>
          </w:p>
          <w:p w14:paraId="594FD90D" w14:textId="77777777" w:rsidR="00265F70" w:rsidRPr="00424274" w:rsidRDefault="00265F70" w:rsidP="00265F70">
            <w:pPr>
              <w:spacing w:line="276" w:lineRule="auto"/>
              <w:jc w:val="left"/>
              <w:rPr>
                <w:rFonts w:ascii="Arial" w:hAnsi="Arial"/>
                <w:b/>
                <w:sz w:val="20"/>
              </w:rPr>
            </w:pPr>
          </w:p>
        </w:tc>
        <w:tc>
          <w:tcPr>
            <w:tcW w:w="1682" w:type="dxa"/>
          </w:tcPr>
          <w:p w14:paraId="6746BEA2"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5</w:t>
            </w:r>
          </w:p>
        </w:tc>
        <w:tc>
          <w:tcPr>
            <w:tcW w:w="851" w:type="dxa"/>
          </w:tcPr>
          <w:p w14:paraId="200C3C46"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5</w:t>
            </w:r>
          </w:p>
        </w:tc>
        <w:tc>
          <w:tcPr>
            <w:tcW w:w="1842" w:type="dxa"/>
          </w:tcPr>
          <w:p w14:paraId="107100BB"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5</w:t>
            </w:r>
          </w:p>
        </w:tc>
        <w:tc>
          <w:tcPr>
            <w:tcW w:w="2217" w:type="dxa"/>
          </w:tcPr>
          <w:p w14:paraId="5A35BB5B"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5</w:t>
            </w:r>
          </w:p>
        </w:tc>
      </w:tr>
      <w:tr w:rsidR="00265F70" w:rsidRPr="00424274" w14:paraId="2C05F962" w14:textId="77777777" w:rsidTr="000918AC">
        <w:trPr>
          <w:trHeight w:val="106"/>
        </w:trPr>
        <w:tc>
          <w:tcPr>
            <w:tcW w:w="709" w:type="dxa"/>
          </w:tcPr>
          <w:p w14:paraId="69636678"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17</w:t>
            </w:r>
          </w:p>
        </w:tc>
        <w:tc>
          <w:tcPr>
            <w:tcW w:w="1862" w:type="dxa"/>
          </w:tcPr>
          <w:p w14:paraId="255F07ED" w14:textId="77777777" w:rsidR="00265F70" w:rsidRPr="00424274" w:rsidRDefault="00265F70" w:rsidP="00265F70">
            <w:pPr>
              <w:spacing w:line="276" w:lineRule="auto"/>
              <w:jc w:val="left"/>
              <w:rPr>
                <w:rFonts w:ascii="Arial" w:hAnsi="Arial"/>
                <w:b/>
                <w:sz w:val="20"/>
              </w:rPr>
            </w:pPr>
            <w:r w:rsidRPr="00424274">
              <w:rPr>
                <w:rFonts w:ascii="Arial" w:hAnsi="Arial"/>
                <w:b/>
                <w:sz w:val="20"/>
              </w:rPr>
              <w:t>GIBRALTAR</w:t>
            </w:r>
          </w:p>
          <w:p w14:paraId="49BFCC04" w14:textId="77777777" w:rsidR="00265F70" w:rsidRPr="00424274" w:rsidRDefault="00265F70" w:rsidP="00265F70">
            <w:pPr>
              <w:spacing w:line="276" w:lineRule="auto"/>
              <w:jc w:val="left"/>
              <w:rPr>
                <w:rFonts w:ascii="Arial" w:hAnsi="Arial"/>
                <w:b/>
                <w:sz w:val="20"/>
              </w:rPr>
            </w:pPr>
          </w:p>
        </w:tc>
        <w:tc>
          <w:tcPr>
            <w:tcW w:w="1682" w:type="dxa"/>
          </w:tcPr>
          <w:p w14:paraId="5E0282C7"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c>
          <w:tcPr>
            <w:tcW w:w="851" w:type="dxa"/>
          </w:tcPr>
          <w:p w14:paraId="215FF784"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c>
          <w:tcPr>
            <w:tcW w:w="1842" w:type="dxa"/>
          </w:tcPr>
          <w:p w14:paraId="79A75A04" w14:textId="596228BA" w:rsidR="00265F70" w:rsidRPr="00424274" w:rsidRDefault="00C76E23" w:rsidP="00265F70">
            <w:pPr>
              <w:spacing w:line="276" w:lineRule="auto"/>
              <w:jc w:val="center"/>
              <w:rPr>
                <w:rFonts w:ascii="Arial" w:hAnsi="Arial"/>
                <w:b/>
                <w:bCs/>
                <w:sz w:val="20"/>
              </w:rPr>
            </w:pPr>
            <w:r>
              <w:rPr>
                <w:rFonts w:ascii="Arial" w:hAnsi="Arial"/>
                <w:b/>
                <w:bCs/>
                <w:sz w:val="20"/>
              </w:rPr>
              <w:t>–</w:t>
            </w:r>
          </w:p>
        </w:tc>
        <w:tc>
          <w:tcPr>
            <w:tcW w:w="2217" w:type="dxa"/>
          </w:tcPr>
          <w:p w14:paraId="24354E34" w14:textId="25C1435C" w:rsidR="00265F70" w:rsidRPr="00424274" w:rsidRDefault="00C76E23" w:rsidP="00265F70">
            <w:pPr>
              <w:spacing w:line="276" w:lineRule="auto"/>
              <w:jc w:val="center"/>
              <w:rPr>
                <w:rFonts w:ascii="Arial" w:hAnsi="Arial"/>
                <w:b/>
                <w:bCs/>
                <w:sz w:val="20"/>
              </w:rPr>
            </w:pPr>
            <w:r>
              <w:rPr>
                <w:rFonts w:ascii="Arial" w:hAnsi="Arial"/>
                <w:b/>
                <w:bCs/>
                <w:sz w:val="20"/>
              </w:rPr>
              <w:t>–</w:t>
            </w:r>
          </w:p>
        </w:tc>
      </w:tr>
      <w:tr w:rsidR="00265F70" w:rsidRPr="00424274" w14:paraId="0B3C56A7" w14:textId="77777777" w:rsidTr="000918AC">
        <w:trPr>
          <w:trHeight w:val="240"/>
        </w:trPr>
        <w:tc>
          <w:tcPr>
            <w:tcW w:w="709" w:type="dxa"/>
          </w:tcPr>
          <w:p w14:paraId="7C3CEBEE"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18</w:t>
            </w:r>
          </w:p>
        </w:tc>
        <w:tc>
          <w:tcPr>
            <w:tcW w:w="1862" w:type="dxa"/>
          </w:tcPr>
          <w:p w14:paraId="483406AA" w14:textId="77777777" w:rsidR="00265F70" w:rsidRPr="00424274" w:rsidRDefault="00265F70" w:rsidP="00265F70">
            <w:pPr>
              <w:spacing w:line="276" w:lineRule="auto"/>
              <w:jc w:val="left"/>
              <w:rPr>
                <w:rFonts w:ascii="Arial" w:hAnsi="Arial"/>
                <w:b/>
                <w:sz w:val="20"/>
              </w:rPr>
            </w:pPr>
            <w:r w:rsidRPr="00424274">
              <w:rPr>
                <w:rFonts w:ascii="Arial" w:hAnsi="Arial"/>
                <w:b/>
                <w:sz w:val="20"/>
              </w:rPr>
              <w:t>GRČIJA</w:t>
            </w:r>
          </w:p>
          <w:p w14:paraId="0EF095AE" w14:textId="77777777" w:rsidR="00265F70" w:rsidRPr="00424274" w:rsidRDefault="00265F70" w:rsidP="00265F70">
            <w:pPr>
              <w:spacing w:line="276" w:lineRule="auto"/>
              <w:jc w:val="left"/>
              <w:rPr>
                <w:rFonts w:ascii="Arial" w:hAnsi="Arial"/>
                <w:b/>
                <w:sz w:val="20"/>
              </w:rPr>
            </w:pPr>
          </w:p>
        </w:tc>
        <w:tc>
          <w:tcPr>
            <w:tcW w:w="1682" w:type="dxa"/>
          </w:tcPr>
          <w:p w14:paraId="3EAAF998"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c>
          <w:tcPr>
            <w:tcW w:w="851" w:type="dxa"/>
          </w:tcPr>
          <w:p w14:paraId="40361DB3"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c>
          <w:tcPr>
            <w:tcW w:w="1842" w:type="dxa"/>
          </w:tcPr>
          <w:p w14:paraId="771E41ED" w14:textId="0241E775" w:rsidR="00265F70" w:rsidRPr="00424274" w:rsidRDefault="00C76E23" w:rsidP="00265F70">
            <w:pPr>
              <w:spacing w:line="276" w:lineRule="auto"/>
              <w:jc w:val="center"/>
              <w:rPr>
                <w:rFonts w:ascii="Arial" w:hAnsi="Arial"/>
                <w:b/>
                <w:bCs/>
                <w:sz w:val="20"/>
              </w:rPr>
            </w:pPr>
            <w:r>
              <w:rPr>
                <w:rFonts w:ascii="Arial" w:hAnsi="Arial"/>
                <w:b/>
                <w:bCs/>
                <w:sz w:val="20"/>
              </w:rPr>
              <w:t>–</w:t>
            </w:r>
          </w:p>
        </w:tc>
        <w:tc>
          <w:tcPr>
            <w:tcW w:w="2217" w:type="dxa"/>
          </w:tcPr>
          <w:p w14:paraId="5ED4227F" w14:textId="35592E79" w:rsidR="00265F70" w:rsidRPr="00424274" w:rsidRDefault="00C76E23" w:rsidP="00265F70">
            <w:pPr>
              <w:spacing w:line="276" w:lineRule="auto"/>
              <w:jc w:val="center"/>
              <w:rPr>
                <w:rFonts w:ascii="Arial" w:hAnsi="Arial"/>
                <w:b/>
                <w:bCs/>
                <w:sz w:val="20"/>
              </w:rPr>
            </w:pPr>
            <w:r>
              <w:rPr>
                <w:rFonts w:ascii="Arial" w:hAnsi="Arial"/>
                <w:b/>
                <w:bCs/>
                <w:sz w:val="20"/>
              </w:rPr>
              <w:t>–</w:t>
            </w:r>
          </w:p>
        </w:tc>
      </w:tr>
      <w:tr w:rsidR="00265F70" w:rsidRPr="00424274" w14:paraId="452FB79D" w14:textId="77777777" w:rsidTr="000918AC">
        <w:trPr>
          <w:trHeight w:val="372"/>
        </w:trPr>
        <w:tc>
          <w:tcPr>
            <w:tcW w:w="709" w:type="dxa"/>
          </w:tcPr>
          <w:p w14:paraId="24D50974"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19</w:t>
            </w:r>
          </w:p>
        </w:tc>
        <w:tc>
          <w:tcPr>
            <w:tcW w:w="1862" w:type="dxa"/>
          </w:tcPr>
          <w:p w14:paraId="1BD8773E" w14:textId="77777777" w:rsidR="00265F70" w:rsidRPr="00424274" w:rsidRDefault="00265F70" w:rsidP="00265F70">
            <w:pPr>
              <w:spacing w:line="276" w:lineRule="auto"/>
              <w:jc w:val="left"/>
              <w:rPr>
                <w:rFonts w:ascii="Arial" w:hAnsi="Arial"/>
                <w:b/>
                <w:sz w:val="20"/>
              </w:rPr>
            </w:pPr>
            <w:r w:rsidRPr="00424274">
              <w:rPr>
                <w:rFonts w:ascii="Arial" w:hAnsi="Arial"/>
                <w:b/>
                <w:sz w:val="20"/>
              </w:rPr>
              <w:t>GUERNSEY</w:t>
            </w:r>
          </w:p>
        </w:tc>
        <w:tc>
          <w:tcPr>
            <w:tcW w:w="1682" w:type="dxa"/>
          </w:tcPr>
          <w:p w14:paraId="5A633FAB" w14:textId="3958AFED" w:rsidR="00265F70" w:rsidRPr="00424274" w:rsidRDefault="00C76E23" w:rsidP="00265F70">
            <w:pPr>
              <w:spacing w:line="276" w:lineRule="auto"/>
              <w:jc w:val="center"/>
              <w:rPr>
                <w:rFonts w:ascii="Arial" w:hAnsi="Arial"/>
                <w:b/>
                <w:bCs/>
                <w:sz w:val="20"/>
              </w:rPr>
            </w:pPr>
            <w:r>
              <w:rPr>
                <w:rFonts w:ascii="Arial" w:hAnsi="Arial"/>
                <w:b/>
                <w:bCs/>
                <w:sz w:val="20"/>
              </w:rPr>
              <w:t>–</w:t>
            </w:r>
          </w:p>
        </w:tc>
        <w:tc>
          <w:tcPr>
            <w:tcW w:w="851" w:type="dxa"/>
          </w:tcPr>
          <w:p w14:paraId="2C8E5B2A" w14:textId="1A61EB05" w:rsidR="00265F70" w:rsidRPr="00424274" w:rsidRDefault="00C76E23" w:rsidP="00265F70">
            <w:pPr>
              <w:spacing w:line="276" w:lineRule="auto"/>
              <w:jc w:val="center"/>
              <w:rPr>
                <w:rFonts w:ascii="Arial" w:hAnsi="Arial"/>
                <w:b/>
                <w:bCs/>
                <w:sz w:val="20"/>
              </w:rPr>
            </w:pPr>
            <w:r>
              <w:rPr>
                <w:rFonts w:ascii="Arial" w:hAnsi="Arial"/>
                <w:b/>
                <w:bCs/>
                <w:sz w:val="20"/>
              </w:rPr>
              <w:t>–</w:t>
            </w:r>
          </w:p>
        </w:tc>
        <w:tc>
          <w:tcPr>
            <w:tcW w:w="1842" w:type="dxa"/>
          </w:tcPr>
          <w:p w14:paraId="6C4C1E24"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3</w:t>
            </w:r>
          </w:p>
        </w:tc>
        <w:tc>
          <w:tcPr>
            <w:tcW w:w="2217" w:type="dxa"/>
          </w:tcPr>
          <w:p w14:paraId="3F2D3AA6"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3</w:t>
            </w:r>
          </w:p>
        </w:tc>
      </w:tr>
      <w:tr w:rsidR="00265F70" w:rsidRPr="00424274" w14:paraId="36566A1B" w14:textId="77777777" w:rsidTr="000918AC">
        <w:trPr>
          <w:trHeight w:val="106"/>
        </w:trPr>
        <w:tc>
          <w:tcPr>
            <w:tcW w:w="709" w:type="dxa"/>
          </w:tcPr>
          <w:p w14:paraId="52A3DC8C"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20</w:t>
            </w:r>
          </w:p>
        </w:tc>
        <w:tc>
          <w:tcPr>
            <w:tcW w:w="1862" w:type="dxa"/>
          </w:tcPr>
          <w:p w14:paraId="7350D0E1" w14:textId="3981E314" w:rsidR="00265F70" w:rsidRPr="00424274" w:rsidRDefault="00265F70" w:rsidP="00265F70">
            <w:pPr>
              <w:spacing w:line="276" w:lineRule="auto"/>
              <w:jc w:val="left"/>
              <w:rPr>
                <w:rFonts w:ascii="Arial" w:hAnsi="Arial"/>
                <w:b/>
                <w:sz w:val="20"/>
              </w:rPr>
            </w:pPr>
            <w:r w:rsidRPr="00424274">
              <w:rPr>
                <w:rFonts w:ascii="Arial" w:hAnsi="Arial"/>
                <w:b/>
                <w:sz w:val="20"/>
              </w:rPr>
              <w:t>HONGKONG</w:t>
            </w:r>
          </w:p>
          <w:p w14:paraId="7E6A48C3" w14:textId="77777777" w:rsidR="00265F70" w:rsidRPr="00424274" w:rsidRDefault="00265F70" w:rsidP="00265F70">
            <w:pPr>
              <w:spacing w:line="276" w:lineRule="auto"/>
              <w:jc w:val="left"/>
              <w:rPr>
                <w:rFonts w:ascii="Arial" w:hAnsi="Arial"/>
                <w:b/>
                <w:sz w:val="20"/>
              </w:rPr>
            </w:pPr>
          </w:p>
        </w:tc>
        <w:tc>
          <w:tcPr>
            <w:tcW w:w="1682" w:type="dxa"/>
          </w:tcPr>
          <w:p w14:paraId="4E7658F3"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6</w:t>
            </w:r>
          </w:p>
        </w:tc>
        <w:tc>
          <w:tcPr>
            <w:tcW w:w="851" w:type="dxa"/>
          </w:tcPr>
          <w:p w14:paraId="2D3F42B6"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6</w:t>
            </w:r>
          </w:p>
        </w:tc>
        <w:tc>
          <w:tcPr>
            <w:tcW w:w="1842" w:type="dxa"/>
          </w:tcPr>
          <w:p w14:paraId="6EEF1130"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c>
          <w:tcPr>
            <w:tcW w:w="2217" w:type="dxa"/>
          </w:tcPr>
          <w:p w14:paraId="64734CCE"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r>
      <w:tr w:rsidR="00265F70" w:rsidRPr="00424274" w14:paraId="1D497617" w14:textId="77777777" w:rsidTr="000918AC">
        <w:tc>
          <w:tcPr>
            <w:tcW w:w="709" w:type="dxa"/>
          </w:tcPr>
          <w:p w14:paraId="2C315D89"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21</w:t>
            </w:r>
          </w:p>
        </w:tc>
        <w:tc>
          <w:tcPr>
            <w:tcW w:w="1862" w:type="dxa"/>
          </w:tcPr>
          <w:p w14:paraId="7CDE0E6F" w14:textId="77777777" w:rsidR="00265F70" w:rsidRPr="00424274" w:rsidRDefault="00265F70" w:rsidP="00265F70">
            <w:pPr>
              <w:spacing w:line="276" w:lineRule="auto"/>
              <w:jc w:val="left"/>
              <w:rPr>
                <w:rFonts w:ascii="Arial" w:hAnsi="Arial"/>
                <w:b/>
                <w:sz w:val="20"/>
              </w:rPr>
            </w:pPr>
            <w:r w:rsidRPr="00424274">
              <w:rPr>
                <w:rFonts w:ascii="Arial" w:hAnsi="Arial"/>
                <w:b/>
                <w:sz w:val="20"/>
              </w:rPr>
              <w:t>HRVAŠKA</w:t>
            </w:r>
          </w:p>
          <w:p w14:paraId="6DDCA4F8" w14:textId="77777777" w:rsidR="00265F70" w:rsidRPr="00424274" w:rsidRDefault="00265F70" w:rsidP="00265F70">
            <w:pPr>
              <w:spacing w:line="276" w:lineRule="auto"/>
              <w:jc w:val="left"/>
              <w:rPr>
                <w:rFonts w:ascii="Arial" w:hAnsi="Arial"/>
                <w:b/>
                <w:sz w:val="20"/>
              </w:rPr>
            </w:pPr>
          </w:p>
        </w:tc>
        <w:tc>
          <w:tcPr>
            <w:tcW w:w="1682" w:type="dxa"/>
          </w:tcPr>
          <w:p w14:paraId="44B1A69E"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36</w:t>
            </w:r>
          </w:p>
        </w:tc>
        <w:tc>
          <w:tcPr>
            <w:tcW w:w="851" w:type="dxa"/>
          </w:tcPr>
          <w:p w14:paraId="6E51E438"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32</w:t>
            </w:r>
          </w:p>
        </w:tc>
        <w:tc>
          <w:tcPr>
            <w:tcW w:w="1842" w:type="dxa"/>
          </w:tcPr>
          <w:p w14:paraId="56AD3CF7"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9</w:t>
            </w:r>
          </w:p>
        </w:tc>
        <w:tc>
          <w:tcPr>
            <w:tcW w:w="2217" w:type="dxa"/>
          </w:tcPr>
          <w:p w14:paraId="4F08BD0D"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9</w:t>
            </w:r>
          </w:p>
        </w:tc>
      </w:tr>
      <w:tr w:rsidR="00265F70" w:rsidRPr="00424274" w14:paraId="4E097C92" w14:textId="77777777" w:rsidTr="000918AC">
        <w:trPr>
          <w:trHeight w:val="150"/>
        </w:trPr>
        <w:tc>
          <w:tcPr>
            <w:tcW w:w="709" w:type="dxa"/>
          </w:tcPr>
          <w:p w14:paraId="26440615"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22</w:t>
            </w:r>
          </w:p>
        </w:tc>
        <w:tc>
          <w:tcPr>
            <w:tcW w:w="1862" w:type="dxa"/>
          </w:tcPr>
          <w:p w14:paraId="1AAA102C" w14:textId="77777777" w:rsidR="00265F70" w:rsidRPr="00424274" w:rsidRDefault="00265F70" w:rsidP="00265F70">
            <w:pPr>
              <w:spacing w:line="276" w:lineRule="auto"/>
              <w:jc w:val="left"/>
              <w:rPr>
                <w:rFonts w:ascii="Arial" w:hAnsi="Arial"/>
                <w:b/>
                <w:bCs/>
                <w:sz w:val="20"/>
              </w:rPr>
            </w:pPr>
            <w:r w:rsidRPr="00424274">
              <w:rPr>
                <w:rFonts w:ascii="Arial" w:hAnsi="Arial"/>
                <w:b/>
                <w:bCs/>
                <w:sz w:val="20"/>
              </w:rPr>
              <w:t>INDIJA</w:t>
            </w:r>
          </w:p>
          <w:p w14:paraId="093B38D6" w14:textId="77777777" w:rsidR="00265F70" w:rsidRPr="00424274" w:rsidRDefault="00265F70" w:rsidP="00265F70">
            <w:pPr>
              <w:spacing w:line="276" w:lineRule="auto"/>
              <w:jc w:val="left"/>
              <w:rPr>
                <w:rFonts w:ascii="Arial" w:hAnsi="Arial"/>
                <w:b/>
                <w:bCs/>
                <w:sz w:val="20"/>
              </w:rPr>
            </w:pPr>
          </w:p>
        </w:tc>
        <w:tc>
          <w:tcPr>
            <w:tcW w:w="1682" w:type="dxa"/>
          </w:tcPr>
          <w:p w14:paraId="40001CD8" w14:textId="46F13BF3" w:rsidR="00265F70" w:rsidRPr="00424274" w:rsidRDefault="00C76E23" w:rsidP="00265F70">
            <w:pPr>
              <w:spacing w:line="276" w:lineRule="auto"/>
              <w:jc w:val="center"/>
              <w:rPr>
                <w:rFonts w:ascii="Arial" w:hAnsi="Arial"/>
                <w:b/>
                <w:bCs/>
                <w:sz w:val="20"/>
              </w:rPr>
            </w:pPr>
            <w:r>
              <w:rPr>
                <w:rFonts w:ascii="Arial" w:hAnsi="Arial"/>
                <w:b/>
                <w:bCs/>
                <w:sz w:val="20"/>
              </w:rPr>
              <w:t>–</w:t>
            </w:r>
          </w:p>
        </w:tc>
        <w:tc>
          <w:tcPr>
            <w:tcW w:w="851" w:type="dxa"/>
          </w:tcPr>
          <w:p w14:paraId="5F5F5FA9" w14:textId="2F95B045" w:rsidR="00265F70" w:rsidRPr="00424274" w:rsidRDefault="00C76E23" w:rsidP="00265F70">
            <w:pPr>
              <w:spacing w:line="276" w:lineRule="auto"/>
              <w:jc w:val="center"/>
              <w:rPr>
                <w:rFonts w:ascii="Arial" w:hAnsi="Arial"/>
                <w:b/>
                <w:bCs/>
                <w:sz w:val="20"/>
              </w:rPr>
            </w:pPr>
            <w:r>
              <w:rPr>
                <w:rFonts w:ascii="Arial" w:hAnsi="Arial"/>
                <w:b/>
                <w:bCs/>
                <w:sz w:val="20"/>
              </w:rPr>
              <w:t>–</w:t>
            </w:r>
          </w:p>
        </w:tc>
        <w:tc>
          <w:tcPr>
            <w:tcW w:w="1842" w:type="dxa"/>
          </w:tcPr>
          <w:p w14:paraId="68E5C463"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c>
          <w:tcPr>
            <w:tcW w:w="2217" w:type="dxa"/>
          </w:tcPr>
          <w:p w14:paraId="51ABFCAE"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r>
      <w:tr w:rsidR="00265F70" w:rsidRPr="00424274" w14:paraId="21B60E1A" w14:textId="77777777" w:rsidTr="000918AC">
        <w:trPr>
          <w:trHeight w:val="297"/>
        </w:trPr>
        <w:tc>
          <w:tcPr>
            <w:tcW w:w="709" w:type="dxa"/>
          </w:tcPr>
          <w:p w14:paraId="5CFCD351"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23</w:t>
            </w:r>
          </w:p>
        </w:tc>
        <w:tc>
          <w:tcPr>
            <w:tcW w:w="1862" w:type="dxa"/>
          </w:tcPr>
          <w:p w14:paraId="6A43A1F1" w14:textId="77777777" w:rsidR="00265F70" w:rsidRPr="00424274" w:rsidRDefault="00265F70" w:rsidP="00265F70">
            <w:pPr>
              <w:spacing w:line="276" w:lineRule="auto"/>
              <w:jc w:val="left"/>
              <w:rPr>
                <w:rFonts w:ascii="Arial" w:hAnsi="Arial"/>
                <w:b/>
                <w:bCs/>
                <w:sz w:val="20"/>
              </w:rPr>
            </w:pPr>
            <w:r w:rsidRPr="00424274">
              <w:rPr>
                <w:rFonts w:ascii="Arial" w:hAnsi="Arial"/>
                <w:b/>
                <w:bCs/>
                <w:sz w:val="20"/>
              </w:rPr>
              <w:t>IRSKA</w:t>
            </w:r>
          </w:p>
          <w:p w14:paraId="3FA87A62" w14:textId="77777777" w:rsidR="00265F70" w:rsidRPr="00424274" w:rsidRDefault="00265F70" w:rsidP="00265F70">
            <w:pPr>
              <w:spacing w:line="276" w:lineRule="auto"/>
              <w:jc w:val="left"/>
              <w:rPr>
                <w:rFonts w:ascii="Arial" w:hAnsi="Arial"/>
                <w:b/>
                <w:bCs/>
                <w:sz w:val="20"/>
              </w:rPr>
            </w:pPr>
          </w:p>
        </w:tc>
        <w:tc>
          <w:tcPr>
            <w:tcW w:w="1682" w:type="dxa"/>
          </w:tcPr>
          <w:p w14:paraId="3D6BE7A8"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c>
          <w:tcPr>
            <w:tcW w:w="851" w:type="dxa"/>
          </w:tcPr>
          <w:p w14:paraId="6FA2DAA4"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c>
          <w:tcPr>
            <w:tcW w:w="1842" w:type="dxa"/>
          </w:tcPr>
          <w:p w14:paraId="55AAB1C6"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c>
          <w:tcPr>
            <w:tcW w:w="2217" w:type="dxa"/>
          </w:tcPr>
          <w:p w14:paraId="1072DDDC"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r>
      <w:tr w:rsidR="00265F70" w:rsidRPr="00424274" w14:paraId="5F496465" w14:textId="77777777" w:rsidTr="000918AC">
        <w:trPr>
          <w:trHeight w:val="312"/>
        </w:trPr>
        <w:tc>
          <w:tcPr>
            <w:tcW w:w="709" w:type="dxa"/>
          </w:tcPr>
          <w:p w14:paraId="6047B25E"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24</w:t>
            </w:r>
          </w:p>
        </w:tc>
        <w:tc>
          <w:tcPr>
            <w:tcW w:w="1862" w:type="dxa"/>
          </w:tcPr>
          <w:p w14:paraId="39929F75" w14:textId="77777777" w:rsidR="00265F70" w:rsidRPr="00424274" w:rsidRDefault="00265F70" w:rsidP="00265F70">
            <w:pPr>
              <w:spacing w:line="276" w:lineRule="auto"/>
              <w:jc w:val="left"/>
              <w:rPr>
                <w:rFonts w:ascii="Arial" w:hAnsi="Arial"/>
                <w:b/>
                <w:bCs/>
                <w:sz w:val="20"/>
              </w:rPr>
            </w:pPr>
            <w:r w:rsidRPr="00424274">
              <w:rPr>
                <w:rFonts w:ascii="Arial" w:hAnsi="Arial"/>
                <w:b/>
                <w:bCs/>
                <w:sz w:val="20"/>
              </w:rPr>
              <w:t>ISLE OF MAN</w:t>
            </w:r>
          </w:p>
        </w:tc>
        <w:tc>
          <w:tcPr>
            <w:tcW w:w="1682" w:type="dxa"/>
          </w:tcPr>
          <w:p w14:paraId="48FC2724" w14:textId="1C981C7D" w:rsidR="00265F70" w:rsidRPr="00424274" w:rsidRDefault="00C76E23" w:rsidP="00265F70">
            <w:pPr>
              <w:spacing w:line="276" w:lineRule="auto"/>
              <w:jc w:val="center"/>
              <w:rPr>
                <w:rFonts w:ascii="Arial" w:hAnsi="Arial"/>
                <w:b/>
                <w:bCs/>
                <w:sz w:val="20"/>
              </w:rPr>
            </w:pPr>
            <w:r>
              <w:rPr>
                <w:rFonts w:ascii="Arial" w:hAnsi="Arial"/>
                <w:b/>
                <w:bCs/>
                <w:sz w:val="20"/>
              </w:rPr>
              <w:t>–</w:t>
            </w:r>
          </w:p>
        </w:tc>
        <w:tc>
          <w:tcPr>
            <w:tcW w:w="851" w:type="dxa"/>
          </w:tcPr>
          <w:p w14:paraId="0C766F8A" w14:textId="12899D96" w:rsidR="00265F70" w:rsidRPr="00424274" w:rsidRDefault="00C76E23" w:rsidP="00265F70">
            <w:pPr>
              <w:spacing w:line="276" w:lineRule="auto"/>
              <w:jc w:val="center"/>
              <w:rPr>
                <w:rFonts w:ascii="Arial" w:hAnsi="Arial"/>
                <w:b/>
                <w:bCs/>
                <w:sz w:val="20"/>
              </w:rPr>
            </w:pPr>
            <w:r>
              <w:rPr>
                <w:rFonts w:ascii="Arial" w:hAnsi="Arial"/>
                <w:b/>
                <w:bCs/>
                <w:sz w:val="20"/>
              </w:rPr>
              <w:t>–</w:t>
            </w:r>
          </w:p>
        </w:tc>
        <w:tc>
          <w:tcPr>
            <w:tcW w:w="1842" w:type="dxa"/>
          </w:tcPr>
          <w:p w14:paraId="36A1C458"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c>
          <w:tcPr>
            <w:tcW w:w="2217" w:type="dxa"/>
          </w:tcPr>
          <w:p w14:paraId="76F63B2F"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r>
      <w:tr w:rsidR="00265F70" w:rsidRPr="00424274" w14:paraId="77352308" w14:textId="77777777" w:rsidTr="000918AC">
        <w:trPr>
          <w:trHeight w:val="165"/>
        </w:trPr>
        <w:tc>
          <w:tcPr>
            <w:tcW w:w="709" w:type="dxa"/>
          </w:tcPr>
          <w:p w14:paraId="1D9D6D4E"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lastRenderedPageBreak/>
              <w:t>25</w:t>
            </w:r>
          </w:p>
        </w:tc>
        <w:tc>
          <w:tcPr>
            <w:tcW w:w="1862" w:type="dxa"/>
          </w:tcPr>
          <w:p w14:paraId="3B77116B" w14:textId="77777777" w:rsidR="00265F70" w:rsidRPr="00424274" w:rsidRDefault="00265F70" w:rsidP="00265F70">
            <w:pPr>
              <w:spacing w:line="276" w:lineRule="auto"/>
              <w:jc w:val="left"/>
              <w:rPr>
                <w:rFonts w:ascii="Arial" w:hAnsi="Arial"/>
                <w:b/>
                <w:bCs/>
                <w:sz w:val="20"/>
              </w:rPr>
            </w:pPr>
            <w:r w:rsidRPr="00424274">
              <w:rPr>
                <w:rFonts w:ascii="Arial" w:hAnsi="Arial"/>
                <w:b/>
                <w:bCs/>
                <w:sz w:val="20"/>
              </w:rPr>
              <w:t>ITALIJA</w:t>
            </w:r>
          </w:p>
          <w:p w14:paraId="61E405AB" w14:textId="77777777" w:rsidR="00265F70" w:rsidRPr="00424274" w:rsidRDefault="00265F70" w:rsidP="00265F70">
            <w:pPr>
              <w:spacing w:line="276" w:lineRule="auto"/>
              <w:jc w:val="left"/>
              <w:rPr>
                <w:rFonts w:ascii="Arial" w:hAnsi="Arial"/>
                <w:b/>
                <w:bCs/>
                <w:sz w:val="20"/>
              </w:rPr>
            </w:pPr>
          </w:p>
        </w:tc>
        <w:tc>
          <w:tcPr>
            <w:tcW w:w="1682" w:type="dxa"/>
          </w:tcPr>
          <w:p w14:paraId="03BA5C1F"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95</w:t>
            </w:r>
          </w:p>
        </w:tc>
        <w:tc>
          <w:tcPr>
            <w:tcW w:w="851" w:type="dxa"/>
          </w:tcPr>
          <w:p w14:paraId="1F6CD36D"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93</w:t>
            </w:r>
          </w:p>
        </w:tc>
        <w:tc>
          <w:tcPr>
            <w:tcW w:w="1842" w:type="dxa"/>
          </w:tcPr>
          <w:p w14:paraId="2CF7BEFC"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21</w:t>
            </w:r>
          </w:p>
        </w:tc>
        <w:tc>
          <w:tcPr>
            <w:tcW w:w="2217" w:type="dxa"/>
          </w:tcPr>
          <w:p w14:paraId="3766A0D7"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21</w:t>
            </w:r>
          </w:p>
        </w:tc>
      </w:tr>
      <w:tr w:rsidR="00265F70" w:rsidRPr="00424274" w14:paraId="0BE52ABF" w14:textId="77777777" w:rsidTr="000918AC">
        <w:trPr>
          <w:trHeight w:val="120"/>
        </w:trPr>
        <w:tc>
          <w:tcPr>
            <w:tcW w:w="709" w:type="dxa"/>
          </w:tcPr>
          <w:p w14:paraId="4C8DDC52"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26</w:t>
            </w:r>
          </w:p>
        </w:tc>
        <w:tc>
          <w:tcPr>
            <w:tcW w:w="1862" w:type="dxa"/>
          </w:tcPr>
          <w:p w14:paraId="794A1DB6" w14:textId="77777777" w:rsidR="00265F70" w:rsidRPr="00424274" w:rsidRDefault="00265F70" w:rsidP="00265F70">
            <w:pPr>
              <w:spacing w:line="276" w:lineRule="auto"/>
              <w:jc w:val="left"/>
              <w:rPr>
                <w:rFonts w:ascii="Arial" w:hAnsi="Arial"/>
                <w:b/>
                <w:bCs/>
                <w:sz w:val="20"/>
              </w:rPr>
            </w:pPr>
            <w:r w:rsidRPr="00424274">
              <w:rPr>
                <w:rFonts w:ascii="Arial" w:hAnsi="Arial"/>
                <w:b/>
                <w:bCs/>
                <w:sz w:val="20"/>
              </w:rPr>
              <w:t>IZRAEL</w:t>
            </w:r>
          </w:p>
          <w:p w14:paraId="2B62CCD9" w14:textId="77777777" w:rsidR="00265F70" w:rsidRPr="00424274" w:rsidRDefault="00265F70" w:rsidP="00265F70">
            <w:pPr>
              <w:spacing w:line="276" w:lineRule="auto"/>
              <w:jc w:val="left"/>
              <w:rPr>
                <w:rFonts w:ascii="Arial" w:hAnsi="Arial"/>
                <w:b/>
                <w:bCs/>
                <w:sz w:val="20"/>
              </w:rPr>
            </w:pPr>
          </w:p>
        </w:tc>
        <w:tc>
          <w:tcPr>
            <w:tcW w:w="1682" w:type="dxa"/>
          </w:tcPr>
          <w:p w14:paraId="085972E2"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3</w:t>
            </w:r>
          </w:p>
        </w:tc>
        <w:tc>
          <w:tcPr>
            <w:tcW w:w="851" w:type="dxa"/>
          </w:tcPr>
          <w:p w14:paraId="6A98F79B"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2</w:t>
            </w:r>
          </w:p>
        </w:tc>
        <w:tc>
          <w:tcPr>
            <w:tcW w:w="1842" w:type="dxa"/>
          </w:tcPr>
          <w:p w14:paraId="095FD54C"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5</w:t>
            </w:r>
          </w:p>
        </w:tc>
        <w:tc>
          <w:tcPr>
            <w:tcW w:w="2217" w:type="dxa"/>
          </w:tcPr>
          <w:p w14:paraId="3C866BDF"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2</w:t>
            </w:r>
          </w:p>
        </w:tc>
      </w:tr>
      <w:tr w:rsidR="00265F70" w:rsidRPr="00424274" w14:paraId="2C99F034" w14:textId="77777777" w:rsidTr="000918AC">
        <w:trPr>
          <w:trHeight w:val="120"/>
        </w:trPr>
        <w:tc>
          <w:tcPr>
            <w:tcW w:w="709" w:type="dxa"/>
          </w:tcPr>
          <w:p w14:paraId="71A5A7F7"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27</w:t>
            </w:r>
          </w:p>
        </w:tc>
        <w:tc>
          <w:tcPr>
            <w:tcW w:w="1862" w:type="dxa"/>
          </w:tcPr>
          <w:p w14:paraId="7B29B2FA" w14:textId="77777777" w:rsidR="00265F70" w:rsidRPr="00424274" w:rsidRDefault="00265F70" w:rsidP="00265F70">
            <w:pPr>
              <w:spacing w:line="276" w:lineRule="auto"/>
              <w:jc w:val="left"/>
              <w:rPr>
                <w:rFonts w:ascii="Arial" w:hAnsi="Arial"/>
                <w:b/>
                <w:bCs/>
                <w:sz w:val="20"/>
              </w:rPr>
            </w:pPr>
            <w:r w:rsidRPr="00424274">
              <w:rPr>
                <w:rFonts w:ascii="Arial" w:hAnsi="Arial"/>
                <w:b/>
                <w:bCs/>
                <w:sz w:val="20"/>
              </w:rPr>
              <w:t>JAPONSKA</w:t>
            </w:r>
          </w:p>
          <w:p w14:paraId="09C41197" w14:textId="77777777" w:rsidR="00265F70" w:rsidRPr="00424274" w:rsidRDefault="00265F70" w:rsidP="00265F70">
            <w:pPr>
              <w:spacing w:line="276" w:lineRule="auto"/>
              <w:jc w:val="left"/>
              <w:rPr>
                <w:rFonts w:ascii="Arial" w:hAnsi="Arial"/>
                <w:b/>
                <w:bCs/>
                <w:sz w:val="20"/>
              </w:rPr>
            </w:pPr>
          </w:p>
        </w:tc>
        <w:tc>
          <w:tcPr>
            <w:tcW w:w="1682" w:type="dxa"/>
          </w:tcPr>
          <w:p w14:paraId="41E38F91" w14:textId="446F437B" w:rsidR="00265F70" w:rsidRPr="00424274" w:rsidRDefault="00C76E23" w:rsidP="00265F70">
            <w:pPr>
              <w:spacing w:line="276" w:lineRule="auto"/>
              <w:jc w:val="center"/>
              <w:rPr>
                <w:rFonts w:ascii="Arial" w:hAnsi="Arial"/>
                <w:b/>
                <w:bCs/>
                <w:sz w:val="20"/>
              </w:rPr>
            </w:pPr>
            <w:r>
              <w:rPr>
                <w:rFonts w:ascii="Arial" w:hAnsi="Arial"/>
                <w:b/>
                <w:bCs/>
                <w:sz w:val="20"/>
              </w:rPr>
              <w:t>–</w:t>
            </w:r>
          </w:p>
        </w:tc>
        <w:tc>
          <w:tcPr>
            <w:tcW w:w="851" w:type="dxa"/>
          </w:tcPr>
          <w:p w14:paraId="520792FA" w14:textId="7B7CA42A" w:rsidR="00265F70" w:rsidRPr="00424274" w:rsidRDefault="00C76E23" w:rsidP="00265F70">
            <w:pPr>
              <w:spacing w:line="276" w:lineRule="auto"/>
              <w:jc w:val="center"/>
              <w:rPr>
                <w:rFonts w:ascii="Arial" w:hAnsi="Arial"/>
                <w:b/>
                <w:bCs/>
                <w:sz w:val="20"/>
              </w:rPr>
            </w:pPr>
            <w:r>
              <w:rPr>
                <w:rFonts w:ascii="Arial" w:hAnsi="Arial"/>
                <w:b/>
                <w:bCs/>
                <w:sz w:val="20"/>
              </w:rPr>
              <w:t>–</w:t>
            </w:r>
          </w:p>
        </w:tc>
        <w:tc>
          <w:tcPr>
            <w:tcW w:w="1842" w:type="dxa"/>
          </w:tcPr>
          <w:p w14:paraId="079E70D8"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2</w:t>
            </w:r>
          </w:p>
        </w:tc>
        <w:tc>
          <w:tcPr>
            <w:tcW w:w="2217" w:type="dxa"/>
          </w:tcPr>
          <w:p w14:paraId="645BB0C9"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2</w:t>
            </w:r>
          </w:p>
        </w:tc>
      </w:tr>
      <w:tr w:rsidR="00265F70" w:rsidRPr="00424274" w14:paraId="46A81F40" w14:textId="77777777" w:rsidTr="000918AC">
        <w:trPr>
          <w:trHeight w:val="120"/>
        </w:trPr>
        <w:tc>
          <w:tcPr>
            <w:tcW w:w="709" w:type="dxa"/>
          </w:tcPr>
          <w:p w14:paraId="28A0C4EC"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28</w:t>
            </w:r>
          </w:p>
        </w:tc>
        <w:tc>
          <w:tcPr>
            <w:tcW w:w="1862" w:type="dxa"/>
          </w:tcPr>
          <w:p w14:paraId="3AAF56E5" w14:textId="77777777" w:rsidR="00265F70" w:rsidRPr="00424274" w:rsidRDefault="00265F70" w:rsidP="00265F70">
            <w:pPr>
              <w:spacing w:line="276" w:lineRule="auto"/>
              <w:jc w:val="left"/>
              <w:rPr>
                <w:rFonts w:ascii="Arial" w:hAnsi="Arial"/>
                <w:b/>
                <w:bCs/>
                <w:sz w:val="20"/>
              </w:rPr>
            </w:pPr>
            <w:r w:rsidRPr="00424274">
              <w:rPr>
                <w:rFonts w:ascii="Arial" w:hAnsi="Arial"/>
                <w:b/>
                <w:bCs/>
                <w:sz w:val="20"/>
              </w:rPr>
              <w:t>JUŽNA AFRIKA</w:t>
            </w:r>
          </w:p>
          <w:p w14:paraId="73A55BC4" w14:textId="77777777" w:rsidR="00265F70" w:rsidRPr="00424274" w:rsidRDefault="00265F70" w:rsidP="00265F70">
            <w:pPr>
              <w:spacing w:line="276" w:lineRule="auto"/>
              <w:jc w:val="left"/>
              <w:rPr>
                <w:rFonts w:ascii="Arial" w:hAnsi="Arial"/>
                <w:b/>
                <w:bCs/>
                <w:sz w:val="20"/>
              </w:rPr>
            </w:pPr>
          </w:p>
        </w:tc>
        <w:tc>
          <w:tcPr>
            <w:tcW w:w="1682" w:type="dxa"/>
          </w:tcPr>
          <w:p w14:paraId="29BE6078"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c>
          <w:tcPr>
            <w:tcW w:w="851" w:type="dxa"/>
          </w:tcPr>
          <w:p w14:paraId="0787B596"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c>
          <w:tcPr>
            <w:tcW w:w="1842" w:type="dxa"/>
          </w:tcPr>
          <w:p w14:paraId="7C4DF4BC" w14:textId="77B2E155" w:rsidR="00265F70" w:rsidRPr="00424274" w:rsidRDefault="00C76E23" w:rsidP="00265F70">
            <w:pPr>
              <w:spacing w:line="276" w:lineRule="auto"/>
              <w:jc w:val="center"/>
              <w:rPr>
                <w:rFonts w:ascii="Arial" w:hAnsi="Arial"/>
                <w:b/>
                <w:bCs/>
                <w:sz w:val="20"/>
              </w:rPr>
            </w:pPr>
            <w:r>
              <w:rPr>
                <w:rFonts w:ascii="Arial" w:hAnsi="Arial"/>
                <w:b/>
                <w:bCs/>
                <w:sz w:val="20"/>
              </w:rPr>
              <w:t>–</w:t>
            </w:r>
          </w:p>
        </w:tc>
        <w:tc>
          <w:tcPr>
            <w:tcW w:w="2217" w:type="dxa"/>
          </w:tcPr>
          <w:p w14:paraId="55B2C7CE" w14:textId="247B604F" w:rsidR="00265F70" w:rsidRPr="00424274" w:rsidRDefault="00C76E23" w:rsidP="00265F70">
            <w:pPr>
              <w:spacing w:line="276" w:lineRule="auto"/>
              <w:jc w:val="center"/>
              <w:rPr>
                <w:rFonts w:ascii="Arial" w:hAnsi="Arial"/>
                <w:b/>
                <w:bCs/>
                <w:sz w:val="20"/>
              </w:rPr>
            </w:pPr>
            <w:r>
              <w:rPr>
                <w:rFonts w:ascii="Arial" w:hAnsi="Arial"/>
                <w:b/>
                <w:bCs/>
                <w:sz w:val="20"/>
              </w:rPr>
              <w:t>–</w:t>
            </w:r>
          </w:p>
        </w:tc>
      </w:tr>
      <w:tr w:rsidR="00265F70" w:rsidRPr="00424274" w14:paraId="3D0B359C" w14:textId="77777777" w:rsidTr="000918AC">
        <w:trPr>
          <w:trHeight w:val="237"/>
        </w:trPr>
        <w:tc>
          <w:tcPr>
            <w:tcW w:w="709" w:type="dxa"/>
          </w:tcPr>
          <w:p w14:paraId="3AC3A5EE"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29</w:t>
            </w:r>
          </w:p>
        </w:tc>
        <w:tc>
          <w:tcPr>
            <w:tcW w:w="1862" w:type="dxa"/>
          </w:tcPr>
          <w:p w14:paraId="7EC16077" w14:textId="77777777" w:rsidR="00265F70" w:rsidRPr="00424274" w:rsidRDefault="00265F70" w:rsidP="00265F70">
            <w:pPr>
              <w:spacing w:line="276" w:lineRule="auto"/>
              <w:jc w:val="left"/>
              <w:rPr>
                <w:rFonts w:ascii="Arial" w:hAnsi="Arial"/>
                <w:b/>
                <w:bCs/>
                <w:sz w:val="20"/>
              </w:rPr>
            </w:pPr>
            <w:r w:rsidRPr="00424274">
              <w:rPr>
                <w:rFonts w:ascii="Arial" w:hAnsi="Arial"/>
                <w:b/>
                <w:bCs/>
                <w:sz w:val="20"/>
              </w:rPr>
              <w:t>KANADA</w:t>
            </w:r>
          </w:p>
          <w:p w14:paraId="5B9EC099" w14:textId="77777777" w:rsidR="00265F70" w:rsidRPr="00424274" w:rsidRDefault="00265F70" w:rsidP="00265F70">
            <w:pPr>
              <w:spacing w:line="276" w:lineRule="auto"/>
              <w:jc w:val="left"/>
              <w:rPr>
                <w:rFonts w:ascii="Arial" w:hAnsi="Arial"/>
                <w:b/>
                <w:bCs/>
                <w:sz w:val="20"/>
              </w:rPr>
            </w:pPr>
          </w:p>
        </w:tc>
        <w:tc>
          <w:tcPr>
            <w:tcW w:w="1682" w:type="dxa"/>
          </w:tcPr>
          <w:p w14:paraId="744F81B9"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c>
          <w:tcPr>
            <w:tcW w:w="851" w:type="dxa"/>
          </w:tcPr>
          <w:p w14:paraId="293095BD"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c>
          <w:tcPr>
            <w:tcW w:w="1842" w:type="dxa"/>
          </w:tcPr>
          <w:p w14:paraId="47ED2D21" w14:textId="2C2A75DE" w:rsidR="00265F70" w:rsidRPr="00424274" w:rsidRDefault="00C76E23" w:rsidP="00265F70">
            <w:pPr>
              <w:spacing w:line="276" w:lineRule="auto"/>
              <w:jc w:val="center"/>
              <w:rPr>
                <w:rFonts w:ascii="Arial" w:hAnsi="Arial"/>
                <w:b/>
                <w:bCs/>
                <w:sz w:val="20"/>
              </w:rPr>
            </w:pPr>
            <w:r>
              <w:rPr>
                <w:rFonts w:ascii="Arial" w:hAnsi="Arial"/>
                <w:b/>
                <w:bCs/>
                <w:sz w:val="20"/>
              </w:rPr>
              <w:t>–</w:t>
            </w:r>
          </w:p>
        </w:tc>
        <w:tc>
          <w:tcPr>
            <w:tcW w:w="2217" w:type="dxa"/>
          </w:tcPr>
          <w:p w14:paraId="70E9310A" w14:textId="73F87DD8" w:rsidR="00265F70" w:rsidRPr="00424274" w:rsidRDefault="00C76E23" w:rsidP="00265F70">
            <w:pPr>
              <w:spacing w:line="276" w:lineRule="auto"/>
              <w:jc w:val="center"/>
              <w:rPr>
                <w:rFonts w:ascii="Arial" w:hAnsi="Arial"/>
                <w:b/>
                <w:bCs/>
                <w:sz w:val="20"/>
              </w:rPr>
            </w:pPr>
            <w:r>
              <w:rPr>
                <w:rFonts w:ascii="Arial" w:hAnsi="Arial"/>
                <w:b/>
                <w:bCs/>
                <w:sz w:val="20"/>
              </w:rPr>
              <w:t>–</w:t>
            </w:r>
          </w:p>
        </w:tc>
      </w:tr>
      <w:tr w:rsidR="00265F70" w:rsidRPr="00424274" w14:paraId="1FACDEF5" w14:textId="77777777" w:rsidTr="000918AC">
        <w:trPr>
          <w:trHeight w:val="372"/>
        </w:trPr>
        <w:tc>
          <w:tcPr>
            <w:tcW w:w="709" w:type="dxa"/>
          </w:tcPr>
          <w:p w14:paraId="72146794"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30</w:t>
            </w:r>
          </w:p>
        </w:tc>
        <w:tc>
          <w:tcPr>
            <w:tcW w:w="1862" w:type="dxa"/>
          </w:tcPr>
          <w:p w14:paraId="13D684AA" w14:textId="77777777" w:rsidR="00265F70" w:rsidRPr="00424274" w:rsidRDefault="00265F70" w:rsidP="00265F70">
            <w:pPr>
              <w:spacing w:line="276" w:lineRule="auto"/>
              <w:jc w:val="left"/>
              <w:rPr>
                <w:rFonts w:ascii="Arial" w:hAnsi="Arial"/>
                <w:b/>
                <w:bCs/>
                <w:sz w:val="20"/>
              </w:rPr>
            </w:pPr>
            <w:r w:rsidRPr="00424274">
              <w:rPr>
                <w:rFonts w:ascii="Arial" w:hAnsi="Arial"/>
                <w:b/>
                <w:bCs/>
                <w:sz w:val="20"/>
              </w:rPr>
              <w:t>KATAR</w:t>
            </w:r>
          </w:p>
        </w:tc>
        <w:tc>
          <w:tcPr>
            <w:tcW w:w="1682" w:type="dxa"/>
          </w:tcPr>
          <w:p w14:paraId="27AC36D1"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c>
          <w:tcPr>
            <w:tcW w:w="851" w:type="dxa"/>
          </w:tcPr>
          <w:p w14:paraId="14BFA73A"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c>
          <w:tcPr>
            <w:tcW w:w="1842" w:type="dxa"/>
          </w:tcPr>
          <w:p w14:paraId="177F117F" w14:textId="1F00AA27" w:rsidR="00265F70" w:rsidRPr="00424274" w:rsidRDefault="00C76E23" w:rsidP="00265F70">
            <w:pPr>
              <w:spacing w:line="276" w:lineRule="auto"/>
              <w:jc w:val="center"/>
              <w:rPr>
                <w:rFonts w:ascii="Arial" w:hAnsi="Arial"/>
                <w:b/>
                <w:bCs/>
                <w:sz w:val="20"/>
              </w:rPr>
            </w:pPr>
            <w:r>
              <w:rPr>
                <w:rFonts w:ascii="Arial" w:hAnsi="Arial"/>
                <w:b/>
                <w:bCs/>
                <w:sz w:val="20"/>
              </w:rPr>
              <w:t>–</w:t>
            </w:r>
          </w:p>
        </w:tc>
        <w:tc>
          <w:tcPr>
            <w:tcW w:w="2217" w:type="dxa"/>
          </w:tcPr>
          <w:p w14:paraId="00CEFC2C" w14:textId="778C562F" w:rsidR="00265F70" w:rsidRPr="00424274" w:rsidRDefault="00C76E23" w:rsidP="00265F70">
            <w:pPr>
              <w:spacing w:line="276" w:lineRule="auto"/>
              <w:jc w:val="center"/>
              <w:rPr>
                <w:rFonts w:ascii="Arial" w:hAnsi="Arial"/>
                <w:b/>
                <w:bCs/>
                <w:sz w:val="20"/>
              </w:rPr>
            </w:pPr>
            <w:r>
              <w:rPr>
                <w:rFonts w:ascii="Arial" w:hAnsi="Arial"/>
                <w:b/>
                <w:bCs/>
                <w:sz w:val="20"/>
              </w:rPr>
              <w:t>–</w:t>
            </w:r>
          </w:p>
        </w:tc>
      </w:tr>
      <w:tr w:rsidR="00265F70" w:rsidRPr="00424274" w14:paraId="338AC683" w14:textId="77777777" w:rsidTr="000918AC">
        <w:trPr>
          <w:trHeight w:val="204"/>
        </w:trPr>
        <w:tc>
          <w:tcPr>
            <w:tcW w:w="709" w:type="dxa"/>
          </w:tcPr>
          <w:p w14:paraId="45F20E9C"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31</w:t>
            </w:r>
          </w:p>
        </w:tc>
        <w:tc>
          <w:tcPr>
            <w:tcW w:w="1862" w:type="dxa"/>
          </w:tcPr>
          <w:p w14:paraId="72273F16" w14:textId="77777777" w:rsidR="00265F70" w:rsidRPr="00424274" w:rsidRDefault="00265F70" w:rsidP="00265F70">
            <w:pPr>
              <w:spacing w:line="276" w:lineRule="auto"/>
              <w:jc w:val="left"/>
              <w:rPr>
                <w:rFonts w:ascii="Arial" w:hAnsi="Arial"/>
                <w:b/>
                <w:bCs/>
                <w:sz w:val="20"/>
              </w:rPr>
            </w:pPr>
            <w:r w:rsidRPr="00424274">
              <w:rPr>
                <w:rFonts w:ascii="Arial" w:hAnsi="Arial"/>
                <w:b/>
                <w:bCs/>
                <w:sz w:val="20"/>
              </w:rPr>
              <w:t>KIRGISTAN</w:t>
            </w:r>
          </w:p>
          <w:p w14:paraId="66AC315E" w14:textId="77777777" w:rsidR="00265F70" w:rsidRPr="00424274" w:rsidRDefault="00265F70" w:rsidP="00265F70">
            <w:pPr>
              <w:spacing w:line="276" w:lineRule="auto"/>
              <w:jc w:val="left"/>
              <w:rPr>
                <w:rFonts w:ascii="Arial" w:hAnsi="Arial"/>
                <w:b/>
                <w:bCs/>
                <w:sz w:val="20"/>
              </w:rPr>
            </w:pPr>
          </w:p>
        </w:tc>
        <w:tc>
          <w:tcPr>
            <w:tcW w:w="1682" w:type="dxa"/>
          </w:tcPr>
          <w:p w14:paraId="76EEBF15"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c>
          <w:tcPr>
            <w:tcW w:w="851" w:type="dxa"/>
          </w:tcPr>
          <w:p w14:paraId="402583F6"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c>
          <w:tcPr>
            <w:tcW w:w="1842" w:type="dxa"/>
          </w:tcPr>
          <w:p w14:paraId="7A444D9B" w14:textId="5DD335DE" w:rsidR="00265F70" w:rsidRPr="00424274" w:rsidRDefault="00C76E23" w:rsidP="00265F70">
            <w:pPr>
              <w:spacing w:line="276" w:lineRule="auto"/>
              <w:jc w:val="center"/>
              <w:rPr>
                <w:rFonts w:ascii="Arial" w:hAnsi="Arial"/>
                <w:b/>
                <w:bCs/>
                <w:sz w:val="20"/>
              </w:rPr>
            </w:pPr>
            <w:r>
              <w:rPr>
                <w:rFonts w:ascii="Arial" w:hAnsi="Arial"/>
                <w:b/>
                <w:bCs/>
                <w:sz w:val="20"/>
              </w:rPr>
              <w:t>–</w:t>
            </w:r>
          </w:p>
        </w:tc>
        <w:tc>
          <w:tcPr>
            <w:tcW w:w="2217" w:type="dxa"/>
          </w:tcPr>
          <w:p w14:paraId="296219F6" w14:textId="0AC67BF7" w:rsidR="00265F70" w:rsidRPr="00424274" w:rsidRDefault="00C76E23" w:rsidP="00265F70">
            <w:pPr>
              <w:spacing w:line="276" w:lineRule="auto"/>
              <w:jc w:val="center"/>
              <w:rPr>
                <w:rFonts w:ascii="Arial" w:hAnsi="Arial"/>
                <w:b/>
                <w:bCs/>
                <w:sz w:val="20"/>
              </w:rPr>
            </w:pPr>
            <w:r>
              <w:rPr>
                <w:rFonts w:ascii="Arial" w:hAnsi="Arial"/>
                <w:b/>
                <w:bCs/>
                <w:sz w:val="20"/>
              </w:rPr>
              <w:t>–</w:t>
            </w:r>
          </w:p>
        </w:tc>
      </w:tr>
      <w:tr w:rsidR="00265F70" w:rsidRPr="00424274" w14:paraId="421D1A2B" w14:textId="77777777" w:rsidTr="000918AC">
        <w:trPr>
          <w:trHeight w:val="408"/>
        </w:trPr>
        <w:tc>
          <w:tcPr>
            <w:tcW w:w="709" w:type="dxa"/>
          </w:tcPr>
          <w:p w14:paraId="6DEE68C1"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32</w:t>
            </w:r>
          </w:p>
        </w:tc>
        <w:tc>
          <w:tcPr>
            <w:tcW w:w="1862" w:type="dxa"/>
          </w:tcPr>
          <w:p w14:paraId="6E3593CB" w14:textId="77777777" w:rsidR="00265F70" w:rsidRPr="00424274" w:rsidRDefault="00265F70" w:rsidP="00265F70">
            <w:pPr>
              <w:spacing w:line="276" w:lineRule="auto"/>
              <w:jc w:val="left"/>
              <w:rPr>
                <w:rFonts w:ascii="Arial" w:hAnsi="Arial"/>
                <w:b/>
                <w:bCs/>
                <w:sz w:val="20"/>
              </w:rPr>
            </w:pPr>
            <w:r w:rsidRPr="00424274">
              <w:rPr>
                <w:rFonts w:ascii="Arial" w:hAnsi="Arial"/>
                <w:b/>
                <w:bCs/>
                <w:sz w:val="20"/>
              </w:rPr>
              <w:t>KITAJSKA</w:t>
            </w:r>
          </w:p>
        </w:tc>
        <w:tc>
          <w:tcPr>
            <w:tcW w:w="1682" w:type="dxa"/>
          </w:tcPr>
          <w:p w14:paraId="1873D14D"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2</w:t>
            </w:r>
          </w:p>
        </w:tc>
        <w:tc>
          <w:tcPr>
            <w:tcW w:w="851" w:type="dxa"/>
          </w:tcPr>
          <w:p w14:paraId="2E3148DF"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2</w:t>
            </w:r>
          </w:p>
        </w:tc>
        <w:tc>
          <w:tcPr>
            <w:tcW w:w="1842" w:type="dxa"/>
          </w:tcPr>
          <w:p w14:paraId="33C55AF2" w14:textId="7B8E5EEF" w:rsidR="00265F70" w:rsidRPr="00424274" w:rsidRDefault="00C76E23" w:rsidP="00265F70">
            <w:pPr>
              <w:spacing w:line="276" w:lineRule="auto"/>
              <w:jc w:val="center"/>
              <w:rPr>
                <w:rFonts w:ascii="Arial" w:hAnsi="Arial"/>
                <w:b/>
                <w:bCs/>
                <w:sz w:val="20"/>
              </w:rPr>
            </w:pPr>
            <w:r>
              <w:rPr>
                <w:rFonts w:ascii="Arial" w:hAnsi="Arial"/>
                <w:b/>
                <w:bCs/>
                <w:sz w:val="20"/>
              </w:rPr>
              <w:t>–</w:t>
            </w:r>
          </w:p>
        </w:tc>
        <w:tc>
          <w:tcPr>
            <w:tcW w:w="2217" w:type="dxa"/>
          </w:tcPr>
          <w:p w14:paraId="353EB7C7" w14:textId="1FDCFD79" w:rsidR="00265F70" w:rsidRPr="00424274" w:rsidRDefault="00C76E23" w:rsidP="00265F70">
            <w:pPr>
              <w:spacing w:line="276" w:lineRule="auto"/>
              <w:jc w:val="center"/>
              <w:rPr>
                <w:rFonts w:ascii="Arial" w:hAnsi="Arial"/>
                <w:b/>
                <w:bCs/>
                <w:sz w:val="20"/>
              </w:rPr>
            </w:pPr>
            <w:r>
              <w:rPr>
                <w:rFonts w:ascii="Arial" w:hAnsi="Arial"/>
                <w:b/>
                <w:bCs/>
                <w:sz w:val="20"/>
              </w:rPr>
              <w:t>–</w:t>
            </w:r>
          </w:p>
        </w:tc>
      </w:tr>
      <w:tr w:rsidR="00265F70" w:rsidRPr="00424274" w14:paraId="4BB62FAC" w14:textId="77777777" w:rsidTr="000918AC">
        <w:tc>
          <w:tcPr>
            <w:tcW w:w="709" w:type="dxa"/>
          </w:tcPr>
          <w:p w14:paraId="7181CB65"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33</w:t>
            </w:r>
          </w:p>
        </w:tc>
        <w:tc>
          <w:tcPr>
            <w:tcW w:w="1862" w:type="dxa"/>
          </w:tcPr>
          <w:p w14:paraId="1B64D17D" w14:textId="77777777" w:rsidR="00265F70" w:rsidRPr="00424274" w:rsidRDefault="00265F70" w:rsidP="00265F70">
            <w:pPr>
              <w:spacing w:line="276" w:lineRule="auto"/>
              <w:jc w:val="left"/>
              <w:rPr>
                <w:rFonts w:ascii="Arial" w:hAnsi="Arial"/>
                <w:b/>
                <w:bCs/>
                <w:sz w:val="20"/>
              </w:rPr>
            </w:pPr>
            <w:r w:rsidRPr="00424274">
              <w:rPr>
                <w:rFonts w:ascii="Arial" w:hAnsi="Arial"/>
                <w:b/>
                <w:bCs/>
                <w:sz w:val="20"/>
              </w:rPr>
              <w:t>KOSOVO</w:t>
            </w:r>
          </w:p>
          <w:p w14:paraId="05C55C31" w14:textId="77777777" w:rsidR="00265F70" w:rsidRPr="00424274" w:rsidRDefault="00265F70" w:rsidP="00265F70">
            <w:pPr>
              <w:spacing w:line="276" w:lineRule="auto"/>
              <w:jc w:val="left"/>
              <w:rPr>
                <w:rFonts w:ascii="Arial" w:hAnsi="Arial"/>
                <w:b/>
                <w:bCs/>
                <w:sz w:val="20"/>
              </w:rPr>
            </w:pPr>
          </w:p>
        </w:tc>
        <w:tc>
          <w:tcPr>
            <w:tcW w:w="1682" w:type="dxa"/>
          </w:tcPr>
          <w:p w14:paraId="7F6E649E"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2</w:t>
            </w:r>
          </w:p>
        </w:tc>
        <w:tc>
          <w:tcPr>
            <w:tcW w:w="851" w:type="dxa"/>
          </w:tcPr>
          <w:p w14:paraId="4916F0AB"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c>
          <w:tcPr>
            <w:tcW w:w="1842" w:type="dxa"/>
          </w:tcPr>
          <w:p w14:paraId="101B9FEC"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c>
          <w:tcPr>
            <w:tcW w:w="2217" w:type="dxa"/>
          </w:tcPr>
          <w:p w14:paraId="0ED2E55F"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r>
      <w:tr w:rsidR="00265F70" w:rsidRPr="00424274" w14:paraId="797FEBE9" w14:textId="77777777" w:rsidTr="000918AC">
        <w:tc>
          <w:tcPr>
            <w:tcW w:w="709" w:type="dxa"/>
          </w:tcPr>
          <w:p w14:paraId="274FC23C"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34</w:t>
            </w:r>
          </w:p>
        </w:tc>
        <w:tc>
          <w:tcPr>
            <w:tcW w:w="1862" w:type="dxa"/>
          </w:tcPr>
          <w:p w14:paraId="39DB4F17" w14:textId="77777777" w:rsidR="00265F70" w:rsidRPr="00424274" w:rsidRDefault="00265F70" w:rsidP="00265F70">
            <w:pPr>
              <w:spacing w:line="276" w:lineRule="auto"/>
              <w:jc w:val="left"/>
              <w:rPr>
                <w:rFonts w:ascii="Arial" w:hAnsi="Arial"/>
                <w:b/>
                <w:bCs/>
                <w:sz w:val="20"/>
              </w:rPr>
            </w:pPr>
            <w:r w:rsidRPr="00424274">
              <w:rPr>
                <w:rFonts w:ascii="Arial" w:hAnsi="Arial"/>
                <w:b/>
                <w:bCs/>
                <w:sz w:val="20"/>
              </w:rPr>
              <w:t>LATVIJA</w:t>
            </w:r>
          </w:p>
          <w:p w14:paraId="2D75F049" w14:textId="77777777" w:rsidR="00265F70" w:rsidRPr="00424274" w:rsidRDefault="00265F70" w:rsidP="00265F70">
            <w:pPr>
              <w:spacing w:line="276" w:lineRule="auto"/>
              <w:jc w:val="left"/>
              <w:rPr>
                <w:rFonts w:ascii="Arial" w:hAnsi="Arial"/>
                <w:b/>
                <w:bCs/>
                <w:sz w:val="20"/>
              </w:rPr>
            </w:pPr>
          </w:p>
        </w:tc>
        <w:tc>
          <w:tcPr>
            <w:tcW w:w="1682" w:type="dxa"/>
          </w:tcPr>
          <w:p w14:paraId="208FEC93"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7</w:t>
            </w:r>
          </w:p>
        </w:tc>
        <w:tc>
          <w:tcPr>
            <w:tcW w:w="851" w:type="dxa"/>
          </w:tcPr>
          <w:p w14:paraId="4C7384E4"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7</w:t>
            </w:r>
          </w:p>
        </w:tc>
        <w:tc>
          <w:tcPr>
            <w:tcW w:w="1842" w:type="dxa"/>
          </w:tcPr>
          <w:p w14:paraId="06BDEF3B"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4</w:t>
            </w:r>
          </w:p>
        </w:tc>
        <w:tc>
          <w:tcPr>
            <w:tcW w:w="2217" w:type="dxa"/>
          </w:tcPr>
          <w:p w14:paraId="3F8F5A17"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4</w:t>
            </w:r>
          </w:p>
        </w:tc>
      </w:tr>
      <w:tr w:rsidR="00265F70" w:rsidRPr="00424274" w14:paraId="01044B83" w14:textId="77777777" w:rsidTr="000918AC">
        <w:tc>
          <w:tcPr>
            <w:tcW w:w="709" w:type="dxa"/>
          </w:tcPr>
          <w:p w14:paraId="3B8A3564"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35</w:t>
            </w:r>
          </w:p>
        </w:tc>
        <w:tc>
          <w:tcPr>
            <w:tcW w:w="1862" w:type="dxa"/>
          </w:tcPr>
          <w:p w14:paraId="402F1EF6" w14:textId="77777777" w:rsidR="00265F70" w:rsidRPr="00424274" w:rsidRDefault="00265F70" w:rsidP="00265F70">
            <w:pPr>
              <w:spacing w:line="276" w:lineRule="auto"/>
              <w:jc w:val="left"/>
              <w:rPr>
                <w:rFonts w:ascii="Arial" w:hAnsi="Arial"/>
                <w:b/>
                <w:bCs/>
                <w:sz w:val="20"/>
              </w:rPr>
            </w:pPr>
            <w:r w:rsidRPr="00424274">
              <w:rPr>
                <w:rFonts w:ascii="Arial" w:hAnsi="Arial"/>
                <w:b/>
                <w:bCs/>
                <w:sz w:val="20"/>
              </w:rPr>
              <w:t>LIECHTENSTEIN</w:t>
            </w:r>
          </w:p>
          <w:p w14:paraId="6AC390D7" w14:textId="77777777" w:rsidR="00265F70" w:rsidRPr="00424274" w:rsidRDefault="00265F70" w:rsidP="00265F70">
            <w:pPr>
              <w:spacing w:line="276" w:lineRule="auto"/>
              <w:jc w:val="left"/>
              <w:rPr>
                <w:rFonts w:ascii="Arial" w:hAnsi="Arial"/>
                <w:b/>
                <w:bCs/>
                <w:sz w:val="20"/>
              </w:rPr>
            </w:pPr>
          </w:p>
        </w:tc>
        <w:tc>
          <w:tcPr>
            <w:tcW w:w="1682" w:type="dxa"/>
          </w:tcPr>
          <w:p w14:paraId="6B988143" w14:textId="7BF4CE2A" w:rsidR="00265F70" w:rsidRPr="00424274" w:rsidRDefault="00C76E23" w:rsidP="00265F70">
            <w:pPr>
              <w:spacing w:line="276" w:lineRule="auto"/>
              <w:jc w:val="center"/>
              <w:rPr>
                <w:rFonts w:ascii="Arial" w:hAnsi="Arial"/>
                <w:b/>
                <w:bCs/>
                <w:sz w:val="20"/>
              </w:rPr>
            </w:pPr>
            <w:r>
              <w:rPr>
                <w:rFonts w:ascii="Arial" w:hAnsi="Arial"/>
                <w:b/>
                <w:bCs/>
                <w:sz w:val="20"/>
              </w:rPr>
              <w:t>–</w:t>
            </w:r>
          </w:p>
        </w:tc>
        <w:tc>
          <w:tcPr>
            <w:tcW w:w="851" w:type="dxa"/>
          </w:tcPr>
          <w:p w14:paraId="54A3DC87" w14:textId="79961ED6" w:rsidR="00265F70" w:rsidRPr="00424274" w:rsidRDefault="00C76E23" w:rsidP="00265F70">
            <w:pPr>
              <w:spacing w:line="276" w:lineRule="auto"/>
              <w:jc w:val="center"/>
              <w:rPr>
                <w:rFonts w:ascii="Arial" w:hAnsi="Arial"/>
                <w:b/>
                <w:bCs/>
                <w:sz w:val="20"/>
              </w:rPr>
            </w:pPr>
            <w:r>
              <w:rPr>
                <w:rFonts w:ascii="Arial" w:hAnsi="Arial"/>
                <w:b/>
                <w:bCs/>
                <w:sz w:val="20"/>
              </w:rPr>
              <w:t>–</w:t>
            </w:r>
          </w:p>
        </w:tc>
        <w:tc>
          <w:tcPr>
            <w:tcW w:w="1842" w:type="dxa"/>
          </w:tcPr>
          <w:p w14:paraId="2D50042E"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3</w:t>
            </w:r>
          </w:p>
        </w:tc>
        <w:tc>
          <w:tcPr>
            <w:tcW w:w="2217" w:type="dxa"/>
          </w:tcPr>
          <w:p w14:paraId="71BD2A15"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3</w:t>
            </w:r>
          </w:p>
        </w:tc>
      </w:tr>
      <w:tr w:rsidR="00265F70" w:rsidRPr="00424274" w14:paraId="2A5A2CB5" w14:textId="77777777" w:rsidTr="000918AC">
        <w:tc>
          <w:tcPr>
            <w:tcW w:w="709" w:type="dxa"/>
          </w:tcPr>
          <w:p w14:paraId="1CD19903"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36</w:t>
            </w:r>
          </w:p>
        </w:tc>
        <w:tc>
          <w:tcPr>
            <w:tcW w:w="1862" w:type="dxa"/>
          </w:tcPr>
          <w:p w14:paraId="2FE7D951" w14:textId="77777777" w:rsidR="00265F70" w:rsidRPr="00424274" w:rsidRDefault="00265F70" w:rsidP="00265F70">
            <w:pPr>
              <w:spacing w:line="276" w:lineRule="auto"/>
              <w:jc w:val="left"/>
              <w:rPr>
                <w:rFonts w:ascii="Arial" w:hAnsi="Arial"/>
                <w:b/>
                <w:bCs/>
                <w:sz w:val="20"/>
              </w:rPr>
            </w:pPr>
            <w:r w:rsidRPr="00424274">
              <w:rPr>
                <w:rFonts w:ascii="Arial" w:hAnsi="Arial"/>
                <w:b/>
                <w:bCs/>
                <w:sz w:val="20"/>
              </w:rPr>
              <w:t>LITVA</w:t>
            </w:r>
          </w:p>
          <w:p w14:paraId="6C88B381" w14:textId="77777777" w:rsidR="00265F70" w:rsidRPr="00424274" w:rsidRDefault="00265F70" w:rsidP="00265F70">
            <w:pPr>
              <w:spacing w:line="276" w:lineRule="auto"/>
              <w:jc w:val="left"/>
              <w:rPr>
                <w:rFonts w:ascii="Arial" w:hAnsi="Arial"/>
                <w:b/>
                <w:bCs/>
                <w:sz w:val="20"/>
              </w:rPr>
            </w:pPr>
          </w:p>
        </w:tc>
        <w:tc>
          <w:tcPr>
            <w:tcW w:w="1682" w:type="dxa"/>
          </w:tcPr>
          <w:p w14:paraId="535B5176"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15</w:t>
            </w:r>
          </w:p>
        </w:tc>
        <w:tc>
          <w:tcPr>
            <w:tcW w:w="851" w:type="dxa"/>
          </w:tcPr>
          <w:p w14:paraId="71510C2F"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13</w:t>
            </w:r>
          </w:p>
        </w:tc>
        <w:tc>
          <w:tcPr>
            <w:tcW w:w="1842" w:type="dxa"/>
          </w:tcPr>
          <w:p w14:paraId="4D4D4BA1"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7</w:t>
            </w:r>
          </w:p>
        </w:tc>
        <w:tc>
          <w:tcPr>
            <w:tcW w:w="2217" w:type="dxa"/>
          </w:tcPr>
          <w:p w14:paraId="295B3056"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7</w:t>
            </w:r>
          </w:p>
        </w:tc>
      </w:tr>
      <w:tr w:rsidR="00265F70" w:rsidRPr="00424274" w14:paraId="6652821A" w14:textId="77777777" w:rsidTr="000918AC">
        <w:tc>
          <w:tcPr>
            <w:tcW w:w="709" w:type="dxa"/>
          </w:tcPr>
          <w:p w14:paraId="6071F0F2"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37</w:t>
            </w:r>
          </w:p>
        </w:tc>
        <w:tc>
          <w:tcPr>
            <w:tcW w:w="1862" w:type="dxa"/>
          </w:tcPr>
          <w:p w14:paraId="0E3561EA" w14:textId="77777777" w:rsidR="00265F70" w:rsidRPr="00424274" w:rsidRDefault="00265F70" w:rsidP="00265F70">
            <w:pPr>
              <w:spacing w:line="276" w:lineRule="auto"/>
              <w:jc w:val="left"/>
              <w:rPr>
                <w:rFonts w:ascii="Arial" w:hAnsi="Arial"/>
                <w:b/>
                <w:bCs/>
                <w:sz w:val="20"/>
              </w:rPr>
            </w:pPr>
            <w:r w:rsidRPr="00424274">
              <w:rPr>
                <w:rFonts w:ascii="Arial" w:hAnsi="Arial"/>
                <w:b/>
                <w:bCs/>
                <w:sz w:val="20"/>
              </w:rPr>
              <w:t>LUKSEMBURG</w:t>
            </w:r>
          </w:p>
          <w:p w14:paraId="30F9F3FF" w14:textId="77777777" w:rsidR="00265F70" w:rsidRPr="00424274" w:rsidRDefault="00265F70" w:rsidP="00265F70">
            <w:pPr>
              <w:spacing w:line="276" w:lineRule="auto"/>
              <w:jc w:val="left"/>
              <w:rPr>
                <w:rFonts w:ascii="Arial" w:hAnsi="Arial"/>
                <w:b/>
                <w:bCs/>
                <w:sz w:val="20"/>
              </w:rPr>
            </w:pPr>
          </w:p>
        </w:tc>
        <w:tc>
          <w:tcPr>
            <w:tcW w:w="1682" w:type="dxa"/>
          </w:tcPr>
          <w:p w14:paraId="00125B00"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10</w:t>
            </w:r>
          </w:p>
        </w:tc>
        <w:tc>
          <w:tcPr>
            <w:tcW w:w="851" w:type="dxa"/>
          </w:tcPr>
          <w:p w14:paraId="5B39CEEA"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10</w:t>
            </w:r>
          </w:p>
        </w:tc>
        <w:tc>
          <w:tcPr>
            <w:tcW w:w="1842" w:type="dxa"/>
          </w:tcPr>
          <w:p w14:paraId="53C3BE86"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8</w:t>
            </w:r>
          </w:p>
        </w:tc>
        <w:tc>
          <w:tcPr>
            <w:tcW w:w="2217" w:type="dxa"/>
          </w:tcPr>
          <w:p w14:paraId="17710827"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8</w:t>
            </w:r>
          </w:p>
        </w:tc>
      </w:tr>
      <w:tr w:rsidR="00265F70" w:rsidRPr="00424274" w14:paraId="66DEF62D" w14:textId="77777777" w:rsidTr="000918AC">
        <w:tc>
          <w:tcPr>
            <w:tcW w:w="709" w:type="dxa"/>
          </w:tcPr>
          <w:p w14:paraId="065619A8"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38</w:t>
            </w:r>
          </w:p>
        </w:tc>
        <w:tc>
          <w:tcPr>
            <w:tcW w:w="1862" w:type="dxa"/>
          </w:tcPr>
          <w:p w14:paraId="3022FF53" w14:textId="77777777" w:rsidR="00265F70" w:rsidRPr="00424274" w:rsidRDefault="00265F70" w:rsidP="00265F70">
            <w:pPr>
              <w:spacing w:line="276" w:lineRule="auto"/>
              <w:jc w:val="left"/>
              <w:rPr>
                <w:rFonts w:ascii="Arial" w:hAnsi="Arial"/>
                <w:b/>
                <w:bCs/>
                <w:sz w:val="20"/>
              </w:rPr>
            </w:pPr>
            <w:r w:rsidRPr="00424274">
              <w:rPr>
                <w:rFonts w:ascii="Arial" w:hAnsi="Arial"/>
                <w:b/>
                <w:bCs/>
                <w:sz w:val="20"/>
              </w:rPr>
              <w:t xml:space="preserve">MADŽARSKA </w:t>
            </w:r>
          </w:p>
          <w:p w14:paraId="49A9DCF5" w14:textId="77777777" w:rsidR="00265F70" w:rsidRPr="00424274" w:rsidRDefault="00265F70" w:rsidP="00265F70">
            <w:pPr>
              <w:spacing w:line="276" w:lineRule="auto"/>
              <w:jc w:val="left"/>
              <w:rPr>
                <w:rFonts w:ascii="Arial" w:hAnsi="Arial"/>
                <w:b/>
                <w:bCs/>
                <w:sz w:val="20"/>
              </w:rPr>
            </w:pPr>
          </w:p>
        </w:tc>
        <w:tc>
          <w:tcPr>
            <w:tcW w:w="1682" w:type="dxa"/>
          </w:tcPr>
          <w:p w14:paraId="148E79A0"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14</w:t>
            </w:r>
          </w:p>
        </w:tc>
        <w:tc>
          <w:tcPr>
            <w:tcW w:w="851" w:type="dxa"/>
          </w:tcPr>
          <w:p w14:paraId="38DCA1B4"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14</w:t>
            </w:r>
          </w:p>
        </w:tc>
        <w:tc>
          <w:tcPr>
            <w:tcW w:w="1842" w:type="dxa"/>
          </w:tcPr>
          <w:p w14:paraId="0334412C"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4</w:t>
            </w:r>
          </w:p>
        </w:tc>
        <w:tc>
          <w:tcPr>
            <w:tcW w:w="2217" w:type="dxa"/>
          </w:tcPr>
          <w:p w14:paraId="06B4F31B"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4</w:t>
            </w:r>
          </w:p>
        </w:tc>
      </w:tr>
      <w:tr w:rsidR="00265F70" w:rsidRPr="00424274" w14:paraId="7A39F384" w14:textId="77777777" w:rsidTr="000918AC">
        <w:trPr>
          <w:trHeight w:val="180"/>
        </w:trPr>
        <w:tc>
          <w:tcPr>
            <w:tcW w:w="709" w:type="dxa"/>
          </w:tcPr>
          <w:p w14:paraId="129702FE"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39</w:t>
            </w:r>
          </w:p>
        </w:tc>
        <w:tc>
          <w:tcPr>
            <w:tcW w:w="1862" w:type="dxa"/>
          </w:tcPr>
          <w:p w14:paraId="465A8EFC" w14:textId="77777777" w:rsidR="00265F70" w:rsidRPr="00424274" w:rsidRDefault="00265F70" w:rsidP="00265F70">
            <w:pPr>
              <w:spacing w:line="276" w:lineRule="auto"/>
              <w:jc w:val="left"/>
              <w:rPr>
                <w:rFonts w:ascii="Arial" w:hAnsi="Arial"/>
                <w:b/>
                <w:bCs/>
                <w:sz w:val="20"/>
              </w:rPr>
            </w:pPr>
            <w:r w:rsidRPr="00424274">
              <w:rPr>
                <w:rFonts w:ascii="Arial" w:hAnsi="Arial"/>
                <w:b/>
                <w:bCs/>
                <w:sz w:val="20"/>
              </w:rPr>
              <w:t>MALTA</w:t>
            </w:r>
          </w:p>
          <w:p w14:paraId="1B2C22AE" w14:textId="77777777" w:rsidR="00265F70" w:rsidRPr="00424274" w:rsidRDefault="00265F70" w:rsidP="00265F70">
            <w:pPr>
              <w:spacing w:line="276" w:lineRule="auto"/>
              <w:jc w:val="left"/>
              <w:rPr>
                <w:rFonts w:ascii="Arial" w:hAnsi="Arial"/>
                <w:b/>
                <w:bCs/>
                <w:sz w:val="20"/>
              </w:rPr>
            </w:pPr>
          </w:p>
        </w:tc>
        <w:tc>
          <w:tcPr>
            <w:tcW w:w="1682" w:type="dxa"/>
          </w:tcPr>
          <w:p w14:paraId="073B2B7B"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2</w:t>
            </w:r>
          </w:p>
        </w:tc>
        <w:tc>
          <w:tcPr>
            <w:tcW w:w="851" w:type="dxa"/>
          </w:tcPr>
          <w:p w14:paraId="03FFBEFE"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2</w:t>
            </w:r>
          </w:p>
        </w:tc>
        <w:tc>
          <w:tcPr>
            <w:tcW w:w="1842" w:type="dxa"/>
          </w:tcPr>
          <w:p w14:paraId="054EB752"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27</w:t>
            </w:r>
          </w:p>
        </w:tc>
        <w:tc>
          <w:tcPr>
            <w:tcW w:w="2217" w:type="dxa"/>
          </w:tcPr>
          <w:p w14:paraId="37DB7C3D"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27</w:t>
            </w:r>
          </w:p>
        </w:tc>
      </w:tr>
      <w:tr w:rsidR="00265F70" w:rsidRPr="00424274" w14:paraId="2B939397" w14:textId="77777777" w:rsidTr="000918AC">
        <w:tc>
          <w:tcPr>
            <w:tcW w:w="709" w:type="dxa"/>
          </w:tcPr>
          <w:p w14:paraId="1C401A79"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40</w:t>
            </w:r>
          </w:p>
        </w:tc>
        <w:tc>
          <w:tcPr>
            <w:tcW w:w="1862" w:type="dxa"/>
          </w:tcPr>
          <w:p w14:paraId="62444FD3" w14:textId="77777777" w:rsidR="00265F70" w:rsidRPr="00424274" w:rsidRDefault="00265F70" w:rsidP="00265F70">
            <w:pPr>
              <w:spacing w:line="276" w:lineRule="auto"/>
              <w:jc w:val="left"/>
              <w:rPr>
                <w:rFonts w:ascii="Arial" w:hAnsi="Arial"/>
                <w:b/>
                <w:bCs/>
                <w:sz w:val="20"/>
              </w:rPr>
            </w:pPr>
            <w:r w:rsidRPr="00424274">
              <w:rPr>
                <w:rFonts w:ascii="Arial" w:hAnsi="Arial"/>
                <w:b/>
                <w:bCs/>
                <w:sz w:val="20"/>
              </w:rPr>
              <w:t>MEHIKA</w:t>
            </w:r>
          </w:p>
          <w:p w14:paraId="71B73082" w14:textId="77777777" w:rsidR="00265F70" w:rsidRPr="00424274" w:rsidRDefault="00265F70" w:rsidP="00265F70">
            <w:pPr>
              <w:spacing w:line="276" w:lineRule="auto"/>
              <w:jc w:val="left"/>
              <w:rPr>
                <w:rFonts w:ascii="Arial" w:hAnsi="Arial"/>
                <w:b/>
                <w:bCs/>
                <w:sz w:val="20"/>
              </w:rPr>
            </w:pPr>
          </w:p>
        </w:tc>
        <w:tc>
          <w:tcPr>
            <w:tcW w:w="1682" w:type="dxa"/>
          </w:tcPr>
          <w:p w14:paraId="1BCCE9C8"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c>
          <w:tcPr>
            <w:tcW w:w="851" w:type="dxa"/>
          </w:tcPr>
          <w:p w14:paraId="1F316F8E"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c>
          <w:tcPr>
            <w:tcW w:w="1842" w:type="dxa"/>
          </w:tcPr>
          <w:p w14:paraId="46916284" w14:textId="0F29E212" w:rsidR="00265F70" w:rsidRPr="00424274" w:rsidRDefault="00C76E23" w:rsidP="00265F70">
            <w:pPr>
              <w:spacing w:line="276" w:lineRule="auto"/>
              <w:jc w:val="center"/>
              <w:rPr>
                <w:rFonts w:ascii="Arial" w:hAnsi="Arial"/>
                <w:b/>
                <w:bCs/>
                <w:sz w:val="20"/>
              </w:rPr>
            </w:pPr>
            <w:r>
              <w:rPr>
                <w:rFonts w:ascii="Arial" w:hAnsi="Arial"/>
                <w:b/>
                <w:bCs/>
                <w:sz w:val="20"/>
              </w:rPr>
              <w:t>–</w:t>
            </w:r>
          </w:p>
        </w:tc>
        <w:tc>
          <w:tcPr>
            <w:tcW w:w="2217" w:type="dxa"/>
          </w:tcPr>
          <w:p w14:paraId="527D4A2D" w14:textId="54D2766C" w:rsidR="00265F70" w:rsidRPr="00424274" w:rsidRDefault="00C76E23" w:rsidP="00265F70">
            <w:pPr>
              <w:spacing w:line="276" w:lineRule="auto"/>
              <w:jc w:val="center"/>
              <w:rPr>
                <w:rFonts w:ascii="Arial" w:hAnsi="Arial"/>
                <w:b/>
                <w:bCs/>
                <w:sz w:val="20"/>
              </w:rPr>
            </w:pPr>
            <w:r>
              <w:rPr>
                <w:rFonts w:ascii="Arial" w:hAnsi="Arial"/>
                <w:b/>
                <w:bCs/>
                <w:sz w:val="20"/>
              </w:rPr>
              <w:t>–</w:t>
            </w:r>
          </w:p>
        </w:tc>
      </w:tr>
      <w:tr w:rsidR="00265F70" w:rsidRPr="00424274" w14:paraId="52976A26" w14:textId="77777777" w:rsidTr="000918AC">
        <w:tc>
          <w:tcPr>
            <w:tcW w:w="709" w:type="dxa"/>
          </w:tcPr>
          <w:p w14:paraId="5791C944"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41</w:t>
            </w:r>
          </w:p>
        </w:tc>
        <w:tc>
          <w:tcPr>
            <w:tcW w:w="1862" w:type="dxa"/>
          </w:tcPr>
          <w:p w14:paraId="0EE32580" w14:textId="77777777" w:rsidR="00265F70" w:rsidRPr="00424274" w:rsidRDefault="00265F70" w:rsidP="00265F70">
            <w:pPr>
              <w:spacing w:line="276" w:lineRule="auto"/>
              <w:jc w:val="left"/>
              <w:rPr>
                <w:rFonts w:ascii="Arial" w:hAnsi="Arial"/>
                <w:b/>
                <w:bCs/>
                <w:sz w:val="20"/>
              </w:rPr>
            </w:pPr>
            <w:r w:rsidRPr="00424274">
              <w:rPr>
                <w:rFonts w:ascii="Arial" w:hAnsi="Arial"/>
                <w:b/>
                <w:bCs/>
                <w:sz w:val="20"/>
              </w:rPr>
              <w:t>MOLDAVIJA</w:t>
            </w:r>
          </w:p>
          <w:p w14:paraId="3B225347" w14:textId="77777777" w:rsidR="00265F70" w:rsidRPr="00424274" w:rsidRDefault="00265F70" w:rsidP="00265F70">
            <w:pPr>
              <w:spacing w:line="276" w:lineRule="auto"/>
              <w:jc w:val="left"/>
              <w:rPr>
                <w:rFonts w:ascii="Arial" w:hAnsi="Arial"/>
                <w:b/>
                <w:bCs/>
                <w:sz w:val="20"/>
              </w:rPr>
            </w:pPr>
          </w:p>
        </w:tc>
        <w:tc>
          <w:tcPr>
            <w:tcW w:w="1682" w:type="dxa"/>
          </w:tcPr>
          <w:p w14:paraId="2EE191FA"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2</w:t>
            </w:r>
          </w:p>
        </w:tc>
        <w:tc>
          <w:tcPr>
            <w:tcW w:w="851" w:type="dxa"/>
          </w:tcPr>
          <w:p w14:paraId="1EA9ECBA"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2</w:t>
            </w:r>
          </w:p>
        </w:tc>
        <w:tc>
          <w:tcPr>
            <w:tcW w:w="1842" w:type="dxa"/>
          </w:tcPr>
          <w:p w14:paraId="77EB6B4A" w14:textId="2915FBAE" w:rsidR="00265F70" w:rsidRPr="00424274" w:rsidRDefault="00C76E23" w:rsidP="00265F70">
            <w:pPr>
              <w:spacing w:line="276" w:lineRule="auto"/>
              <w:jc w:val="center"/>
              <w:rPr>
                <w:rFonts w:ascii="Arial" w:hAnsi="Arial"/>
                <w:b/>
                <w:bCs/>
                <w:sz w:val="20"/>
              </w:rPr>
            </w:pPr>
            <w:r>
              <w:rPr>
                <w:rFonts w:ascii="Arial" w:hAnsi="Arial"/>
                <w:b/>
                <w:bCs/>
                <w:sz w:val="20"/>
              </w:rPr>
              <w:t>–</w:t>
            </w:r>
          </w:p>
        </w:tc>
        <w:tc>
          <w:tcPr>
            <w:tcW w:w="2217" w:type="dxa"/>
          </w:tcPr>
          <w:p w14:paraId="1D800047" w14:textId="4B651202" w:rsidR="00265F70" w:rsidRPr="00424274" w:rsidRDefault="00C76E23" w:rsidP="00265F70">
            <w:pPr>
              <w:spacing w:line="276" w:lineRule="auto"/>
              <w:jc w:val="center"/>
              <w:rPr>
                <w:rFonts w:ascii="Arial" w:hAnsi="Arial"/>
                <w:b/>
                <w:bCs/>
                <w:sz w:val="20"/>
              </w:rPr>
            </w:pPr>
            <w:r>
              <w:rPr>
                <w:rFonts w:ascii="Arial" w:hAnsi="Arial"/>
                <w:b/>
                <w:bCs/>
                <w:sz w:val="20"/>
              </w:rPr>
              <w:t>–</w:t>
            </w:r>
          </w:p>
        </w:tc>
      </w:tr>
      <w:tr w:rsidR="00265F70" w:rsidRPr="00424274" w14:paraId="1AD6E7A8" w14:textId="77777777" w:rsidTr="000918AC">
        <w:tc>
          <w:tcPr>
            <w:tcW w:w="709" w:type="dxa"/>
          </w:tcPr>
          <w:p w14:paraId="15D02327"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42</w:t>
            </w:r>
          </w:p>
        </w:tc>
        <w:tc>
          <w:tcPr>
            <w:tcW w:w="1862" w:type="dxa"/>
          </w:tcPr>
          <w:p w14:paraId="6CE13F7F" w14:textId="77777777" w:rsidR="00265F70" w:rsidRPr="00424274" w:rsidRDefault="00265F70" w:rsidP="00265F70">
            <w:pPr>
              <w:spacing w:line="276" w:lineRule="auto"/>
              <w:jc w:val="left"/>
              <w:rPr>
                <w:rFonts w:ascii="Arial" w:hAnsi="Arial"/>
                <w:b/>
                <w:bCs/>
                <w:sz w:val="20"/>
              </w:rPr>
            </w:pPr>
            <w:r w:rsidRPr="00424274">
              <w:rPr>
                <w:rFonts w:ascii="Arial" w:hAnsi="Arial"/>
                <w:b/>
                <w:bCs/>
                <w:sz w:val="20"/>
              </w:rPr>
              <w:t>NEMČIJA</w:t>
            </w:r>
          </w:p>
          <w:p w14:paraId="184DCB0C" w14:textId="77777777" w:rsidR="00265F70" w:rsidRPr="00424274" w:rsidRDefault="00265F70" w:rsidP="00265F70">
            <w:pPr>
              <w:spacing w:line="276" w:lineRule="auto"/>
              <w:jc w:val="left"/>
              <w:rPr>
                <w:rFonts w:ascii="Arial" w:hAnsi="Arial"/>
                <w:b/>
                <w:bCs/>
                <w:sz w:val="20"/>
              </w:rPr>
            </w:pPr>
          </w:p>
        </w:tc>
        <w:tc>
          <w:tcPr>
            <w:tcW w:w="1682" w:type="dxa"/>
          </w:tcPr>
          <w:p w14:paraId="7B735203"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30</w:t>
            </w:r>
          </w:p>
        </w:tc>
        <w:tc>
          <w:tcPr>
            <w:tcW w:w="851" w:type="dxa"/>
          </w:tcPr>
          <w:p w14:paraId="121E484F"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29</w:t>
            </w:r>
          </w:p>
        </w:tc>
        <w:tc>
          <w:tcPr>
            <w:tcW w:w="1842" w:type="dxa"/>
          </w:tcPr>
          <w:p w14:paraId="2EC8C50F"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16</w:t>
            </w:r>
          </w:p>
        </w:tc>
        <w:tc>
          <w:tcPr>
            <w:tcW w:w="2217" w:type="dxa"/>
          </w:tcPr>
          <w:p w14:paraId="673C996D"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16</w:t>
            </w:r>
          </w:p>
        </w:tc>
      </w:tr>
      <w:tr w:rsidR="00265F70" w:rsidRPr="00424274" w14:paraId="1A58B3D8" w14:textId="77777777" w:rsidTr="000918AC">
        <w:trPr>
          <w:trHeight w:val="165"/>
        </w:trPr>
        <w:tc>
          <w:tcPr>
            <w:tcW w:w="709" w:type="dxa"/>
          </w:tcPr>
          <w:p w14:paraId="4181D194"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43</w:t>
            </w:r>
          </w:p>
        </w:tc>
        <w:tc>
          <w:tcPr>
            <w:tcW w:w="1862" w:type="dxa"/>
          </w:tcPr>
          <w:p w14:paraId="2C51E16D" w14:textId="77777777" w:rsidR="00265F70" w:rsidRPr="00424274" w:rsidRDefault="00265F70" w:rsidP="00265F70">
            <w:pPr>
              <w:spacing w:line="276" w:lineRule="auto"/>
              <w:jc w:val="left"/>
              <w:rPr>
                <w:rFonts w:ascii="Arial" w:hAnsi="Arial"/>
                <w:b/>
                <w:bCs/>
                <w:sz w:val="20"/>
              </w:rPr>
            </w:pPr>
            <w:r w:rsidRPr="00424274">
              <w:rPr>
                <w:rFonts w:ascii="Arial" w:hAnsi="Arial"/>
                <w:b/>
                <w:bCs/>
                <w:sz w:val="20"/>
              </w:rPr>
              <w:t>NIGERIJA</w:t>
            </w:r>
          </w:p>
          <w:p w14:paraId="5C41D116" w14:textId="77777777" w:rsidR="00265F70" w:rsidRPr="00424274" w:rsidRDefault="00265F70" w:rsidP="00265F70">
            <w:pPr>
              <w:spacing w:line="276" w:lineRule="auto"/>
              <w:jc w:val="left"/>
              <w:rPr>
                <w:rFonts w:ascii="Arial" w:hAnsi="Arial"/>
                <w:b/>
                <w:bCs/>
                <w:sz w:val="20"/>
              </w:rPr>
            </w:pPr>
          </w:p>
        </w:tc>
        <w:tc>
          <w:tcPr>
            <w:tcW w:w="1682" w:type="dxa"/>
          </w:tcPr>
          <w:p w14:paraId="63FF2590"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c>
          <w:tcPr>
            <w:tcW w:w="851" w:type="dxa"/>
          </w:tcPr>
          <w:p w14:paraId="4E50E6B8"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c>
          <w:tcPr>
            <w:tcW w:w="1842" w:type="dxa"/>
          </w:tcPr>
          <w:p w14:paraId="10AFFFC8"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c>
          <w:tcPr>
            <w:tcW w:w="2217" w:type="dxa"/>
          </w:tcPr>
          <w:p w14:paraId="4AF45474"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r>
      <w:tr w:rsidR="00265F70" w:rsidRPr="00424274" w14:paraId="1A50DE09" w14:textId="77777777" w:rsidTr="000918AC">
        <w:trPr>
          <w:trHeight w:val="240"/>
        </w:trPr>
        <w:tc>
          <w:tcPr>
            <w:tcW w:w="709" w:type="dxa"/>
          </w:tcPr>
          <w:p w14:paraId="57F826CE"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44</w:t>
            </w:r>
          </w:p>
        </w:tc>
        <w:tc>
          <w:tcPr>
            <w:tcW w:w="1862" w:type="dxa"/>
          </w:tcPr>
          <w:p w14:paraId="65F595A9" w14:textId="77777777" w:rsidR="00265F70" w:rsidRPr="00424274" w:rsidRDefault="00265F70" w:rsidP="00265F70">
            <w:pPr>
              <w:spacing w:line="276" w:lineRule="auto"/>
              <w:jc w:val="left"/>
              <w:rPr>
                <w:rFonts w:ascii="Arial" w:hAnsi="Arial"/>
                <w:b/>
                <w:bCs/>
                <w:sz w:val="20"/>
              </w:rPr>
            </w:pPr>
            <w:r w:rsidRPr="00424274">
              <w:rPr>
                <w:rFonts w:ascii="Arial" w:hAnsi="Arial"/>
                <w:b/>
                <w:bCs/>
                <w:sz w:val="20"/>
              </w:rPr>
              <w:t>NIZOZEMSKA</w:t>
            </w:r>
          </w:p>
          <w:p w14:paraId="197B52A8" w14:textId="77777777" w:rsidR="00265F70" w:rsidRPr="00424274" w:rsidRDefault="00265F70" w:rsidP="00265F70">
            <w:pPr>
              <w:spacing w:line="276" w:lineRule="auto"/>
              <w:jc w:val="left"/>
              <w:rPr>
                <w:rFonts w:ascii="Arial" w:hAnsi="Arial"/>
                <w:b/>
                <w:bCs/>
                <w:sz w:val="20"/>
              </w:rPr>
            </w:pPr>
          </w:p>
        </w:tc>
        <w:tc>
          <w:tcPr>
            <w:tcW w:w="1682" w:type="dxa"/>
          </w:tcPr>
          <w:p w14:paraId="2B1EBDD7"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6</w:t>
            </w:r>
          </w:p>
        </w:tc>
        <w:tc>
          <w:tcPr>
            <w:tcW w:w="851" w:type="dxa"/>
          </w:tcPr>
          <w:p w14:paraId="5565AD88"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6</w:t>
            </w:r>
          </w:p>
        </w:tc>
        <w:tc>
          <w:tcPr>
            <w:tcW w:w="1842" w:type="dxa"/>
          </w:tcPr>
          <w:p w14:paraId="38BF1EBC" w14:textId="7F70C1B8" w:rsidR="00265F70" w:rsidRPr="00424274" w:rsidRDefault="00C76E23" w:rsidP="00265F70">
            <w:pPr>
              <w:spacing w:line="276" w:lineRule="auto"/>
              <w:jc w:val="center"/>
              <w:rPr>
                <w:rFonts w:ascii="Arial" w:hAnsi="Arial"/>
                <w:b/>
                <w:bCs/>
                <w:sz w:val="20"/>
              </w:rPr>
            </w:pPr>
            <w:r>
              <w:rPr>
                <w:rFonts w:ascii="Arial" w:hAnsi="Arial"/>
                <w:b/>
                <w:bCs/>
                <w:sz w:val="20"/>
              </w:rPr>
              <w:t>–</w:t>
            </w:r>
          </w:p>
        </w:tc>
        <w:tc>
          <w:tcPr>
            <w:tcW w:w="2217" w:type="dxa"/>
          </w:tcPr>
          <w:p w14:paraId="170AF475" w14:textId="23C4BEBC" w:rsidR="00265F70" w:rsidRPr="00424274" w:rsidRDefault="00C76E23" w:rsidP="00265F70">
            <w:pPr>
              <w:spacing w:line="276" w:lineRule="auto"/>
              <w:jc w:val="center"/>
              <w:rPr>
                <w:rFonts w:ascii="Arial" w:hAnsi="Arial"/>
                <w:b/>
                <w:bCs/>
                <w:sz w:val="20"/>
              </w:rPr>
            </w:pPr>
            <w:r>
              <w:rPr>
                <w:rFonts w:ascii="Arial" w:hAnsi="Arial"/>
                <w:b/>
                <w:bCs/>
                <w:sz w:val="20"/>
              </w:rPr>
              <w:t>–</w:t>
            </w:r>
          </w:p>
        </w:tc>
      </w:tr>
      <w:tr w:rsidR="00265F70" w:rsidRPr="00424274" w14:paraId="01B7128A" w14:textId="77777777" w:rsidTr="000918AC">
        <w:tc>
          <w:tcPr>
            <w:tcW w:w="709" w:type="dxa"/>
          </w:tcPr>
          <w:p w14:paraId="2B62B538"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45</w:t>
            </w:r>
          </w:p>
        </w:tc>
        <w:tc>
          <w:tcPr>
            <w:tcW w:w="1862" w:type="dxa"/>
          </w:tcPr>
          <w:p w14:paraId="04CEF6CB" w14:textId="77777777" w:rsidR="00265F70" w:rsidRPr="00424274" w:rsidRDefault="00265F70" w:rsidP="00265F70">
            <w:pPr>
              <w:spacing w:line="276" w:lineRule="auto"/>
              <w:jc w:val="left"/>
              <w:rPr>
                <w:rFonts w:ascii="Arial" w:hAnsi="Arial"/>
                <w:b/>
                <w:bCs/>
                <w:sz w:val="20"/>
              </w:rPr>
            </w:pPr>
            <w:r w:rsidRPr="00424274">
              <w:rPr>
                <w:rFonts w:ascii="Arial" w:hAnsi="Arial"/>
                <w:b/>
                <w:bCs/>
                <w:sz w:val="20"/>
              </w:rPr>
              <w:t>NOVA ZELANDIJA</w:t>
            </w:r>
          </w:p>
          <w:p w14:paraId="12DE8E3C" w14:textId="77777777" w:rsidR="00265F70" w:rsidRPr="00424274" w:rsidRDefault="00265F70" w:rsidP="00265F70">
            <w:pPr>
              <w:spacing w:line="276" w:lineRule="auto"/>
              <w:jc w:val="left"/>
              <w:rPr>
                <w:rFonts w:ascii="Arial" w:hAnsi="Arial"/>
                <w:b/>
                <w:bCs/>
                <w:sz w:val="20"/>
              </w:rPr>
            </w:pPr>
          </w:p>
        </w:tc>
        <w:tc>
          <w:tcPr>
            <w:tcW w:w="1682" w:type="dxa"/>
          </w:tcPr>
          <w:p w14:paraId="7F034805"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c>
          <w:tcPr>
            <w:tcW w:w="851" w:type="dxa"/>
          </w:tcPr>
          <w:p w14:paraId="3BEED8CF"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c>
          <w:tcPr>
            <w:tcW w:w="1842" w:type="dxa"/>
          </w:tcPr>
          <w:p w14:paraId="550053BE" w14:textId="4DD5F4C2" w:rsidR="00265F70" w:rsidRPr="00424274" w:rsidRDefault="00C76E23" w:rsidP="00265F70">
            <w:pPr>
              <w:spacing w:line="276" w:lineRule="auto"/>
              <w:jc w:val="center"/>
              <w:rPr>
                <w:rFonts w:ascii="Arial" w:hAnsi="Arial"/>
                <w:b/>
                <w:bCs/>
                <w:sz w:val="20"/>
              </w:rPr>
            </w:pPr>
            <w:r>
              <w:rPr>
                <w:rFonts w:ascii="Arial" w:hAnsi="Arial"/>
                <w:b/>
                <w:bCs/>
                <w:sz w:val="20"/>
              </w:rPr>
              <w:t>–</w:t>
            </w:r>
          </w:p>
        </w:tc>
        <w:tc>
          <w:tcPr>
            <w:tcW w:w="2217" w:type="dxa"/>
          </w:tcPr>
          <w:p w14:paraId="08997200" w14:textId="241B94BD" w:rsidR="00265F70" w:rsidRPr="00424274" w:rsidRDefault="00C76E23" w:rsidP="00265F70">
            <w:pPr>
              <w:spacing w:line="276" w:lineRule="auto"/>
              <w:jc w:val="center"/>
              <w:rPr>
                <w:rFonts w:ascii="Arial" w:hAnsi="Arial"/>
                <w:b/>
                <w:bCs/>
                <w:sz w:val="20"/>
              </w:rPr>
            </w:pPr>
            <w:r>
              <w:rPr>
                <w:rFonts w:ascii="Arial" w:hAnsi="Arial"/>
                <w:b/>
                <w:bCs/>
                <w:sz w:val="20"/>
              </w:rPr>
              <w:t>–</w:t>
            </w:r>
          </w:p>
        </w:tc>
      </w:tr>
      <w:tr w:rsidR="00265F70" w:rsidRPr="00424274" w14:paraId="76246BF1" w14:textId="77777777" w:rsidTr="000918AC">
        <w:tc>
          <w:tcPr>
            <w:tcW w:w="709" w:type="dxa"/>
          </w:tcPr>
          <w:p w14:paraId="674EF5DF"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46</w:t>
            </w:r>
          </w:p>
        </w:tc>
        <w:tc>
          <w:tcPr>
            <w:tcW w:w="1862" w:type="dxa"/>
          </w:tcPr>
          <w:p w14:paraId="5B3B5FA1" w14:textId="77777777" w:rsidR="00265F70" w:rsidRPr="00424274" w:rsidRDefault="00265F70" w:rsidP="00265F70">
            <w:pPr>
              <w:spacing w:line="276" w:lineRule="auto"/>
              <w:jc w:val="left"/>
              <w:rPr>
                <w:rFonts w:ascii="Arial" w:hAnsi="Arial"/>
                <w:b/>
                <w:bCs/>
                <w:sz w:val="20"/>
              </w:rPr>
            </w:pPr>
            <w:r w:rsidRPr="00424274">
              <w:rPr>
                <w:rFonts w:ascii="Arial" w:hAnsi="Arial"/>
                <w:b/>
                <w:bCs/>
                <w:sz w:val="20"/>
              </w:rPr>
              <w:t>POLJSKA</w:t>
            </w:r>
          </w:p>
          <w:p w14:paraId="0FD07863" w14:textId="77777777" w:rsidR="00265F70" w:rsidRPr="00424274" w:rsidRDefault="00265F70" w:rsidP="00265F70">
            <w:pPr>
              <w:spacing w:line="276" w:lineRule="auto"/>
              <w:jc w:val="left"/>
              <w:rPr>
                <w:rFonts w:ascii="Arial" w:hAnsi="Arial"/>
                <w:b/>
                <w:bCs/>
                <w:sz w:val="20"/>
              </w:rPr>
            </w:pPr>
          </w:p>
        </w:tc>
        <w:tc>
          <w:tcPr>
            <w:tcW w:w="1682" w:type="dxa"/>
          </w:tcPr>
          <w:p w14:paraId="4BA719B9"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18</w:t>
            </w:r>
          </w:p>
        </w:tc>
        <w:tc>
          <w:tcPr>
            <w:tcW w:w="851" w:type="dxa"/>
          </w:tcPr>
          <w:p w14:paraId="6492AB0B"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14</w:t>
            </w:r>
          </w:p>
        </w:tc>
        <w:tc>
          <w:tcPr>
            <w:tcW w:w="1842" w:type="dxa"/>
          </w:tcPr>
          <w:p w14:paraId="69B8A0DB"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3</w:t>
            </w:r>
          </w:p>
        </w:tc>
        <w:tc>
          <w:tcPr>
            <w:tcW w:w="2217" w:type="dxa"/>
          </w:tcPr>
          <w:p w14:paraId="6AFFE5EC"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3</w:t>
            </w:r>
          </w:p>
        </w:tc>
      </w:tr>
      <w:tr w:rsidR="00265F70" w:rsidRPr="00424274" w14:paraId="155D62BB" w14:textId="77777777" w:rsidTr="000918AC">
        <w:trPr>
          <w:trHeight w:val="154"/>
        </w:trPr>
        <w:tc>
          <w:tcPr>
            <w:tcW w:w="709" w:type="dxa"/>
          </w:tcPr>
          <w:p w14:paraId="6E4DFB41"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47</w:t>
            </w:r>
          </w:p>
        </w:tc>
        <w:tc>
          <w:tcPr>
            <w:tcW w:w="1862" w:type="dxa"/>
          </w:tcPr>
          <w:p w14:paraId="40ACCC72" w14:textId="77777777" w:rsidR="00265F70" w:rsidRPr="00424274" w:rsidRDefault="00265F70" w:rsidP="00265F70">
            <w:pPr>
              <w:spacing w:line="276" w:lineRule="auto"/>
              <w:jc w:val="left"/>
              <w:rPr>
                <w:rFonts w:ascii="Arial" w:hAnsi="Arial"/>
                <w:b/>
                <w:bCs/>
                <w:sz w:val="20"/>
              </w:rPr>
            </w:pPr>
            <w:r w:rsidRPr="00424274">
              <w:rPr>
                <w:rFonts w:ascii="Arial" w:hAnsi="Arial"/>
                <w:b/>
                <w:bCs/>
                <w:sz w:val="20"/>
              </w:rPr>
              <w:t xml:space="preserve">PORTUGALSKA </w:t>
            </w:r>
          </w:p>
          <w:p w14:paraId="402C178B" w14:textId="77777777" w:rsidR="00265F70" w:rsidRPr="00424274" w:rsidRDefault="00265F70" w:rsidP="00265F70">
            <w:pPr>
              <w:spacing w:line="276" w:lineRule="auto"/>
              <w:jc w:val="left"/>
              <w:rPr>
                <w:rFonts w:ascii="Arial" w:hAnsi="Arial"/>
                <w:b/>
                <w:bCs/>
                <w:sz w:val="20"/>
              </w:rPr>
            </w:pPr>
          </w:p>
        </w:tc>
        <w:tc>
          <w:tcPr>
            <w:tcW w:w="1682" w:type="dxa"/>
          </w:tcPr>
          <w:p w14:paraId="768FF913"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7</w:t>
            </w:r>
          </w:p>
        </w:tc>
        <w:tc>
          <w:tcPr>
            <w:tcW w:w="851" w:type="dxa"/>
          </w:tcPr>
          <w:p w14:paraId="0C5335FB"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4</w:t>
            </w:r>
          </w:p>
        </w:tc>
        <w:tc>
          <w:tcPr>
            <w:tcW w:w="1842" w:type="dxa"/>
          </w:tcPr>
          <w:p w14:paraId="6F4A9D32" w14:textId="5125DD77" w:rsidR="00265F70" w:rsidRPr="00424274" w:rsidRDefault="00C76E23" w:rsidP="00265F70">
            <w:pPr>
              <w:spacing w:line="276" w:lineRule="auto"/>
              <w:jc w:val="center"/>
              <w:rPr>
                <w:rFonts w:ascii="Arial" w:hAnsi="Arial"/>
                <w:b/>
                <w:bCs/>
                <w:sz w:val="20"/>
              </w:rPr>
            </w:pPr>
            <w:r>
              <w:rPr>
                <w:rFonts w:ascii="Arial" w:hAnsi="Arial"/>
                <w:b/>
                <w:bCs/>
                <w:sz w:val="20"/>
              </w:rPr>
              <w:t>–</w:t>
            </w:r>
          </w:p>
        </w:tc>
        <w:tc>
          <w:tcPr>
            <w:tcW w:w="2217" w:type="dxa"/>
          </w:tcPr>
          <w:p w14:paraId="1C7D7E27" w14:textId="34AE1106" w:rsidR="00265F70" w:rsidRPr="00424274" w:rsidRDefault="00C76E23" w:rsidP="00265F70">
            <w:pPr>
              <w:spacing w:line="276" w:lineRule="auto"/>
              <w:jc w:val="center"/>
              <w:rPr>
                <w:rFonts w:ascii="Arial" w:hAnsi="Arial"/>
                <w:b/>
                <w:bCs/>
                <w:sz w:val="20"/>
              </w:rPr>
            </w:pPr>
            <w:r>
              <w:rPr>
                <w:rFonts w:ascii="Arial" w:hAnsi="Arial"/>
                <w:b/>
                <w:bCs/>
                <w:sz w:val="20"/>
              </w:rPr>
              <w:t>–</w:t>
            </w:r>
          </w:p>
        </w:tc>
      </w:tr>
      <w:tr w:rsidR="00265F70" w:rsidRPr="00424274" w14:paraId="2AB7FF1A" w14:textId="77777777" w:rsidTr="000918AC">
        <w:trPr>
          <w:trHeight w:val="225"/>
        </w:trPr>
        <w:tc>
          <w:tcPr>
            <w:tcW w:w="709" w:type="dxa"/>
          </w:tcPr>
          <w:p w14:paraId="3AA15B21"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48</w:t>
            </w:r>
          </w:p>
        </w:tc>
        <w:tc>
          <w:tcPr>
            <w:tcW w:w="1862" w:type="dxa"/>
          </w:tcPr>
          <w:p w14:paraId="5B31C77F" w14:textId="77777777" w:rsidR="00265F70" w:rsidRPr="00424274" w:rsidRDefault="00265F70" w:rsidP="00265F70">
            <w:pPr>
              <w:spacing w:line="276" w:lineRule="auto"/>
              <w:jc w:val="left"/>
              <w:rPr>
                <w:rFonts w:ascii="Arial" w:hAnsi="Arial"/>
                <w:b/>
                <w:bCs/>
                <w:sz w:val="20"/>
              </w:rPr>
            </w:pPr>
            <w:r w:rsidRPr="00424274">
              <w:rPr>
                <w:rFonts w:ascii="Arial" w:hAnsi="Arial"/>
                <w:b/>
                <w:bCs/>
                <w:sz w:val="20"/>
              </w:rPr>
              <w:t>ROMUNIJA</w:t>
            </w:r>
          </w:p>
          <w:p w14:paraId="1FBF2A0E" w14:textId="77777777" w:rsidR="00265F70" w:rsidRPr="00424274" w:rsidRDefault="00265F70" w:rsidP="00265F70">
            <w:pPr>
              <w:spacing w:line="276" w:lineRule="auto"/>
              <w:jc w:val="left"/>
              <w:rPr>
                <w:rFonts w:ascii="Arial" w:hAnsi="Arial"/>
                <w:b/>
                <w:bCs/>
                <w:sz w:val="20"/>
              </w:rPr>
            </w:pPr>
          </w:p>
        </w:tc>
        <w:tc>
          <w:tcPr>
            <w:tcW w:w="1682" w:type="dxa"/>
          </w:tcPr>
          <w:p w14:paraId="03BD298A"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7</w:t>
            </w:r>
          </w:p>
        </w:tc>
        <w:tc>
          <w:tcPr>
            <w:tcW w:w="851" w:type="dxa"/>
          </w:tcPr>
          <w:p w14:paraId="0AEF4D6E"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7</w:t>
            </w:r>
          </w:p>
        </w:tc>
        <w:tc>
          <w:tcPr>
            <w:tcW w:w="1842" w:type="dxa"/>
          </w:tcPr>
          <w:p w14:paraId="197A3494"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3</w:t>
            </w:r>
          </w:p>
        </w:tc>
        <w:tc>
          <w:tcPr>
            <w:tcW w:w="2217" w:type="dxa"/>
          </w:tcPr>
          <w:p w14:paraId="003FCD6A"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3</w:t>
            </w:r>
          </w:p>
        </w:tc>
      </w:tr>
      <w:tr w:rsidR="00265F70" w:rsidRPr="00424274" w14:paraId="3D14E455" w14:textId="77777777" w:rsidTr="000918AC">
        <w:trPr>
          <w:trHeight w:val="273"/>
        </w:trPr>
        <w:tc>
          <w:tcPr>
            <w:tcW w:w="709" w:type="dxa"/>
          </w:tcPr>
          <w:p w14:paraId="6FC246A2"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49</w:t>
            </w:r>
          </w:p>
        </w:tc>
        <w:tc>
          <w:tcPr>
            <w:tcW w:w="1862" w:type="dxa"/>
          </w:tcPr>
          <w:p w14:paraId="0B1CBA4D" w14:textId="77777777" w:rsidR="00265F70" w:rsidRPr="00424274" w:rsidRDefault="00265F70" w:rsidP="00265F70">
            <w:pPr>
              <w:spacing w:line="276" w:lineRule="auto"/>
              <w:jc w:val="left"/>
              <w:rPr>
                <w:rFonts w:ascii="Arial" w:hAnsi="Arial"/>
                <w:b/>
                <w:bCs/>
                <w:sz w:val="20"/>
              </w:rPr>
            </w:pPr>
            <w:r w:rsidRPr="00424274">
              <w:rPr>
                <w:rFonts w:ascii="Arial" w:hAnsi="Arial"/>
                <w:b/>
                <w:bCs/>
                <w:sz w:val="20"/>
              </w:rPr>
              <w:t>RUSIJA</w:t>
            </w:r>
          </w:p>
          <w:p w14:paraId="6823E2C7" w14:textId="77777777" w:rsidR="00265F70" w:rsidRPr="00424274" w:rsidRDefault="00265F70" w:rsidP="00265F70">
            <w:pPr>
              <w:spacing w:line="276" w:lineRule="auto"/>
              <w:jc w:val="left"/>
              <w:rPr>
                <w:rFonts w:ascii="Arial" w:hAnsi="Arial"/>
                <w:b/>
                <w:bCs/>
                <w:sz w:val="20"/>
              </w:rPr>
            </w:pPr>
          </w:p>
        </w:tc>
        <w:tc>
          <w:tcPr>
            <w:tcW w:w="1682" w:type="dxa"/>
          </w:tcPr>
          <w:p w14:paraId="43BFDF15"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35</w:t>
            </w:r>
          </w:p>
        </w:tc>
        <w:tc>
          <w:tcPr>
            <w:tcW w:w="851" w:type="dxa"/>
          </w:tcPr>
          <w:p w14:paraId="32DE0CF6"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34</w:t>
            </w:r>
          </w:p>
        </w:tc>
        <w:tc>
          <w:tcPr>
            <w:tcW w:w="1842" w:type="dxa"/>
          </w:tcPr>
          <w:p w14:paraId="0BA3F52A"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4</w:t>
            </w:r>
          </w:p>
        </w:tc>
        <w:tc>
          <w:tcPr>
            <w:tcW w:w="2217" w:type="dxa"/>
          </w:tcPr>
          <w:p w14:paraId="2C00FDC9"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4</w:t>
            </w:r>
          </w:p>
        </w:tc>
      </w:tr>
      <w:tr w:rsidR="00265F70" w:rsidRPr="00424274" w14:paraId="255EE311" w14:textId="77777777" w:rsidTr="000918AC">
        <w:trPr>
          <w:trHeight w:val="336"/>
        </w:trPr>
        <w:tc>
          <w:tcPr>
            <w:tcW w:w="709" w:type="dxa"/>
          </w:tcPr>
          <w:p w14:paraId="65886253"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50</w:t>
            </w:r>
          </w:p>
        </w:tc>
        <w:tc>
          <w:tcPr>
            <w:tcW w:w="1862" w:type="dxa"/>
          </w:tcPr>
          <w:p w14:paraId="3C30F500" w14:textId="77777777" w:rsidR="00265F70" w:rsidRPr="00424274" w:rsidRDefault="00265F70" w:rsidP="00265F70">
            <w:pPr>
              <w:spacing w:line="276" w:lineRule="auto"/>
              <w:jc w:val="left"/>
              <w:rPr>
                <w:rFonts w:ascii="Arial" w:hAnsi="Arial"/>
                <w:b/>
                <w:bCs/>
                <w:sz w:val="20"/>
              </w:rPr>
            </w:pPr>
            <w:r w:rsidRPr="00424274">
              <w:rPr>
                <w:rFonts w:ascii="Arial" w:hAnsi="Arial"/>
                <w:b/>
                <w:bCs/>
                <w:sz w:val="20"/>
              </w:rPr>
              <w:t>SAN MARINO</w:t>
            </w:r>
          </w:p>
        </w:tc>
        <w:tc>
          <w:tcPr>
            <w:tcW w:w="1682" w:type="dxa"/>
          </w:tcPr>
          <w:p w14:paraId="3D33DB97" w14:textId="14CFD126" w:rsidR="00265F70" w:rsidRPr="00424274" w:rsidRDefault="00C76E23" w:rsidP="00265F70">
            <w:pPr>
              <w:spacing w:line="276" w:lineRule="auto"/>
              <w:jc w:val="center"/>
              <w:rPr>
                <w:rFonts w:ascii="Arial" w:hAnsi="Arial"/>
                <w:b/>
                <w:bCs/>
                <w:sz w:val="20"/>
              </w:rPr>
            </w:pPr>
            <w:r>
              <w:rPr>
                <w:rFonts w:ascii="Arial" w:hAnsi="Arial"/>
                <w:b/>
                <w:bCs/>
                <w:sz w:val="20"/>
              </w:rPr>
              <w:t>–</w:t>
            </w:r>
          </w:p>
        </w:tc>
        <w:tc>
          <w:tcPr>
            <w:tcW w:w="851" w:type="dxa"/>
          </w:tcPr>
          <w:p w14:paraId="097BFA7D" w14:textId="03975A9A" w:rsidR="00265F70" w:rsidRPr="00424274" w:rsidRDefault="00C76E23" w:rsidP="00265F70">
            <w:pPr>
              <w:spacing w:line="276" w:lineRule="auto"/>
              <w:jc w:val="center"/>
              <w:rPr>
                <w:rFonts w:ascii="Arial" w:hAnsi="Arial"/>
                <w:b/>
                <w:bCs/>
                <w:sz w:val="20"/>
              </w:rPr>
            </w:pPr>
            <w:r>
              <w:rPr>
                <w:rFonts w:ascii="Arial" w:hAnsi="Arial"/>
                <w:b/>
                <w:bCs/>
                <w:sz w:val="20"/>
              </w:rPr>
              <w:t>–</w:t>
            </w:r>
          </w:p>
        </w:tc>
        <w:tc>
          <w:tcPr>
            <w:tcW w:w="1842" w:type="dxa"/>
          </w:tcPr>
          <w:p w14:paraId="74453D96"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4</w:t>
            </w:r>
          </w:p>
        </w:tc>
        <w:tc>
          <w:tcPr>
            <w:tcW w:w="2217" w:type="dxa"/>
          </w:tcPr>
          <w:p w14:paraId="1F589BD4"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4</w:t>
            </w:r>
          </w:p>
        </w:tc>
      </w:tr>
      <w:tr w:rsidR="00265F70" w:rsidRPr="00424274" w14:paraId="0950E045" w14:textId="77777777" w:rsidTr="000918AC">
        <w:trPr>
          <w:trHeight w:val="174"/>
        </w:trPr>
        <w:tc>
          <w:tcPr>
            <w:tcW w:w="709" w:type="dxa"/>
          </w:tcPr>
          <w:p w14:paraId="4439CEDA"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51</w:t>
            </w:r>
          </w:p>
        </w:tc>
        <w:tc>
          <w:tcPr>
            <w:tcW w:w="1862" w:type="dxa"/>
          </w:tcPr>
          <w:p w14:paraId="78C16C90" w14:textId="607B7779" w:rsidR="00265F70" w:rsidRPr="00424274" w:rsidRDefault="00265F70" w:rsidP="00265F70">
            <w:pPr>
              <w:spacing w:line="276" w:lineRule="auto"/>
              <w:jc w:val="left"/>
              <w:rPr>
                <w:rFonts w:ascii="Arial" w:hAnsi="Arial"/>
                <w:b/>
                <w:bCs/>
                <w:sz w:val="20"/>
              </w:rPr>
            </w:pPr>
            <w:r w:rsidRPr="00424274">
              <w:rPr>
                <w:rFonts w:ascii="Arial" w:hAnsi="Arial"/>
                <w:b/>
                <w:bCs/>
                <w:sz w:val="20"/>
              </w:rPr>
              <w:t>SA</w:t>
            </w:r>
            <w:r w:rsidR="00C76E23">
              <w:rPr>
                <w:rFonts w:ascii="Arial" w:hAnsi="Arial"/>
                <w:b/>
                <w:bCs/>
                <w:sz w:val="20"/>
              </w:rPr>
              <w:t>VSKA</w:t>
            </w:r>
            <w:r w:rsidRPr="00424274">
              <w:rPr>
                <w:rFonts w:ascii="Arial" w:hAnsi="Arial"/>
                <w:b/>
                <w:bCs/>
                <w:sz w:val="20"/>
              </w:rPr>
              <w:t xml:space="preserve"> ARABIJA</w:t>
            </w:r>
          </w:p>
          <w:p w14:paraId="2F6EDBAE" w14:textId="77777777" w:rsidR="00265F70" w:rsidRPr="00424274" w:rsidRDefault="00265F70" w:rsidP="00265F70">
            <w:pPr>
              <w:spacing w:line="276" w:lineRule="auto"/>
              <w:jc w:val="left"/>
              <w:rPr>
                <w:rFonts w:ascii="Arial" w:hAnsi="Arial"/>
                <w:b/>
                <w:bCs/>
                <w:sz w:val="20"/>
              </w:rPr>
            </w:pPr>
          </w:p>
        </w:tc>
        <w:tc>
          <w:tcPr>
            <w:tcW w:w="1682" w:type="dxa"/>
          </w:tcPr>
          <w:p w14:paraId="4AEE765B"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c>
          <w:tcPr>
            <w:tcW w:w="851" w:type="dxa"/>
          </w:tcPr>
          <w:p w14:paraId="393F5A39"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c>
          <w:tcPr>
            <w:tcW w:w="1842" w:type="dxa"/>
          </w:tcPr>
          <w:p w14:paraId="4E751C64" w14:textId="7BA33944" w:rsidR="00265F70" w:rsidRPr="00424274" w:rsidRDefault="00C76E23" w:rsidP="00265F70">
            <w:pPr>
              <w:spacing w:line="276" w:lineRule="auto"/>
              <w:jc w:val="center"/>
              <w:rPr>
                <w:rFonts w:ascii="Arial" w:hAnsi="Arial"/>
                <w:b/>
                <w:bCs/>
                <w:sz w:val="20"/>
              </w:rPr>
            </w:pPr>
            <w:r>
              <w:rPr>
                <w:rFonts w:ascii="Arial" w:hAnsi="Arial"/>
                <w:b/>
                <w:bCs/>
                <w:sz w:val="20"/>
              </w:rPr>
              <w:t>–</w:t>
            </w:r>
          </w:p>
        </w:tc>
        <w:tc>
          <w:tcPr>
            <w:tcW w:w="2217" w:type="dxa"/>
          </w:tcPr>
          <w:p w14:paraId="7DCF0071" w14:textId="3FD8DD84" w:rsidR="00265F70" w:rsidRPr="00424274" w:rsidRDefault="00C76E23" w:rsidP="00265F70">
            <w:pPr>
              <w:spacing w:line="276" w:lineRule="auto"/>
              <w:jc w:val="center"/>
              <w:rPr>
                <w:rFonts w:ascii="Arial" w:hAnsi="Arial"/>
                <w:b/>
                <w:bCs/>
                <w:sz w:val="20"/>
              </w:rPr>
            </w:pPr>
            <w:r>
              <w:rPr>
                <w:rFonts w:ascii="Arial" w:hAnsi="Arial"/>
                <w:b/>
                <w:bCs/>
                <w:sz w:val="20"/>
              </w:rPr>
              <w:t>–</w:t>
            </w:r>
          </w:p>
        </w:tc>
      </w:tr>
      <w:tr w:rsidR="00265F70" w:rsidRPr="00424274" w14:paraId="73B1BF78" w14:textId="77777777" w:rsidTr="000918AC">
        <w:tc>
          <w:tcPr>
            <w:tcW w:w="709" w:type="dxa"/>
          </w:tcPr>
          <w:p w14:paraId="7EB87C39"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52</w:t>
            </w:r>
          </w:p>
        </w:tc>
        <w:tc>
          <w:tcPr>
            <w:tcW w:w="1862" w:type="dxa"/>
          </w:tcPr>
          <w:p w14:paraId="068289A7" w14:textId="77777777" w:rsidR="00265F70" w:rsidRPr="00424274" w:rsidRDefault="00265F70" w:rsidP="00265F70">
            <w:pPr>
              <w:spacing w:line="276" w:lineRule="auto"/>
              <w:jc w:val="left"/>
              <w:rPr>
                <w:rFonts w:ascii="Arial" w:hAnsi="Arial"/>
                <w:b/>
                <w:bCs/>
                <w:sz w:val="20"/>
              </w:rPr>
            </w:pPr>
            <w:r w:rsidRPr="00424274">
              <w:rPr>
                <w:rFonts w:ascii="Arial" w:hAnsi="Arial"/>
                <w:b/>
                <w:bCs/>
                <w:sz w:val="20"/>
              </w:rPr>
              <w:t xml:space="preserve">SEVERNA </w:t>
            </w:r>
            <w:r w:rsidRPr="00424274">
              <w:rPr>
                <w:rFonts w:ascii="Arial" w:hAnsi="Arial"/>
                <w:b/>
                <w:bCs/>
                <w:sz w:val="20"/>
              </w:rPr>
              <w:lastRenderedPageBreak/>
              <w:t>MAKEDONIJA</w:t>
            </w:r>
          </w:p>
          <w:p w14:paraId="58E7715B" w14:textId="77777777" w:rsidR="00265F70" w:rsidRPr="00424274" w:rsidRDefault="00265F70" w:rsidP="00265F70">
            <w:pPr>
              <w:spacing w:line="276" w:lineRule="auto"/>
              <w:jc w:val="left"/>
              <w:rPr>
                <w:rFonts w:ascii="Arial" w:hAnsi="Arial"/>
                <w:b/>
                <w:bCs/>
                <w:sz w:val="20"/>
              </w:rPr>
            </w:pPr>
          </w:p>
        </w:tc>
        <w:tc>
          <w:tcPr>
            <w:tcW w:w="1682" w:type="dxa"/>
          </w:tcPr>
          <w:p w14:paraId="41F497E9"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lastRenderedPageBreak/>
              <w:t>4</w:t>
            </w:r>
          </w:p>
        </w:tc>
        <w:tc>
          <w:tcPr>
            <w:tcW w:w="851" w:type="dxa"/>
          </w:tcPr>
          <w:p w14:paraId="5F74960A"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4</w:t>
            </w:r>
          </w:p>
        </w:tc>
        <w:tc>
          <w:tcPr>
            <w:tcW w:w="1842" w:type="dxa"/>
          </w:tcPr>
          <w:p w14:paraId="16ACFA04"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9</w:t>
            </w:r>
          </w:p>
        </w:tc>
        <w:tc>
          <w:tcPr>
            <w:tcW w:w="2217" w:type="dxa"/>
          </w:tcPr>
          <w:p w14:paraId="05003303"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8</w:t>
            </w:r>
          </w:p>
        </w:tc>
      </w:tr>
      <w:tr w:rsidR="00265F70" w:rsidRPr="00424274" w14:paraId="3B738E74" w14:textId="77777777" w:rsidTr="000918AC">
        <w:tc>
          <w:tcPr>
            <w:tcW w:w="709" w:type="dxa"/>
          </w:tcPr>
          <w:p w14:paraId="050B6671"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53</w:t>
            </w:r>
          </w:p>
        </w:tc>
        <w:tc>
          <w:tcPr>
            <w:tcW w:w="1862" w:type="dxa"/>
          </w:tcPr>
          <w:p w14:paraId="2165BCAB" w14:textId="77777777" w:rsidR="00265F70" w:rsidRPr="00424274" w:rsidRDefault="00265F70" w:rsidP="00265F70">
            <w:pPr>
              <w:spacing w:line="276" w:lineRule="auto"/>
              <w:jc w:val="left"/>
              <w:rPr>
                <w:rFonts w:ascii="Arial" w:hAnsi="Arial"/>
                <w:b/>
                <w:bCs/>
                <w:sz w:val="20"/>
              </w:rPr>
            </w:pPr>
            <w:r w:rsidRPr="00424274">
              <w:rPr>
                <w:rFonts w:ascii="Arial" w:hAnsi="Arial"/>
                <w:b/>
                <w:bCs/>
                <w:sz w:val="20"/>
              </w:rPr>
              <w:t>SINGAPUR</w:t>
            </w:r>
          </w:p>
          <w:p w14:paraId="5703A7C3" w14:textId="77777777" w:rsidR="00265F70" w:rsidRPr="00424274" w:rsidRDefault="00265F70" w:rsidP="00265F70">
            <w:pPr>
              <w:spacing w:line="276" w:lineRule="auto"/>
              <w:jc w:val="left"/>
              <w:rPr>
                <w:rFonts w:ascii="Arial" w:hAnsi="Arial"/>
                <w:b/>
                <w:bCs/>
                <w:sz w:val="20"/>
              </w:rPr>
            </w:pPr>
          </w:p>
        </w:tc>
        <w:tc>
          <w:tcPr>
            <w:tcW w:w="1682" w:type="dxa"/>
          </w:tcPr>
          <w:p w14:paraId="4247D428"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c>
          <w:tcPr>
            <w:tcW w:w="851" w:type="dxa"/>
          </w:tcPr>
          <w:p w14:paraId="58A2E715"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c>
          <w:tcPr>
            <w:tcW w:w="1842" w:type="dxa"/>
          </w:tcPr>
          <w:p w14:paraId="7C8807B0" w14:textId="7DB6D582" w:rsidR="00265F70" w:rsidRPr="00424274" w:rsidRDefault="00C76E23" w:rsidP="00265F70">
            <w:pPr>
              <w:spacing w:line="276" w:lineRule="auto"/>
              <w:jc w:val="center"/>
              <w:rPr>
                <w:rFonts w:ascii="Arial" w:hAnsi="Arial"/>
                <w:b/>
                <w:bCs/>
                <w:sz w:val="20"/>
              </w:rPr>
            </w:pPr>
            <w:r>
              <w:rPr>
                <w:rFonts w:ascii="Arial" w:hAnsi="Arial"/>
                <w:b/>
                <w:bCs/>
                <w:sz w:val="20"/>
              </w:rPr>
              <w:t>–</w:t>
            </w:r>
          </w:p>
        </w:tc>
        <w:tc>
          <w:tcPr>
            <w:tcW w:w="2217" w:type="dxa"/>
          </w:tcPr>
          <w:p w14:paraId="099BDCD5" w14:textId="6A29E425" w:rsidR="00265F70" w:rsidRPr="00424274" w:rsidRDefault="00C76E23" w:rsidP="00265F70">
            <w:pPr>
              <w:spacing w:line="276" w:lineRule="auto"/>
              <w:jc w:val="center"/>
              <w:rPr>
                <w:rFonts w:ascii="Arial" w:hAnsi="Arial"/>
                <w:b/>
                <w:bCs/>
                <w:sz w:val="20"/>
              </w:rPr>
            </w:pPr>
            <w:r>
              <w:rPr>
                <w:rFonts w:ascii="Arial" w:hAnsi="Arial"/>
                <w:b/>
                <w:bCs/>
                <w:sz w:val="20"/>
              </w:rPr>
              <w:t>–</w:t>
            </w:r>
          </w:p>
        </w:tc>
      </w:tr>
      <w:tr w:rsidR="00265F70" w:rsidRPr="00424274" w14:paraId="2B6BF674" w14:textId="77777777" w:rsidTr="000918AC">
        <w:tc>
          <w:tcPr>
            <w:tcW w:w="709" w:type="dxa"/>
          </w:tcPr>
          <w:p w14:paraId="5B2CBF05"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54</w:t>
            </w:r>
          </w:p>
        </w:tc>
        <w:tc>
          <w:tcPr>
            <w:tcW w:w="1862" w:type="dxa"/>
          </w:tcPr>
          <w:p w14:paraId="5EA91C93" w14:textId="77777777" w:rsidR="00265F70" w:rsidRPr="00424274" w:rsidRDefault="00265F70" w:rsidP="00265F70">
            <w:pPr>
              <w:spacing w:line="276" w:lineRule="auto"/>
              <w:jc w:val="left"/>
              <w:rPr>
                <w:rFonts w:ascii="Arial" w:hAnsi="Arial"/>
                <w:b/>
                <w:bCs/>
                <w:sz w:val="20"/>
              </w:rPr>
            </w:pPr>
            <w:r w:rsidRPr="00424274">
              <w:rPr>
                <w:rFonts w:ascii="Arial" w:hAnsi="Arial"/>
                <w:b/>
                <w:bCs/>
                <w:sz w:val="20"/>
              </w:rPr>
              <w:t>SIRIJA</w:t>
            </w:r>
          </w:p>
          <w:p w14:paraId="18BA139D" w14:textId="77777777" w:rsidR="00265F70" w:rsidRPr="00424274" w:rsidRDefault="00265F70" w:rsidP="00265F70">
            <w:pPr>
              <w:spacing w:line="276" w:lineRule="auto"/>
              <w:jc w:val="left"/>
              <w:rPr>
                <w:rFonts w:ascii="Arial" w:hAnsi="Arial"/>
                <w:b/>
                <w:bCs/>
                <w:sz w:val="20"/>
              </w:rPr>
            </w:pPr>
          </w:p>
        </w:tc>
        <w:tc>
          <w:tcPr>
            <w:tcW w:w="1682" w:type="dxa"/>
          </w:tcPr>
          <w:p w14:paraId="358F2A34" w14:textId="64224C76" w:rsidR="00265F70" w:rsidRPr="00424274" w:rsidRDefault="00C76E23" w:rsidP="00265F70">
            <w:pPr>
              <w:spacing w:line="276" w:lineRule="auto"/>
              <w:jc w:val="center"/>
              <w:rPr>
                <w:rFonts w:ascii="Arial" w:hAnsi="Arial"/>
                <w:b/>
                <w:bCs/>
                <w:sz w:val="20"/>
              </w:rPr>
            </w:pPr>
            <w:r>
              <w:rPr>
                <w:rFonts w:ascii="Arial" w:hAnsi="Arial"/>
                <w:b/>
                <w:bCs/>
                <w:sz w:val="20"/>
              </w:rPr>
              <w:t>–</w:t>
            </w:r>
          </w:p>
        </w:tc>
        <w:tc>
          <w:tcPr>
            <w:tcW w:w="851" w:type="dxa"/>
          </w:tcPr>
          <w:p w14:paraId="5052E142" w14:textId="12DC2FB9" w:rsidR="00265F70" w:rsidRPr="00424274" w:rsidRDefault="00C76E23" w:rsidP="00265F70">
            <w:pPr>
              <w:spacing w:line="276" w:lineRule="auto"/>
              <w:jc w:val="center"/>
              <w:rPr>
                <w:rFonts w:ascii="Arial" w:hAnsi="Arial"/>
                <w:b/>
                <w:bCs/>
                <w:sz w:val="20"/>
              </w:rPr>
            </w:pPr>
            <w:r>
              <w:rPr>
                <w:rFonts w:ascii="Arial" w:hAnsi="Arial"/>
                <w:b/>
                <w:bCs/>
                <w:sz w:val="20"/>
              </w:rPr>
              <w:t>–</w:t>
            </w:r>
          </w:p>
        </w:tc>
        <w:tc>
          <w:tcPr>
            <w:tcW w:w="1842" w:type="dxa"/>
          </w:tcPr>
          <w:p w14:paraId="16988F0D"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c>
          <w:tcPr>
            <w:tcW w:w="2217" w:type="dxa"/>
          </w:tcPr>
          <w:p w14:paraId="75B492AD"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r>
      <w:tr w:rsidR="00265F70" w:rsidRPr="00424274" w14:paraId="42580408" w14:textId="77777777" w:rsidTr="000918AC">
        <w:tc>
          <w:tcPr>
            <w:tcW w:w="709" w:type="dxa"/>
          </w:tcPr>
          <w:p w14:paraId="67DA8080"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55</w:t>
            </w:r>
          </w:p>
        </w:tc>
        <w:tc>
          <w:tcPr>
            <w:tcW w:w="1862" w:type="dxa"/>
          </w:tcPr>
          <w:p w14:paraId="4480AFD4" w14:textId="0E2D787F" w:rsidR="00265F70" w:rsidRPr="00424274" w:rsidRDefault="00265F70" w:rsidP="00265F70">
            <w:pPr>
              <w:spacing w:line="276" w:lineRule="auto"/>
              <w:jc w:val="left"/>
              <w:rPr>
                <w:rFonts w:ascii="Arial" w:hAnsi="Arial"/>
                <w:b/>
                <w:bCs/>
                <w:sz w:val="20"/>
              </w:rPr>
            </w:pPr>
            <w:r w:rsidRPr="00424274">
              <w:rPr>
                <w:rFonts w:ascii="Arial" w:hAnsi="Arial"/>
                <w:b/>
                <w:bCs/>
                <w:sz w:val="20"/>
              </w:rPr>
              <w:t>SLONOKOŠČENA</w:t>
            </w:r>
            <w:r w:rsidR="00AC0B27">
              <w:rPr>
                <w:rFonts w:ascii="Arial" w:hAnsi="Arial"/>
                <w:b/>
                <w:bCs/>
                <w:sz w:val="20"/>
              </w:rPr>
              <w:t xml:space="preserve"> </w:t>
            </w:r>
            <w:r w:rsidRPr="00424274">
              <w:rPr>
                <w:rFonts w:ascii="Arial" w:hAnsi="Arial"/>
                <w:b/>
                <w:bCs/>
                <w:sz w:val="20"/>
              </w:rPr>
              <w:t>OBALA</w:t>
            </w:r>
          </w:p>
          <w:p w14:paraId="17E61F20" w14:textId="77777777" w:rsidR="00265F70" w:rsidRPr="00424274" w:rsidRDefault="00265F70" w:rsidP="00265F70">
            <w:pPr>
              <w:spacing w:line="276" w:lineRule="auto"/>
              <w:jc w:val="left"/>
              <w:rPr>
                <w:rFonts w:ascii="Arial" w:hAnsi="Arial"/>
                <w:b/>
                <w:bCs/>
                <w:sz w:val="20"/>
              </w:rPr>
            </w:pPr>
          </w:p>
        </w:tc>
        <w:tc>
          <w:tcPr>
            <w:tcW w:w="1682" w:type="dxa"/>
          </w:tcPr>
          <w:p w14:paraId="7244D08F"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c>
          <w:tcPr>
            <w:tcW w:w="851" w:type="dxa"/>
          </w:tcPr>
          <w:p w14:paraId="5501F828"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c>
          <w:tcPr>
            <w:tcW w:w="1842" w:type="dxa"/>
          </w:tcPr>
          <w:p w14:paraId="4799FA43" w14:textId="241F926B" w:rsidR="00265F70" w:rsidRPr="00424274" w:rsidRDefault="00C76E23" w:rsidP="00265F70">
            <w:pPr>
              <w:spacing w:line="276" w:lineRule="auto"/>
              <w:jc w:val="center"/>
              <w:rPr>
                <w:rFonts w:ascii="Arial" w:hAnsi="Arial"/>
                <w:b/>
                <w:bCs/>
                <w:sz w:val="20"/>
              </w:rPr>
            </w:pPr>
            <w:r>
              <w:rPr>
                <w:rFonts w:ascii="Arial" w:hAnsi="Arial"/>
                <w:b/>
                <w:bCs/>
                <w:sz w:val="20"/>
              </w:rPr>
              <w:t>–</w:t>
            </w:r>
          </w:p>
        </w:tc>
        <w:tc>
          <w:tcPr>
            <w:tcW w:w="2217" w:type="dxa"/>
          </w:tcPr>
          <w:p w14:paraId="7922AD1C" w14:textId="6A40CDEA" w:rsidR="00265F70" w:rsidRPr="00424274" w:rsidRDefault="00C76E23" w:rsidP="00265F70">
            <w:pPr>
              <w:spacing w:line="276" w:lineRule="auto"/>
              <w:rPr>
                <w:rFonts w:ascii="Arial" w:hAnsi="Arial"/>
                <w:b/>
                <w:bCs/>
                <w:sz w:val="20"/>
              </w:rPr>
            </w:pPr>
            <w:r>
              <w:rPr>
                <w:rFonts w:ascii="Arial" w:hAnsi="Arial"/>
                <w:b/>
                <w:bCs/>
                <w:sz w:val="20"/>
              </w:rPr>
              <w:t>–</w:t>
            </w:r>
          </w:p>
        </w:tc>
      </w:tr>
      <w:tr w:rsidR="00265F70" w:rsidRPr="00424274" w14:paraId="037B40F2" w14:textId="77777777" w:rsidTr="000918AC">
        <w:tc>
          <w:tcPr>
            <w:tcW w:w="709" w:type="dxa"/>
          </w:tcPr>
          <w:p w14:paraId="459F804C"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56</w:t>
            </w:r>
          </w:p>
        </w:tc>
        <w:tc>
          <w:tcPr>
            <w:tcW w:w="1862" w:type="dxa"/>
          </w:tcPr>
          <w:p w14:paraId="1309B1D6" w14:textId="77777777" w:rsidR="00265F70" w:rsidRPr="00424274" w:rsidRDefault="00265F70" w:rsidP="00265F70">
            <w:pPr>
              <w:spacing w:line="276" w:lineRule="auto"/>
              <w:jc w:val="left"/>
              <w:rPr>
                <w:rFonts w:ascii="Arial" w:hAnsi="Arial"/>
                <w:b/>
                <w:bCs/>
                <w:sz w:val="20"/>
              </w:rPr>
            </w:pPr>
            <w:r w:rsidRPr="00424274">
              <w:rPr>
                <w:rFonts w:ascii="Arial" w:hAnsi="Arial"/>
                <w:b/>
                <w:bCs/>
                <w:sz w:val="20"/>
              </w:rPr>
              <w:t>SLOVAŠKA</w:t>
            </w:r>
          </w:p>
          <w:p w14:paraId="75F82A7E" w14:textId="77777777" w:rsidR="00265F70" w:rsidRPr="00424274" w:rsidRDefault="00265F70" w:rsidP="00265F70">
            <w:pPr>
              <w:spacing w:line="276" w:lineRule="auto"/>
              <w:jc w:val="left"/>
              <w:rPr>
                <w:rFonts w:ascii="Arial" w:hAnsi="Arial"/>
                <w:b/>
                <w:bCs/>
                <w:sz w:val="20"/>
              </w:rPr>
            </w:pPr>
          </w:p>
        </w:tc>
        <w:tc>
          <w:tcPr>
            <w:tcW w:w="1682" w:type="dxa"/>
          </w:tcPr>
          <w:p w14:paraId="4C83161D"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16</w:t>
            </w:r>
          </w:p>
        </w:tc>
        <w:tc>
          <w:tcPr>
            <w:tcW w:w="851" w:type="dxa"/>
          </w:tcPr>
          <w:p w14:paraId="5BF43791"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16</w:t>
            </w:r>
          </w:p>
        </w:tc>
        <w:tc>
          <w:tcPr>
            <w:tcW w:w="1842" w:type="dxa"/>
          </w:tcPr>
          <w:p w14:paraId="43049822"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15</w:t>
            </w:r>
          </w:p>
        </w:tc>
        <w:tc>
          <w:tcPr>
            <w:tcW w:w="2217" w:type="dxa"/>
          </w:tcPr>
          <w:p w14:paraId="224D1DC1"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15</w:t>
            </w:r>
          </w:p>
        </w:tc>
      </w:tr>
      <w:tr w:rsidR="00265F70" w:rsidRPr="00424274" w14:paraId="4A73D993" w14:textId="77777777" w:rsidTr="000918AC">
        <w:tc>
          <w:tcPr>
            <w:tcW w:w="709" w:type="dxa"/>
          </w:tcPr>
          <w:p w14:paraId="2A77307F"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57</w:t>
            </w:r>
          </w:p>
        </w:tc>
        <w:tc>
          <w:tcPr>
            <w:tcW w:w="1862" w:type="dxa"/>
          </w:tcPr>
          <w:p w14:paraId="398C54E6" w14:textId="77777777" w:rsidR="00265F70" w:rsidRPr="00424274" w:rsidRDefault="00265F70" w:rsidP="00265F70">
            <w:pPr>
              <w:spacing w:line="276" w:lineRule="auto"/>
              <w:jc w:val="left"/>
              <w:rPr>
                <w:rFonts w:ascii="Arial" w:hAnsi="Arial"/>
                <w:b/>
                <w:bCs/>
                <w:sz w:val="20"/>
              </w:rPr>
            </w:pPr>
            <w:r w:rsidRPr="00424274">
              <w:rPr>
                <w:rFonts w:ascii="Arial" w:hAnsi="Arial"/>
                <w:b/>
                <w:bCs/>
                <w:sz w:val="20"/>
              </w:rPr>
              <w:t>SRBIJA</w:t>
            </w:r>
          </w:p>
          <w:p w14:paraId="57A1D073" w14:textId="77777777" w:rsidR="00265F70" w:rsidRPr="00424274" w:rsidRDefault="00265F70" w:rsidP="00265F70">
            <w:pPr>
              <w:spacing w:line="276" w:lineRule="auto"/>
              <w:jc w:val="left"/>
              <w:rPr>
                <w:rFonts w:ascii="Arial" w:hAnsi="Arial"/>
                <w:b/>
                <w:bCs/>
                <w:sz w:val="20"/>
              </w:rPr>
            </w:pPr>
          </w:p>
        </w:tc>
        <w:tc>
          <w:tcPr>
            <w:tcW w:w="1682" w:type="dxa"/>
          </w:tcPr>
          <w:p w14:paraId="75C69DE5"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23</w:t>
            </w:r>
          </w:p>
        </w:tc>
        <w:tc>
          <w:tcPr>
            <w:tcW w:w="851" w:type="dxa"/>
          </w:tcPr>
          <w:p w14:paraId="5FA45D64"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22</w:t>
            </w:r>
          </w:p>
        </w:tc>
        <w:tc>
          <w:tcPr>
            <w:tcW w:w="1842" w:type="dxa"/>
          </w:tcPr>
          <w:p w14:paraId="3F9FA144"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4</w:t>
            </w:r>
          </w:p>
        </w:tc>
        <w:tc>
          <w:tcPr>
            <w:tcW w:w="2217" w:type="dxa"/>
          </w:tcPr>
          <w:p w14:paraId="69FA82AB"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4</w:t>
            </w:r>
          </w:p>
        </w:tc>
      </w:tr>
      <w:tr w:rsidR="00265F70" w:rsidRPr="00424274" w14:paraId="2E0E9DF9" w14:textId="77777777" w:rsidTr="000918AC">
        <w:tc>
          <w:tcPr>
            <w:tcW w:w="709" w:type="dxa"/>
          </w:tcPr>
          <w:p w14:paraId="596EB51E"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58</w:t>
            </w:r>
          </w:p>
        </w:tc>
        <w:tc>
          <w:tcPr>
            <w:tcW w:w="1862" w:type="dxa"/>
          </w:tcPr>
          <w:p w14:paraId="07271C24" w14:textId="77777777" w:rsidR="00265F70" w:rsidRPr="00424274" w:rsidRDefault="00265F70" w:rsidP="00265F70">
            <w:pPr>
              <w:spacing w:line="276" w:lineRule="auto"/>
              <w:jc w:val="left"/>
              <w:rPr>
                <w:rFonts w:ascii="Arial" w:hAnsi="Arial"/>
                <w:b/>
                <w:bCs/>
                <w:sz w:val="20"/>
              </w:rPr>
            </w:pPr>
            <w:r w:rsidRPr="00424274">
              <w:rPr>
                <w:rFonts w:ascii="Arial" w:hAnsi="Arial"/>
                <w:b/>
                <w:bCs/>
                <w:sz w:val="20"/>
              </w:rPr>
              <w:t>ŠPANIJA</w:t>
            </w:r>
          </w:p>
          <w:p w14:paraId="026F3533" w14:textId="77777777" w:rsidR="00265F70" w:rsidRPr="00424274" w:rsidRDefault="00265F70" w:rsidP="00265F70">
            <w:pPr>
              <w:spacing w:line="276" w:lineRule="auto"/>
              <w:jc w:val="left"/>
              <w:rPr>
                <w:rFonts w:ascii="Arial" w:hAnsi="Arial"/>
                <w:b/>
                <w:bCs/>
                <w:sz w:val="20"/>
              </w:rPr>
            </w:pPr>
          </w:p>
        </w:tc>
        <w:tc>
          <w:tcPr>
            <w:tcW w:w="1682" w:type="dxa"/>
          </w:tcPr>
          <w:p w14:paraId="7F5887C4"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11</w:t>
            </w:r>
          </w:p>
        </w:tc>
        <w:tc>
          <w:tcPr>
            <w:tcW w:w="851" w:type="dxa"/>
          </w:tcPr>
          <w:p w14:paraId="025D6AC9"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10</w:t>
            </w:r>
          </w:p>
        </w:tc>
        <w:tc>
          <w:tcPr>
            <w:tcW w:w="1842" w:type="dxa"/>
          </w:tcPr>
          <w:p w14:paraId="54D65FE2"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c>
          <w:tcPr>
            <w:tcW w:w="2217" w:type="dxa"/>
          </w:tcPr>
          <w:p w14:paraId="3F294A27"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r>
      <w:tr w:rsidR="00265F70" w:rsidRPr="00424274" w14:paraId="31308A06" w14:textId="77777777" w:rsidTr="000918AC">
        <w:trPr>
          <w:trHeight w:val="120"/>
        </w:trPr>
        <w:tc>
          <w:tcPr>
            <w:tcW w:w="709" w:type="dxa"/>
          </w:tcPr>
          <w:p w14:paraId="01CF3134"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59</w:t>
            </w:r>
          </w:p>
        </w:tc>
        <w:tc>
          <w:tcPr>
            <w:tcW w:w="1862" w:type="dxa"/>
          </w:tcPr>
          <w:p w14:paraId="049F3FE8" w14:textId="77777777" w:rsidR="00265F70" w:rsidRPr="00424274" w:rsidRDefault="00265F70" w:rsidP="00265F70">
            <w:pPr>
              <w:spacing w:line="276" w:lineRule="auto"/>
              <w:jc w:val="left"/>
              <w:rPr>
                <w:rFonts w:ascii="Arial" w:hAnsi="Arial"/>
                <w:b/>
                <w:bCs/>
                <w:sz w:val="20"/>
              </w:rPr>
            </w:pPr>
            <w:r w:rsidRPr="00424274">
              <w:rPr>
                <w:rFonts w:ascii="Arial" w:hAnsi="Arial"/>
                <w:b/>
                <w:bCs/>
                <w:sz w:val="20"/>
              </w:rPr>
              <w:t>ŠVEDSKA</w:t>
            </w:r>
          </w:p>
          <w:p w14:paraId="6C635A9B" w14:textId="77777777" w:rsidR="00265F70" w:rsidRPr="00424274" w:rsidRDefault="00265F70" w:rsidP="00265F70">
            <w:pPr>
              <w:spacing w:line="276" w:lineRule="auto"/>
              <w:jc w:val="left"/>
              <w:rPr>
                <w:rFonts w:ascii="Arial" w:hAnsi="Arial"/>
                <w:b/>
                <w:bCs/>
                <w:sz w:val="20"/>
              </w:rPr>
            </w:pPr>
          </w:p>
        </w:tc>
        <w:tc>
          <w:tcPr>
            <w:tcW w:w="1682" w:type="dxa"/>
          </w:tcPr>
          <w:p w14:paraId="3A97ED67"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4</w:t>
            </w:r>
          </w:p>
        </w:tc>
        <w:tc>
          <w:tcPr>
            <w:tcW w:w="851" w:type="dxa"/>
          </w:tcPr>
          <w:p w14:paraId="717B51C5"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4</w:t>
            </w:r>
          </w:p>
        </w:tc>
        <w:tc>
          <w:tcPr>
            <w:tcW w:w="1842" w:type="dxa"/>
          </w:tcPr>
          <w:p w14:paraId="22FCEC1A"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c>
          <w:tcPr>
            <w:tcW w:w="2217" w:type="dxa"/>
          </w:tcPr>
          <w:p w14:paraId="5BFA6CE6"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r>
      <w:tr w:rsidR="00265F70" w:rsidRPr="00424274" w14:paraId="64888E56" w14:textId="77777777" w:rsidTr="000918AC">
        <w:trPr>
          <w:trHeight w:val="285"/>
        </w:trPr>
        <w:tc>
          <w:tcPr>
            <w:tcW w:w="709" w:type="dxa"/>
          </w:tcPr>
          <w:p w14:paraId="2E2BD32F"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60</w:t>
            </w:r>
          </w:p>
        </w:tc>
        <w:tc>
          <w:tcPr>
            <w:tcW w:w="1862" w:type="dxa"/>
          </w:tcPr>
          <w:p w14:paraId="62518518" w14:textId="77777777" w:rsidR="00265F70" w:rsidRPr="00424274" w:rsidRDefault="00265F70" w:rsidP="00265F70">
            <w:pPr>
              <w:spacing w:line="276" w:lineRule="auto"/>
              <w:jc w:val="left"/>
              <w:rPr>
                <w:rFonts w:ascii="Arial" w:hAnsi="Arial"/>
                <w:b/>
                <w:bCs/>
                <w:sz w:val="20"/>
              </w:rPr>
            </w:pPr>
            <w:r w:rsidRPr="00424274">
              <w:rPr>
                <w:rFonts w:ascii="Arial" w:hAnsi="Arial"/>
                <w:b/>
                <w:bCs/>
                <w:sz w:val="20"/>
              </w:rPr>
              <w:t>ŠVICA</w:t>
            </w:r>
          </w:p>
          <w:p w14:paraId="6C6BCD72" w14:textId="77777777" w:rsidR="00265F70" w:rsidRPr="00424274" w:rsidRDefault="00265F70" w:rsidP="00265F70">
            <w:pPr>
              <w:spacing w:line="276" w:lineRule="auto"/>
              <w:jc w:val="left"/>
              <w:rPr>
                <w:rFonts w:ascii="Arial" w:hAnsi="Arial"/>
                <w:b/>
                <w:bCs/>
                <w:sz w:val="20"/>
              </w:rPr>
            </w:pPr>
          </w:p>
        </w:tc>
        <w:tc>
          <w:tcPr>
            <w:tcW w:w="1682" w:type="dxa"/>
          </w:tcPr>
          <w:p w14:paraId="7EB5858C"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4</w:t>
            </w:r>
          </w:p>
        </w:tc>
        <w:tc>
          <w:tcPr>
            <w:tcW w:w="851" w:type="dxa"/>
          </w:tcPr>
          <w:p w14:paraId="14D144DF"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4</w:t>
            </w:r>
          </w:p>
        </w:tc>
        <w:tc>
          <w:tcPr>
            <w:tcW w:w="1842" w:type="dxa"/>
          </w:tcPr>
          <w:p w14:paraId="3B4BDFFA"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c>
          <w:tcPr>
            <w:tcW w:w="2217" w:type="dxa"/>
          </w:tcPr>
          <w:p w14:paraId="68DC3FCD"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r>
      <w:tr w:rsidR="00265F70" w:rsidRPr="00424274" w14:paraId="1A1D8AF4" w14:textId="77777777" w:rsidTr="000918AC">
        <w:trPr>
          <w:trHeight w:val="120"/>
        </w:trPr>
        <w:tc>
          <w:tcPr>
            <w:tcW w:w="709" w:type="dxa"/>
          </w:tcPr>
          <w:p w14:paraId="65C9648A"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61</w:t>
            </w:r>
          </w:p>
        </w:tc>
        <w:tc>
          <w:tcPr>
            <w:tcW w:w="1862" w:type="dxa"/>
          </w:tcPr>
          <w:p w14:paraId="7A22E02A" w14:textId="77777777" w:rsidR="00265F70" w:rsidRPr="00424274" w:rsidRDefault="00265F70" w:rsidP="00265F70">
            <w:pPr>
              <w:spacing w:line="276" w:lineRule="auto"/>
              <w:jc w:val="left"/>
              <w:rPr>
                <w:rFonts w:ascii="Arial" w:hAnsi="Arial"/>
                <w:b/>
                <w:bCs/>
                <w:sz w:val="20"/>
              </w:rPr>
            </w:pPr>
            <w:r w:rsidRPr="00424274">
              <w:rPr>
                <w:rFonts w:ascii="Arial" w:hAnsi="Arial"/>
                <w:b/>
                <w:bCs/>
                <w:sz w:val="20"/>
              </w:rPr>
              <w:t>TURČIJA</w:t>
            </w:r>
          </w:p>
          <w:p w14:paraId="26FEA9E3" w14:textId="77777777" w:rsidR="00265F70" w:rsidRPr="00424274" w:rsidRDefault="00265F70" w:rsidP="00265F70">
            <w:pPr>
              <w:spacing w:line="276" w:lineRule="auto"/>
              <w:jc w:val="left"/>
              <w:rPr>
                <w:rFonts w:ascii="Arial" w:hAnsi="Arial"/>
                <w:b/>
                <w:bCs/>
                <w:sz w:val="20"/>
              </w:rPr>
            </w:pPr>
          </w:p>
        </w:tc>
        <w:tc>
          <w:tcPr>
            <w:tcW w:w="1682" w:type="dxa"/>
          </w:tcPr>
          <w:p w14:paraId="12C84268"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5</w:t>
            </w:r>
          </w:p>
        </w:tc>
        <w:tc>
          <w:tcPr>
            <w:tcW w:w="851" w:type="dxa"/>
          </w:tcPr>
          <w:p w14:paraId="27A85A90"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5</w:t>
            </w:r>
          </w:p>
        </w:tc>
        <w:tc>
          <w:tcPr>
            <w:tcW w:w="1842" w:type="dxa"/>
          </w:tcPr>
          <w:p w14:paraId="00A7046F"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2</w:t>
            </w:r>
          </w:p>
        </w:tc>
        <w:tc>
          <w:tcPr>
            <w:tcW w:w="2217" w:type="dxa"/>
          </w:tcPr>
          <w:p w14:paraId="2261B9B1"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2</w:t>
            </w:r>
          </w:p>
        </w:tc>
      </w:tr>
      <w:tr w:rsidR="00265F70" w:rsidRPr="00424274" w14:paraId="49C3CFC3" w14:textId="77777777" w:rsidTr="000918AC">
        <w:tc>
          <w:tcPr>
            <w:tcW w:w="709" w:type="dxa"/>
          </w:tcPr>
          <w:p w14:paraId="7A6874D6"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62</w:t>
            </w:r>
          </w:p>
        </w:tc>
        <w:tc>
          <w:tcPr>
            <w:tcW w:w="1862" w:type="dxa"/>
          </w:tcPr>
          <w:p w14:paraId="14573529" w14:textId="77777777" w:rsidR="00265F70" w:rsidRPr="00424274" w:rsidRDefault="00265F70" w:rsidP="00265F70">
            <w:pPr>
              <w:spacing w:line="276" w:lineRule="auto"/>
              <w:jc w:val="left"/>
              <w:rPr>
                <w:rFonts w:ascii="Arial" w:hAnsi="Arial"/>
                <w:b/>
                <w:bCs/>
                <w:sz w:val="20"/>
              </w:rPr>
            </w:pPr>
            <w:r w:rsidRPr="00424274">
              <w:rPr>
                <w:rFonts w:ascii="Arial" w:hAnsi="Arial"/>
                <w:b/>
                <w:bCs/>
                <w:sz w:val="20"/>
              </w:rPr>
              <w:t>UKRAJINA</w:t>
            </w:r>
          </w:p>
          <w:p w14:paraId="709F280E" w14:textId="77777777" w:rsidR="00265F70" w:rsidRPr="00424274" w:rsidRDefault="00265F70" w:rsidP="00265F70">
            <w:pPr>
              <w:spacing w:line="276" w:lineRule="auto"/>
              <w:jc w:val="left"/>
              <w:rPr>
                <w:rFonts w:ascii="Arial" w:hAnsi="Arial"/>
                <w:b/>
                <w:bCs/>
                <w:sz w:val="20"/>
              </w:rPr>
            </w:pPr>
          </w:p>
        </w:tc>
        <w:tc>
          <w:tcPr>
            <w:tcW w:w="1682" w:type="dxa"/>
          </w:tcPr>
          <w:p w14:paraId="24D089D6"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16</w:t>
            </w:r>
          </w:p>
        </w:tc>
        <w:tc>
          <w:tcPr>
            <w:tcW w:w="851" w:type="dxa"/>
          </w:tcPr>
          <w:p w14:paraId="6F44AE2E"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16</w:t>
            </w:r>
          </w:p>
        </w:tc>
        <w:tc>
          <w:tcPr>
            <w:tcW w:w="1842" w:type="dxa"/>
          </w:tcPr>
          <w:p w14:paraId="38DB19F1" w14:textId="532868F1" w:rsidR="00265F70" w:rsidRPr="00424274" w:rsidRDefault="00C76E23" w:rsidP="00265F70">
            <w:pPr>
              <w:spacing w:line="276" w:lineRule="auto"/>
              <w:jc w:val="center"/>
              <w:rPr>
                <w:rFonts w:ascii="Arial" w:hAnsi="Arial"/>
                <w:b/>
                <w:bCs/>
                <w:sz w:val="20"/>
              </w:rPr>
            </w:pPr>
            <w:r>
              <w:rPr>
                <w:rFonts w:ascii="Arial" w:hAnsi="Arial"/>
                <w:b/>
                <w:bCs/>
                <w:sz w:val="20"/>
              </w:rPr>
              <w:t>–</w:t>
            </w:r>
          </w:p>
        </w:tc>
        <w:tc>
          <w:tcPr>
            <w:tcW w:w="2217" w:type="dxa"/>
          </w:tcPr>
          <w:p w14:paraId="487EF683" w14:textId="504EC4B6" w:rsidR="00265F70" w:rsidRPr="00424274" w:rsidRDefault="00C76E23" w:rsidP="00265F70">
            <w:pPr>
              <w:spacing w:line="276" w:lineRule="auto"/>
              <w:jc w:val="center"/>
              <w:rPr>
                <w:rFonts w:ascii="Arial" w:hAnsi="Arial"/>
                <w:b/>
                <w:bCs/>
                <w:sz w:val="20"/>
              </w:rPr>
            </w:pPr>
            <w:r>
              <w:rPr>
                <w:rFonts w:ascii="Arial" w:hAnsi="Arial"/>
                <w:b/>
                <w:bCs/>
                <w:sz w:val="20"/>
              </w:rPr>
              <w:t>–</w:t>
            </w:r>
          </w:p>
        </w:tc>
      </w:tr>
      <w:tr w:rsidR="00265F70" w:rsidRPr="00424274" w14:paraId="3AB22717" w14:textId="77777777" w:rsidTr="000918AC">
        <w:trPr>
          <w:trHeight w:val="228"/>
        </w:trPr>
        <w:tc>
          <w:tcPr>
            <w:tcW w:w="709" w:type="dxa"/>
          </w:tcPr>
          <w:p w14:paraId="78065350"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63</w:t>
            </w:r>
          </w:p>
        </w:tc>
        <w:tc>
          <w:tcPr>
            <w:tcW w:w="1862" w:type="dxa"/>
          </w:tcPr>
          <w:p w14:paraId="25B71E59" w14:textId="77777777" w:rsidR="00265F70" w:rsidRPr="00424274" w:rsidRDefault="00265F70" w:rsidP="00265F70">
            <w:pPr>
              <w:spacing w:line="276" w:lineRule="auto"/>
              <w:jc w:val="left"/>
              <w:rPr>
                <w:rFonts w:ascii="Arial" w:hAnsi="Arial"/>
                <w:b/>
                <w:bCs/>
                <w:sz w:val="20"/>
              </w:rPr>
            </w:pPr>
            <w:r w:rsidRPr="00424274">
              <w:rPr>
                <w:rFonts w:ascii="Arial" w:hAnsi="Arial"/>
                <w:b/>
                <w:bCs/>
                <w:sz w:val="20"/>
              </w:rPr>
              <w:t>VATIKAN</w:t>
            </w:r>
          </w:p>
          <w:p w14:paraId="7D140097" w14:textId="77777777" w:rsidR="00265F70" w:rsidRPr="00424274" w:rsidRDefault="00265F70" w:rsidP="00265F70">
            <w:pPr>
              <w:spacing w:line="276" w:lineRule="auto"/>
              <w:jc w:val="left"/>
              <w:rPr>
                <w:rFonts w:ascii="Arial" w:hAnsi="Arial"/>
                <w:b/>
                <w:bCs/>
                <w:sz w:val="20"/>
              </w:rPr>
            </w:pPr>
          </w:p>
        </w:tc>
        <w:tc>
          <w:tcPr>
            <w:tcW w:w="1682" w:type="dxa"/>
          </w:tcPr>
          <w:p w14:paraId="03678CE8"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2</w:t>
            </w:r>
          </w:p>
        </w:tc>
        <w:tc>
          <w:tcPr>
            <w:tcW w:w="851" w:type="dxa"/>
          </w:tcPr>
          <w:p w14:paraId="3695510F"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c>
          <w:tcPr>
            <w:tcW w:w="1842" w:type="dxa"/>
          </w:tcPr>
          <w:p w14:paraId="19538FCF" w14:textId="78DD47D1" w:rsidR="00265F70" w:rsidRPr="00424274" w:rsidRDefault="00C76E23" w:rsidP="00265F70">
            <w:pPr>
              <w:spacing w:line="276" w:lineRule="auto"/>
              <w:jc w:val="center"/>
              <w:rPr>
                <w:rFonts w:ascii="Arial" w:hAnsi="Arial"/>
                <w:b/>
                <w:bCs/>
                <w:sz w:val="20"/>
              </w:rPr>
            </w:pPr>
            <w:r>
              <w:rPr>
                <w:rFonts w:ascii="Arial" w:hAnsi="Arial"/>
                <w:b/>
                <w:bCs/>
                <w:sz w:val="20"/>
              </w:rPr>
              <w:t>–</w:t>
            </w:r>
          </w:p>
        </w:tc>
        <w:tc>
          <w:tcPr>
            <w:tcW w:w="2217" w:type="dxa"/>
          </w:tcPr>
          <w:p w14:paraId="35C0A622" w14:textId="5C1904A0" w:rsidR="00265F70" w:rsidRPr="00424274" w:rsidRDefault="00C76E23" w:rsidP="00265F70">
            <w:pPr>
              <w:spacing w:line="276" w:lineRule="auto"/>
              <w:jc w:val="center"/>
              <w:rPr>
                <w:rFonts w:ascii="Arial" w:hAnsi="Arial"/>
                <w:b/>
                <w:bCs/>
                <w:sz w:val="20"/>
              </w:rPr>
            </w:pPr>
            <w:r>
              <w:rPr>
                <w:rFonts w:ascii="Arial" w:hAnsi="Arial"/>
                <w:b/>
                <w:bCs/>
                <w:sz w:val="20"/>
              </w:rPr>
              <w:t>–</w:t>
            </w:r>
          </w:p>
        </w:tc>
      </w:tr>
      <w:tr w:rsidR="00265F70" w:rsidRPr="00424274" w14:paraId="645B4755" w14:textId="77777777" w:rsidTr="000918AC">
        <w:trPr>
          <w:trHeight w:val="600"/>
        </w:trPr>
        <w:tc>
          <w:tcPr>
            <w:tcW w:w="709" w:type="dxa"/>
          </w:tcPr>
          <w:p w14:paraId="5F9274CC"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64</w:t>
            </w:r>
          </w:p>
        </w:tc>
        <w:tc>
          <w:tcPr>
            <w:tcW w:w="1862" w:type="dxa"/>
          </w:tcPr>
          <w:p w14:paraId="10978EFA" w14:textId="77777777" w:rsidR="00265F70" w:rsidRPr="00424274" w:rsidRDefault="00265F70" w:rsidP="00265F70">
            <w:pPr>
              <w:spacing w:line="276" w:lineRule="auto"/>
              <w:jc w:val="left"/>
              <w:rPr>
                <w:rFonts w:ascii="Arial" w:hAnsi="Arial"/>
                <w:b/>
                <w:bCs/>
                <w:sz w:val="20"/>
              </w:rPr>
            </w:pPr>
            <w:r w:rsidRPr="00424274">
              <w:rPr>
                <w:rFonts w:ascii="Arial" w:hAnsi="Arial"/>
                <w:b/>
                <w:bCs/>
                <w:sz w:val="20"/>
              </w:rPr>
              <w:t>VELIKA BRITANIJA</w:t>
            </w:r>
          </w:p>
        </w:tc>
        <w:tc>
          <w:tcPr>
            <w:tcW w:w="1682" w:type="dxa"/>
          </w:tcPr>
          <w:p w14:paraId="2154D0A2"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33</w:t>
            </w:r>
          </w:p>
        </w:tc>
        <w:tc>
          <w:tcPr>
            <w:tcW w:w="851" w:type="dxa"/>
          </w:tcPr>
          <w:p w14:paraId="4DD49916"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33</w:t>
            </w:r>
          </w:p>
        </w:tc>
        <w:tc>
          <w:tcPr>
            <w:tcW w:w="1842" w:type="dxa"/>
          </w:tcPr>
          <w:p w14:paraId="7001D0B5"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10</w:t>
            </w:r>
          </w:p>
        </w:tc>
        <w:tc>
          <w:tcPr>
            <w:tcW w:w="2217" w:type="dxa"/>
          </w:tcPr>
          <w:p w14:paraId="10B0A94A"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8</w:t>
            </w:r>
          </w:p>
        </w:tc>
      </w:tr>
      <w:tr w:rsidR="00265F70" w:rsidRPr="00424274" w14:paraId="7289B5DC" w14:textId="77777777" w:rsidTr="000918AC">
        <w:tc>
          <w:tcPr>
            <w:tcW w:w="709" w:type="dxa"/>
          </w:tcPr>
          <w:p w14:paraId="1CCC84B6"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65</w:t>
            </w:r>
          </w:p>
        </w:tc>
        <w:tc>
          <w:tcPr>
            <w:tcW w:w="1862" w:type="dxa"/>
          </w:tcPr>
          <w:p w14:paraId="6D0C051E" w14:textId="77777777" w:rsidR="00265F70" w:rsidRPr="00424274" w:rsidRDefault="00265F70" w:rsidP="00265F70">
            <w:pPr>
              <w:spacing w:line="276" w:lineRule="auto"/>
              <w:jc w:val="left"/>
              <w:rPr>
                <w:rFonts w:ascii="Arial" w:hAnsi="Arial"/>
                <w:b/>
                <w:bCs/>
                <w:sz w:val="20"/>
              </w:rPr>
            </w:pPr>
            <w:r w:rsidRPr="00424274">
              <w:rPr>
                <w:rFonts w:ascii="Arial" w:hAnsi="Arial"/>
                <w:b/>
                <w:bCs/>
                <w:sz w:val="20"/>
              </w:rPr>
              <w:t>ZDRUŽENE DRŽAVE AMERIKE</w:t>
            </w:r>
          </w:p>
          <w:p w14:paraId="012D4949" w14:textId="77777777" w:rsidR="00265F70" w:rsidRPr="00424274" w:rsidRDefault="00265F70" w:rsidP="00265F70">
            <w:pPr>
              <w:spacing w:line="276" w:lineRule="auto"/>
              <w:jc w:val="left"/>
              <w:rPr>
                <w:rFonts w:ascii="Arial" w:hAnsi="Arial"/>
                <w:b/>
                <w:bCs/>
                <w:sz w:val="20"/>
              </w:rPr>
            </w:pPr>
          </w:p>
        </w:tc>
        <w:tc>
          <w:tcPr>
            <w:tcW w:w="1682" w:type="dxa"/>
          </w:tcPr>
          <w:p w14:paraId="416132E3"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7</w:t>
            </w:r>
          </w:p>
        </w:tc>
        <w:tc>
          <w:tcPr>
            <w:tcW w:w="851" w:type="dxa"/>
          </w:tcPr>
          <w:p w14:paraId="48E9FF3D"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6</w:t>
            </w:r>
          </w:p>
        </w:tc>
        <w:tc>
          <w:tcPr>
            <w:tcW w:w="1842" w:type="dxa"/>
          </w:tcPr>
          <w:p w14:paraId="53F1A51F"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c>
          <w:tcPr>
            <w:tcW w:w="2217" w:type="dxa"/>
          </w:tcPr>
          <w:p w14:paraId="7858678E"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r>
      <w:tr w:rsidR="00265F70" w:rsidRPr="00424274" w14:paraId="7160DE7F" w14:textId="77777777" w:rsidTr="000918AC">
        <w:tc>
          <w:tcPr>
            <w:tcW w:w="709" w:type="dxa"/>
          </w:tcPr>
          <w:p w14:paraId="28129BC1" w14:textId="77777777" w:rsidR="00265F70" w:rsidRPr="00424274" w:rsidRDefault="00265F70" w:rsidP="00265F70">
            <w:pPr>
              <w:spacing w:line="276" w:lineRule="auto"/>
              <w:jc w:val="center"/>
              <w:rPr>
                <w:rFonts w:ascii="Arial" w:hAnsi="Arial"/>
                <w:bCs/>
                <w:sz w:val="20"/>
              </w:rPr>
            </w:pPr>
            <w:r w:rsidRPr="00424274">
              <w:rPr>
                <w:rFonts w:ascii="Arial" w:hAnsi="Arial"/>
                <w:bCs/>
                <w:sz w:val="20"/>
              </w:rPr>
              <w:t>66</w:t>
            </w:r>
          </w:p>
        </w:tc>
        <w:tc>
          <w:tcPr>
            <w:tcW w:w="1862" w:type="dxa"/>
          </w:tcPr>
          <w:p w14:paraId="6CEE0511" w14:textId="77777777" w:rsidR="00265F70" w:rsidRPr="00424274" w:rsidRDefault="00265F70" w:rsidP="00265F70">
            <w:pPr>
              <w:spacing w:line="276" w:lineRule="auto"/>
              <w:jc w:val="left"/>
              <w:rPr>
                <w:rFonts w:ascii="Arial" w:hAnsi="Arial"/>
                <w:b/>
                <w:bCs/>
                <w:sz w:val="20"/>
              </w:rPr>
            </w:pPr>
            <w:r w:rsidRPr="00424274">
              <w:rPr>
                <w:rFonts w:ascii="Arial" w:hAnsi="Arial"/>
                <w:b/>
                <w:bCs/>
                <w:sz w:val="20"/>
              </w:rPr>
              <w:t>ZDRUŽENI ARABSKI EMIRATI</w:t>
            </w:r>
          </w:p>
          <w:p w14:paraId="024541BC" w14:textId="77777777" w:rsidR="00265F70" w:rsidRPr="00424274" w:rsidRDefault="00265F70" w:rsidP="00265F70">
            <w:pPr>
              <w:spacing w:line="276" w:lineRule="auto"/>
              <w:jc w:val="left"/>
              <w:rPr>
                <w:rFonts w:ascii="Arial" w:hAnsi="Arial"/>
                <w:b/>
                <w:bCs/>
                <w:sz w:val="20"/>
              </w:rPr>
            </w:pPr>
          </w:p>
        </w:tc>
        <w:tc>
          <w:tcPr>
            <w:tcW w:w="1682" w:type="dxa"/>
          </w:tcPr>
          <w:p w14:paraId="35F773C8"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5</w:t>
            </w:r>
          </w:p>
        </w:tc>
        <w:tc>
          <w:tcPr>
            <w:tcW w:w="851" w:type="dxa"/>
          </w:tcPr>
          <w:p w14:paraId="7121991F"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5</w:t>
            </w:r>
          </w:p>
        </w:tc>
        <w:tc>
          <w:tcPr>
            <w:tcW w:w="1842" w:type="dxa"/>
          </w:tcPr>
          <w:p w14:paraId="30FC2676"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c>
          <w:tcPr>
            <w:tcW w:w="2217" w:type="dxa"/>
          </w:tcPr>
          <w:p w14:paraId="545C3B6E" w14:textId="77777777" w:rsidR="00265F70" w:rsidRPr="00424274" w:rsidRDefault="00265F70" w:rsidP="00265F70">
            <w:pPr>
              <w:spacing w:line="276" w:lineRule="auto"/>
              <w:jc w:val="center"/>
              <w:rPr>
                <w:rFonts w:ascii="Arial" w:hAnsi="Arial"/>
                <w:b/>
                <w:bCs/>
                <w:sz w:val="20"/>
              </w:rPr>
            </w:pPr>
            <w:r w:rsidRPr="00424274">
              <w:rPr>
                <w:rFonts w:ascii="Arial" w:hAnsi="Arial"/>
                <w:b/>
                <w:bCs/>
                <w:sz w:val="20"/>
              </w:rPr>
              <w:t>1</w:t>
            </w:r>
          </w:p>
        </w:tc>
      </w:tr>
      <w:bookmarkEnd w:id="226"/>
    </w:tbl>
    <w:p w14:paraId="636404F4" w14:textId="77777777" w:rsidR="00265F70" w:rsidRPr="00424274" w:rsidRDefault="00265F70" w:rsidP="00D21F86">
      <w:pPr>
        <w:spacing w:line="276" w:lineRule="auto"/>
        <w:rPr>
          <w:rFonts w:ascii="Arial" w:hAnsi="Arial"/>
          <w:b/>
          <w:bCs/>
          <w:i/>
          <w:iCs/>
          <w:sz w:val="20"/>
        </w:rPr>
      </w:pPr>
    </w:p>
    <w:p w14:paraId="15A2CA16" w14:textId="77777777" w:rsidR="00EE2FEB" w:rsidRPr="00424274" w:rsidRDefault="00EE2FEB" w:rsidP="00D21F86">
      <w:pPr>
        <w:spacing w:line="276" w:lineRule="auto"/>
        <w:rPr>
          <w:rFonts w:ascii="Arial" w:hAnsi="Arial"/>
          <w:sz w:val="20"/>
        </w:rPr>
      </w:pPr>
    </w:p>
    <w:p w14:paraId="5563F639" w14:textId="192522F1" w:rsidR="000918AC" w:rsidRPr="00424274" w:rsidRDefault="000918AC" w:rsidP="000918AC">
      <w:pPr>
        <w:spacing w:line="276" w:lineRule="auto"/>
        <w:rPr>
          <w:rFonts w:ascii="Arial" w:hAnsi="Arial"/>
          <w:sz w:val="20"/>
        </w:rPr>
      </w:pPr>
      <w:r w:rsidRPr="00424274">
        <w:rPr>
          <w:rFonts w:ascii="Arial" w:hAnsi="Arial"/>
          <w:sz w:val="20"/>
        </w:rPr>
        <w:t xml:space="preserve">Kot je razvidno iz zgornje </w:t>
      </w:r>
      <w:r w:rsidR="00814A21">
        <w:rPr>
          <w:rFonts w:ascii="Arial" w:hAnsi="Arial"/>
          <w:sz w:val="20"/>
        </w:rPr>
        <w:t>preglednic</w:t>
      </w:r>
      <w:r w:rsidRPr="00424274">
        <w:rPr>
          <w:rFonts w:ascii="Arial" w:hAnsi="Arial"/>
          <w:sz w:val="20"/>
        </w:rPr>
        <w:t xml:space="preserve">e, smo v letu 2020 največ podatkov izmenjali s pristojnimi uradi </w:t>
      </w:r>
      <w:r w:rsidR="00EC6A8D">
        <w:rPr>
          <w:rFonts w:ascii="Arial" w:hAnsi="Arial"/>
          <w:sz w:val="20"/>
        </w:rPr>
        <w:t xml:space="preserve">iz </w:t>
      </w:r>
      <w:r w:rsidRPr="00424274">
        <w:rPr>
          <w:rFonts w:ascii="Arial" w:hAnsi="Arial"/>
          <w:sz w:val="20"/>
        </w:rPr>
        <w:t xml:space="preserve">Italije, Hrvaške, Nemčije, Rusije, Velike Britanije in Srbije. </w:t>
      </w:r>
    </w:p>
    <w:p w14:paraId="66DCBB9F" w14:textId="77777777" w:rsidR="00851C49" w:rsidRPr="00424274" w:rsidRDefault="00851C49" w:rsidP="00EC6D0D">
      <w:pPr>
        <w:pStyle w:val="Naslov3"/>
        <w:numPr>
          <w:ilvl w:val="2"/>
          <w:numId w:val="6"/>
        </w:numPr>
      </w:pPr>
      <w:bookmarkStart w:id="227" w:name="_Toc113535505"/>
      <w:r w:rsidRPr="00424274">
        <w:t>Sklenjena pisma o izmenjavi podatkov</w:t>
      </w:r>
      <w:bookmarkEnd w:id="227"/>
    </w:p>
    <w:p w14:paraId="3D169E66" w14:textId="77777777" w:rsidR="00851C49" w:rsidRPr="00424274" w:rsidRDefault="00851C49" w:rsidP="00D21F86">
      <w:pPr>
        <w:spacing w:line="276" w:lineRule="auto"/>
        <w:rPr>
          <w:rFonts w:ascii="Arial" w:hAnsi="Arial"/>
          <w:sz w:val="20"/>
        </w:rPr>
      </w:pPr>
    </w:p>
    <w:p w14:paraId="5A025CBA" w14:textId="3415F655" w:rsidR="007F6A98" w:rsidRPr="00424274" w:rsidRDefault="00E40CA1" w:rsidP="007F6A98">
      <w:pPr>
        <w:spacing w:line="276" w:lineRule="auto"/>
        <w:rPr>
          <w:rFonts w:ascii="Arial" w:hAnsi="Arial"/>
          <w:sz w:val="20"/>
        </w:rPr>
      </w:pPr>
      <w:bookmarkStart w:id="228" w:name="_Toc499546350"/>
      <w:r>
        <w:rPr>
          <w:rFonts w:ascii="Arial" w:hAnsi="Arial"/>
          <w:sz w:val="20"/>
        </w:rPr>
        <w:t>S</w:t>
      </w:r>
      <w:r w:rsidR="007F6A98" w:rsidRPr="00424274">
        <w:rPr>
          <w:rFonts w:ascii="Arial" w:hAnsi="Arial"/>
          <w:sz w:val="20"/>
        </w:rPr>
        <w:t xml:space="preserve">odelovanje s tujimi uradi se lahko še dodatno nadgradi z izmenjavo oziroma podpisom formalno neobvezujočih pisnih dogovorov (tako imenovanih </w:t>
      </w:r>
      <w:r w:rsidR="00EC6A8D">
        <w:rPr>
          <w:rFonts w:ascii="Arial" w:hAnsi="Arial"/>
          <w:sz w:val="20"/>
        </w:rPr>
        <w:t>»</w:t>
      </w:r>
      <w:r w:rsidR="007F6A98" w:rsidRPr="00424274">
        <w:rPr>
          <w:rFonts w:ascii="Arial" w:hAnsi="Arial"/>
          <w:sz w:val="20"/>
        </w:rPr>
        <w:t>pisem o izmenjavi podatkov</w:t>
      </w:r>
      <w:r w:rsidR="00EC6A8D">
        <w:rPr>
          <w:rFonts w:ascii="Arial" w:hAnsi="Arial"/>
          <w:sz w:val="20"/>
        </w:rPr>
        <w:t>«</w:t>
      </w:r>
      <w:r w:rsidR="007F6A98" w:rsidRPr="00424274">
        <w:rPr>
          <w:rFonts w:ascii="Arial" w:hAnsi="Arial"/>
          <w:sz w:val="20"/>
        </w:rPr>
        <w:t xml:space="preserve"> – Memorandum </w:t>
      </w:r>
      <w:proofErr w:type="spellStart"/>
      <w:r w:rsidR="007F6A98" w:rsidRPr="00424274">
        <w:rPr>
          <w:rFonts w:ascii="Arial" w:hAnsi="Arial"/>
          <w:sz w:val="20"/>
        </w:rPr>
        <w:t>of</w:t>
      </w:r>
      <w:proofErr w:type="spellEnd"/>
      <w:r w:rsidR="007F6A98" w:rsidRPr="00424274">
        <w:rPr>
          <w:rFonts w:ascii="Arial" w:hAnsi="Arial"/>
          <w:sz w:val="20"/>
        </w:rPr>
        <w:t xml:space="preserve"> </w:t>
      </w:r>
      <w:proofErr w:type="spellStart"/>
      <w:r w:rsidR="007F6A98" w:rsidRPr="00424274">
        <w:rPr>
          <w:rFonts w:ascii="Arial" w:hAnsi="Arial"/>
          <w:sz w:val="20"/>
        </w:rPr>
        <w:t>Understanding</w:t>
      </w:r>
      <w:proofErr w:type="spellEnd"/>
      <w:r w:rsidR="007F6A98" w:rsidRPr="00424274">
        <w:rPr>
          <w:rFonts w:ascii="Arial" w:hAnsi="Arial"/>
          <w:sz w:val="20"/>
        </w:rPr>
        <w:t xml:space="preserve"> </w:t>
      </w:r>
      <w:r w:rsidR="005D1753">
        <w:rPr>
          <w:rFonts w:ascii="Arial" w:hAnsi="Arial"/>
          <w:sz w:val="20"/>
        </w:rPr>
        <w:t xml:space="preserve">– </w:t>
      </w:r>
      <w:r w:rsidR="007F6A98" w:rsidRPr="00424274">
        <w:rPr>
          <w:rFonts w:ascii="Arial" w:hAnsi="Arial"/>
          <w:sz w:val="20"/>
        </w:rPr>
        <w:t xml:space="preserve">MOU). V nekaterih državah pa je tovrstno pismo pogoj, da do izmenjave informacij s sorodnimi uradi sploh lahko pride. </w:t>
      </w:r>
    </w:p>
    <w:p w14:paraId="27AC2543" w14:textId="77777777" w:rsidR="007F6A98" w:rsidRPr="00424274" w:rsidRDefault="007F6A98" w:rsidP="007F6A98">
      <w:pPr>
        <w:spacing w:line="276" w:lineRule="auto"/>
        <w:rPr>
          <w:rFonts w:ascii="Arial" w:hAnsi="Arial"/>
          <w:sz w:val="20"/>
        </w:rPr>
      </w:pPr>
    </w:p>
    <w:p w14:paraId="121E3F14" w14:textId="25077968" w:rsidR="007F6A98" w:rsidRPr="00424274" w:rsidRDefault="007F6A98" w:rsidP="007F6A98">
      <w:pPr>
        <w:spacing w:line="276" w:lineRule="auto"/>
        <w:rPr>
          <w:rFonts w:ascii="Arial" w:hAnsi="Arial"/>
          <w:sz w:val="20"/>
        </w:rPr>
      </w:pPr>
      <w:r w:rsidRPr="00424274">
        <w:rPr>
          <w:rFonts w:ascii="Arial" w:hAnsi="Arial"/>
          <w:sz w:val="20"/>
        </w:rPr>
        <w:t xml:space="preserve">V letu 2020 je </w:t>
      </w:r>
      <w:r w:rsidR="00A0541B">
        <w:rPr>
          <w:rFonts w:ascii="Arial" w:hAnsi="Arial"/>
          <w:sz w:val="20"/>
        </w:rPr>
        <w:t>urad</w:t>
      </w:r>
      <w:r w:rsidRPr="00424274">
        <w:rPr>
          <w:rFonts w:ascii="Arial" w:hAnsi="Arial"/>
          <w:sz w:val="20"/>
        </w:rPr>
        <w:t xml:space="preserve"> podpisal sporazum s sorodnimi uradi z Maldivov, </w:t>
      </w:r>
      <w:r w:rsidR="00A0541B">
        <w:rPr>
          <w:rFonts w:ascii="Arial" w:hAnsi="Arial"/>
          <w:sz w:val="20"/>
        </w:rPr>
        <w:t xml:space="preserve">iz </w:t>
      </w:r>
      <w:r w:rsidRPr="00424274">
        <w:rPr>
          <w:rFonts w:ascii="Arial" w:hAnsi="Arial"/>
          <w:sz w:val="20"/>
        </w:rPr>
        <w:t>Gvatemale in Južne Afrike.</w:t>
      </w:r>
    </w:p>
    <w:p w14:paraId="2D669D89" w14:textId="77777777" w:rsidR="007F6A98" w:rsidRPr="00424274" w:rsidRDefault="007F6A98" w:rsidP="007F6A98">
      <w:pPr>
        <w:spacing w:line="276" w:lineRule="auto"/>
        <w:rPr>
          <w:rFonts w:ascii="Arial" w:hAnsi="Arial"/>
          <w:sz w:val="20"/>
        </w:rPr>
      </w:pPr>
    </w:p>
    <w:p w14:paraId="54B65E3F" w14:textId="77777777" w:rsidR="007F6A98" w:rsidRPr="00424274" w:rsidRDefault="007F6A98" w:rsidP="007F6A98">
      <w:pPr>
        <w:spacing w:line="276" w:lineRule="auto"/>
        <w:rPr>
          <w:rFonts w:ascii="Arial" w:hAnsi="Arial"/>
          <w:sz w:val="20"/>
        </w:rPr>
      </w:pPr>
      <w:r w:rsidRPr="00424274">
        <w:rPr>
          <w:rFonts w:ascii="Arial" w:hAnsi="Arial"/>
          <w:sz w:val="20"/>
        </w:rPr>
        <w:t>Urad je od začetka svojega delovanja v letu 1995 pa do konca leta 2020 podpisal že 51 pisem o izmenjavi podatkov.</w:t>
      </w:r>
    </w:p>
    <w:p w14:paraId="203976FE" w14:textId="5FC5B4D7" w:rsidR="00780822" w:rsidRPr="00424274" w:rsidRDefault="00780822" w:rsidP="00EC6D0D">
      <w:pPr>
        <w:pStyle w:val="Naslov3"/>
        <w:numPr>
          <w:ilvl w:val="2"/>
          <w:numId w:val="6"/>
        </w:numPr>
      </w:pPr>
      <w:bookmarkStart w:id="229" w:name="_Toc113535506"/>
      <w:r w:rsidRPr="00424274">
        <w:t>Mednarodno sodelovanje na podlagi Konvencije Sveta Evrope št. 198</w:t>
      </w:r>
      <w:bookmarkEnd w:id="228"/>
      <w:bookmarkEnd w:id="229"/>
      <w:r w:rsidRPr="00424274">
        <w:t xml:space="preserve"> </w:t>
      </w:r>
    </w:p>
    <w:p w14:paraId="3EB78B9A" w14:textId="77777777" w:rsidR="0092002D" w:rsidRPr="00424274" w:rsidRDefault="0092002D" w:rsidP="0092002D"/>
    <w:p w14:paraId="65E4C62E" w14:textId="0FFD8233" w:rsidR="004A220E" w:rsidRPr="00424274" w:rsidRDefault="004A220E" w:rsidP="004A220E">
      <w:pPr>
        <w:spacing w:line="276" w:lineRule="auto"/>
        <w:rPr>
          <w:rFonts w:ascii="Arial" w:hAnsi="Arial"/>
          <w:sz w:val="20"/>
        </w:rPr>
      </w:pPr>
      <w:r w:rsidRPr="00424274">
        <w:rPr>
          <w:rFonts w:ascii="Arial" w:hAnsi="Arial"/>
          <w:sz w:val="20"/>
        </w:rPr>
        <w:t xml:space="preserve">Kot že opisano v točki </w:t>
      </w:r>
      <w:r w:rsidR="00CF79A8" w:rsidRPr="00424274">
        <w:rPr>
          <w:rFonts w:ascii="Arial" w:hAnsi="Arial"/>
          <w:sz w:val="20"/>
        </w:rPr>
        <w:t xml:space="preserve">5.2.1.2, </w:t>
      </w:r>
      <w:r w:rsidRPr="00424274">
        <w:rPr>
          <w:rFonts w:ascii="Arial" w:hAnsi="Arial"/>
          <w:sz w:val="20"/>
        </w:rPr>
        <w:t xml:space="preserve">je </w:t>
      </w:r>
      <w:r w:rsidR="00A0541B">
        <w:rPr>
          <w:rFonts w:ascii="Arial" w:hAnsi="Arial"/>
          <w:sz w:val="20"/>
        </w:rPr>
        <w:t>urad</w:t>
      </w:r>
      <w:r w:rsidRPr="00424274">
        <w:rPr>
          <w:rFonts w:ascii="Arial" w:hAnsi="Arial"/>
          <w:sz w:val="20"/>
        </w:rPr>
        <w:t xml:space="preserve"> na podlagi Konvencije Sveta Evrope o pranju, odkrivanju, zasegu in zaplembi premoženjske koristi, pridobljene s kaznivim dejanjem, in o financiranju terorizma </w:t>
      </w:r>
      <w:r w:rsidRPr="00424274">
        <w:rPr>
          <w:rFonts w:ascii="Arial" w:hAnsi="Arial"/>
          <w:sz w:val="20"/>
        </w:rPr>
        <w:lastRenderedPageBreak/>
        <w:t xml:space="preserve">(Konvencija Sveta Evrope št. 198) osrednji organ, ki je odgovoren za pošiljanje zaprosil v okviru njenega IV. poglavja, ki se nanaša na mednarodno sodelovanje. </w:t>
      </w:r>
    </w:p>
    <w:p w14:paraId="1493CB80" w14:textId="77777777" w:rsidR="004A220E" w:rsidRPr="00424274" w:rsidRDefault="004A220E" w:rsidP="004A220E">
      <w:pPr>
        <w:spacing w:line="276" w:lineRule="auto"/>
        <w:rPr>
          <w:rFonts w:ascii="Arial" w:hAnsi="Arial"/>
          <w:sz w:val="20"/>
        </w:rPr>
      </w:pPr>
    </w:p>
    <w:p w14:paraId="5796C231" w14:textId="5562452B" w:rsidR="00B8271D" w:rsidRPr="00424274" w:rsidRDefault="004A220E" w:rsidP="00D21F86">
      <w:pPr>
        <w:spacing w:line="276" w:lineRule="auto"/>
        <w:rPr>
          <w:rFonts w:ascii="Arial" w:hAnsi="Arial"/>
          <w:sz w:val="20"/>
        </w:rPr>
      </w:pPr>
      <w:r w:rsidRPr="00424274">
        <w:rPr>
          <w:rFonts w:ascii="Arial" w:hAnsi="Arial"/>
          <w:sz w:val="20"/>
        </w:rPr>
        <w:t xml:space="preserve">Na podlagi navedene konvencije je </w:t>
      </w:r>
      <w:r w:rsidR="00083FED">
        <w:rPr>
          <w:rFonts w:ascii="Arial" w:hAnsi="Arial"/>
          <w:sz w:val="20"/>
        </w:rPr>
        <w:t>u</w:t>
      </w:r>
      <w:r w:rsidRPr="00424274">
        <w:rPr>
          <w:rFonts w:ascii="Arial" w:hAnsi="Arial"/>
          <w:sz w:val="20"/>
        </w:rPr>
        <w:t xml:space="preserve">rad v letu 2020 </w:t>
      </w:r>
      <w:r w:rsidR="00083FED">
        <w:rPr>
          <w:rFonts w:ascii="Arial" w:hAnsi="Arial"/>
          <w:sz w:val="20"/>
        </w:rPr>
        <w:t>od</w:t>
      </w:r>
      <w:r w:rsidRPr="00424274">
        <w:rPr>
          <w:rFonts w:ascii="Arial" w:hAnsi="Arial"/>
          <w:sz w:val="20"/>
        </w:rPr>
        <w:t xml:space="preserve"> slovenskih sodišč prejel osem zaprosil, ki so se nanašala na izvršitev njihovih odločb </w:t>
      </w:r>
      <w:r w:rsidR="00083FED">
        <w:rPr>
          <w:rFonts w:ascii="Arial" w:hAnsi="Arial"/>
          <w:sz w:val="20"/>
        </w:rPr>
        <w:t>predvsem</w:t>
      </w:r>
      <w:r w:rsidR="00083FED" w:rsidRPr="00424274">
        <w:rPr>
          <w:rFonts w:ascii="Arial" w:hAnsi="Arial"/>
          <w:sz w:val="20"/>
        </w:rPr>
        <w:t xml:space="preserve"> </w:t>
      </w:r>
      <w:r w:rsidRPr="00424274">
        <w:rPr>
          <w:rFonts w:ascii="Arial" w:hAnsi="Arial"/>
          <w:sz w:val="20"/>
        </w:rPr>
        <w:t xml:space="preserve">glede odvzema premoženjske koristi. </w:t>
      </w:r>
      <w:r w:rsidR="006B2536">
        <w:rPr>
          <w:rFonts w:ascii="Arial" w:hAnsi="Arial"/>
          <w:sz w:val="20"/>
        </w:rPr>
        <w:t>Kadar</w:t>
      </w:r>
      <w:r w:rsidRPr="00424274">
        <w:rPr>
          <w:rFonts w:ascii="Arial" w:hAnsi="Arial"/>
          <w:sz w:val="20"/>
        </w:rPr>
        <w:t xml:space="preserve"> vsebina zaprosil ni ustrezala določbam konvencije, so bila sodiščem pos</w:t>
      </w:r>
      <w:r w:rsidR="00083FED">
        <w:rPr>
          <w:rFonts w:ascii="Arial" w:hAnsi="Arial"/>
          <w:sz w:val="20"/>
        </w:rPr>
        <w:t xml:space="preserve">lana </w:t>
      </w:r>
      <w:r w:rsidRPr="00424274">
        <w:rPr>
          <w:rFonts w:ascii="Arial" w:hAnsi="Arial"/>
          <w:sz w:val="20"/>
        </w:rPr>
        <w:t xml:space="preserve"> pojasnila, sicer pa so bila </w:t>
      </w:r>
      <w:r w:rsidR="00083FED">
        <w:rPr>
          <w:rFonts w:ascii="Arial" w:hAnsi="Arial"/>
          <w:sz w:val="20"/>
        </w:rPr>
        <w:t>poslana</w:t>
      </w:r>
      <w:r w:rsidR="00083FED" w:rsidRPr="00424274">
        <w:rPr>
          <w:rFonts w:ascii="Arial" w:hAnsi="Arial"/>
          <w:sz w:val="20"/>
        </w:rPr>
        <w:t xml:space="preserve"> </w:t>
      </w:r>
      <w:r w:rsidRPr="00424274">
        <w:rPr>
          <w:rFonts w:ascii="Arial" w:hAnsi="Arial"/>
          <w:sz w:val="20"/>
        </w:rPr>
        <w:t xml:space="preserve">pristojnim tujim organom v nadaljnjo obravnavo. </w:t>
      </w:r>
      <w:r w:rsidR="00083FED">
        <w:rPr>
          <w:rFonts w:ascii="Arial" w:hAnsi="Arial"/>
          <w:sz w:val="20"/>
        </w:rPr>
        <w:t xml:space="preserve">Od </w:t>
      </w:r>
      <w:r w:rsidRPr="00424274">
        <w:rPr>
          <w:rFonts w:ascii="Arial" w:hAnsi="Arial"/>
          <w:sz w:val="20"/>
        </w:rPr>
        <w:t>tujega organa v letu 2020 ni bilo prejeto nobeno zaprosilo.</w:t>
      </w:r>
    </w:p>
    <w:p w14:paraId="07FF7B78" w14:textId="77777777" w:rsidR="00851C49" w:rsidRPr="00424274" w:rsidRDefault="00851C49" w:rsidP="00EC6D0D">
      <w:pPr>
        <w:pStyle w:val="Naslov1"/>
        <w:numPr>
          <w:ilvl w:val="0"/>
          <w:numId w:val="6"/>
        </w:numPr>
        <w:spacing w:line="276" w:lineRule="auto"/>
        <w:rPr>
          <w:rFonts w:ascii="Arial" w:hAnsi="Arial"/>
          <w:sz w:val="20"/>
        </w:rPr>
      </w:pPr>
      <w:bookmarkStart w:id="230" w:name="_Toc113535507"/>
      <w:r w:rsidRPr="00424274">
        <w:rPr>
          <w:rFonts w:ascii="Arial" w:hAnsi="Arial"/>
          <w:sz w:val="20"/>
        </w:rPr>
        <w:t>DELO NA PODROČJU LOGISTIKE</w:t>
      </w:r>
      <w:bookmarkEnd w:id="143"/>
      <w:bookmarkEnd w:id="144"/>
      <w:bookmarkEnd w:id="145"/>
      <w:bookmarkEnd w:id="146"/>
      <w:bookmarkEnd w:id="147"/>
      <w:bookmarkEnd w:id="148"/>
      <w:bookmarkEnd w:id="149"/>
      <w:bookmarkEnd w:id="150"/>
      <w:bookmarkEnd w:id="151"/>
      <w:bookmarkEnd w:id="152"/>
      <w:r w:rsidRPr="00424274">
        <w:rPr>
          <w:rFonts w:ascii="Arial" w:hAnsi="Arial"/>
          <w:sz w:val="20"/>
        </w:rPr>
        <w:t xml:space="preserve"> IN INFORMATIKE</w:t>
      </w:r>
      <w:bookmarkEnd w:id="230"/>
    </w:p>
    <w:p w14:paraId="6F30693B" w14:textId="77777777" w:rsidR="00851C49" w:rsidRPr="00424274" w:rsidRDefault="00851C49" w:rsidP="00D21F86">
      <w:pPr>
        <w:tabs>
          <w:tab w:val="left" w:pos="-1057"/>
          <w:tab w:val="left" w:pos="-787"/>
          <w:tab w:val="left" w:pos="0"/>
          <w:tab w:val="left" w:pos="720"/>
          <w:tab w:val="left" w:pos="1440"/>
          <w:tab w:val="left" w:pos="2160"/>
          <w:tab w:val="left" w:pos="2880"/>
          <w:tab w:val="left" w:pos="3600"/>
          <w:tab w:val="left" w:pos="4320"/>
          <w:tab w:val="left" w:pos="4500"/>
        </w:tabs>
        <w:snapToGrid w:val="0"/>
        <w:spacing w:line="276" w:lineRule="auto"/>
        <w:rPr>
          <w:rFonts w:ascii="Arial" w:hAnsi="Arial"/>
          <w:b/>
          <w:sz w:val="20"/>
        </w:rPr>
      </w:pPr>
    </w:p>
    <w:p w14:paraId="2F41F6F1" w14:textId="639AA729" w:rsidR="00851C49" w:rsidRPr="00424274" w:rsidRDefault="00851C49" w:rsidP="00EC6D0D">
      <w:pPr>
        <w:pStyle w:val="Naslov2"/>
      </w:pPr>
      <w:bookmarkStart w:id="231" w:name="_Toc113535508"/>
      <w:r w:rsidRPr="00424274">
        <w:t>ORGANIZACIJSKO-KADROVSKE ZADEVE</w:t>
      </w:r>
      <w:bookmarkEnd w:id="231"/>
    </w:p>
    <w:p w14:paraId="10AB54CB" w14:textId="77777777" w:rsidR="00851C49" w:rsidRPr="00424274" w:rsidRDefault="00851C49" w:rsidP="00EC6D0D">
      <w:pPr>
        <w:pStyle w:val="Naslov3"/>
        <w:numPr>
          <w:ilvl w:val="2"/>
          <w:numId w:val="6"/>
        </w:numPr>
      </w:pPr>
      <w:bookmarkStart w:id="232" w:name="_Toc113535509"/>
      <w:r w:rsidRPr="00424274">
        <w:t>Gibanje in struktura kadrov</w:t>
      </w:r>
      <w:bookmarkEnd w:id="232"/>
    </w:p>
    <w:p w14:paraId="17E0B00A" w14:textId="77777777" w:rsidR="00851C49" w:rsidRPr="00424274" w:rsidRDefault="00851C49" w:rsidP="00D21F86">
      <w:pPr>
        <w:snapToGrid w:val="0"/>
        <w:spacing w:line="276" w:lineRule="auto"/>
        <w:rPr>
          <w:rFonts w:ascii="Arial" w:hAnsi="Arial"/>
          <w:sz w:val="20"/>
        </w:rPr>
      </w:pPr>
    </w:p>
    <w:p w14:paraId="3C079CBB" w14:textId="37D96B3A" w:rsidR="00EB7E70" w:rsidRPr="00424274" w:rsidRDefault="00EB7E70" w:rsidP="00D25599">
      <w:pPr>
        <w:widowControl/>
        <w:tabs>
          <w:tab w:val="left" w:pos="-689"/>
          <w:tab w:val="left" w:pos="31"/>
          <w:tab w:val="left" w:pos="720"/>
        </w:tabs>
        <w:spacing w:line="276" w:lineRule="auto"/>
        <w:rPr>
          <w:rFonts w:ascii="Arial" w:eastAsia="Arial" w:hAnsi="Arial"/>
          <w:sz w:val="20"/>
          <w:szCs w:val="22"/>
          <w:lang w:eastAsia="sl-SI"/>
        </w:rPr>
      </w:pPr>
      <w:r w:rsidRPr="00424274">
        <w:rPr>
          <w:rFonts w:ascii="Arial" w:eastAsia="Arial" w:hAnsi="Arial"/>
          <w:sz w:val="20"/>
          <w:szCs w:val="22"/>
          <w:lang w:eastAsia="sl-SI"/>
        </w:rPr>
        <w:t xml:space="preserve">V </w:t>
      </w:r>
      <w:r w:rsidR="00083FED">
        <w:rPr>
          <w:rFonts w:ascii="Arial" w:eastAsia="Arial" w:hAnsi="Arial"/>
          <w:sz w:val="20"/>
          <w:szCs w:val="22"/>
          <w:lang w:eastAsia="sl-SI"/>
        </w:rPr>
        <w:t>u</w:t>
      </w:r>
      <w:r w:rsidRPr="00424274">
        <w:rPr>
          <w:rFonts w:ascii="Arial" w:eastAsia="Arial" w:hAnsi="Arial"/>
          <w:sz w:val="20"/>
          <w:szCs w:val="22"/>
          <w:lang w:eastAsia="sl-SI"/>
        </w:rPr>
        <w:t>radu je bilo na dan 31. 12. 2020 skupaj z v</w:t>
      </w:r>
      <w:r w:rsidR="00AC0B27">
        <w:rPr>
          <w:rFonts w:ascii="Arial" w:eastAsia="Arial" w:hAnsi="Arial"/>
          <w:sz w:val="20"/>
          <w:szCs w:val="22"/>
          <w:lang w:eastAsia="sl-SI"/>
        </w:rPr>
        <w:t>ršilcem</w:t>
      </w:r>
      <w:r w:rsidR="00083FED">
        <w:rPr>
          <w:rFonts w:ascii="Arial" w:eastAsia="Arial" w:hAnsi="Arial"/>
          <w:sz w:val="20"/>
          <w:szCs w:val="22"/>
          <w:lang w:eastAsia="sl-SI"/>
        </w:rPr>
        <w:t xml:space="preserve"> </w:t>
      </w:r>
      <w:r w:rsidRPr="00424274">
        <w:rPr>
          <w:rFonts w:ascii="Arial" w:eastAsia="Arial" w:hAnsi="Arial"/>
          <w:sz w:val="20"/>
          <w:szCs w:val="22"/>
          <w:lang w:eastAsia="sl-SI"/>
        </w:rPr>
        <w:t>d</w:t>
      </w:r>
      <w:r w:rsidR="00AC0B27">
        <w:rPr>
          <w:rFonts w:ascii="Arial" w:eastAsia="Arial" w:hAnsi="Arial"/>
          <w:sz w:val="20"/>
          <w:szCs w:val="22"/>
          <w:lang w:eastAsia="sl-SI"/>
        </w:rPr>
        <w:t>olžnosti</w:t>
      </w:r>
      <w:r w:rsidRPr="00424274">
        <w:rPr>
          <w:rFonts w:ascii="Arial" w:eastAsia="Arial" w:hAnsi="Arial"/>
          <w:sz w:val="20"/>
          <w:szCs w:val="22"/>
          <w:lang w:eastAsia="sl-SI"/>
        </w:rPr>
        <w:t xml:space="preserve"> direktorja zaposlenih 28 uslužbencev, kar so štirje uslužbenci več kot na dan 31. 12. 2019. Povečanje je posledica zaposlitve v</w:t>
      </w:r>
      <w:r w:rsidR="005D1753">
        <w:rPr>
          <w:rFonts w:ascii="Arial" w:eastAsia="Arial" w:hAnsi="Arial"/>
          <w:sz w:val="20"/>
          <w:szCs w:val="22"/>
          <w:lang w:eastAsia="sl-SI"/>
        </w:rPr>
        <w:t>ršilca</w:t>
      </w:r>
      <w:r w:rsidR="00083FED">
        <w:rPr>
          <w:rFonts w:ascii="Arial" w:eastAsia="Arial" w:hAnsi="Arial"/>
          <w:sz w:val="20"/>
          <w:szCs w:val="22"/>
          <w:lang w:eastAsia="sl-SI"/>
        </w:rPr>
        <w:t xml:space="preserve"> </w:t>
      </w:r>
      <w:r w:rsidRPr="00424274">
        <w:rPr>
          <w:rFonts w:ascii="Arial" w:eastAsia="Arial" w:hAnsi="Arial"/>
          <w:sz w:val="20"/>
          <w:szCs w:val="22"/>
          <w:lang w:eastAsia="sl-SI"/>
        </w:rPr>
        <w:t>d</w:t>
      </w:r>
      <w:r w:rsidR="005D1753">
        <w:rPr>
          <w:rFonts w:ascii="Arial" w:eastAsia="Arial" w:hAnsi="Arial"/>
          <w:sz w:val="20"/>
          <w:szCs w:val="22"/>
          <w:lang w:eastAsia="sl-SI"/>
        </w:rPr>
        <w:t>olžnosti</w:t>
      </w:r>
      <w:r w:rsidRPr="00424274">
        <w:rPr>
          <w:rFonts w:ascii="Arial" w:eastAsia="Arial" w:hAnsi="Arial"/>
          <w:sz w:val="20"/>
          <w:szCs w:val="22"/>
          <w:lang w:eastAsia="sl-SI"/>
        </w:rPr>
        <w:t xml:space="preserve"> direktorja, prejšnja direktorica pa je bila prerazporejena v Službo za mednarodno sodelovanje</w:t>
      </w:r>
      <w:r w:rsidR="00083FED">
        <w:rPr>
          <w:rFonts w:ascii="Arial" w:eastAsia="Arial" w:hAnsi="Arial"/>
          <w:sz w:val="20"/>
          <w:szCs w:val="22"/>
          <w:lang w:eastAsia="sl-SI"/>
        </w:rPr>
        <w:t>,</w:t>
      </w:r>
      <w:r w:rsidRPr="00424274">
        <w:rPr>
          <w:rFonts w:ascii="Arial" w:eastAsia="Arial" w:hAnsi="Arial"/>
          <w:sz w:val="20"/>
          <w:szCs w:val="22"/>
          <w:lang w:eastAsia="sl-SI"/>
        </w:rPr>
        <w:t xml:space="preserve"> </w:t>
      </w:r>
      <w:r w:rsidR="00083FED">
        <w:rPr>
          <w:rFonts w:ascii="Arial" w:eastAsia="Arial" w:hAnsi="Arial"/>
          <w:sz w:val="20"/>
          <w:szCs w:val="22"/>
          <w:lang w:eastAsia="sl-SI"/>
        </w:rPr>
        <w:t>in</w:t>
      </w:r>
      <w:r w:rsidR="00083FED" w:rsidRPr="00424274">
        <w:rPr>
          <w:rFonts w:ascii="Arial" w:eastAsia="Arial" w:hAnsi="Arial"/>
          <w:sz w:val="20"/>
          <w:szCs w:val="22"/>
          <w:lang w:eastAsia="sl-SI"/>
        </w:rPr>
        <w:t xml:space="preserve"> </w:t>
      </w:r>
      <w:r w:rsidRPr="00424274">
        <w:rPr>
          <w:rFonts w:ascii="Arial" w:eastAsia="Arial" w:hAnsi="Arial"/>
          <w:sz w:val="20"/>
          <w:szCs w:val="22"/>
          <w:lang w:eastAsia="sl-SI"/>
        </w:rPr>
        <w:t xml:space="preserve">treh novih sodelavk v Sektorju za preventivo in nadzor. Na podlagi Akta o notranji organizaciji in sistemizaciji delovnih mest v Uradu RS za preprečevanje pranja denarja je v </w:t>
      </w:r>
      <w:r w:rsidR="00083FED">
        <w:rPr>
          <w:rFonts w:ascii="Arial" w:eastAsia="Arial" w:hAnsi="Arial"/>
          <w:sz w:val="20"/>
          <w:szCs w:val="22"/>
          <w:lang w:eastAsia="sl-SI"/>
        </w:rPr>
        <w:t>u</w:t>
      </w:r>
      <w:r w:rsidRPr="00424274">
        <w:rPr>
          <w:rFonts w:ascii="Arial" w:eastAsia="Arial" w:hAnsi="Arial"/>
          <w:sz w:val="20"/>
          <w:szCs w:val="22"/>
          <w:lang w:eastAsia="sl-SI"/>
        </w:rPr>
        <w:t>radu sistemiziranih 33 delovnih mest, kar pomeni, da je bila konec leta 2020 zasedenost delovnih mest 85</w:t>
      </w:r>
      <w:r w:rsidR="00083FED">
        <w:rPr>
          <w:rFonts w:ascii="Arial" w:eastAsia="Arial" w:hAnsi="Arial"/>
          <w:sz w:val="20"/>
          <w:szCs w:val="22"/>
          <w:lang w:eastAsia="sl-SI"/>
        </w:rPr>
        <w:t>-</w:t>
      </w:r>
      <w:r w:rsidRPr="00424274">
        <w:rPr>
          <w:rFonts w:ascii="Arial" w:eastAsia="Arial" w:hAnsi="Arial"/>
          <w:sz w:val="20"/>
          <w:szCs w:val="22"/>
          <w:lang w:eastAsia="sl-SI"/>
        </w:rPr>
        <w:t>%.</w:t>
      </w:r>
    </w:p>
    <w:p w14:paraId="0B147FCA" w14:textId="77777777" w:rsidR="00EB7E70" w:rsidRPr="00424274" w:rsidRDefault="00EB7E70" w:rsidP="00D25599">
      <w:pPr>
        <w:widowControl/>
        <w:spacing w:line="276" w:lineRule="auto"/>
        <w:rPr>
          <w:rFonts w:ascii="Arial" w:eastAsia="Arial" w:hAnsi="Arial"/>
          <w:sz w:val="20"/>
          <w:szCs w:val="22"/>
          <w:lang w:eastAsia="sl-SI"/>
        </w:rPr>
      </w:pPr>
      <w:r w:rsidRPr="00424274">
        <w:rPr>
          <w:rFonts w:ascii="Arial" w:eastAsia="Arial" w:hAnsi="Arial"/>
          <w:sz w:val="20"/>
          <w:szCs w:val="22"/>
          <w:lang w:eastAsia="sl-SI"/>
        </w:rPr>
        <w:t xml:space="preserve"> </w:t>
      </w:r>
    </w:p>
    <w:p w14:paraId="2C77114C" w14:textId="67F28A23" w:rsidR="00EB7E70" w:rsidRPr="00424274" w:rsidRDefault="00EB7E70" w:rsidP="00D25599">
      <w:pPr>
        <w:widowControl/>
        <w:spacing w:line="276" w:lineRule="auto"/>
        <w:rPr>
          <w:rFonts w:ascii="Arial" w:eastAsia="Arial" w:hAnsi="Arial"/>
          <w:sz w:val="20"/>
          <w:szCs w:val="22"/>
          <w:lang w:eastAsia="sl-SI"/>
        </w:rPr>
      </w:pPr>
      <w:r w:rsidRPr="00424274">
        <w:rPr>
          <w:rFonts w:ascii="Arial" w:eastAsia="Arial" w:hAnsi="Arial"/>
          <w:sz w:val="20"/>
          <w:szCs w:val="22"/>
          <w:lang w:eastAsia="sl-SI"/>
        </w:rPr>
        <w:t xml:space="preserve">Gibanje </w:t>
      </w:r>
      <w:bookmarkStart w:id="233" w:name="_Hlk67043672"/>
      <w:r w:rsidRPr="00424274">
        <w:rPr>
          <w:rFonts w:ascii="Arial" w:eastAsia="Arial" w:hAnsi="Arial"/>
          <w:sz w:val="20"/>
          <w:szCs w:val="22"/>
          <w:lang w:eastAsia="sl-SI"/>
        </w:rPr>
        <w:t xml:space="preserve">števila zaposlenih in izobrazbena struktura </w:t>
      </w:r>
      <w:bookmarkEnd w:id="233"/>
      <w:r w:rsidRPr="00424274">
        <w:rPr>
          <w:rFonts w:ascii="Arial" w:eastAsia="Arial" w:hAnsi="Arial"/>
          <w:sz w:val="20"/>
          <w:szCs w:val="22"/>
          <w:lang w:eastAsia="sl-SI"/>
        </w:rPr>
        <w:t xml:space="preserve">uslužbencev </w:t>
      </w:r>
      <w:r w:rsidR="00083FED">
        <w:rPr>
          <w:rFonts w:ascii="Arial" w:eastAsia="Arial" w:hAnsi="Arial"/>
          <w:sz w:val="20"/>
          <w:szCs w:val="22"/>
          <w:lang w:eastAsia="sl-SI"/>
        </w:rPr>
        <w:t>u</w:t>
      </w:r>
      <w:r w:rsidRPr="00424274">
        <w:rPr>
          <w:rFonts w:ascii="Arial" w:eastAsia="Arial" w:hAnsi="Arial"/>
          <w:sz w:val="20"/>
          <w:szCs w:val="22"/>
          <w:lang w:eastAsia="sl-SI"/>
        </w:rPr>
        <w:t xml:space="preserve">rada na dan 31. 12. 2020 sta razvidna iz </w:t>
      </w:r>
      <w:r w:rsidR="00514E19">
        <w:rPr>
          <w:rFonts w:ascii="Arial" w:eastAsia="Arial" w:hAnsi="Arial"/>
          <w:sz w:val="20"/>
          <w:szCs w:val="22"/>
          <w:lang w:eastAsia="sl-SI"/>
        </w:rPr>
        <w:t>p</w:t>
      </w:r>
      <w:r w:rsidR="00814A21">
        <w:rPr>
          <w:rFonts w:ascii="Arial" w:eastAsia="Arial" w:hAnsi="Arial"/>
          <w:sz w:val="20"/>
          <w:szCs w:val="22"/>
          <w:lang w:eastAsia="sl-SI"/>
        </w:rPr>
        <w:t>reglednic</w:t>
      </w:r>
      <w:r w:rsidRPr="00424274">
        <w:rPr>
          <w:rFonts w:ascii="Arial" w:eastAsia="Arial" w:hAnsi="Arial"/>
          <w:sz w:val="20"/>
          <w:szCs w:val="22"/>
          <w:lang w:eastAsia="sl-SI"/>
        </w:rPr>
        <w:t>e 1</w:t>
      </w:r>
      <w:r w:rsidR="00514E19">
        <w:rPr>
          <w:rFonts w:ascii="Arial" w:eastAsia="Arial" w:hAnsi="Arial"/>
          <w:sz w:val="20"/>
          <w:szCs w:val="22"/>
          <w:lang w:eastAsia="sl-SI"/>
        </w:rPr>
        <w:t>4</w:t>
      </w:r>
      <w:r w:rsidRPr="00424274">
        <w:rPr>
          <w:rFonts w:ascii="Arial" w:eastAsia="Arial" w:hAnsi="Arial"/>
          <w:sz w:val="20"/>
          <w:szCs w:val="22"/>
          <w:lang w:eastAsia="sl-SI"/>
        </w:rPr>
        <w:t>.</w:t>
      </w:r>
    </w:p>
    <w:p w14:paraId="49755B68" w14:textId="77777777" w:rsidR="00B4424E" w:rsidRPr="00424274" w:rsidRDefault="00B4424E" w:rsidP="00D21F86">
      <w:pPr>
        <w:spacing w:line="276" w:lineRule="auto"/>
        <w:rPr>
          <w:rFonts w:ascii="Arial" w:eastAsia="Arial" w:hAnsi="Arial"/>
          <w:sz w:val="20"/>
        </w:rPr>
      </w:pPr>
    </w:p>
    <w:p w14:paraId="36407DA6" w14:textId="45FC4F95" w:rsidR="00B4424E" w:rsidRPr="00424274" w:rsidRDefault="00814A21" w:rsidP="00D21F86">
      <w:pPr>
        <w:spacing w:before="60" w:after="120" w:line="276" w:lineRule="auto"/>
        <w:rPr>
          <w:rFonts w:ascii="Arial" w:eastAsia="Arial" w:hAnsi="Arial"/>
          <w:b/>
          <w:i/>
          <w:sz w:val="20"/>
        </w:rPr>
      </w:pPr>
      <w:r>
        <w:rPr>
          <w:rFonts w:ascii="Arial" w:eastAsia="Arial" w:hAnsi="Arial"/>
          <w:b/>
          <w:i/>
          <w:sz w:val="20"/>
        </w:rPr>
        <w:t>Preglednica</w:t>
      </w:r>
      <w:r w:rsidR="00B4424E" w:rsidRPr="00424274">
        <w:rPr>
          <w:rFonts w:ascii="Arial" w:eastAsia="Arial" w:hAnsi="Arial"/>
          <w:b/>
          <w:i/>
          <w:sz w:val="20"/>
        </w:rPr>
        <w:t xml:space="preserve"> 1</w:t>
      </w:r>
      <w:r w:rsidR="00BC14AC" w:rsidRPr="00424274">
        <w:rPr>
          <w:rFonts w:ascii="Arial" w:eastAsia="Arial" w:hAnsi="Arial"/>
          <w:b/>
          <w:i/>
          <w:sz w:val="20"/>
        </w:rPr>
        <w:t>4</w:t>
      </w:r>
      <w:r w:rsidR="00B4424E" w:rsidRPr="00424274">
        <w:rPr>
          <w:rFonts w:ascii="Arial" w:eastAsia="Arial" w:hAnsi="Arial"/>
          <w:b/>
          <w:i/>
          <w:sz w:val="20"/>
        </w:rPr>
        <w:t>: Število zaposlenih po izobrazbi v obdobju 1995</w:t>
      </w:r>
      <w:r w:rsidR="005D1753">
        <w:rPr>
          <w:rFonts w:ascii="Arial" w:eastAsia="Arial" w:hAnsi="Arial"/>
          <w:b/>
          <w:i/>
          <w:sz w:val="20"/>
        </w:rPr>
        <w:t>–</w:t>
      </w:r>
      <w:r w:rsidR="00B4424E" w:rsidRPr="00424274">
        <w:rPr>
          <w:rFonts w:ascii="Arial" w:eastAsia="Arial" w:hAnsi="Arial"/>
          <w:b/>
          <w:i/>
          <w:sz w:val="20"/>
        </w:rPr>
        <w:t>20</w:t>
      </w:r>
      <w:r w:rsidR="0074611F" w:rsidRPr="00424274">
        <w:rPr>
          <w:rFonts w:ascii="Arial" w:eastAsia="Arial" w:hAnsi="Arial"/>
          <w:b/>
          <w:i/>
          <w:sz w:val="20"/>
        </w:rPr>
        <w:t>20</w:t>
      </w:r>
    </w:p>
    <w:p w14:paraId="63210D1D" w14:textId="77777777" w:rsidR="00B4424E" w:rsidRPr="00424274" w:rsidRDefault="00B4424E" w:rsidP="00D21F86">
      <w:pPr>
        <w:spacing w:line="276" w:lineRule="auto"/>
        <w:rPr>
          <w:rFonts w:ascii="Arial" w:eastAsia="Arial" w:hAnsi="Arial"/>
          <w:sz w:val="20"/>
        </w:rPr>
      </w:pPr>
    </w:p>
    <w:tbl>
      <w:tblPr>
        <w:tblW w:w="0" w:type="auto"/>
        <w:tblInd w:w="136" w:type="dxa"/>
        <w:tblCellMar>
          <w:left w:w="10" w:type="dxa"/>
          <w:right w:w="10" w:type="dxa"/>
        </w:tblCellMar>
        <w:tblLook w:val="0000" w:firstRow="0" w:lastRow="0" w:firstColumn="0" w:lastColumn="0" w:noHBand="0" w:noVBand="0"/>
      </w:tblPr>
      <w:tblGrid>
        <w:gridCol w:w="1641"/>
        <w:gridCol w:w="2196"/>
        <w:gridCol w:w="1399"/>
        <w:gridCol w:w="1689"/>
        <w:gridCol w:w="838"/>
        <w:gridCol w:w="1121"/>
      </w:tblGrid>
      <w:tr w:rsidR="007A73C9" w:rsidRPr="00424274" w14:paraId="35EE8C92" w14:textId="77777777" w:rsidTr="00856A5D">
        <w:trPr>
          <w:cantSplit/>
          <w:trHeight w:val="1"/>
        </w:trPr>
        <w:tc>
          <w:tcPr>
            <w:tcW w:w="1641" w:type="dxa"/>
            <w:vMerge w:val="restart"/>
            <w:tcBorders>
              <w:top w:val="single" w:sz="12" w:space="0" w:color="000000"/>
              <w:left w:val="single" w:sz="12" w:space="0" w:color="000000"/>
              <w:bottom w:val="single" w:sz="12" w:space="0" w:color="000000"/>
              <w:right w:val="single" w:sz="8" w:space="0" w:color="000000"/>
            </w:tcBorders>
            <w:shd w:val="clear" w:color="auto" w:fill="00CCFF"/>
            <w:tcMar>
              <w:left w:w="108" w:type="dxa"/>
              <w:right w:w="108" w:type="dxa"/>
            </w:tcMar>
            <w:vAlign w:val="center"/>
          </w:tcPr>
          <w:p w14:paraId="0600FA24"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pPr>
            <w:r w:rsidRPr="00424274">
              <w:rPr>
                <w:rFonts w:ascii="Arial" w:eastAsia="Arial" w:hAnsi="Arial"/>
                <w:b/>
                <w:sz w:val="20"/>
              </w:rPr>
              <w:t>Datum</w:t>
            </w:r>
          </w:p>
        </w:tc>
        <w:tc>
          <w:tcPr>
            <w:tcW w:w="2196" w:type="dxa"/>
            <w:vMerge w:val="restart"/>
            <w:tcBorders>
              <w:top w:val="single" w:sz="12" w:space="0" w:color="000000"/>
              <w:left w:val="single" w:sz="8" w:space="0" w:color="000000"/>
              <w:bottom w:val="single" w:sz="12" w:space="0" w:color="000000"/>
              <w:right w:val="single" w:sz="8" w:space="0" w:color="000000"/>
            </w:tcBorders>
            <w:shd w:val="clear" w:color="auto" w:fill="00CCFF"/>
            <w:tcMar>
              <w:left w:w="108" w:type="dxa"/>
              <w:right w:w="108" w:type="dxa"/>
            </w:tcMar>
            <w:vAlign w:val="center"/>
          </w:tcPr>
          <w:p w14:paraId="6E88DA11"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pPr>
            <w:r w:rsidRPr="00424274">
              <w:rPr>
                <w:rFonts w:ascii="Arial" w:eastAsia="Arial" w:hAnsi="Arial"/>
                <w:b/>
                <w:sz w:val="20"/>
              </w:rPr>
              <w:t>Število zaposlenih</w:t>
            </w:r>
          </w:p>
        </w:tc>
        <w:tc>
          <w:tcPr>
            <w:tcW w:w="5047" w:type="dxa"/>
            <w:gridSpan w:val="4"/>
            <w:tcBorders>
              <w:top w:val="single" w:sz="12" w:space="0" w:color="000000"/>
              <w:left w:val="single" w:sz="8" w:space="0" w:color="000000"/>
              <w:bottom w:val="single" w:sz="8" w:space="0" w:color="000000"/>
              <w:right w:val="single" w:sz="12" w:space="0" w:color="000000"/>
            </w:tcBorders>
            <w:shd w:val="clear" w:color="auto" w:fill="00CCFF"/>
            <w:tcMar>
              <w:left w:w="108" w:type="dxa"/>
              <w:right w:w="108" w:type="dxa"/>
            </w:tcMar>
          </w:tcPr>
          <w:p w14:paraId="1322B7B6"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b/>
                <w:sz w:val="20"/>
              </w:rPr>
              <w:t>Stopnja izobrazbe</w:t>
            </w:r>
          </w:p>
        </w:tc>
      </w:tr>
      <w:tr w:rsidR="007A73C9" w:rsidRPr="00424274" w14:paraId="72116389" w14:textId="77777777" w:rsidTr="00856A5D">
        <w:trPr>
          <w:cantSplit/>
          <w:trHeight w:val="1"/>
        </w:trPr>
        <w:tc>
          <w:tcPr>
            <w:tcW w:w="1641" w:type="dxa"/>
            <w:vMerge/>
            <w:tcBorders>
              <w:top w:val="single" w:sz="12" w:space="0" w:color="000000"/>
              <w:left w:val="single" w:sz="12" w:space="0" w:color="000000"/>
              <w:bottom w:val="single" w:sz="12" w:space="0" w:color="000000"/>
              <w:right w:val="single" w:sz="8" w:space="0" w:color="000000"/>
            </w:tcBorders>
            <w:shd w:val="clear" w:color="auto" w:fill="00CCFF"/>
            <w:tcMar>
              <w:left w:w="108" w:type="dxa"/>
              <w:right w:w="108" w:type="dxa"/>
            </w:tcMar>
            <w:vAlign w:val="center"/>
          </w:tcPr>
          <w:p w14:paraId="1B939382" w14:textId="77777777" w:rsidR="007A73C9" w:rsidRPr="00424274" w:rsidRDefault="007A73C9" w:rsidP="00867D16">
            <w:pPr>
              <w:rPr>
                <w:rFonts w:ascii="Calibri" w:eastAsia="Calibri" w:hAnsi="Calibri" w:cs="Calibri"/>
              </w:rPr>
            </w:pPr>
          </w:p>
        </w:tc>
        <w:tc>
          <w:tcPr>
            <w:tcW w:w="2196" w:type="dxa"/>
            <w:vMerge/>
            <w:tcBorders>
              <w:top w:val="single" w:sz="12" w:space="0" w:color="000000"/>
              <w:left w:val="single" w:sz="8" w:space="0" w:color="000000"/>
              <w:bottom w:val="single" w:sz="12" w:space="0" w:color="000000"/>
              <w:right w:val="single" w:sz="8" w:space="0" w:color="000000"/>
            </w:tcBorders>
            <w:shd w:val="clear" w:color="auto" w:fill="00CCFF"/>
            <w:tcMar>
              <w:left w:w="108" w:type="dxa"/>
              <w:right w:w="108" w:type="dxa"/>
            </w:tcMar>
            <w:vAlign w:val="center"/>
          </w:tcPr>
          <w:p w14:paraId="078EAD3C" w14:textId="77777777" w:rsidR="007A73C9" w:rsidRPr="00424274" w:rsidRDefault="007A73C9" w:rsidP="00867D16">
            <w:pPr>
              <w:rPr>
                <w:rFonts w:ascii="Calibri" w:eastAsia="Calibri" w:hAnsi="Calibri" w:cs="Calibri"/>
              </w:rPr>
            </w:pPr>
          </w:p>
        </w:tc>
        <w:tc>
          <w:tcPr>
            <w:tcW w:w="1399" w:type="dxa"/>
            <w:tcBorders>
              <w:top w:val="single" w:sz="8" w:space="0" w:color="000000"/>
              <w:left w:val="single" w:sz="8" w:space="0" w:color="000000"/>
              <w:bottom w:val="single" w:sz="12" w:space="0" w:color="000000"/>
              <w:right w:val="single" w:sz="8" w:space="0" w:color="000000"/>
            </w:tcBorders>
            <w:shd w:val="clear" w:color="auto" w:fill="00CCFF"/>
            <w:tcMar>
              <w:left w:w="108" w:type="dxa"/>
              <w:right w:w="108" w:type="dxa"/>
            </w:tcMar>
          </w:tcPr>
          <w:p w14:paraId="07988375"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b/>
                <w:sz w:val="20"/>
              </w:rPr>
              <w:t>Magisterij</w:t>
            </w:r>
          </w:p>
        </w:tc>
        <w:tc>
          <w:tcPr>
            <w:tcW w:w="1689" w:type="dxa"/>
            <w:tcBorders>
              <w:top w:val="single" w:sz="8" w:space="0" w:color="000000"/>
              <w:left w:val="single" w:sz="8" w:space="0" w:color="000000"/>
              <w:bottom w:val="single" w:sz="12" w:space="0" w:color="000000"/>
              <w:right w:val="single" w:sz="8" w:space="0" w:color="000000"/>
            </w:tcBorders>
            <w:shd w:val="clear" w:color="auto" w:fill="00CCFF"/>
            <w:tcMar>
              <w:left w:w="108" w:type="dxa"/>
              <w:right w:w="108" w:type="dxa"/>
            </w:tcMar>
          </w:tcPr>
          <w:p w14:paraId="00F7DCE0"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rPr>
                <w:rFonts w:ascii="Arial" w:eastAsia="Arial" w:hAnsi="Arial"/>
                <w:b/>
                <w:sz w:val="20"/>
              </w:rPr>
            </w:pPr>
            <w:r w:rsidRPr="00424274">
              <w:rPr>
                <w:rFonts w:ascii="Arial" w:eastAsia="Arial" w:hAnsi="Arial"/>
                <w:b/>
                <w:sz w:val="20"/>
              </w:rPr>
              <w:t>Univerzitetna/</w:t>
            </w:r>
          </w:p>
          <w:p w14:paraId="3FE127C9" w14:textId="7B85E0F7" w:rsidR="007A73C9" w:rsidRPr="00424274" w:rsidRDefault="005D1753" w:rsidP="005D1753">
            <w:pPr>
              <w:tabs>
                <w:tab w:val="left" w:pos="-1057"/>
                <w:tab w:val="left" w:pos="-787"/>
                <w:tab w:val="left" w:pos="0"/>
                <w:tab w:val="left" w:pos="720"/>
                <w:tab w:val="left" w:pos="1440"/>
                <w:tab w:val="left" w:pos="2160"/>
                <w:tab w:val="left" w:pos="2880"/>
                <w:tab w:val="left" w:pos="3600"/>
                <w:tab w:val="left" w:pos="4320"/>
                <w:tab w:val="left" w:pos="4500"/>
              </w:tabs>
              <w:jc w:val="center"/>
            </w:pPr>
            <w:r>
              <w:rPr>
                <w:rFonts w:ascii="Arial" w:eastAsia="Arial" w:hAnsi="Arial"/>
                <w:b/>
                <w:sz w:val="20"/>
              </w:rPr>
              <w:t>v</w:t>
            </w:r>
            <w:r w:rsidR="007A73C9" w:rsidRPr="00424274">
              <w:rPr>
                <w:rFonts w:ascii="Arial" w:eastAsia="Arial" w:hAnsi="Arial"/>
                <w:b/>
                <w:sz w:val="20"/>
              </w:rPr>
              <w:t>isoka</w:t>
            </w:r>
          </w:p>
        </w:tc>
        <w:tc>
          <w:tcPr>
            <w:tcW w:w="838" w:type="dxa"/>
            <w:tcBorders>
              <w:top w:val="single" w:sz="8" w:space="0" w:color="000000"/>
              <w:left w:val="single" w:sz="8" w:space="0" w:color="000000"/>
              <w:bottom w:val="single" w:sz="12" w:space="0" w:color="000000"/>
              <w:right w:val="single" w:sz="8" w:space="0" w:color="000000"/>
            </w:tcBorders>
            <w:shd w:val="clear" w:color="auto" w:fill="00CCFF"/>
            <w:tcMar>
              <w:left w:w="108" w:type="dxa"/>
              <w:right w:w="108" w:type="dxa"/>
            </w:tcMar>
          </w:tcPr>
          <w:p w14:paraId="3BC01C84"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b/>
                <w:sz w:val="20"/>
              </w:rPr>
              <w:t>Višja</w:t>
            </w:r>
          </w:p>
        </w:tc>
        <w:tc>
          <w:tcPr>
            <w:tcW w:w="1121" w:type="dxa"/>
            <w:tcBorders>
              <w:top w:val="single" w:sz="8" w:space="0" w:color="000000"/>
              <w:left w:val="single" w:sz="8" w:space="0" w:color="000000"/>
              <w:bottom w:val="single" w:sz="12" w:space="0" w:color="000000"/>
              <w:right w:val="single" w:sz="12" w:space="0" w:color="000000"/>
            </w:tcBorders>
            <w:shd w:val="clear" w:color="auto" w:fill="00CCFF"/>
            <w:tcMar>
              <w:left w:w="108" w:type="dxa"/>
              <w:right w:w="108" w:type="dxa"/>
            </w:tcMar>
          </w:tcPr>
          <w:p w14:paraId="5412D8BB"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b/>
                <w:sz w:val="20"/>
              </w:rPr>
              <w:t>Srednja</w:t>
            </w:r>
          </w:p>
        </w:tc>
      </w:tr>
      <w:tr w:rsidR="007A73C9" w:rsidRPr="00424274" w14:paraId="7975CA7A" w14:textId="77777777" w:rsidTr="00856A5D">
        <w:trPr>
          <w:trHeight w:hRule="exact" w:val="255"/>
        </w:trPr>
        <w:tc>
          <w:tcPr>
            <w:tcW w:w="1641" w:type="dxa"/>
            <w:tcBorders>
              <w:top w:val="single" w:sz="12" w:space="0" w:color="000000"/>
              <w:left w:val="single" w:sz="8" w:space="0" w:color="000000"/>
              <w:bottom w:val="single" w:sz="8" w:space="0" w:color="000000"/>
              <w:right w:val="single" w:sz="8" w:space="0" w:color="000000"/>
            </w:tcBorders>
            <w:shd w:val="clear" w:color="auto" w:fill="99FF33"/>
            <w:tcMar>
              <w:left w:w="108" w:type="dxa"/>
              <w:right w:w="108" w:type="dxa"/>
            </w:tcMar>
            <w:vAlign w:val="center"/>
          </w:tcPr>
          <w:p w14:paraId="2024644D"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01.01.1995</w:t>
            </w:r>
          </w:p>
        </w:tc>
        <w:tc>
          <w:tcPr>
            <w:tcW w:w="2196" w:type="dxa"/>
            <w:tcBorders>
              <w:top w:val="single" w:sz="12"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2F28963F"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5</w:t>
            </w:r>
          </w:p>
        </w:tc>
        <w:tc>
          <w:tcPr>
            <w:tcW w:w="1399" w:type="dxa"/>
            <w:tcBorders>
              <w:top w:val="single" w:sz="12"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4318B22C"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rPr>
                <w:rFonts w:ascii="Calibri" w:eastAsia="Calibri" w:hAnsi="Calibri" w:cs="Calibri"/>
              </w:rPr>
            </w:pPr>
          </w:p>
        </w:tc>
        <w:tc>
          <w:tcPr>
            <w:tcW w:w="1689" w:type="dxa"/>
            <w:tcBorders>
              <w:top w:val="single" w:sz="12"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2578202C"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4</w:t>
            </w:r>
          </w:p>
        </w:tc>
        <w:tc>
          <w:tcPr>
            <w:tcW w:w="838" w:type="dxa"/>
            <w:tcBorders>
              <w:top w:val="single" w:sz="12"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0C76F7D4"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rPr>
                <w:rFonts w:ascii="Calibri" w:eastAsia="Calibri" w:hAnsi="Calibri" w:cs="Calibri"/>
              </w:rPr>
            </w:pPr>
          </w:p>
        </w:tc>
        <w:tc>
          <w:tcPr>
            <w:tcW w:w="1121" w:type="dxa"/>
            <w:tcBorders>
              <w:top w:val="single" w:sz="12"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4B0E2A33"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1</w:t>
            </w:r>
          </w:p>
        </w:tc>
      </w:tr>
      <w:tr w:rsidR="007A73C9" w:rsidRPr="00424274" w14:paraId="41A06AA4" w14:textId="77777777" w:rsidTr="00856A5D">
        <w:trPr>
          <w:trHeight w:hRule="exact" w:val="255"/>
        </w:trPr>
        <w:tc>
          <w:tcPr>
            <w:tcW w:w="1641" w:type="dxa"/>
            <w:tcBorders>
              <w:top w:val="single" w:sz="8" w:space="0" w:color="000000"/>
              <w:left w:val="single" w:sz="8" w:space="0" w:color="000000"/>
              <w:bottom w:val="single" w:sz="8" w:space="0" w:color="000000"/>
              <w:right w:val="single" w:sz="8" w:space="0" w:color="000000"/>
            </w:tcBorders>
            <w:shd w:val="clear" w:color="auto" w:fill="99FF33"/>
            <w:tcMar>
              <w:left w:w="108" w:type="dxa"/>
              <w:right w:w="108" w:type="dxa"/>
            </w:tcMar>
            <w:vAlign w:val="center"/>
          </w:tcPr>
          <w:p w14:paraId="36E5B65D"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01.04.1995</w:t>
            </w:r>
          </w:p>
        </w:tc>
        <w:tc>
          <w:tcPr>
            <w:tcW w:w="219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2591D3FF"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7</w:t>
            </w:r>
          </w:p>
        </w:tc>
        <w:tc>
          <w:tcPr>
            <w:tcW w:w="139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667E98AE"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rPr>
                <w:rFonts w:ascii="Calibri" w:eastAsia="Calibri" w:hAnsi="Calibri" w:cs="Calibri"/>
              </w:rPr>
            </w:pPr>
          </w:p>
        </w:tc>
        <w:tc>
          <w:tcPr>
            <w:tcW w:w="168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21B42A26"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5</w:t>
            </w:r>
          </w:p>
        </w:tc>
        <w:tc>
          <w:tcPr>
            <w:tcW w:w="83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17C1AC9A"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rPr>
                <w:rFonts w:ascii="Calibri" w:eastAsia="Calibri" w:hAnsi="Calibri" w:cs="Calibri"/>
              </w:rPr>
            </w:pPr>
          </w:p>
        </w:tc>
        <w:tc>
          <w:tcPr>
            <w:tcW w:w="112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7C075DA5"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2</w:t>
            </w:r>
          </w:p>
        </w:tc>
      </w:tr>
      <w:tr w:rsidR="007A73C9" w:rsidRPr="00424274" w14:paraId="630D7896" w14:textId="77777777" w:rsidTr="00856A5D">
        <w:trPr>
          <w:trHeight w:hRule="exact" w:val="255"/>
        </w:trPr>
        <w:tc>
          <w:tcPr>
            <w:tcW w:w="1641" w:type="dxa"/>
            <w:tcBorders>
              <w:top w:val="single" w:sz="8" w:space="0" w:color="000000"/>
              <w:left w:val="single" w:sz="8" w:space="0" w:color="000000"/>
              <w:bottom w:val="single" w:sz="8" w:space="0" w:color="000000"/>
              <w:right w:val="single" w:sz="8" w:space="0" w:color="000000"/>
            </w:tcBorders>
            <w:shd w:val="clear" w:color="auto" w:fill="99FF33"/>
            <w:tcMar>
              <w:left w:w="108" w:type="dxa"/>
              <w:right w:w="108" w:type="dxa"/>
            </w:tcMar>
            <w:vAlign w:val="center"/>
          </w:tcPr>
          <w:p w14:paraId="4227FE67"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01.09.1995</w:t>
            </w:r>
          </w:p>
        </w:tc>
        <w:tc>
          <w:tcPr>
            <w:tcW w:w="219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135793AE"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8</w:t>
            </w:r>
          </w:p>
        </w:tc>
        <w:tc>
          <w:tcPr>
            <w:tcW w:w="139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21C94105"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rPr>
                <w:rFonts w:ascii="Calibri" w:eastAsia="Calibri" w:hAnsi="Calibri" w:cs="Calibri"/>
              </w:rPr>
            </w:pPr>
          </w:p>
        </w:tc>
        <w:tc>
          <w:tcPr>
            <w:tcW w:w="168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40D0293E"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6</w:t>
            </w:r>
          </w:p>
        </w:tc>
        <w:tc>
          <w:tcPr>
            <w:tcW w:w="83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0CCB13DB"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rPr>
                <w:rFonts w:ascii="Calibri" w:eastAsia="Calibri" w:hAnsi="Calibri" w:cs="Calibri"/>
              </w:rPr>
            </w:pPr>
          </w:p>
        </w:tc>
        <w:tc>
          <w:tcPr>
            <w:tcW w:w="112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65C57459"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2</w:t>
            </w:r>
          </w:p>
        </w:tc>
      </w:tr>
      <w:tr w:rsidR="007A73C9" w:rsidRPr="00424274" w14:paraId="3F5C920D" w14:textId="77777777" w:rsidTr="00856A5D">
        <w:trPr>
          <w:trHeight w:hRule="exact" w:val="255"/>
        </w:trPr>
        <w:tc>
          <w:tcPr>
            <w:tcW w:w="1641" w:type="dxa"/>
            <w:tcBorders>
              <w:top w:val="single" w:sz="8" w:space="0" w:color="000000"/>
              <w:left w:val="single" w:sz="8" w:space="0" w:color="000000"/>
              <w:bottom w:val="single" w:sz="8" w:space="0" w:color="000000"/>
              <w:right w:val="single" w:sz="8" w:space="0" w:color="000000"/>
            </w:tcBorders>
            <w:shd w:val="clear" w:color="auto" w:fill="99FF33"/>
            <w:tcMar>
              <w:left w:w="108" w:type="dxa"/>
              <w:right w:w="108" w:type="dxa"/>
            </w:tcMar>
            <w:vAlign w:val="center"/>
          </w:tcPr>
          <w:p w14:paraId="16D7EECF"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01.06.1996</w:t>
            </w:r>
          </w:p>
        </w:tc>
        <w:tc>
          <w:tcPr>
            <w:tcW w:w="219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74F12648"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10</w:t>
            </w:r>
          </w:p>
        </w:tc>
        <w:tc>
          <w:tcPr>
            <w:tcW w:w="139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62568301"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rPr>
                <w:rFonts w:ascii="Calibri" w:eastAsia="Calibri" w:hAnsi="Calibri" w:cs="Calibri"/>
              </w:rPr>
            </w:pPr>
          </w:p>
        </w:tc>
        <w:tc>
          <w:tcPr>
            <w:tcW w:w="168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2BEC981A"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8</w:t>
            </w:r>
          </w:p>
        </w:tc>
        <w:tc>
          <w:tcPr>
            <w:tcW w:w="83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2E93F603"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rPr>
                <w:rFonts w:ascii="Calibri" w:eastAsia="Calibri" w:hAnsi="Calibri" w:cs="Calibri"/>
              </w:rPr>
            </w:pPr>
          </w:p>
        </w:tc>
        <w:tc>
          <w:tcPr>
            <w:tcW w:w="112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7D519F63"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2</w:t>
            </w:r>
          </w:p>
        </w:tc>
      </w:tr>
      <w:tr w:rsidR="007A73C9" w:rsidRPr="00424274" w14:paraId="3D7BD73D" w14:textId="77777777" w:rsidTr="00856A5D">
        <w:trPr>
          <w:trHeight w:hRule="exact" w:val="255"/>
        </w:trPr>
        <w:tc>
          <w:tcPr>
            <w:tcW w:w="1641" w:type="dxa"/>
            <w:tcBorders>
              <w:top w:val="single" w:sz="8" w:space="0" w:color="000000"/>
              <w:left w:val="single" w:sz="8" w:space="0" w:color="000000"/>
              <w:bottom w:val="single" w:sz="8" w:space="0" w:color="000000"/>
              <w:right w:val="single" w:sz="8" w:space="0" w:color="000000"/>
            </w:tcBorders>
            <w:shd w:val="clear" w:color="auto" w:fill="99FF33"/>
            <w:tcMar>
              <w:left w:w="108" w:type="dxa"/>
              <w:right w:w="108" w:type="dxa"/>
            </w:tcMar>
            <w:vAlign w:val="center"/>
          </w:tcPr>
          <w:p w14:paraId="5D5BC494"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31.12.1997</w:t>
            </w:r>
          </w:p>
        </w:tc>
        <w:tc>
          <w:tcPr>
            <w:tcW w:w="219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24914306"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12</w:t>
            </w:r>
          </w:p>
        </w:tc>
        <w:tc>
          <w:tcPr>
            <w:tcW w:w="139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73C50E2D"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1</w:t>
            </w:r>
          </w:p>
        </w:tc>
        <w:tc>
          <w:tcPr>
            <w:tcW w:w="168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69BDBBBF"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9</w:t>
            </w:r>
          </w:p>
        </w:tc>
        <w:tc>
          <w:tcPr>
            <w:tcW w:w="83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2ED881B4"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rPr>
                <w:rFonts w:ascii="Calibri" w:eastAsia="Calibri" w:hAnsi="Calibri" w:cs="Calibri"/>
              </w:rPr>
            </w:pPr>
          </w:p>
        </w:tc>
        <w:tc>
          <w:tcPr>
            <w:tcW w:w="112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42F49EC6"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2</w:t>
            </w:r>
          </w:p>
        </w:tc>
      </w:tr>
      <w:tr w:rsidR="007A73C9" w:rsidRPr="00424274" w14:paraId="3B953AA3" w14:textId="77777777" w:rsidTr="00856A5D">
        <w:trPr>
          <w:trHeight w:hRule="exact" w:val="255"/>
        </w:trPr>
        <w:tc>
          <w:tcPr>
            <w:tcW w:w="1641" w:type="dxa"/>
            <w:tcBorders>
              <w:top w:val="single" w:sz="8" w:space="0" w:color="000000"/>
              <w:left w:val="single" w:sz="8" w:space="0" w:color="000000"/>
              <w:bottom w:val="single" w:sz="8" w:space="0" w:color="000000"/>
              <w:right w:val="single" w:sz="8" w:space="0" w:color="000000"/>
            </w:tcBorders>
            <w:shd w:val="clear" w:color="auto" w:fill="99FF33"/>
            <w:tcMar>
              <w:left w:w="108" w:type="dxa"/>
              <w:right w:w="108" w:type="dxa"/>
            </w:tcMar>
            <w:vAlign w:val="center"/>
          </w:tcPr>
          <w:p w14:paraId="52FD19AC"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31.12.1998</w:t>
            </w:r>
          </w:p>
        </w:tc>
        <w:tc>
          <w:tcPr>
            <w:tcW w:w="219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52CEC582"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12</w:t>
            </w:r>
          </w:p>
        </w:tc>
        <w:tc>
          <w:tcPr>
            <w:tcW w:w="139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617BE6E3"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1</w:t>
            </w:r>
          </w:p>
        </w:tc>
        <w:tc>
          <w:tcPr>
            <w:tcW w:w="168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69558A6C"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9</w:t>
            </w:r>
          </w:p>
        </w:tc>
        <w:tc>
          <w:tcPr>
            <w:tcW w:w="83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11AC4A06"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rPr>
                <w:rFonts w:ascii="Calibri" w:eastAsia="Calibri" w:hAnsi="Calibri" w:cs="Calibri"/>
              </w:rPr>
            </w:pPr>
          </w:p>
        </w:tc>
        <w:tc>
          <w:tcPr>
            <w:tcW w:w="112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19A0742A"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2</w:t>
            </w:r>
          </w:p>
        </w:tc>
      </w:tr>
      <w:tr w:rsidR="007A73C9" w:rsidRPr="00424274" w14:paraId="456C854C" w14:textId="77777777" w:rsidTr="00856A5D">
        <w:trPr>
          <w:trHeight w:hRule="exact" w:val="255"/>
        </w:trPr>
        <w:tc>
          <w:tcPr>
            <w:tcW w:w="1641" w:type="dxa"/>
            <w:tcBorders>
              <w:top w:val="single" w:sz="8" w:space="0" w:color="000000"/>
              <w:left w:val="single" w:sz="8" w:space="0" w:color="000000"/>
              <w:bottom w:val="single" w:sz="8" w:space="0" w:color="000000"/>
              <w:right w:val="single" w:sz="8" w:space="0" w:color="000000"/>
            </w:tcBorders>
            <w:shd w:val="clear" w:color="auto" w:fill="99FF33"/>
            <w:tcMar>
              <w:left w:w="108" w:type="dxa"/>
              <w:right w:w="108" w:type="dxa"/>
            </w:tcMar>
            <w:vAlign w:val="center"/>
          </w:tcPr>
          <w:p w14:paraId="66F74EB6"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31.12.1999</w:t>
            </w:r>
          </w:p>
        </w:tc>
        <w:tc>
          <w:tcPr>
            <w:tcW w:w="219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3893919B"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14</w:t>
            </w:r>
          </w:p>
        </w:tc>
        <w:tc>
          <w:tcPr>
            <w:tcW w:w="139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1045B9F5"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1</w:t>
            </w:r>
          </w:p>
        </w:tc>
        <w:tc>
          <w:tcPr>
            <w:tcW w:w="168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5DFBACE4"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10</w:t>
            </w:r>
          </w:p>
        </w:tc>
        <w:tc>
          <w:tcPr>
            <w:tcW w:w="83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1B248C35"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rPr>
                <w:rFonts w:ascii="Calibri" w:eastAsia="Calibri" w:hAnsi="Calibri" w:cs="Calibri"/>
              </w:rPr>
            </w:pPr>
          </w:p>
        </w:tc>
        <w:tc>
          <w:tcPr>
            <w:tcW w:w="112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64239DE0"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3</w:t>
            </w:r>
          </w:p>
        </w:tc>
      </w:tr>
      <w:tr w:rsidR="007A73C9" w:rsidRPr="00424274" w14:paraId="4EC988C1" w14:textId="77777777" w:rsidTr="00856A5D">
        <w:trPr>
          <w:trHeight w:hRule="exact" w:val="255"/>
        </w:trPr>
        <w:tc>
          <w:tcPr>
            <w:tcW w:w="1641" w:type="dxa"/>
            <w:tcBorders>
              <w:top w:val="single" w:sz="8" w:space="0" w:color="000000"/>
              <w:left w:val="single" w:sz="8" w:space="0" w:color="000000"/>
              <w:bottom w:val="single" w:sz="8" w:space="0" w:color="000000"/>
              <w:right w:val="single" w:sz="8" w:space="0" w:color="000000"/>
            </w:tcBorders>
            <w:shd w:val="clear" w:color="auto" w:fill="99FF33"/>
            <w:tcMar>
              <w:left w:w="108" w:type="dxa"/>
              <w:right w:w="108" w:type="dxa"/>
            </w:tcMar>
            <w:vAlign w:val="center"/>
          </w:tcPr>
          <w:p w14:paraId="6F42962A"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31.12.2000</w:t>
            </w:r>
          </w:p>
        </w:tc>
        <w:tc>
          <w:tcPr>
            <w:tcW w:w="219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6887B620"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14</w:t>
            </w:r>
          </w:p>
        </w:tc>
        <w:tc>
          <w:tcPr>
            <w:tcW w:w="139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3962E6FB"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2</w:t>
            </w:r>
          </w:p>
        </w:tc>
        <w:tc>
          <w:tcPr>
            <w:tcW w:w="168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2244009B"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9</w:t>
            </w:r>
          </w:p>
        </w:tc>
        <w:tc>
          <w:tcPr>
            <w:tcW w:w="83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25D7F07C"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rPr>
                <w:rFonts w:ascii="Calibri" w:eastAsia="Calibri" w:hAnsi="Calibri" w:cs="Calibri"/>
              </w:rPr>
            </w:pPr>
          </w:p>
        </w:tc>
        <w:tc>
          <w:tcPr>
            <w:tcW w:w="112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68318509"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3</w:t>
            </w:r>
          </w:p>
        </w:tc>
      </w:tr>
      <w:tr w:rsidR="007A73C9" w:rsidRPr="00424274" w14:paraId="380888F0" w14:textId="77777777" w:rsidTr="00856A5D">
        <w:trPr>
          <w:trHeight w:hRule="exact" w:val="255"/>
        </w:trPr>
        <w:tc>
          <w:tcPr>
            <w:tcW w:w="1641" w:type="dxa"/>
            <w:tcBorders>
              <w:top w:val="single" w:sz="8" w:space="0" w:color="000000"/>
              <w:left w:val="single" w:sz="8" w:space="0" w:color="000000"/>
              <w:bottom w:val="single" w:sz="8" w:space="0" w:color="000000"/>
              <w:right w:val="single" w:sz="8" w:space="0" w:color="000000"/>
            </w:tcBorders>
            <w:shd w:val="clear" w:color="auto" w:fill="99FF33"/>
            <w:tcMar>
              <w:left w:w="108" w:type="dxa"/>
              <w:right w:w="108" w:type="dxa"/>
            </w:tcMar>
            <w:vAlign w:val="center"/>
          </w:tcPr>
          <w:p w14:paraId="24902FD4"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31.12.2001</w:t>
            </w:r>
          </w:p>
        </w:tc>
        <w:tc>
          <w:tcPr>
            <w:tcW w:w="219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4A879814"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15</w:t>
            </w:r>
          </w:p>
        </w:tc>
        <w:tc>
          <w:tcPr>
            <w:tcW w:w="139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4EE21CB8"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2</w:t>
            </w:r>
          </w:p>
        </w:tc>
        <w:tc>
          <w:tcPr>
            <w:tcW w:w="168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5374966F"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10</w:t>
            </w:r>
          </w:p>
        </w:tc>
        <w:tc>
          <w:tcPr>
            <w:tcW w:w="83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3ABC0720"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rPr>
                <w:rFonts w:ascii="Calibri" w:eastAsia="Calibri" w:hAnsi="Calibri" w:cs="Calibri"/>
              </w:rPr>
            </w:pPr>
          </w:p>
        </w:tc>
        <w:tc>
          <w:tcPr>
            <w:tcW w:w="112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5A6A388E"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3</w:t>
            </w:r>
          </w:p>
        </w:tc>
      </w:tr>
      <w:tr w:rsidR="007A73C9" w:rsidRPr="00424274" w14:paraId="7093E9A1" w14:textId="77777777" w:rsidTr="00856A5D">
        <w:trPr>
          <w:trHeight w:hRule="exact" w:val="255"/>
        </w:trPr>
        <w:tc>
          <w:tcPr>
            <w:tcW w:w="1641" w:type="dxa"/>
            <w:tcBorders>
              <w:top w:val="single" w:sz="8" w:space="0" w:color="000000"/>
              <w:left w:val="single" w:sz="8" w:space="0" w:color="000000"/>
              <w:bottom w:val="single" w:sz="8" w:space="0" w:color="000000"/>
              <w:right w:val="single" w:sz="8" w:space="0" w:color="000000"/>
            </w:tcBorders>
            <w:shd w:val="clear" w:color="auto" w:fill="99FF33"/>
            <w:tcMar>
              <w:left w:w="108" w:type="dxa"/>
              <w:right w:w="108" w:type="dxa"/>
            </w:tcMar>
            <w:vAlign w:val="center"/>
          </w:tcPr>
          <w:p w14:paraId="3A7A2180"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31.12.2002</w:t>
            </w:r>
          </w:p>
        </w:tc>
        <w:tc>
          <w:tcPr>
            <w:tcW w:w="219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7A63FBD2"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15</w:t>
            </w:r>
          </w:p>
        </w:tc>
        <w:tc>
          <w:tcPr>
            <w:tcW w:w="139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68C09CB3"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2</w:t>
            </w:r>
          </w:p>
        </w:tc>
        <w:tc>
          <w:tcPr>
            <w:tcW w:w="168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40487125"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10</w:t>
            </w:r>
          </w:p>
        </w:tc>
        <w:tc>
          <w:tcPr>
            <w:tcW w:w="83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3629646B"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1</w:t>
            </w:r>
          </w:p>
        </w:tc>
        <w:tc>
          <w:tcPr>
            <w:tcW w:w="112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6CFE3DC0"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2</w:t>
            </w:r>
          </w:p>
        </w:tc>
      </w:tr>
      <w:tr w:rsidR="007A73C9" w:rsidRPr="00424274" w14:paraId="487E3828" w14:textId="77777777" w:rsidTr="00856A5D">
        <w:trPr>
          <w:trHeight w:hRule="exact" w:val="255"/>
        </w:trPr>
        <w:tc>
          <w:tcPr>
            <w:tcW w:w="1641" w:type="dxa"/>
            <w:tcBorders>
              <w:top w:val="single" w:sz="8" w:space="0" w:color="000000"/>
              <w:left w:val="single" w:sz="8" w:space="0" w:color="000000"/>
              <w:bottom w:val="single" w:sz="8" w:space="0" w:color="000000"/>
              <w:right w:val="single" w:sz="8" w:space="0" w:color="000000"/>
            </w:tcBorders>
            <w:shd w:val="clear" w:color="auto" w:fill="99FF33"/>
            <w:tcMar>
              <w:left w:w="108" w:type="dxa"/>
              <w:right w:w="108" w:type="dxa"/>
            </w:tcMar>
            <w:vAlign w:val="center"/>
          </w:tcPr>
          <w:p w14:paraId="7576C17E"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31.12.2003</w:t>
            </w:r>
          </w:p>
        </w:tc>
        <w:tc>
          <w:tcPr>
            <w:tcW w:w="219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67E9F04A"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15</w:t>
            </w:r>
          </w:p>
        </w:tc>
        <w:tc>
          <w:tcPr>
            <w:tcW w:w="139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14B427EB"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rPr>
                <w:rFonts w:ascii="Calibri" w:eastAsia="Calibri" w:hAnsi="Calibri" w:cs="Calibri"/>
              </w:rPr>
            </w:pPr>
          </w:p>
        </w:tc>
        <w:tc>
          <w:tcPr>
            <w:tcW w:w="168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5E6C1E76"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12</w:t>
            </w:r>
          </w:p>
        </w:tc>
        <w:tc>
          <w:tcPr>
            <w:tcW w:w="83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74D988A1"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1</w:t>
            </w:r>
          </w:p>
        </w:tc>
        <w:tc>
          <w:tcPr>
            <w:tcW w:w="112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585B7AAE"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2</w:t>
            </w:r>
          </w:p>
        </w:tc>
      </w:tr>
      <w:tr w:rsidR="007A73C9" w:rsidRPr="00424274" w14:paraId="639E378B" w14:textId="77777777" w:rsidTr="00856A5D">
        <w:trPr>
          <w:trHeight w:hRule="exact" w:val="255"/>
        </w:trPr>
        <w:tc>
          <w:tcPr>
            <w:tcW w:w="1641" w:type="dxa"/>
            <w:tcBorders>
              <w:top w:val="single" w:sz="8" w:space="0" w:color="000000"/>
              <w:left w:val="single" w:sz="8" w:space="0" w:color="000000"/>
              <w:bottom w:val="single" w:sz="8" w:space="0" w:color="000000"/>
              <w:right w:val="single" w:sz="8" w:space="0" w:color="000000"/>
            </w:tcBorders>
            <w:shd w:val="clear" w:color="auto" w:fill="99FF33"/>
            <w:tcMar>
              <w:left w:w="108" w:type="dxa"/>
              <w:right w:w="108" w:type="dxa"/>
            </w:tcMar>
            <w:vAlign w:val="center"/>
          </w:tcPr>
          <w:p w14:paraId="2D3D334B"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31.12.2004</w:t>
            </w:r>
          </w:p>
        </w:tc>
        <w:tc>
          <w:tcPr>
            <w:tcW w:w="219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1FE59924"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17</w:t>
            </w:r>
          </w:p>
        </w:tc>
        <w:tc>
          <w:tcPr>
            <w:tcW w:w="139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4630CC33"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1</w:t>
            </w:r>
          </w:p>
        </w:tc>
        <w:tc>
          <w:tcPr>
            <w:tcW w:w="168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59169D5D"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13</w:t>
            </w:r>
          </w:p>
        </w:tc>
        <w:tc>
          <w:tcPr>
            <w:tcW w:w="83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539FD4A5"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1</w:t>
            </w:r>
          </w:p>
        </w:tc>
        <w:tc>
          <w:tcPr>
            <w:tcW w:w="112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35ADB24E"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2</w:t>
            </w:r>
          </w:p>
        </w:tc>
      </w:tr>
      <w:tr w:rsidR="007A73C9" w:rsidRPr="00424274" w14:paraId="5545BDA3" w14:textId="77777777" w:rsidTr="00856A5D">
        <w:trPr>
          <w:trHeight w:hRule="exact" w:val="255"/>
        </w:trPr>
        <w:tc>
          <w:tcPr>
            <w:tcW w:w="1641" w:type="dxa"/>
            <w:tcBorders>
              <w:top w:val="single" w:sz="8" w:space="0" w:color="000000"/>
              <w:left w:val="single" w:sz="8" w:space="0" w:color="000000"/>
              <w:bottom w:val="single" w:sz="8" w:space="0" w:color="000000"/>
              <w:right w:val="single" w:sz="8" w:space="0" w:color="000000"/>
            </w:tcBorders>
            <w:shd w:val="clear" w:color="auto" w:fill="99FF33"/>
            <w:tcMar>
              <w:left w:w="108" w:type="dxa"/>
              <w:right w:w="108" w:type="dxa"/>
            </w:tcMar>
            <w:vAlign w:val="center"/>
          </w:tcPr>
          <w:p w14:paraId="47C5CE33"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31.12.2005</w:t>
            </w:r>
          </w:p>
        </w:tc>
        <w:tc>
          <w:tcPr>
            <w:tcW w:w="219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0A845A4A"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17</w:t>
            </w:r>
          </w:p>
        </w:tc>
        <w:tc>
          <w:tcPr>
            <w:tcW w:w="139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1288819B"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2</w:t>
            </w:r>
          </w:p>
        </w:tc>
        <w:tc>
          <w:tcPr>
            <w:tcW w:w="168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19E0DE0B"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13</w:t>
            </w:r>
          </w:p>
        </w:tc>
        <w:tc>
          <w:tcPr>
            <w:tcW w:w="83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62B31174"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rPr>
                <w:rFonts w:ascii="Calibri" w:eastAsia="Calibri" w:hAnsi="Calibri" w:cs="Calibri"/>
              </w:rPr>
            </w:pPr>
          </w:p>
        </w:tc>
        <w:tc>
          <w:tcPr>
            <w:tcW w:w="112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0AB17798"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2</w:t>
            </w:r>
          </w:p>
        </w:tc>
      </w:tr>
      <w:tr w:rsidR="007A73C9" w:rsidRPr="00424274" w14:paraId="436B2E52" w14:textId="77777777" w:rsidTr="00856A5D">
        <w:trPr>
          <w:trHeight w:hRule="exact" w:val="255"/>
        </w:trPr>
        <w:tc>
          <w:tcPr>
            <w:tcW w:w="1641" w:type="dxa"/>
            <w:tcBorders>
              <w:top w:val="single" w:sz="8" w:space="0" w:color="000000"/>
              <w:left w:val="single" w:sz="8" w:space="0" w:color="000000"/>
              <w:bottom w:val="single" w:sz="8" w:space="0" w:color="000000"/>
              <w:right w:val="single" w:sz="8" w:space="0" w:color="000000"/>
            </w:tcBorders>
            <w:shd w:val="clear" w:color="auto" w:fill="99FF33"/>
            <w:tcMar>
              <w:left w:w="108" w:type="dxa"/>
              <w:right w:w="108" w:type="dxa"/>
            </w:tcMar>
            <w:vAlign w:val="center"/>
          </w:tcPr>
          <w:p w14:paraId="6F88F1A0"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31.12.2006</w:t>
            </w:r>
          </w:p>
        </w:tc>
        <w:tc>
          <w:tcPr>
            <w:tcW w:w="219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73AA780A"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16</w:t>
            </w:r>
          </w:p>
        </w:tc>
        <w:tc>
          <w:tcPr>
            <w:tcW w:w="139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6DCC0DA4"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1</w:t>
            </w:r>
          </w:p>
        </w:tc>
        <w:tc>
          <w:tcPr>
            <w:tcW w:w="168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48345014"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13</w:t>
            </w:r>
          </w:p>
        </w:tc>
        <w:tc>
          <w:tcPr>
            <w:tcW w:w="83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19F0E0B7"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rPr>
                <w:rFonts w:ascii="Calibri" w:eastAsia="Calibri" w:hAnsi="Calibri" w:cs="Calibri"/>
              </w:rPr>
            </w:pPr>
          </w:p>
        </w:tc>
        <w:tc>
          <w:tcPr>
            <w:tcW w:w="112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48E990F7"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2</w:t>
            </w:r>
          </w:p>
        </w:tc>
      </w:tr>
      <w:tr w:rsidR="007A73C9" w:rsidRPr="00424274" w14:paraId="02EBE7DE" w14:textId="77777777" w:rsidTr="00856A5D">
        <w:trPr>
          <w:trHeight w:hRule="exact" w:val="255"/>
        </w:trPr>
        <w:tc>
          <w:tcPr>
            <w:tcW w:w="1641" w:type="dxa"/>
            <w:tcBorders>
              <w:top w:val="single" w:sz="8" w:space="0" w:color="000000"/>
              <w:left w:val="single" w:sz="8" w:space="0" w:color="000000"/>
              <w:bottom w:val="single" w:sz="8" w:space="0" w:color="000000"/>
              <w:right w:val="single" w:sz="8" w:space="0" w:color="000000"/>
            </w:tcBorders>
            <w:shd w:val="clear" w:color="auto" w:fill="99FF33"/>
            <w:tcMar>
              <w:left w:w="108" w:type="dxa"/>
              <w:right w:w="108" w:type="dxa"/>
            </w:tcMar>
            <w:vAlign w:val="center"/>
          </w:tcPr>
          <w:p w14:paraId="01DCCA6C"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31.12.2007</w:t>
            </w:r>
          </w:p>
        </w:tc>
        <w:tc>
          <w:tcPr>
            <w:tcW w:w="219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0E4E416B"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17</w:t>
            </w:r>
          </w:p>
        </w:tc>
        <w:tc>
          <w:tcPr>
            <w:tcW w:w="139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6B30517B"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1</w:t>
            </w:r>
          </w:p>
        </w:tc>
        <w:tc>
          <w:tcPr>
            <w:tcW w:w="168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37B2C196"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14</w:t>
            </w:r>
          </w:p>
        </w:tc>
        <w:tc>
          <w:tcPr>
            <w:tcW w:w="83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5FB97287"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rPr>
                <w:rFonts w:ascii="Calibri" w:eastAsia="Calibri" w:hAnsi="Calibri" w:cs="Calibri"/>
              </w:rPr>
            </w:pPr>
          </w:p>
        </w:tc>
        <w:tc>
          <w:tcPr>
            <w:tcW w:w="112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686B997B"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2</w:t>
            </w:r>
          </w:p>
        </w:tc>
      </w:tr>
      <w:tr w:rsidR="007A73C9" w:rsidRPr="00424274" w14:paraId="02FB4813" w14:textId="77777777" w:rsidTr="00856A5D">
        <w:trPr>
          <w:trHeight w:hRule="exact" w:val="255"/>
        </w:trPr>
        <w:tc>
          <w:tcPr>
            <w:tcW w:w="1641" w:type="dxa"/>
            <w:tcBorders>
              <w:top w:val="single" w:sz="8" w:space="0" w:color="000000"/>
              <w:left w:val="single" w:sz="8" w:space="0" w:color="000000"/>
              <w:bottom w:val="single" w:sz="8" w:space="0" w:color="000000"/>
              <w:right w:val="single" w:sz="8" w:space="0" w:color="000000"/>
            </w:tcBorders>
            <w:shd w:val="clear" w:color="auto" w:fill="99FF33"/>
            <w:tcMar>
              <w:left w:w="108" w:type="dxa"/>
              <w:right w:w="108" w:type="dxa"/>
            </w:tcMar>
            <w:vAlign w:val="center"/>
          </w:tcPr>
          <w:p w14:paraId="2F2ADD82"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31.12.2008</w:t>
            </w:r>
          </w:p>
        </w:tc>
        <w:tc>
          <w:tcPr>
            <w:tcW w:w="219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1A807E00"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18</w:t>
            </w:r>
          </w:p>
        </w:tc>
        <w:tc>
          <w:tcPr>
            <w:tcW w:w="139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4E6E9234"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1</w:t>
            </w:r>
          </w:p>
        </w:tc>
        <w:tc>
          <w:tcPr>
            <w:tcW w:w="168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02EBA452"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15</w:t>
            </w:r>
          </w:p>
        </w:tc>
        <w:tc>
          <w:tcPr>
            <w:tcW w:w="83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250B7F95"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rPr>
                <w:rFonts w:ascii="Calibri" w:eastAsia="Calibri" w:hAnsi="Calibri" w:cs="Calibri"/>
              </w:rPr>
            </w:pPr>
          </w:p>
        </w:tc>
        <w:tc>
          <w:tcPr>
            <w:tcW w:w="112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452A4DE6"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2</w:t>
            </w:r>
          </w:p>
        </w:tc>
      </w:tr>
      <w:tr w:rsidR="007A73C9" w:rsidRPr="00424274" w14:paraId="669F9FB9" w14:textId="77777777" w:rsidTr="00856A5D">
        <w:trPr>
          <w:trHeight w:hRule="exact" w:val="255"/>
        </w:trPr>
        <w:tc>
          <w:tcPr>
            <w:tcW w:w="1641" w:type="dxa"/>
            <w:tcBorders>
              <w:top w:val="single" w:sz="8" w:space="0" w:color="000000"/>
              <w:left w:val="single" w:sz="8" w:space="0" w:color="000000"/>
              <w:bottom w:val="single" w:sz="8" w:space="0" w:color="000000"/>
              <w:right w:val="single" w:sz="8" w:space="0" w:color="000000"/>
            </w:tcBorders>
            <w:shd w:val="clear" w:color="auto" w:fill="99FF33"/>
            <w:tcMar>
              <w:left w:w="108" w:type="dxa"/>
              <w:right w:w="108" w:type="dxa"/>
            </w:tcMar>
            <w:vAlign w:val="center"/>
          </w:tcPr>
          <w:p w14:paraId="7D08BA5E"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31.12.2009</w:t>
            </w:r>
          </w:p>
        </w:tc>
        <w:tc>
          <w:tcPr>
            <w:tcW w:w="219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52E2B491"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18</w:t>
            </w:r>
          </w:p>
        </w:tc>
        <w:tc>
          <w:tcPr>
            <w:tcW w:w="139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5E35F85D"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2</w:t>
            </w:r>
          </w:p>
        </w:tc>
        <w:tc>
          <w:tcPr>
            <w:tcW w:w="168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5785F1E2"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14</w:t>
            </w:r>
          </w:p>
        </w:tc>
        <w:tc>
          <w:tcPr>
            <w:tcW w:w="83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489D4CBC"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rPr>
                <w:rFonts w:ascii="Calibri" w:eastAsia="Calibri" w:hAnsi="Calibri" w:cs="Calibri"/>
              </w:rPr>
            </w:pPr>
          </w:p>
        </w:tc>
        <w:tc>
          <w:tcPr>
            <w:tcW w:w="112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559595C6"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2</w:t>
            </w:r>
          </w:p>
        </w:tc>
      </w:tr>
      <w:tr w:rsidR="007A73C9" w:rsidRPr="00424274" w14:paraId="693E27CB" w14:textId="77777777" w:rsidTr="00856A5D">
        <w:trPr>
          <w:trHeight w:hRule="exact" w:val="255"/>
        </w:trPr>
        <w:tc>
          <w:tcPr>
            <w:tcW w:w="1641" w:type="dxa"/>
            <w:tcBorders>
              <w:top w:val="single" w:sz="8" w:space="0" w:color="000000"/>
              <w:left w:val="single" w:sz="8" w:space="0" w:color="000000"/>
              <w:bottom w:val="single" w:sz="8" w:space="0" w:color="000000"/>
              <w:right w:val="single" w:sz="8" w:space="0" w:color="000000"/>
            </w:tcBorders>
            <w:shd w:val="clear" w:color="auto" w:fill="99FF33"/>
            <w:tcMar>
              <w:left w:w="108" w:type="dxa"/>
              <w:right w:w="108" w:type="dxa"/>
            </w:tcMar>
            <w:vAlign w:val="center"/>
          </w:tcPr>
          <w:p w14:paraId="14BF7166"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31.12.2010</w:t>
            </w:r>
          </w:p>
        </w:tc>
        <w:tc>
          <w:tcPr>
            <w:tcW w:w="219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0F6E0CD5"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18</w:t>
            </w:r>
          </w:p>
        </w:tc>
        <w:tc>
          <w:tcPr>
            <w:tcW w:w="139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0BEEF264"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2</w:t>
            </w:r>
          </w:p>
        </w:tc>
        <w:tc>
          <w:tcPr>
            <w:tcW w:w="168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68D5A3D8"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14</w:t>
            </w:r>
          </w:p>
        </w:tc>
        <w:tc>
          <w:tcPr>
            <w:tcW w:w="83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66FB742D"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rPr>
                <w:rFonts w:ascii="Calibri" w:eastAsia="Calibri" w:hAnsi="Calibri" w:cs="Calibri"/>
              </w:rPr>
            </w:pPr>
          </w:p>
        </w:tc>
        <w:tc>
          <w:tcPr>
            <w:tcW w:w="112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57A4D2F7"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2</w:t>
            </w:r>
          </w:p>
        </w:tc>
      </w:tr>
      <w:tr w:rsidR="007A73C9" w:rsidRPr="00424274" w14:paraId="12FB54F0" w14:textId="77777777" w:rsidTr="00856A5D">
        <w:trPr>
          <w:trHeight w:hRule="exact" w:val="255"/>
        </w:trPr>
        <w:tc>
          <w:tcPr>
            <w:tcW w:w="1641" w:type="dxa"/>
            <w:tcBorders>
              <w:top w:val="single" w:sz="8" w:space="0" w:color="000000"/>
              <w:left w:val="single" w:sz="8" w:space="0" w:color="000000"/>
              <w:bottom w:val="single" w:sz="8" w:space="0" w:color="000000"/>
              <w:right w:val="single" w:sz="8" w:space="0" w:color="000000"/>
            </w:tcBorders>
            <w:shd w:val="clear" w:color="auto" w:fill="99FF33"/>
            <w:tcMar>
              <w:left w:w="108" w:type="dxa"/>
              <w:right w:w="108" w:type="dxa"/>
            </w:tcMar>
            <w:vAlign w:val="center"/>
          </w:tcPr>
          <w:p w14:paraId="10897D53"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31.12.2011</w:t>
            </w:r>
          </w:p>
        </w:tc>
        <w:tc>
          <w:tcPr>
            <w:tcW w:w="219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0599A62F"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16</w:t>
            </w:r>
          </w:p>
        </w:tc>
        <w:tc>
          <w:tcPr>
            <w:tcW w:w="139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7289020F"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1</w:t>
            </w:r>
          </w:p>
        </w:tc>
        <w:tc>
          <w:tcPr>
            <w:tcW w:w="168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0D20E101"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13</w:t>
            </w:r>
          </w:p>
        </w:tc>
        <w:tc>
          <w:tcPr>
            <w:tcW w:w="83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4164980A"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rPr>
                <w:rFonts w:ascii="Calibri" w:eastAsia="Calibri" w:hAnsi="Calibri" w:cs="Calibri"/>
              </w:rPr>
            </w:pPr>
          </w:p>
        </w:tc>
        <w:tc>
          <w:tcPr>
            <w:tcW w:w="112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4B2985B5"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2</w:t>
            </w:r>
          </w:p>
        </w:tc>
      </w:tr>
      <w:tr w:rsidR="007A73C9" w:rsidRPr="00424274" w14:paraId="0F056B44" w14:textId="77777777" w:rsidTr="00856A5D">
        <w:trPr>
          <w:trHeight w:hRule="exact" w:val="255"/>
        </w:trPr>
        <w:tc>
          <w:tcPr>
            <w:tcW w:w="1641" w:type="dxa"/>
            <w:tcBorders>
              <w:top w:val="single" w:sz="8" w:space="0" w:color="000000"/>
              <w:left w:val="single" w:sz="8" w:space="0" w:color="000000"/>
              <w:bottom w:val="single" w:sz="8" w:space="0" w:color="000000"/>
              <w:right w:val="single" w:sz="8" w:space="0" w:color="000000"/>
            </w:tcBorders>
            <w:shd w:val="clear" w:color="auto" w:fill="99FF33"/>
            <w:tcMar>
              <w:left w:w="108" w:type="dxa"/>
              <w:right w:w="108" w:type="dxa"/>
            </w:tcMar>
            <w:vAlign w:val="center"/>
          </w:tcPr>
          <w:p w14:paraId="4EF6290B"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31.12.2012</w:t>
            </w:r>
          </w:p>
        </w:tc>
        <w:tc>
          <w:tcPr>
            <w:tcW w:w="219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54916B21"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16</w:t>
            </w:r>
          </w:p>
        </w:tc>
        <w:tc>
          <w:tcPr>
            <w:tcW w:w="139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69C7AC8C"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1</w:t>
            </w:r>
          </w:p>
        </w:tc>
        <w:tc>
          <w:tcPr>
            <w:tcW w:w="168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2C3375B7"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13</w:t>
            </w:r>
          </w:p>
        </w:tc>
        <w:tc>
          <w:tcPr>
            <w:tcW w:w="83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4D37B4D0"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rPr>
                <w:rFonts w:ascii="Calibri" w:eastAsia="Calibri" w:hAnsi="Calibri" w:cs="Calibri"/>
              </w:rPr>
            </w:pPr>
          </w:p>
        </w:tc>
        <w:tc>
          <w:tcPr>
            <w:tcW w:w="112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6D206667"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2</w:t>
            </w:r>
          </w:p>
        </w:tc>
      </w:tr>
      <w:tr w:rsidR="007A73C9" w:rsidRPr="00424274" w14:paraId="311CDECD" w14:textId="77777777" w:rsidTr="00856A5D">
        <w:trPr>
          <w:trHeight w:hRule="exact" w:val="255"/>
        </w:trPr>
        <w:tc>
          <w:tcPr>
            <w:tcW w:w="1641" w:type="dxa"/>
            <w:tcBorders>
              <w:top w:val="single" w:sz="8" w:space="0" w:color="000000"/>
              <w:left w:val="single" w:sz="8" w:space="0" w:color="000000"/>
              <w:bottom w:val="single" w:sz="8" w:space="0" w:color="000000"/>
              <w:right w:val="single" w:sz="8" w:space="0" w:color="000000"/>
            </w:tcBorders>
            <w:shd w:val="clear" w:color="auto" w:fill="99FF33"/>
            <w:tcMar>
              <w:left w:w="108" w:type="dxa"/>
              <w:right w:w="108" w:type="dxa"/>
            </w:tcMar>
            <w:vAlign w:val="center"/>
          </w:tcPr>
          <w:p w14:paraId="5DF0CE44"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31.12.2013</w:t>
            </w:r>
          </w:p>
        </w:tc>
        <w:tc>
          <w:tcPr>
            <w:tcW w:w="219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7A25FA3D"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16</w:t>
            </w:r>
          </w:p>
        </w:tc>
        <w:tc>
          <w:tcPr>
            <w:tcW w:w="139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1DFDF9D0"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1</w:t>
            </w:r>
          </w:p>
        </w:tc>
        <w:tc>
          <w:tcPr>
            <w:tcW w:w="168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33655996"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13</w:t>
            </w:r>
          </w:p>
        </w:tc>
        <w:tc>
          <w:tcPr>
            <w:tcW w:w="83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522A8BBC"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rPr>
                <w:rFonts w:ascii="Calibri" w:eastAsia="Calibri" w:hAnsi="Calibri" w:cs="Calibri"/>
              </w:rPr>
            </w:pPr>
          </w:p>
        </w:tc>
        <w:tc>
          <w:tcPr>
            <w:tcW w:w="112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453F86A2"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2</w:t>
            </w:r>
          </w:p>
        </w:tc>
      </w:tr>
      <w:tr w:rsidR="007A73C9" w:rsidRPr="00424274" w14:paraId="040C4B99" w14:textId="77777777" w:rsidTr="00856A5D">
        <w:trPr>
          <w:trHeight w:hRule="exact" w:val="255"/>
        </w:trPr>
        <w:tc>
          <w:tcPr>
            <w:tcW w:w="1641" w:type="dxa"/>
            <w:tcBorders>
              <w:top w:val="single" w:sz="8" w:space="0" w:color="000000"/>
              <w:left w:val="single" w:sz="8" w:space="0" w:color="000000"/>
              <w:bottom w:val="single" w:sz="8" w:space="0" w:color="000000"/>
              <w:right w:val="single" w:sz="8" w:space="0" w:color="000000"/>
            </w:tcBorders>
            <w:shd w:val="clear" w:color="auto" w:fill="99FF33"/>
            <w:tcMar>
              <w:left w:w="108" w:type="dxa"/>
              <w:right w:w="108" w:type="dxa"/>
            </w:tcMar>
            <w:vAlign w:val="center"/>
          </w:tcPr>
          <w:p w14:paraId="3B9C322B"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31.12.2014</w:t>
            </w:r>
          </w:p>
        </w:tc>
        <w:tc>
          <w:tcPr>
            <w:tcW w:w="219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723D7156"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19</w:t>
            </w:r>
          </w:p>
        </w:tc>
        <w:tc>
          <w:tcPr>
            <w:tcW w:w="139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3A31E8A7"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1</w:t>
            </w:r>
          </w:p>
        </w:tc>
        <w:tc>
          <w:tcPr>
            <w:tcW w:w="168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27B7249D"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16</w:t>
            </w:r>
          </w:p>
        </w:tc>
        <w:tc>
          <w:tcPr>
            <w:tcW w:w="83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38045BA0"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rPr>
                <w:rFonts w:ascii="Calibri" w:eastAsia="Calibri" w:hAnsi="Calibri" w:cs="Calibri"/>
              </w:rPr>
            </w:pPr>
          </w:p>
        </w:tc>
        <w:tc>
          <w:tcPr>
            <w:tcW w:w="112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1A3BD2A2" w14:textId="77777777" w:rsidR="007A73C9" w:rsidRPr="00424274" w:rsidRDefault="007A73C9" w:rsidP="00867D16">
            <w:pPr>
              <w:tabs>
                <w:tab w:val="left" w:pos="-1057"/>
                <w:tab w:val="left" w:pos="-787"/>
                <w:tab w:val="left" w:pos="0"/>
                <w:tab w:val="left" w:pos="720"/>
                <w:tab w:val="left" w:pos="1440"/>
                <w:tab w:val="left" w:pos="2160"/>
                <w:tab w:val="left" w:pos="2880"/>
                <w:tab w:val="left" w:pos="3600"/>
                <w:tab w:val="left" w:pos="4320"/>
                <w:tab w:val="left" w:pos="4500"/>
              </w:tabs>
              <w:jc w:val="center"/>
            </w:pPr>
            <w:r w:rsidRPr="00424274">
              <w:rPr>
                <w:rFonts w:ascii="Arial" w:eastAsia="Arial" w:hAnsi="Arial"/>
                <w:sz w:val="20"/>
              </w:rPr>
              <w:t>2</w:t>
            </w:r>
          </w:p>
        </w:tc>
      </w:tr>
      <w:tr w:rsidR="007A73C9" w:rsidRPr="00424274" w14:paraId="0BFF3621" w14:textId="77777777" w:rsidTr="00856A5D">
        <w:trPr>
          <w:trHeight w:hRule="exact" w:val="255"/>
        </w:trPr>
        <w:tc>
          <w:tcPr>
            <w:tcW w:w="1641" w:type="dxa"/>
            <w:tcBorders>
              <w:top w:val="single" w:sz="8" w:space="0" w:color="000000"/>
              <w:left w:val="single" w:sz="8" w:space="0" w:color="000000"/>
              <w:bottom w:val="single" w:sz="8" w:space="0" w:color="000000"/>
              <w:right w:val="single" w:sz="8" w:space="0" w:color="000000"/>
            </w:tcBorders>
            <w:shd w:val="clear" w:color="auto" w:fill="99FF33"/>
            <w:tcMar>
              <w:left w:w="108" w:type="dxa"/>
              <w:right w:w="108" w:type="dxa"/>
            </w:tcMar>
            <w:vAlign w:val="center"/>
          </w:tcPr>
          <w:p w14:paraId="66BCEFA4" w14:textId="77777777" w:rsidR="007A73C9" w:rsidRPr="00424274" w:rsidRDefault="007A73C9" w:rsidP="00867D16">
            <w:pPr>
              <w:jc w:val="center"/>
              <w:rPr>
                <w:rFonts w:ascii="Arial" w:eastAsia="Arial" w:hAnsi="Arial"/>
                <w:sz w:val="20"/>
              </w:rPr>
            </w:pPr>
            <w:r w:rsidRPr="00424274">
              <w:rPr>
                <w:rFonts w:ascii="Arial" w:eastAsia="Arial" w:hAnsi="Arial"/>
                <w:sz w:val="20"/>
              </w:rPr>
              <w:t>31.12.2015</w:t>
            </w:r>
          </w:p>
        </w:tc>
        <w:tc>
          <w:tcPr>
            <w:tcW w:w="219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79425638" w14:textId="77777777" w:rsidR="007A73C9" w:rsidRPr="00424274" w:rsidRDefault="007A73C9" w:rsidP="00867D16">
            <w:pPr>
              <w:jc w:val="center"/>
              <w:rPr>
                <w:rFonts w:ascii="Arial" w:eastAsia="Arial" w:hAnsi="Arial"/>
                <w:sz w:val="20"/>
              </w:rPr>
            </w:pPr>
            <w:r w:rsidRPr="00424274">
              <w:rPr>
                <w:rFonts w:ascii="Arial" w:eastAsia="Arial" w:hAnsi="Arial"/>
                <w:sz w:val="20"/>
              </w:rPr>
              <w:t>16</w:t>
            </w:r>
          </w:p>
        </w:tc>
        <w:tc>
          <w:tcPr>
            <w:tcW w:w="139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00F294EA" w14:textId="77777777" w:rsidR="007A73C9" w:rsidRPr="00424274" w:rsidRDefault="007A73C9" w:rsidP="00867D16">
            <w:pPr>
              <w:jc w:val="center"/>
              <w:rPr>
                <w:rFonts w:ascii="Arial" w:eastAsia="Arial" w:hAnsi="Arial"/>
                <w:sz w:val="20"/>
              </w:rPr>
            </w:pPr>
            <w:r w:rsidRPr="00424274">
              <w:rPr>
                <w:rFonts w:ascii="Arial" w:eastAsia="Arial" w:hAnsi="Arial"/>
                <w:sz w:val="20"/>
              </w:rPr>
              <w:t>1</w:t>
            </w:r>
          </w:p>
        </w:tc>
        <w:tc>
          <w:tcPr>
            <w:tcW w:w="168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75477E24" w14:textId="77777777" w:rsidR="007A73C9" w:rsidRPr="00424274" w:rsidRDefault="007A73C9" w:rsidP="00867D16">
            <w:pPr>
              <w:jc w:val="center"/>
              <w:rPr>
                <w:rFonts w:ascii="Arial" w:eastAsia="Arial" w:hAnsi="Arial"/>
                <w:sz w:val="20"/>
              </w:rPr>
            </w:pPr>
            <w:r w:rsidRPr="00424274">
              <w:rPr>
                <w:rFonts w:ascii="Arial" w:eastAsia="Arial" w:hAnsi="Arial"/>
                <w:sz w:val="20"/>
              </w:rPr>
              <w:t>15</w:t>
            </w:r>
          </w:p>
        </w:tc>
        <w:tc>
          <w:tcPr>
            <w:tcW w:w="83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52BF2091" w14:textId="77777777" w:rsidR="007A73C9" w:rsidRPr="00424274" w:rsidRDefault="007A73C9" w:rsidP="00867D16">
            <w:pPr>
              <w:jc w:val="center"/>
              <w:rPr>
                <w:rFonts w:ascii="Arial" w:eastAsia="Arial" w:hAnsi="Arial"/>
                <w:sz w:val="20"/>
              </w:rPr>
            </w:pPr>
          </w:p>
        </w:tc>
        <w:tc>
          <w:tcPr>
            <w:tcW w:w="112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095138DD" w14:textId="77777777" w:rsidR="007A73C9" w:rsidRPr="00424274" w:rsidRDefault="007A73C9" w:rsidP="00867D16">
            <w:pPr>
              <w:jc w:val="center"/>
              <w:rPr>
                <w:rFonts w:ascii="Arial" w:eastAsia="Arial" w:hAnsi="Arial"/>
                <w:sz w:val="20"/>
              </w:rPr>
            </w:pPr>
          </w:p>
        </w:tc>
      </w:tr>
      <w:tr w:rsidR="007A73C9" w:rsidRPr="00424274" w14:paraId="115C3BB8" w14:textId="77777777" w:rsidTr="00856A5D">
        <w:trPr>
          <w:trHeight w:hRule="exact" w:val="255"/>
        </w:trPr>
        <w:tc>
          <w:tcPr>
            <w:tcW w:w="1641" w:type="dxa"/>
            <w:tcBorders>
              <w:top w:val="single" w:sz="8" w:space="0" w:color="000000"/>
              <w:left w:val="single" w:sz="8" w:space="0" w:color="000000"/>
              <w:bottom w:val="single" w:sz="8" w:space="0" w:color="000000"/>
              <w:right w:val="single" w:sz="8" w:space="0" w:color="000000"/>
            </w:tcBorders>
            <w:shd w:val="clear" w:color="auto" w:fill="99FF33"/>
            <w:tcMar>
              <w:left w:w="108" w:type="dxa"/>
              <w:right w:w="108" w:type="dxa"/>
            </w:tcMar>
            <w:vAlign w:val="center"/>
          </w:tcPr>
          <w:p w14:paraId="58CC3A2C" w14:textId="77777777" w:rsidR="007A73C9" w:rsidRPr="00424274" w:rsidRDefault="007A73C9" w:rsidP="00867D16">
            <w:pPr>
              <w:jc w:val="center"/>
              <w:rPr>
                <w:rFonts w:ascii="Arial" w:eastAsia="Arial" w:hAnsi="Arial"/>
                <w:sz w:val="20"/>
              </w:rPr>
            </w:pPr>
            <w:r w:rsidRPr="00424274">
              <w:rPr>
                <w:rFonts w:ascii="Arial" w:eastAsia="Arial" w:hAnsi="Arial"/>
                <w:sz w:val="20"/>
              </w:rPr>
              <w:t>31.12.2016</w:t>
            </w:r>
          </w:p>
        </w:tc>
        <w:tc>
          <w:tcPr>
            <w:tcW w:w="219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2DE08DF1" w14:textId="77777777" w:rsidR="007A73C9" w:rsidRPr="00424274" w:rsidRDefault="007A73C9" w:rsidP="00867D16">
            <w:pPr>
              <w:jc w:val="center"/>
              <w:rPr>
                <w:rFonts w:ascii="Arial" w:eastAsia="Arial" w:hAnsi="Arial"/>
                <w:sz w:val="20"/>
              </w:rPr>
            </w:pPr>
            <w:r w:rsidRPr="00424274">
              <w:rPr>
                <w:rFonts w:ascii="Arial" w:eastAsia="Arial" w:hAnsi="Arial"/>
                <w:sz w:val="20"/>
              </w:rPr>
              <w:t>19</w:t>
            </w:r>
          </w:p>
        </w:tc>
        <w:tc>
          <w:tcPr>
            <w:tcW w:w="139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1AB215DE" w14:textId="77777777" w:rsidR="007A73C9" w:rsidRPr="00424274" w:rsidRDefault="007A73C9" w:rsidP="00867D16">
            <w:pPr>
              <w:jc w:val="center"/>
              <w:rPr>
                <w:rFonts w:ascii="Arial" w:eastAsia="Arial" w:hAnsi="Arial"/>
                <w:sz w:val="20"/>
              </w:rPr>
            </w:pPr>
            <w:r w:rsidRPr="00424274">
              <w:rPr>
                <w:rFonts w:ascii="Arial" w:eastAsia="Arial" w:hAnsi="Arial"/>
                <w:sz w:val="20"/>
              </w:rPr>
              <w:t>1</w:t>
            </w:r>
          </w:p>
        </w:tc>
        <w:tc>
          <w:tcPr>
            <w:tcW w:w="168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3CFDABC8" w14:textId="77777777" w:rsidR="007A73C9" w:rsidRPr="00424274" w:rsidRDefault="007A73C9" w:rsidP="00867D16">
            <w:pPr>
              <w:jc w:val="center"/>
              <w:rPr>
                <w:rFonts w:ascii="Arial" w:eastAsia="Arial" w:hAnsi="Arial"/>
                <w:sz w:val="20"/>
              </w:rPr>
            </w:pPr>
            <w:r w:rsidRPr="00424274">
              <w:rPr>
                <w:rFonts w:ascii="Arial" w:eastAsia="Arial" w:hAnsi="Arial"/>
                <w:sz w:val="20"/>
              </w:rPr>
              <w:t>18</w:t>
            </w:r>
          </w:p>
        </w:tc>
        <w:tc>
          <w:tcPr>
            <w:tcW w:w="83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6AB3F218" w14:textId="77777777" w:rsidR="007A73C9" w:rsidRPr="00424274" w:rsidRDefault="007A73C9" w:rsidP="00867D16">
            <w:pPr>
              <w:jc w:val="center"/>
              <w:rPr>
                <w:rFonts w:ascii="Arial" w:eastAsia="Arial" w:hAnsi="Arial"/>
                <w:sz w:val="20"/>
              </w:rPr>
            </w:pPr>
          </w:p>
        </w:tc>
        <w:tc>
          <w:tcPr>
            <w:tcW w:w="112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145B65C7" w14:textId="77777777" w:rsidR="007A73C9" w:rsidRPr="00424274" w:rsidRDefault="007A73C9" w:rsidP="00867D16">
            <w:pPr>
              <w:jc w:val="center"/>
              <w:rPr>
                <w:rFonts w:ascii="Arial" w:eastAsia="Arial" w:hAnsi="Arial"/>
                <w:sz w:val="20"/>
              </w:rPr>
            </w:pPr>
          </w:p>
        </w:tc>
      </w:tr>
      <w:tr w:rsidR="007A73C9" w:rsidRPr="00424274" w14:paraId="73387561" w14:textId="77777777" w:rsidTr="00856A5D">
        <w:trPr>
          <w:trHeight w:hRule="exact" w:val="255"/>
        </w:trPr>
        <w:tc>
          <w:tcPr>
            <w:tcW w:w="1641" w:type="dxa"/>
            <w:tcBorders>
              <w:top w:val="single" w:sz="8" w:space="0" w:color="000000"/>
              <w:left w:val="single" w:sz="8" w:space="0" w:color="000000"/>
              <w:bottom w:val="single" w:sz="8" w:space="0" w:color="000000"/>
              <w:right w:val="single" w:sz="8" w:space="0" w:color="000000"/>
            </w:tcBorders>
            <w:shd w:val="clear" w:color="auto" w:fill="99FF33"/>
            <w:tcMar>
              <w:left w:w="108" w:type="dxa"/>
              <w:right w:w="108" w:type="dxa"/>
            </w:tcMar>
            <w:vAlign w:val="center"/>
          </w:tcPr>
          <w:p w14:paraId="1A6BACB5" w14:textId="77777777" w:rsidR="007A73C9" w:rsidRPr="00424274" w:rsidRDefault="007A73C9" w:rsidP="00867D16">
            <w:pPr>
              <w:jc w:val="center"/>
              <w:rPr>
                <w:rFonts w:ascii="Arial" w:eastAsia="Arial" w:hAnsi="Arial"/>
                <w:sz w:val="20"/>
              </w:rPr>
            </w:pPr>
            <w:r w:rsidRPr="00424274">
              <w:rPr>
                <w:rFonts w:ascii="Arial" w:eastAsia="Arial" w:hAnsi="Arial"/>
                <w:sz w:val="20"/>
              </w:rPr>
              <w:t>31.12.2017</w:t>
            </w:r>
          </w:p>
        </w:tc>
        <w:tc>
          <w:tcPr>
            <w:tcW w:w="219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2FCD4B56" w14:textId="77777777" w:rsidR="007A73C9" w:rsidRPr="00424274" w:rsidRDefault="007A73C9" w:rsidP="00867D16">
            <w:pPr>
              <w:jc w:val="center"/>
              <w:rPr>
                <w:rFonts w:ascii="Arial" w:eastAsia="Arial" w:hAnsi="Arial"/>
                <w:sz w:val="20"/>
              </w:rPr>
            </w:pPr>
            <w:r w:rsidRPr="00424274">
              <w:rPr>
                <w:rFonts w:ascii="Arial" w:eastAsia="Arial" w:hAnsi="Arial"/>
                <w:sz w:val="20"/>
              </w:rPr>
              <w:t>23</w:t>
            </w:r>
          </w:p>
        </w:tc>
        <w:tc>
          <w:tcPr>
            <w:tcW w:w="139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71CFE2D4" w14:textId="77777777" w:rsidR="007A73C9" w:rsidRPr="00424274" w:rsidRDefault="007A73C9" w:rsidP="00867D16">
            <w:pPr>
              <w:jc w:val="center"/>
              <w:rPr>
                <w:rFonts w:ascii="Arial" w:eastAsia="Arial" w:hAnsi="Arial"/>
                <w:sz w:val="20"/>
              </w:rPr>
            </w:pPr>
            <w:r w:rsidRPr="00424274">
              <w:rPr>
                <w:rFonts w:ascii="Arial" w:eastAsia="Arial" w:hAnsi="Arial"/>
                <w:sz w:val="20"/>
              </w:rPr>
              <w:t>1</w:t>
            </w:r>
          </w:p>
        </w:tc>
        <w:tc>
          <w:tcPr>
            <w:tcW w:w="168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4F3DCEE2" w14:textId="77777777" w:rsidR="007A73C9" w:rsidRPr="00424274" w:rsidRDefault="007A73C9" w:rsidP="00867D16">
            <w:pPr>
              <w:jc w:val="center"/>
              <w:rPr>
                <w:rFonts w:ascii="Arial" w:eastAsia="Arial" w:hAnsi="Arial"/>
                <w:sz w:val="20"/>
              </w:rPr>
            </w:pPr>
            <w:r w:rsidRPr="00424274">
              <w:rPr>
                <w:rFonts w:ascii="Arial" w:eastAsia="Arial" w:hAnsi="Arial"/>
                <w:sz w:val="20"/>
              </w:rPr>
              <w:t>22</w:t>
            </w:r>
          </w:p>
        </w:tc>
        <w:tc>
          <w:tcPr>
            <w:tcW w:w="83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11369549" w14:textId="77777777" w:rsidR="007A73C9" w:rsidRPr="00424274" w:rsidRDefault="007A73C9" w:rsidP="00867D16">
            <w:pPr>
              <w:jc w:val="center"/>
              <w:rPr>
                <w:rFonts w:ascii="Arial" w:eastAsia="Arial" w:hAnsi="Arial"/>
                <w:sz w:val="20"/>
              </w:rPr>
            </w:pPr>
          </w:p>
        </w:tc>
        <w:tc>
          <w:tcPr>
            <w:tcW w:w="112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7609DB8C" w14:textId="77777777" w:rsidR="007A73C9" w:rsidRPr="00424274" w:rsidRDefault="007A73C9" w:rsidP="00867D16">
            <w:pPr>
              <w:jc w:val="center"/>
              <w:rPr>
                <w:rFonts w:ascii="Arial" w:eastAsia="Arial" w:hAnsi="Arial"/>
                <w:sz w:val="20"/>
              </w:rPr>
            </w:pPr>
          </w:p>
        </w:tc>
      </w:tr>
      <w:tr w:rsidR="007A73C9" w:rsidRPr="00424274" w14:paraId="355BA57C" w14:textId="77777777" w:rsidTr="00856A5D">
        <w:trPr>
          <w:trHeight w:hRule="exact" w:val="255"/>
        </w:trPr>
        <w:tc>
          <w:tcPr>
            <w:tcW w:w="1641" w:type="dxa"/>
            <w:tcBorders>
              <w:top w:val="single" w:sz="8" w:space="0" w:color="000000"/>
              <w:left w:val="single" w:sz="8" w:space="0" w:color="000000"/>
              <w:bottom w:val="single" w:sz="8" w:space="0" w:color="000000"/>
              <w:right w:val="single" w:sz="8" w:space="0" w:color="000000"/>
            </w:tcBorders>
            <w:shd w:val="clear" w:color="auto" w:fill="99FF33"/>
            <w:tcMar>
              <w:left w:w="108" w:type="dxa"/>
              <w:right w:w="108" w:type="dxa"/>
            </w:tcMar>
            <w:vAlign w:val="center"/>
          </w:tcPr>
          <w:p w14:paraId="57FBFD41" w14:textId="77777777" w:rsidR="007A73C9" w:rsidRPr="00424274" w:rsidRDefault="007A73C9" w:rsidP="00867D16">
            <w:pPr>
              <w:jc w:val="center"/>
              <w:rPr>
                <w:rFonts w:ascii="Arial" w:eastAsia="Arial" w:hAnsi="Arial"/>
                <w:sz w:val="20"/>
              </w:rPr>
            </w:pPr>
            <w:r w:rsidRPr="00424274">
              <w:rPr>
                <w:rFonts w:ascii="Arial" w:eastAsia="Arial" w:hAnsi="Arial"/>
                <w:sz w:val="20"/>
              </w:rPr>
              <w:t>31.12.2018</w:t>
            </w:r>
          </w:p>
        </w:tc>
        <w:tc>
          <w:tcPr>
            <w:tcW w:w="219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792F798E" w14:textId="77777777" w:rsidR="007A73C9" w:rsidRPr="00424274" w:rsidRDefault="007A73C9" w:rsidP="00867D16">
            <w:pPr>
              <w:jc w:val="center"/>
              <w:rPr>
                <w:rFonts w:ascii="Arial" w:eastAsia="Arial" w:hAnsi="Arial"/>
                <w:sz w:val="20"/>
              </w:rPr>
            </w:pPr>
            <w:r w:rsidRPr="00424274">
              <w:rPr>
                <w:rFonts w:ascii="Arial" w:eastAsia="Arial" w:hAnsi="Arial"/>
                <w:sz w:val="20"/>
              </w:rPr>
              <w:t>23</w:t>
            </w:r>
          </w:p>
        </w:tc>
        <w:tc>
          <w:tcPr>
            <w:tcW w:w="139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2D573FB6" w14:textId="77777777" w:rsidR="007A73C9" w:rsidRPr="00424274" w:rsidRDefault="007A73C9" w:rsidP="00867D16">
            <w:pPr>
              <w:jc w:val="center"/>
              <w:rPr>
                <w:rFonts w:ascii="Arial" w:eastAsia="Arial" w:hAnsi="Arial"/>
                <w:sz w:val="20"/>
              </w:rPr>
            </w:pPr>
            <w:r w:rsidRPr="00424274">
              <w:rPr>
                <w:rFonts w:ascii="Arial" w:eastAsia="Arial" w:hAnsi="Arial"/>
                <w:sz w:val="20"/>
              </w:rPr>
              <w:t>1</w:t>
            </w:r>
          </w:p>
        </w:tc>
        <w:tc>
          <w:tcPr>
            <w:tcW w:w="168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0733FE2A" w14:textId="77777777" w:rsidR="007A73C9" w:rsidRPr="00424274" w:rsidRDefault="007A73C9" w:rsidP="00867D16">
            <w:pPr>
              <w:jc w:val="center"/>
              <w:rPr>
                <w:rFonts w:ascii="Arial" w:eastAsia="Arial" w:hAnsi="Arial"/>
                <w:sz w:val="20"/>
              </w:rPr>
            </w:pPr>
            <w:r w:rsidRPr="00424274">
              <w:rPr>
                <w:rFonts w:ascii="Arial" w:eastAsia="Arial" w:hAnsi="Arial"/>
                <w:sz w:val="20"/>
              </w:rPr>
              <w:t>22</w:t>
            </w:r>
          </w:p>
        </w:tc>
        <w:tc>
          <w:tcPr>
            <w:tcW w:w="83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70AA4AF3" w14:textId="77777777" w:rsidR="007A73C9" w:rsidRPr="00424274" w:rsidRDefault="007A73C9" w:rsidP="00867D16">
            <w:pPr>
              <w:jc w:val="center"/>
              <w:rPr>
                <w:rFonts w:ascii="Arial" w:eastAsia="Arial" w:hAnsi="Arial"/>
                <w:sz w:val="20"/>
              </w:rPr>
            </w:pPr>
          </w:p>
        </w:tc>
        <w:tc>
          <w:tcPr>
            <w:tcW w:w="112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500A473C" w14:textId="77777777" w:rsidR="007A73C9" w:rsidRPr="00424274" w:rsidRDefault="007A73C9" w:rsidP="00867D16">
            <w:pPr>
              <w:jc w:val="center"/>
              <w:rPr>
                <w:rFonts w:ascii="Arial" w:eastAsia="Arial" w:hAnsi="Arial"/>
                <w:sz w:val="20"/>
              </w:rPr>
            </w:pPr>
          </w:p>
        </w:tc>
      </w:tr>
      <w:tr w:rsidR="007A73C9" w:rsidRPr="00424274" w14:paraId="12787CDC" w14:textId="77777777" w:rsidTr="00856A5D">
        <w:trPr>
          <w:trHeight w:hRule="exact" w:val="255"/>
        </w:trPr>
        <w:tc>
          <w:tcPr>
            <w:tcW w:w="1641" w:type="dxa"/>
            <w:tcBorders>
              <w:top w:val="single" w:sz="8" w:space="0" w:color="000000"/>
              <w:left w:val="single" w:sz="8" w:space="0" w:color="000000"/>
              <w:bottom w:val="single" w:sz="8" w:space="0" w:color="000000"/>
              <w:right w:val="single" w:sz="8" w:space="0" w:color="000000"/>
            </w:tcBorders>
            <w:shd w:val="clear" w:color="auto" w:fill="99FF33"/>
            <w:tcMar>
              <w:left w:w="108" w:type="dxa"/>
              <w:right w:w="108" w:type="dxa"/>
            </w:tcMar>
            <w:vAlign w:val="center"/>
          </w:tcPr>
          <w:p w14:paraId="17E853FA" w14:textId="77777777" w:rsidR="007A73C9" w:rsidRPr="00424274" w:rsidRDefault="007A73C9" w:rsidP="00867D16">
            <w:pPr>
              <w:jc w:val="center"/>
              <w:rPr>
                <w:rFonts w:ascii="Arial" w:eastAsia="Arial" w:hAnsi="Arial"/>
                <w:sz w:val="20"/>
              </w:rPr>
            </w:pPr>
            <w:r w:rsidRPr="00424274">
              <w:rPr>
                <w:rFonts w:ascii="Arial" w:eastAsia="Arial" w:hAnsi="Arial"/>
                <w:sz w:val="20"/>
              </w:rPr>
              <w:lastRenderedPageBreak/>
              <w:t>31.12.2019</w:t>
            </w:r>
          </w:p>
        </w:tc>
        <w:tc>
          <w:tcPr>
            <w:tcW w:w="219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46EA4DB3" w14:textId="77777777" w:rsidR="007A73C9" w:rsidRPr="00424274" w:rsidRDefault="007A73C9" w:rsidP="00867D16">
            <w:pPr>
              <w:jc w:val="center"/>
              <w:rPr>
                <w:rFonts w:ascii="Arial" w:eastAsia="Arial" w:hAnsi="Arial"/>
                <w:sz w:val="20"/>
              </w:rPr>
            </w:pPr>
            <w:r w:rsidRPr="00424274">
              <w:rPr>
                <w:rFonts w:ascii="Arial" w:eastAsia="Arial" w:hAnsi="Arial"/>
                <w:sz w:val="20"/>
              </w:rPr>
              <w:t>24</w:t>
            </w:r>
          </w:p>
        </w:tc>
        <w:tc>
          <w:tcPr>
            <w:tcW w:w="139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25B3A87E" w14:textId="77777777" w:rsidR="007A73C9" w:rsidRPr="00424274" w:rsidRDefault="005B7E53" w:rsidP="00867D16">
            <w:pPr>
              <w:jc w:val="center"/>
              <w:rPr>
                <w:rFonts w:ascii="Arial" w:eastAsia="Arial" w:hAnsi="Arial"/>
                <w:sz w:val="20"/>
              </w:rPr>
            </w:pPr>
            <w:r w:rsidRPr="00424274">
              <w:rPr>
                <w:rFonts w:ascii="Arial" w:eastAsia="Arial" w:hAnsi="Arial"/>
                <w:sz w:val="20"/>
              </w:rPr>
              <w:t>4</w:t>
            </w:r>
          </w:p>
        </w:tc>
        <w:tc>
          <w:tcPr>
            <w:tcW w:w="168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7853A2CA" w14:textId="77777777" w:rsidR="007A73C9" w:rsidRPr="00424274" w:rsidRDefault="007A73C9" w:rsidP="00867D16">
            <w:pPr>
              <w:jc w:val="center"/>
              <w:rPr>
                <w:rFonts w:ascii="Arial" w:eastAsia="Arial" w:hAnsi="Arial"/>
                <w:sz w:val="20"/>
              </w:rPr>
            </w:pPr>
            <w:r w:rsidRPr="00424274">
              <w:rPr>
                <w:rFonts w:ascii="Arial" w:eastAsia="Arial" w:hAnsi="Arial"/>
                <w:sz w:val="20"/>
              </w:rPr>
              <w:t>21</w:t>
            </w:r>
          </w:p>
        </w:tc>
        <w:tc>
          <w:tcPr>
            <w:tcW w:w="83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3B99285A" w14:textId="77777777" w:rsidR="007A73C9" w:rsidRPr="00424274" w:rsidRDefault="007A73C9" w:rsidP="00867D16">
            <w:pPr>
              <w:jc w:val="center"/>
              <w:rPr>
                <w:rFonts w:ascii="Arial" w:eastAsia="Arial" w:hAnsi="Arial"/>
                <w:sz w:val="20"/>
              </w:rPr>
            </w:pPr>
          </w:p>
        </w:tc>
        <w:tc>
          <w:tcPr>
            <w:tcW w:w="112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7DADE008" w14:textId="77777777" w:rsidR="007A73C9" w:rsidRPr="00424274" w:rsidRDefault="007A73C9" w:rsidP="00867D16">
            <w:pPr>
              <w:jc w:val="center"/>
              <w:rPr>
                <w:rFonts w:ascii="Arial" w:eastAsia="Arial" w:hAnsi="Arial"/>
                <w:sz w:val="20"/>
              </w:rPr>
            </w:pPr>
          </w:p>
        </w:tc>
      </w:tr>
      <w:tr w:rsidR="00856A5D" w:rsidRPr="00424274" w14:paraId="352428E4" w14:textId="77777777" w:rsidTr="00856A5D">
        <w:trPr>
          <w:trHeight w:hRule="exact" w:val="255"/>
        </w:trPr>
        <w:tc>
          <w:tcPr>
            <w:tcW w:w="1641" w:type="dxa"/>
            <w:tcBorders>
              <w:top w:val="single" w:sz="8" w:space="0" w:color="000000"/>
              <w:left w:val="single" w:sz="8" w:space="0" w:color="000000"/>
              <w:bottom w:val="single" w:sz="8" w:space="0" w:color="000000"/>
              <w:right w:val="single" w:sz="8" w:space="0" w:color="000000"/>
            </w:tcBorders>
            <w:shd w:val="clear" w:color="auto" w:fill="99FF33"/>
            <w:tcMar>
              <w:left w:w="108" w:type="dxa"/>
              <w:right w:w="108" w:type="dxa"/>
            </w:tcMar>
          </w:tcPr>
          <w:p w14:paraId="08374D15" w14:textId="4FEB0296" w:rsidR="00856A5D" w:rsidRPr="00424274" w:rsidRDefault="00856A5D" w:rsidP="00856A5D">
            <w:pPr>
              <w:jc w:val="center"/>
              <w:rPr>
                <w:rFonts w:ascii="Arial" w:eastAsia="Arial" w:hAnsi="Arial"/>
                <w:sz w:val="20"/>
              </w:rPr>
            </w:pPr>
            <w:r w:rsidRPr="00424274">
              <w:rPr>
                <w:rFonts w:ascii="Arial" w:eastAsia="Arial" w:hAnsi="Arial"/>
                <w:sz w:val="20"/>
              </w:rPr>
              <w:t>31.12.2020</w:t>
            </w:r>
          </w:p>
        </w:tc>
        <w:tc>
          <w:tcPr>
            <w:tcW w:w="219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4C94D7CC" w14:textId="0B3F09E5" w:rsidR="00856A5D" w:rsidRPr="00424274" w:rsidRDefault="00856A5D" w:rsidP="00856A5D">
            <w:pPr>
              <w:jc w:val="center"/>
              <w:rPr>
                <w:rFonts w:ascii="Arial" w:eastAsia="Arial" w:hAnsi="Arial"/>
                <w:sz w:val="20"/>
              </w:rPr>
            </w:pPr>
            <w:r w:rsidRPr="00424274">
              <w:rPr>
                <w:rFonts w:ascii="Arial" w:eastAsia="Arial" w:hAnsi="Arial"/>
                <w:sz w:val="20"/>
              </w:rPr>
              <w:t>28</w:t>
            </w:r>
          </w:p>
        </w:tc>
        <w:tc>
          <w:tcPr>
            <w:tcW w:w="139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05279DA8" w14:textId="0C6B47A6" w:rsidR="00856A5D" w:rsidRPr="00424274" w:rsidRDefault="00856A5D" w:rsidP="00856A5D">
            <w:pPr>
              <w:jc w:val="center"/>
              <w:rPr>
                <w:rFonts w:ascii="Arial" w:eastAsia="Arial" w:hAnsi="Arial"/>
                <w:sz w:val="20"/>
              </w:rPr>
            </w:pPr>
            <w:r w:rsidRPr="00424274">
              <w:rPr>
                <w:rFonts w:ascii="Arial" w:eastAsia="Arial" w:hAnsi="Arial"/>
                <w:sz w:val="20"/>
              </w:rPr>
              <w:t>5</w:t>
            </w:r>
          </w:p>
        </w:tc>
        <w:tc>
          <w:tcPr>
            <w:tcW w:w="168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5BD7E2C3" w14:textId="779C7816" w:rsidR="00856A5D" w:rsidRPr="00424274" w:rsidRDefault="00856A5D" w:rsidP="00856A5D">
            <w:pPr>
              <w:jc w:val="center"/>
              <w:rPr>
                <w:rFonts w:ascii="Arial" w:eastAsia="Arial" w:hAnsi="Arial"/>
                <w:sz w:val="20"/>
              </w:rPr>
            </w:pPr>
            <w:r w:rsidRPr="00424274">
              <w:rPr>
                <w:rFonts w:ascii="Arial" w:eastAsia="Arial" w:hAnsi="Arial"/>
                <w:sz w:val="20"/>
              </w:rPr>
              <w:t>23</w:t>
            </w:r>
          </w:p>
        </w:tc>
        <w:tc>
          <w:tcPr>
            <w:tcW w:w="83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04233D8B" w14:textId="77777777" w:rsidR="00856A5D" w:rsidRPr="00424274" w:rsidRDefault="00856A5D" w:rsidP="00856A5D">
            <w:pPr>
              <w:jc w:val="center"/>
              <w:rPr>
                <w:rFonts w:ascii="Arial" w:eastAsia="Arial" w:hAnsi="Arial"/>
                <w:sz w:val="20"/>
              </w:rPr>
            </w:pPr>
          </w:p>
        </w:tc>
        <w:tc>
          <w:tcPr>
            <w:tcW w:w="112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56FCA3C9" w14:textId="77777777" w:rsidR="00856A5D" w:rsidRPr="00424274" w:rsidRDefault="00856A5D" w:rsidP="00856A5D">
            <w:pPr>
              <w:jc w:val="center"/>
              <w:rPr>
                <w:rFonts w:ascii="Arial" w:eastAsia="Arial" w:hAnsi="Arial"/>
                <w:sz w:val="20"/>
              </w:rPr>
            </w:pPr>
          </w:p>
        </w:tc>
      </w:tr>
    </w:tbl>
    <w:p w14:paraId="335AB168" w14:textId="77777777" w:rsidR="00B4424E" w:rsidRPr="00424274" w:rsidRDefault="00B4424E" w:rsidP="00D21F86">
      <w:pPr>
        <w:spacing w:line="276" w:lineRule="auto"/>
        <w:ind w:right="-56"/>
        <w:rPr>
          <w:rFonts w:ascii="Arial" w:eastAsia="Arial" w:hAnsi="Arial"/>
          <w:sz w:val="20"/>
        </w:rPr>
      </w:pPr>
    </w:p>
    <w:p w14:paraId="0E29E9C4" w14:textId="63FA202F" w:rsidR="00EE13DC" w:rsidRPr="00424274" w:rsidRDefault="00EE13DC" w:rsidP="00EE13DC">
      <w:pPr>
        <w:widowControl/>
        <w:ind w:right="-56"/>
        <w:rPr>
          <w:rFonts w:ascii="Arial" w:eastAsia="Arial" w:hAnsi="Arial"/>
          <w:sz w:val="20"/>
          <w:szCs w:val="22"/>
          <w:lang w:eastAsia="sl-SI"/>
        </w:rPr>
      </w:pPr>
      <w:r w:rsidRPr="00424274">
        <w:rPr>
          <w:rFonts w:ascii="Arial" w:eastAsia="Arial" w:hAnsi="Arial"/>
          <w:sz w:val="20"/>
          <w:szCs w:val="22"/>
          <w:lang w:eastAsia="sl-SI"/>
        </w:rPr>
        <w:t xml:space="preserve">Kot je razvidno iz </w:t>
      </w:r>
      <w:r w:rsidR="00683366">
        <w:rPr>
          <w:rFonts w:ascii="Arial" w:eastAsia="Arial" w:hAnsi="Arial"/>
          <w:sz w:val="20"/>
          <w:szCs w:val="22"/>
          <w:lang w:eastAsia="sl-SI"/>
        </w:rPr>
        <w:t>z</w:t>
      </w:r>
      <w:r w:rsidRPr="00424274">
        <w:rPr>
          <w:rFonts w:ascii="Arial" w:eastAsia="Arial" w:hAnsi="Arial"/>
          <w:sz w:val="20"/>
          <w:szCs w:val="22"/>
          <w:lang w:eastAsia="sl-SI"/>
        </w:rPr>
        <w:t xml:space="preserve">gornje </w:t>
      </w:r>
      <w:r w:rsidR="00814A21">
        <w:rPr>
          <w:rFonts w:ascii="Arial" w:eastAsia="Arial" w:hAnsi="Arial"/>
          <w:sz w:val="20"/>
          <w:szCs w:val="22"/>
          <w:lang w:eastAsia="sl-SI"/>
        </w:rPr>
        <w:t>preglednic</w:t>
      </w:r>
      <w:r w:rsidRPr="00424274">
        <w:rPr>
          <w:rFonts w:ascii="Arial" w:eastAsia="Arial" w:hAnsi="Arial"/>
          <w:sz w:val="20"/>
          <w:szCs w:val="22"/>
          <w:lang w:eastAsia="sl-SI"/>
        </w:rPr>
        <w:t xml:space="preserve">e, je bilo na dan 31. 12. 2020 v </w:t>
      </w:r>
      <w:r w:rsidR="00A0541B">
        <w:rPr>
          <w:rFonts w:ascii="Arial" w:eastAsia="Arial" w:hAnsi="Arial"/>
          <w:sz w:val="20"/>
          <w:szCs w:val="22"/>
          <w:lang w:eastAsia="sl-SI"/>
        </w:rPr>
        <w:t>urad</w:t>
      </w:r>
      <w:r w:rsidRPr="00424274">
        <w:rPr>
          <w:rFonts w:ascii="Arial" w:eastAsia="Arial" w:hAnsi="Arial"/>
          <w:sz w:val="20"/>
          <w:szCs w:val="22"/>
          <w:lang w:eastAsia="sl-SI"/>
        </w:rPr>
        <w:t>u zaposlenih pet delavcev z znanstvenim magisterijem (17,8</w:t>
      </w:r>
      <w:r w:rsidR="008A1626">
        <w:rPr>
          <w:rFonts w:ascii="Arial" w:eastAsia="Arial" w:hAnsi="Arial"/>
          <w:sz w:val="20"/>
          <w:szCs w:val="22"/>
          <w:lang w:eastAsia="sl-SI"/>
        </w:rPr>
        <w:t>-</w:t>
      </w:r>
      <w:r w:rsidRPr="00424274">
        <w:rPr>
          <w:rFonts w:ascii="Arial" w:eastAsia="Arial" w:hAnsi="Arial"/>
          <w:sz w:val="20"/>
          <w:szCs w:val="22"/>
          <w:lang w:eastAsia="sl-SI"/>
        </w:rPr>
        <w:t>% delež) in 23 delavcev z univerzitetno oziroma visoko strokovno izobrazbo pravne, ekonomske, upravne in elektrotehniške smeri (82,2</w:t>
      </w:r>
      <w:r w:rsidR="008A1626">
        <w:rPr>
          <w:rFonts w:ascii="Arial" w:eastAsia="Arial" w:hAnsi="Arial"/>
          <w:sz w:val="20"/>
          <w:szCs w:val="22"/>
          <w:lang w:eastAsia="sl-SI"/>
        </w:rPr>
        <w:t>-</w:t>
      </w:r>
      <w:r w:rsidRPr="00424274">
        <w:rPr>
          <w:rFonts w:ascii="Arial" w:eastAsia="Arial" w:hAnsi="Arial"/>
          <w:sz w:val="20"/>
          <w:szCs w:val="22"/>
          <w:lang w:eastAsia="sl-SI"/>
        </w:rPr>
        <w:t>% delež).</w:t>
      </w:r>
    </w:p>
    <w:p w14:paraId="1F737060" w14:textId="77777777" w:rsidR="006B0B34" w:rsidRPr="00424274" w:rsidRDefault="006B0B34" w:rsidP="00D21F86">
      <w:pPr>
        <w:pStyle w:val="Telobesedila"/>
        <w:spacing w:line="276" w:lineRule="auto"/>
        <w:ind w:right="-56"/>
        <w:rPr>
          <w:rFonts w:ascii="Arial" w:hAnsi="Arial"/>
          <w:sz w:val="20"/>
        </w:rPr>
      </w:pPr>
    </w:p>
    <w:p w14:paraId="2AAAC574" w14:textId="0DB194F4" w:rsidR="006B0B34" w:rsidRPr="00424274" w:rsidRDefault="006B0B34" w:rsidP="00EC6D0D">
      <w:pPr>
        <w:pStyle w:val="Naslov2"/>
      </w:pPr>
      <w:bookmarkStart w:id="234" w:name="_Toc391546967"/>
      <w:bookmarkStart w:id="235" w:name="_Toc113535510"/>
      <w:r w:rsidRPr="00424274">
        <w:t>FINANČNO</w:t>
      </w:r>
      <w:r w:rsidR="00E94E1E">
        <w:t>-</w:t>
      </w:r>
      <w:r w:rsidRPr="00424274">
        <w:t>MATERIALNO POSLOVANJE</w:t>
      </w:r>
      <w:bookmarkEnd w:id="234"/>
      <w:bookmarkEnd w:id="235"/>
    </w:p>
    <w:p w14:paraId="7465BDEB" w14:textId="77777777" w:rsidR="006B0B34" w:rsidRPr="00424274" w:rsidRDefault="006B0B34" w:rsidP="00D21F86">
      <w:pPr>
        <w:snapToGrid w:val="0"/>
        <w:spacing w:line="276" w:lineRule="auto"/>
        <w:rPr>
          <w:rFonts w:ascii="Arial" w:hAnsi="Arial"/>
          <w:i/>
          <w:iCs/>
          <w:sz w:val="20"/>
        </w:rPr>
      </w:pPr>
    </w:p>
    <w:p w14:paraId="2313A900" w14:textId="763FAF83" w:rsidR="00851C49" w:rsidRPr="00424274" w:rsidRDefault="00797E6F" w:rsidP="00A17221">
      <w:pPr>
        <w:widowControl/>
        <w:spacing w:line="276" w:lineRule="auto"/>
        <w:rPr>
          <w:rFonts w:ascii="Arial" w:eastAsia="Arial" w:hAnsi="Arial"/>
          <w:sz w:val="20"/>
          <w:szCs w:val="22"/>
          <w:lang w:eastAsia="sl-SI"/>
        </w:rPr>
      </w:pPr>
      <w:r w:rsidRPr="00424274">
        <w:rPr>
          <w:rFonts w:ascii="Arial" w:eastAsia="Arial" w:hAnsi="Arial"/>
          <w:sz w:val="20"/>
          <w:szCs w:val="22"/>
          <w:lang w:eastAsia="sl-SI"/>
        </w:rPr>
        <w:t>Višina proračunskih sredstev</w:t>
      </w:r>
      <w:r w:rsidR="00683366">
        <w:rPr>
          <w:rFonts w:ascii="Arial" w:eastAsia="Arial" w:hAnsi="Arial"/>
          <w:sz w:val="20"/>
          <w:szCs w:val="22"/>
          <w:lang w:eastAsia="sl-SI"/>
        </w:rPr>
        <w:t>,</w:t>
      </w:r>
      <w:r w:rsidRPr="00424274">
        <w:rPr>
          <w:rFonts w:ascii="Arial" w:eastAsia="Arial" w:hAnsi="Arial"/>
          <w:sz w:val="20"/>
          <w:szCs w:val="22"/>
          <w:lang w:eastAsia="sl-SI"/>
        </w:rPr>
        <w:t xml:space="preserve"> načrtovanih v finančnem načrtu </w:t>
      </w:r>
      <w:r w:rsidR="00A0541B">
        <w:rPr>
          <w:rFonts w:ascii="Arial" w:eastAsia="Arial" w:hAnsi="Arial"/>
          <w:sz w:val="20"/>
          <w:szCs w:val="22"/>
          <w:lang w:eastAsia="sl-SI"/>
        </w:rPr>
        <w:t>urad</w:t>
      </w:r>
      <w:r w:rsidRPr="00424274">
        <w:rPr>
          <w:rFonts w:ascii="Arial" w:eastAsia="Arial" w:hAnsi="Arial"/>
          <w:sz w:val="20"/>
          <w:szCs w:val="22"/>
          <w:lang w:eastAsia="sl-SI"/>
        </w:rPr>
        <w:t>a</w:t>
      </w:r>
      <w:r w:rsidR="00683366">
        <w:rPr>
          <w:rFonts w:ascii="Arial" w:eastAsia="Arial" w:hAnsi="Arial"/>
          <w:sz w:val="20"/>
          <w:szCs w:val="22"/>
          <w:lang w:eastAsia="sl-SI"/>
        </w:rPr>
        <w:t>,</w:t>
      </w:r>
      <w:r w:rsidRPr="00424274">
        <w:rPr>
          <w:rFonts w:ascii="Arial" w:eastAsia="Arial" w:hAnsi="Arial"/>
          <w:sz w:val="20"/>
          <w:szCs w:val="22"/>
          <w:lang w:eastAsia="sl-SI"/>
        </w:rPr>
        <w:t xml:space="preserve"> je za leto 2020 znašala 1.159.624 EUR. Na predlog </w:t>
      </w:r>
      <w:r w:rsidR="00A0541B">
        <w:rPr>
          <w:rFonts w:ascii="Arial" w:eastAsia="Arial" w:hAnsi="Arial"/>
          <w:sz w:val="20"/>
          <w:szCs w:val="22"/>
          <w:lang w:eastAsia="sl-SI"/>
        </w:rPr>
        <w:t>urad</w:t>
      </w:r>
      <w:r w:rsidRPr="00424274">
        <w:rPr>
          <w:rFonts w:ascii="Arial" w:eastAsia="Arial" w:hAnsi="Arial"/>
          <w:sz w:val="20"/>
          <w:szCs w:val="22"/>
          <w:lang w:eastAsia="sl-SI"/>
        </w:rPr>
        <w:t xml:space="preserve">a se je struktura </w:t>
      </w:r>
      <w:r w:rsidR="00683366">
        <w:rPr>
          <w:rFonts w:ascii="Arial" w:eastAsia="Arial" w:hAnsi="Arial"/>
          <w:sz w:val="20"/>
          <w:szCs w:val="22"/>
          <w:lang w:eastAsia="sl-SI"/>
        </w:rPr>
        <w:t>načrtovanih</w:t>
      </w:r>
      <w:r w:rsidR="00683366" w:rsidRPr="00424274">
        <w:rPr>
          <w:rFonts w:ascii="Arial" w:eastAsia="Arial" w:hAnsi="Arial"/>
          <w:sz w:val="20"/>
          <w:szCs w:val="22"/>
          <w:lang w:eastAsia="sl-SI"/>
        </w:rPr>
        <w:t xml:space="preserve"> </w:t>
      </w:r>
      <w:r w:rsidRPr="00424274">
        <w:rPr>
          <w:rFonts w:ascii="Arial" w:eastAsia="Arial" w:hAnsi="Arial"/>
          <w:sz w:val="20"/>
          <w:szCs w:val="22"/>
          <w:lang w:eastAsia="sl-SI"/>
        </w:rPr>
        <w:t xml:space="preserve">sredstev znotraj posameznih postavk do konca leta nekoliko spremenila, saj so bile med letom opravljene manjše prerazporeditve sredstev. Od načrtovanih sredstev je bilo za plače in druge izdatke zaposlenih, blago in storitve, plačilo članarine organizacije EGMONT, manjše investicije in investicijsko vzdrževanje in za slovensko udeležbo v projektu nadgradnje informacijskega sistema </w:t>
      </w:r>
      <w:r w:rsidR="00A0541B">
        <w:rPr>
          <w:rFonts w:ascii="Arial" w:eastAsia="Arial" w:hAnsi="Arial"/>
          <w:sz w:val="20"/>
          <w:szCs w:val="22"/>
          <w:lang w:eastAsia="sl-SI"/>
        </w:rPr>
        <w:t>urad</w:t>
      </w:r>
      <w:r w:rsidRPr="00424274">
        <w:rPr>
          <w:rFonts w:ascii="Arial" w:eastAsia="Arial" w:hAnsi="Arial"/>
          <w:sz w:val="20"/>
          <w:szCs w:val="22"/>
          <w:lang w:eastAsia="sl-SI"/>
        </w:rPr>
        <w:t>a porabljenih skupno 1.112.682 EUR oziroma 95,95</w:t>
      </w:r>
      <w:r w:rsidR="008A1626">
        <w:rPr>
          <w:rFonts w:ascii="Arial" w:eastAsia="Arial" w:hAnsi="Arial"/>
          <w:sz w:val="20"/>
          <w:szCs w:val="22"/>
          <w:lang w:eastAsia="sl-SI"/>
        </w:rPr>
        <w:t> </w:t>
      </w:r>
      <w:r w:rsidRPr="00424274">
        <w:rPr>
          <w:rFonts w:ascii="Arial" w:eastAsia="Arial" w:hAnsi="Arial"/>
          <w:sz w:val="20"/>
          <w:szCs w:val="22"/>
          <w:lang w:eastAsia="sl-SI"/>
        </w:rPr>
        <w:t>% vseh načrtovanih sredstev.</w:t>
      </w:r>
    </w:p>
    <w:p w14:paraId="44473BB1" w14:textId="77777777" w:rsidR="00867D16" w:rsidRPr="00424274" w:rsidRDefault="00867D16" w:rsidP="00D21F86">
      <w:pPr>
        <w:spacing w:line="276" w:lineRule="auto"/>
        <w:rPr>
          <w:rFonts w:ascii="Arial" w:hAnsi="Arial"/>
          <w:sz w:val="20"/>
        </w:rPr>
      </w:pPr>
    </w:p>
    <w:p w14:paraId="7BC9D535" w14:textId="77777777" w:rsidR="00C34A90" w:rsidRPr="00424274" w:rsidRDefault="00C34A90" w:rsidP="00EC6D0D">
      <w:pPr>
        <w:pStyle w:val="Naslov2"/>
      </w:pPr>
      <w:bookmarkStart w:id="236" w:name="_Toc200853594"/>
      <w:bookmarkStart w:id="237" w:name="_Toc113535511"/>
      <w:r w:rsidRPr="00424274">
        <w:t>INFORMATIKA</w:t>
      </w:r>
      <w:bookmarkEnd w:id="236"/>
      <w:bookmarkEnd w:id="237"/>
    </w:p>
    <w:p w14:paraId="09053F47" w14:textId="77777777" w:rsidR="00C34A90" w:rsidRPr="00424274" w:rsidRDefault="00C34A90" w:rsidP="00D21F86">
      <w:pPr>
        <w:spacing w:line="276" w:lineRule="auto"/>
        <w:rPr>
          <w:rFonts w:ascii="Arial" w:hAnsi="Arial"/>
          <w:sz w:val="20"/>
        </w:rPr>
      </w:pPr>
    </w:p>
    <w:p w14:paraId="5691E78F" w14:textId="3916D8FA" w:rsidR="005802F2" w:rsidRPr="00424274" w:rsidRDefault="005802F2" w:rsidP="00A17221">
      <w:pPr>
        <w:spacing w:line="276" w:lineRule="auto"/>
        <w:rPr>
          <w:rFonts w:ascii="Arial" w:hAnsi="Arial"/>
          <w:sz w:val="20"/>
        </w:rPr>
      </w:pPr>
      <w:r w:rsidRPr="00424274">
        <w:rPr>
          <w:rFonts w:ascii="Arial" w:hAnsi="Arial"/>
          <w:sz w:val="20"/>
        </w:rPr>
        <w:t xml:space="preserve">V letu 2020 je Služba za informatiko </w:t>
      </w:r>
      <w:r w:rsidR="00A0541B">
        <w:rPr>
          <w:rFonts w:ascii="Arial" w:hAnsi="Arial"/>
          <w:sz w:val="20"/>
        </w:rPr>
        <w:t>urad</w:t>
      </w:r>
      <w:r w:rsidRPr="00424274">
        <w:rPr>
          <w:rFonts w:ascii="Arial" w:hAnsi="Arial"/>
          <w:sz w:val="20"/>
        </w:rPr>
        <w:t>a začela, nadaljevala oz</w:t>
      </w:r>
      <w:r w:rsidR="008A1626">
        <w:rPr>
          <w:rFonts w:ascii="Arial" w:hAnsi="Arial"/>
          <w:sz w:val="20"/>
        </w:rPr>
        <w:t>iroma</w:t>
      </w:r>
      <w:r w:rsidRPr="00424274">
        <w:rPr>
          <w:rFonts w:ascii="Arial" w:hAnsi="Arial"/>
          <w:sz w:val="20"/>
        </w:rPr>
        <w:t xml:space="preserve"> zaključila naslednje aktivnosti oziroma projekte:</w:t>
      </w:r>
    </w:p>
    <w:p w14:paraId="176AF4C7" w14:textId="4B86FAA5" w:rsidR="005802F2" w:rsidRPr="00424274" w:rsidRDefault="00BE1B81" w:rsidP="006D5A5A">
      <w:pPr>
        <w:pStyle w:val="Naslov3"/>
      </w:pPr>
      <w:bookmarkStart w:id="238" w:name="_Toc45272765"/>
      <w:bookmarkStart w:id="239" w:name="_Toc113535512"/>
      <w:r w:rsidRPr="00424274">
        <w:t>7.3.1</w:t>
      </w:r>
      <w:r w:rsidR="009B766E" w:rsidRPr="00424274">
        <w:t xml:space="preserve"> </w:t>
      </w:r>
      <w:r w:rsidR="005802F2" w:rsidRPr="00424274">
        <w:t>Priprava podlage za vzdrževanje IT</w:t>
      </w:r>
      <w:r w:rsidR="0050790E">
        <w:t>-</w:t>
      </w:r>
      <w:r w:rsidR="005802F2" w:rsidRPr="00424274">
        <w:t>sistemov</w:t>
      </w:r>
      <w:bookmarkEnd w:id="238"/>
      <w:bookmarkEnd w:id="239"/>
    </w:p>
    <w:p w14:paraId="325D5B44" w14:textId="77777777" w:rsidR="00827FB7" w:rsidRPr="00424274" w:rsidRDefault="00827FB7" w:rsidP="00827FB7">
      <w:pPr>
        <w:spacing w:line="276" w:lineRule="auto"/>
        <w:rPr>
          <w:rFonts w:ascii="Arial" w:hAnsi="Arial"/>
          <w:sz w:val="20"/>
        </w:rPr>
      </w:pPr>
    </w:p>
    <w:p w14:paraId="3F9108A6" w14:textId="09182089" w:rsidR="001F72F1" w:rsidRPr="00424274" w:rsidRDefault="001F72F1" w:rsidP="00A17221">
      <w:pPr>
        <w:spacing w:line="276" w:lineRule="auto"/>
        <w:rPr>
          <w:rFonts w:ascii="Arial" w:hAnsi="Arial"/>
          <w:iCs/>
          <w:sz w:val="20"/>
        </w:rPr>
      </w:pPr>
      <w:r w:rsidRPr="00424274">
        <w:rPr>
          <w:rFonts w:ascii="Arial" w:hAnsi="Arial"/>
          <w:iCs/>
          <w:sz w:val="20"/>
        </w:rPr>
        <w:t>Služba za informatiko je v letu 2020 pripravila administrativne podlage za vzdrževanje IT</w:t>
      </w:r>
      <w:r w:rsidR="00D23008">
        <w:rPr>
          <w:rFonts w:ascii="Arial" w:hAnsi="Arial"/>
          <w:iCs/>
          <w:sz w:val="20"/>
        </w:rPr>
        <w:t>-</w:t>
      </w:r>
      <w:r w:rsidRPr="00424274">
        <w:rPr>
          <w:rFonts w:ascii="Arial" w:hAnsi="Arial"/>
          <w:iCs/>
          <w:sz w:val="20"/>
        </w:rPr>
        <w:t>sistemov, ki so bili financirani iz sredstev</w:t>
      </w:r>
      <w:r w:rsidR="00D23008">
        <w:rPr>
          <w:rFonts w:ascii="Arial" w:hAnsi="Arial"/>
          <w:iCs/>
          <w:sz w:val="20"/>
        </w:rPr>
        <w:t xml:space="preserve"> EU:</w:t>
      </w:r>
      <w:r w:rsidRPr="00424274">
        <w:rPr>
          <w:rFonts w:ascii="Arial" w:hAnsi="Arial"/>
          <w:iCs/>
          <w:sz w:val="20"/>
        </w:rPr>
        <w:t xml:space="preserve"> </w:t>
      </w:r>
    </w:p>
    <w:p w14:paraId="3A05A19F" w14:textId="77777777" w:rsidR="001F72F1" w:rsidRPr="00424274" w:rsidRDefault="001F72F1" w:rsidP="00A17221">
      <w:pPr>
        <w:spacing w:line="276" w:lineRule="auto"/>
        <w:rPr>
          <w:rFonts w:ascii="Arial" w:hAnsi="Arial"/>
          <w:iCs/>
          <w:sz w:val="20"/>
        </w:rPr>
      </w:pPr>
    </w:p>
    <w:p w14:paraId="05161806" w14:textId="77777777" w:rsidR="001F72F1" w:rsidRPr="00424274" w:rsidRDefault="001F72F1" w:rsidP="00A17221">
      <w:pPr>
        <w:pStyle w:val="Odstavekseznama"/>
        <w:numPr>
          <w:ilvl w:val="0"/>
          <w:numId w:val="25"/>
        </w:numPr>
        <w:spacing w:line="276" w:lineRule="auto"/>
        <w:rPr>
          <w:rFonts w:ascii="Arial" w:hAnsi="Arial"/>
          <w:iCs/>
          <w:sz w:val="20"/>
          <w:lang w:val="sl-SI"/>
        </w:rPr>
      </w:pPr>
      <w:r w:rsidRPr="00424274">
        <w:rPr>
          <w:rFonts w:ascii="Arial" w:hAnsi="Arial"/>
          <w:iCs/>
          <w:sz w:val="20"/>
          <w:lang w:val="sl-SI"/>
        </w:rPr>
        <w:t xml:space="preserve">aplikativne rešitve </w:t>
      </w:r>
      <w:proofErr w:type="spellStart"/>
      <w:r w:rsidRPr="00424274">
        <w:rPr>
          <w:rFonts w:ascii="Arial" w:hAnsi="Arial"/>
          <w:iCs/>
          <w:sz w:val="20"/>
          <w:lang w:val="sl-SI"/>
        </w:rPr>
        <w:t>ePPD</w:t>
      </w:r>
      <w:proofErr w:type="spellEnd"/>
      <w:r w:rsidRPr="00424274">
        <w:rPr>
          <w:rFonts w:ascii="Arial" w:hAnsi="Arial"/>
          <w:iCs/>
          <w:sz w:val="20"/>
          <w:lang w:val="sl-SI"/>
        </w:rPr>
        <w:t xml:space="preserve"> (ISUPPD);</w:t>
      </w:r>
    </w:p>
    <w:p w14:paraId="3BA447B1" w14:textId="38CC4DF0" w:rsidR="001F72F1" w:rsidRPr="00424274" w:rsidRDefault="001F72F1" w:rsidP="00A17221">
      <w:pPr>
        <w:pStyle w:val="Odstavekseznama"/>
        <w:numPr>
          <w:ilvl w:val="0"/>
          <w:numId w:val="25"/>
        </w:numPr>
        <w:spacing w:line="276" w:lineRule="auto"/>
        <w:rPr>
          <w:rFonts w:ascii="Arial" w:hAnsi="Arial"/>
          <w:iCs/>
          <w:sz w:val="20"/>
          <w:lang w:val="sl-SI"/>
        </w:rPr>
      </w:pPr>
      <w:r w:rsidRPr="00424274">
        <w:rPr>
          <w:rFonts w:ascii="Arial" w:hAnsi="Arial"/>
          <w:iCs/>
          <w:sz w:val="20"/>
          <w:lang w:val="sl-SI"/>
        </w:rPr>
        <w:t>informacijsk</w:t>
      </w:r>
      <w:r w:rsidR="006718E7">
        <w:rPr>
          <w:rFonts w:ascii="Arial" w:hAnsi="Arial"/>
          <w:iCs/>
          <w:sz w:val="20"/>
          <w:lang w:val="sl-SI"/>
        </w:rPr>
        <w:t>i</w:t>
      </w:r>
      <w:r w:rsidRPr="00424274">
        <w:rPr>
          <w:rFonts w:ascii="Arial" w:hAnsi="Arial"/>
          <w:iCs/>
          <w:sz w:val="20"/>
          <w:lang w:val="sl-SI"/>
        </w:rPr>
        <w:t xml:space="preserve"> sistem za inšpekcijski nadzor – INSPIS;</w:t>
      </w:r>
    </w:p>
    <w:p w14:paraId="4A813263" w14:textId="1AFA4141" w:rsidR="00827FB7" w:rsidRPr="00424274" w:rsidRDefault="001F72F1" w:rsidP="00A17221">
      <w:pPr>
        <w:pStyle w:val="Odstavekseznama"/>
        <w:numPr>
          <w:ilvl w:val="0"/>
          <w:numId w:val="25"/>
        </w:numPr>
        <w:spacing w:line="276" w:lineRule="auto"/>
        <w:rPr>
          <w:rFonts w:ascii="Arial" w:hAnsi="Arial"/>
          <w:iCs/>
          <w:sz w:val="20"/>
          <w:lang w:val="sl-SI"/>
        </w:rPr>
      </w:pPr>
      <w:r w:rsidRPr="00424274">
        <w:rPr>
          <w:rFonts w:ascii="Arial" w:hAnsi="Arial"/>
          <w:iCs/>
          <w:sz w:val="20"/>
          <w:lang w:val="sl-SI"/>
        </w:rPr>
        <w:t>dokumentn</w:t>
      </w:r>
      <w:r w:rsidR="006718E7">
        <w:rPr>
          <w:rFonts w:ascii="Arial" w:hAnsi="Arial"/>
          <w:iCs/>
          <w:sz w:val="20"/>
          <w:lang w:val="sl-SI"/>
        </w:rPr>
        <w:t>i</w:t>
      </w:r>
      <w:r w:rsidRPr="00424274">
        <w:rPr>
          <w:rFonts w:ascii="Arial" w:hAnsi="Arial"/>
          <w:iCs/>
          <w:sz w:val="20"/>
          <w:lang w:val="sl-SI"/>
        </w:rPr>
        <w:t xml:space="preserve"> sistem KRPAN.</w:t>
      </w:r>
    </w:p>
    <w:p w14:paraId="242E2BB2" w14:textId="02515477" w:rsidR="00CE25BD" w:rsidRPr="00424274" w:rsidRDefault="00E62DFC" w:rsidP="006D5A5A">
      <w:pPr>
        <w:pStyle w:val="Naslov3"/>
      </w:pPr>
      <w:bookmarkStart w:id="240" w:name="_Toc45272766"/>
      <w:bookmarkStart w:id="241" w:name="_Toc113535513"/>
      <w:r w:rsidRPr="00424274">
        <w:t>7.</w:t>
      </w:r>
      <w:r w:rsidR="0089593E" w:rsidRPr="00424274">
        <w:t>3.2</w:t>
      </w:r>
      <w:r w:rsidR="00A42E65" w:rsidRPr="00424274">
        <w:t xml:space="preserve"> </w:t>
      </w:r>
      <w:bookmarkStart w:id="242" w:name="_Hlk69812580"/>
      <w:bookmarkEnd w:id="240"/>
      <w:r w:rsidR="00CE25BD" w:rsidRPr="00424274">
        <w:t xml:space="preserve">Izvajanje sporazuma (SLA) z Ministrstvom za javno upravo in priprava na </w:t>
      </w:r>
      <w:r w:rsidR="001C5DCE">
        <w:t>selitev</w:t>
      </w:r>
      <w:r w:rsidR="001C5DCE" w:rsidRPr="00424274">
        <w:t xml:space="preserve"> </w:t>
      </w:r>
      <w:r w:rsidR="00CE25BD" w:rsidRPr="00424274">
        <w:t xml:space="preserve">uporabnikov v </w:t>
      </w:r>
      <w:r w:rsidR="00B96310">
        <w:t>d</w:t>
      </w:r>
      <w:r w:rsidR="00CE25BD" w:rsidRPr="00424274">
        <w:t>ržavni računalniški oblak (DRO)</w:t>
      </w:r>
      <w:bookmarkEnd w:id="241"/>
    </w:p>
    <w:bookmarkEnd w:id="242"/>
    <w:p w14:paraId="715A99D5" w14:textId="4DE99897" w:rsidR="00827FB7" w:rsidRPr="00424274" w:rsidRDefault="00827FB7" w:rsidP="003C6645">
      <w:pPr>
        <w:spacing w:line="276" w:lineRule="auto"/>
        <w:rPr>
          <w:rFonts w:ascii="Arial" w:hAnsi="Arial"/>
          <w:iCs/>
          <w:sz w:val="20"/>
        </w:rPr>
      </w:pPr>
      <w:r w:rsidRPr="00424274">
        <w:rPr>
          <w:rFonts w:ascii="Arial" w:hAnsi="Arial"/>
          <w:iCs/>
          <w:sz w:val="20"/>
        </w:rPr>
        <w:t xml:space="preserve">V okviru SLA z Direktoratom za informatiko pri Ministrstvu za javno upravo (MJU) so bile </w:t>
      </w:r>
      <w:r w:rsidR="00A0541B">
        <w:rPr>
          <w:rFonts w:ascii="Arial" w:hAnsi="Arial"/>
          <w:iCs/>
          <w:sz w:val="20"/>
        </w:rPr>
        <w:t>urad</w:t>
      </w:r>
      <w:r w:rsidRPr="00424274">
        <w:rPr>
          <w:rFonts w:ascii="Arial" w:hAnsi="Arial"/>
          <w:iCs/>
          <w:sz w:val="20"/>
        </w:rPr>
        <w:t xml:space="preserve">u zagotovljene delovne postaje za nove zaposlene. Enotni kontaktni center (EKC) je </w:t>
      </w:r>
      <w:r w:rsidR="00A0541B">
        <w:rPr>
          <w:rFonts w:ascii="Arial" w:hAnsi="Arial"/>
          <w:iCs/>
          <w:sz w:val="20"/>
        </w:rPr>
        <w:t>urad</w:t>
      </w:r>
      <w:r w:rsidRPr="00424274">
        <w:rPr>
          <w:rFonts w:ascii="Arial" w:hAnsi="Arial"/>
          <w:iCs/>
          <w:sz w:val="20"/>
        </w:rPr>
        <w:t xml:space="preserve">u nudil podporo pri nameščanju in konfiguraciji delovnih postaj na zunanjem delu omrežja IS </w:t>
      </w:r>
      <w:r w:rsidR="00A0541B">
        <w:rPr>
          <w:rFonts w:ascii="Arial" w:hAnsi="Arial"/>
          <w:iCs/>
          <w:sz w:val="20"/>
        </w:rPr>
        <w:t>urad</w:t>
      </w:r>
      <w:r w:rsidRPr="00424274">
        <w:rPr>
          <w:rFonts w:ascii="Arial" w:hAnsi="Arial"/>
          <w:iCs/>
          <w:sz w:val="20"/>
        </w:rPr>
        <w:t xml:space="preserve">a. </w:t>
      </w:r>
    </w:p>
    <w:p w14:paraId="24B8A18F" w14:textId="4349ED7F" w:rsidR="00C33FFA" w:rsidRPr="00424274" w:rsidRDefault="00936A69" w:rsidP="00A17221">
      <w:pPr>
        <w:keepNext/>
        <w:spacing w:before="240" w:after="60" w:line="276" w:lineRule="auto"/>
        <w:outlineLvl w:val="2"/>
        <w:rPr>
          <w:rFonts w:ascii="Arial" w:hAnsi="Arial"/>
          <w:i/>
          <w:iCs/>
          <w:sz w:val="20"/>
        </w:rPr>
      </w:pPr>
      <w:bookmarkStart w:id="243" w:name="_Toc45272767"/>
      <w:bookmarkStart w:id="244" w:name="_Toc113535514"/>
      <w:r w:rsidRPr="00424274">
        <w:rPr>
          <w:rFonts w:ascii="Arial" w:hAnsi="Arial"/>
          <w:i/>
          <w:iCs/>
          <w:sz w:val="20"/>
        </w:rPr>
        <w:t>7.3.3</w:t>
      </w:r>
      <w:r w:rsidR="003E095E" w:rsidRPr="00424274">
        <w:rPr>
          <w:rFonts w:ascii="Arial" w:hAnsi="Arial"/>
          <w:sz w:val="20"/>
        </w:rPr>
        <w:t xml:space="preserve"> </w:t>
      </w:r>
      <w:r w:rsidR="0016397C" w:rsidRPr="00424274">
        <w:rPr>
          <w:rFonts w:ascii="Arial" w:hAnsi="Arial"/>
          <w:i/>
          <w:iCs/>
          <w:sz w:val="20"/>
        </w:rPr>
        <w:t xml:space="preserve">Vzdrževanje podatkovne baze in evidenčnega sistema </w:t>
      </w:r>
      <w:r w:rsidR="00A0541B">
        <w:rPr>
          <w:rFonts w:ascii="Arial" w:hAnsi="Arial"/>
          <w:i/>
          <w:iCs/>
          <w:sz w:val="20"/>
        </w:rPr>
        <w:t>urad</w:t>
      </w:r>
      <w:r w:rsidR="0016397C" w:rsidRPr="00424274">
        <w:rPr>
          <w:rFonts w:ascii="Arial" w:hAnsi="Arial"/>
          <w:i/>
          <w:iCs/>
          <w:sz w:val="20"/>
        </w:rPr>
        <w:t>a</w:t>
      </w:r>
      <w:bookmarkEnd w:id="243"/>
      <w:bookmarkEnd w:id="244"/>
    </w:p>
    <w:p w14:paraId="34812FB0" w14:textId="627A2C73" w:rsidR="00A63AA3" w:rsidRPr="00424274" w:rsidRDefault="001C5DCE" w:rsidP="002530C8">
      <w:pPr>
        <w:spacing w:line="276" w:lineRule="auto"/>
        <w:rPr>
          <w:rFonts w:ascii="Arial" w:hAnsi="Arial"/>
          <w:sz w:val="20"/>
        </w:rPr>
      </w:pPr>
      <w:r>
        <w:rPr>
          <w:rFonts w:ascii="Arial" w:hAnsi="Arial"/>
          <w:sz w:val="20"/>
        </w:rPr>
        <w:t>Čez</w:t>
      </w:r>
      <w:r w:rsidRPr="00424274">
        <w:rPr>
          <w:rFonts w:ascii="Arial" w:hAnsi="Arial"/>
          <w:sz w:val="20"/>
        </w:rPr>
        <w:t xml:space="preserve"> </w:t>
      </w:r>
      <w:r w:rsidR="00A63AA3" w:rsidRPr="00424274">
        <w:rPr>
          <w:rFonts w:ascii="Arial" w:hAnsi="Arial"/>
          <w:sz w:val="20"/>
        </w:rPr>
        <w:t xml:space="preserve">vse leto so potekale aktivnosti administriranja podatkovne baze in boljše organizacije podatkov zaradi stalno spreminjajočega </w:t>
      </w:r>
      <w:r>
        <w:rPr>
          <w:rFonts w:ascii="Arial" w:hAnsi="Arial"/>
          <w:sz w:val="20"/>
        </w:rPr>
        <w:t xml:space="preserve">se </w:t>
      </w:r>
      <w:r w:rsidR="00A63AA3" w:rsidRPr="00424274">
        <w:rPr>
          <w:rFonts w:ascii="Arial" w:hAnsi="Arial"/>
          <w:sz w:val="20"/>
        </w:rPr>
        <w:t>obsega sporočanja zavezancev po ZPPDF</w:t>
      </w:r>
      <w:r w:rsidR="00306DBB" w:rsidRPr="00424274">
        <w:rPr>
          <w:rFonts w:ascii="Arial" w:hAnsi="Arial"/>
          <w:sz w:val="20"/>
        </w:rPr>
        <w:t>T</w:t>
      </w:r>
      <w:r w:rsidR="00402955" w:rsidRPr="00424274">
        <w:rPr>
          <w:rFonts w:ascii="Arial" w:hAnsi="Arial"/>
          <w:sz w:val="20"/>
        </w:rPr>
        <w:t>-1</w:t>
      </w:r>
      <w:r w:rsidR="00A63AA3" w:rsidRPr="00424274">
        <w:rPr>
          <w:rFonts w:ascii="Arial" w:hAnsi="Arial"/>
          <w:sz w:val="20"/>
        </w:rPr>
        <w:t xml:space="preserve">. Aktivnosti so bile kot običajno najbolj intenzivne v prvih mesecih leta, ko je </w:t>
      </w:r>
      <w:r w:rsidR="008126B7">
        <w:rPr>
          <w:rFonts w:ascii="Arial" w:hAnsi="Arial"/>
          <w:sz w:val="20"/>
        </w:rPr>
        <w:t>treba</w:t>
      </w:r>
      <w:r w:rsidR="00A63AA3" w:rsidRPr="00424274">
        <w:rPr>
          <w:rFonts w:ascii="Arial" w:hAnsi="Arial"/>
          <w:sz w:val="20"/>
        </w:rPr>
        <w:t xml:space="preserve"> sporočene podatke urediti zaradi izdelave statistike za letno poročilo. Hkrati z aktivnostmi, ki potekajo na podatkovni bazi</w:t>
      </w:r>
      <w:r>
        <w:rPr>
          <w:rFonts w:ascii="Arial" w:hAnsi="Arial"/>
          <w:sz w:val="20"/>
        </w:rPr>
        <w:t>,</w:t>
      </w:r>
      <w:r w:rsidR="00A63AA3" w:rsidRPr="00424274">
        <w:rPr>
          <w:rFonts w:ascii="Arial" w:hAnsi="Arial"/>
          <w:sz w:val="20"/>
        </w:rPr>
        <w:t xml:space="preserve"> se izvajajo aktivnosti </w:t>
      </w:r>
      <w:r w:rsidR="00C452A0">
        <w:rPr>
          <w:rFonts w:ascii="Arial" w:hAnsi="Arial"/>
          <w:sz w:val="20"/>
        </w:rPr>
        <w:t xml:space="preserve">za </w:t>
      </w:r>
      <w:r w:rsidR="00A63AA3" w:rsidRPr="00424274">
        <w:rPr>
          <w:rFonts w:ascii="Arial" w:hAnsi="Arial"/>
          <w:sz w:val="20"/>
        </w:rPr>
        <w:t xml:space="preserve">vzdrževanje sporočilnega sistema za sporočanje podatkov, ki poteka prek komunikacijskega vmesnika. Aktivnosti obsegajo zamenjavo pretečenih certifikatov, preverjanje pravilnosti sporočenih sporočil </w:t>
      </w:r>
      <w:r w:rsidR="00C452A0">
        <w:rPr>
          <w:rFonts w:ascii="Arial" w:hAnsi="Arial"/>
          <w:sz w:val="20"/>
        </w:rPr>
        <w:t>in</w:t>
      </w:r>
      <w:r w:rsidR="00C452A0" w:rsidRPr="00424274">
        <w:rPr>
          <w:rFonts w:ascii="Arial" w:hAnsi="Arial"/>
          <w:sz w:val="20"/>
        </w:rPr>
        <w:t xml:space="preserve"> </w:t>
      </w:r>
      <w:r w:rsidR="00A63AA3" w:rsidRPr="00424274">
        <w:rPr>
          <w:rFonts w:ascii="Arial" w:hAnsi="Arial"/>
          <w:sz w:val="20"/>
        </w:rPr>
        <w:t xml:space="preserve">odpravljanje občasnih napak pri sporočanju ter pomoč uporabnikom, nadzorovanje sporočilnega sistema, ki </w:t>
      </w:r>
      <w:r w:rsidR="00EF7B46">
        <w:rPr>
          <w:rFonts w:ascii="Arial" w:hAnsi="Arial"/>
          <w:sz w:val="20"/>
        </w:rPr>
        <w:t>je nameščen</w:t>
      </w:r>
      <w:r w:rsidR="00A63AA3" w:rsidRPr="00424274">
        <w:rPr>
          <w:rFonts w:ascii="Arial" w:hAnsi="Arial"/>
          <w:sz w:val="20"/>
        </w:rPr>
        <w:t xml:space="preserve"> na centralni infrastrukturi državnih organov. </w:t>
      </w:r>
    </w:p>
    <w:p w14:paraId="33C1233E" w14:textId="0684A6AF" w:rsidR="009B766E" w:rsidRPr="00424274" w:rsidRDefault="009B766E" w:rsidP="009B766E">
      <w:pPr>
        <w:pStyle w:val="Odstavekseznama"/>
        <w:keepNext/>
        <w:numPr>
          <w:ilvl w:val="2"/>
          <w:numId w:val="30"/>
        </w:numPr>
        <w:spacing w:before="240" w:after="60" w:line="276" w:lineRule="auto"/>
        <w:outlineLvl w:val="2"/>
        <w:rPr>
          <w:rFonts w:ascii="Arial" w:hAnsi="Arial" w:cs="Arial"/>
          <w:i/>
          <w:iCs/>
          <w:sz w:val="20"/>
          <w:szCs w:val="20"/>
          <w:lang w:val="sl-SI"/>
        </w:rPr>
      </w:pPr>
      <w:bookmarkStart w:id="245" w:name="_Toc45272768"/>
      <w:bookmarkStart w:id="246" w:name="_Toc113535515"/>
      <w:r w:rsidRPr="00424274">
        <w:rPr>
          <w:rFonts w:ascii="Arial" w:hAnsi="Arial" w:cs="Arial"/>
          <w:i/>
          <w:iCs/>
          <w:sz w:val="20"/>
          <w:szCs w:val="20"/>
          <w:lang w:val="sl-SI"/>
        </w:rPr>
        <w:t>Zbiranje, hranjenje in objava podatkov o transakcijah, ki jih sporočajo zavezanci na podlagi drugega odstavka 68. člena ZPPDFT-1</w:t>
      </w:r>
      <w:bookmarkEnd w:id="245"/>
      <w:bookmarkEnd w:id="246"/>
    </w:p>
    <w:p w14:paraId="282DDF14" w14:textId="6D519F1E" w:rsidR="009B766E" w:rsidRPr="00424274" w:rsidRDefault="009B766E" w:rsidP="002530C8">
      <w:pPr>
        <w:spacing w:line="276" w:lineRule="auto"/>
        <w:rPr>
          <w:rFonts w:ascii="Arial" w:hAnsi="Arial"/>
          <w:sz w:val="20"/>
        </w:rPr>
      </w:pPr>
      <w:r w:rsidRPr="00424274">
        <w:rPr>
          <w:rFonts w:ascii="Arial" w:hAnsi="Arial"/>
          <w:sz w:val="20"/>
        </w:rPr>
        <w:t xml:space="preserve">V preteklosti smo se z zavezanci dogovorili, </w:t>
      </w:r>
      <w:r w:rsidR="00C452A0">
        <w:rPr>
          <w:rFonts w:ascii="Arial" w:hAnsi="Arial"/>
          <w:sz w:val="20"/>
        </w:rPr>
        <w:t>kako</w:t>
      </w:r>
      <w:r w:rsidRPr="00424274">
        <w:rPr>
          <w:rFonts w:ascii="Arial" w:hAnsi="Arial"/>
          <w:sz w:val="20"/>
        </w:rPr>
        <w:t xml:space="preserve"> bodo sporočali podatke o transakcijah </w:t>
      </w:r>
      <w:r w:rsidR="00A0541B">
        <w:rPr>
          <w:rFonts w:ascii="Arial" w:hAnsi="Arial"/>
          <w:sz w:val="20"/>
        </w:rPr>
        <w:t>urad</w:t>
      </w:r>
      <w:r w:rsidRPr="00424274">
        <w:rPr>
          <w:rFonts w:ascii="Arial" w:hAnsi="Arial"/>
          <w:sz w:val="20"/>
        </w:rPr>
        <w:t>u. V Službi za informatiko smo sodelovali pri pripravi podatkovne strukture in določitve načina pošiljanja, ki smo ga uskladili z zavezanci. Za hranjenj</w:t>
      </w:r>
      <w:r w:rsidR="00EE210D">
        <w:rPr>
          <w:rFonts w:ascii="Arial" w:hAnsi="Arial"/>
          <w:sz w:val="20"/>
        </w:rPr>
        <w:t>e</w:t>
      </w:r>
      <w:r w:rsidRPr="00424274">
        <w:rPr>
          <w:rFonts w:ascii="Arial" w:hAnsi="Arial"/>
          <w:sz w:val="20"/>
        </w:rPr>
        <w:t xml:space="preserve"> podatkov smo na podlagi dogovorjene podatkovne strukture </w:t>
      </w:r>
      <w:r w:rsidR="00EF7B46">
        <w:rPr>
          <w:rFonts w:ascii="Arial" w:hAnsi="Arial"/>
          <w:sz w:val="20"/>
        </w:rPr>
        <w:t>oblikovali</w:t>
      </w:r>
      <w:r w:rsidR="00EF7B46" w:rsidRPr="00424274">
        <w:rPr>
          <w:rFonts w:ascii="Arial" w:hAnsi="Arial"/>
          <w:sz w:val="20"/>
        </w:rPr>
        <w:t xml:space="preserve"> </w:t>
      </w:r>
      <w:r w:rsidRPr="00424274">
        <w:rPr>
          <w:rFonts w:ascii="Arial" w:hAnsi="Arial"/>
          <w:sz w:val="20"/>
        </w:rPr>
        <w:t xml:space="preserve">podatkovno zbirko. V letu 2020 smo še dopolnili programske </w:t>
      </w:r>
      <w:r w:rsidR="00EF7B46">
        <w:rPr>
          <w:rFonts w:ascii="Arial" w:hAnsi="Arial"/>
          <w:sz w:val="20"/>
        </w:rPr>
        <w:t>postopke</w:t>
      </w:r>
      <w:r w:rsidR="00EF7B46" w:rsidRPr="00424274">
        <w:rPr>
          <w:rFonts w:ascii="Arial" w:hAnsi="Arial"/>
          <w:sz w:val="20"/>
        </w:rPr>
        <w:t xml:space="preserve"> </w:t>
      </w:r>
      <w:r w:rsidRPr="00424274">
        <w:rPr>
          <w:rFonts w:ascii="Arial" w:hAnsi="Arial"/>
          <w:sz w:val="20"/>
        </w:rPr>
        <w:t xml:space="preserve">za analizo podatkov v podatkovni zbirki. Prejem, shranjevanje in pregled prejetih podatkov </w:t>
      </w:r>
      <w:r w:rsidR="00EE210D">
        <w:rPr>
          <w:rFonts w:ascii="Arial" w:hAnsi="Arial"/>
          <w:sz w:val="20"/>
        </w:rPr>
        <w:t>in</w:t>
      </w:r>
      <w:r w:rsidR="00EE210D" w:rsidRPr="00424274">
        <w:rPr>
          <w:rFonts w:ascii="Arial" w:hAnsi="Arial"/>
          <w:sz w:val="20"/>
        </w:rPr>
        <w:t xml:space="preserve"> </w:t>
      </w:r>
      <w:r w:rsidRPr="00424274">
        <w:rPr>
          <w:rFonts w:ascii="Arial" w:hAnsi="Arial"/>
          <w:sz w:val="20"/>
        </w:rPr>
        <w:t xml:space="preserve">zakonsko obvezna objava na spletni strani </w:t>
      </w:r>
      <w:r w:rsidR="00A0541B">
        <w:rPr>
          <w:rFonts w:ascii="Arial" w:hAnsi="Arial"/>
          <w:sz w:val="20"/>
        </w:rPr>
        <w:t>urad</w:t>
      </w:r>
      <w:r w:rsidRPr="00424274">
        <w:rPr>
          <w:rFonts w:ascii="Arial" w:hAnsi="Arial"/>
          <w:sz w:val="20"/>
        </w:rPr>
        <w:t>a je stalna naloga Službe za informatiko. Urad prejema tudi podatke o prenosih gotovine čez državno mejo od FURS.</w:t>
      </w:r>
    </w:p>
    <w:p w14:paraId="78D9312F" w14:textId="77777777" w:rsidR="00120ECB" w:rsidRPr="00424274" w:rsidRDefault="00120ECB" w:rsidP="009B766E">
      <w:pPr>
        <w:spacing w:line="276" w:lineRule="auto"/>
        <w:rPr>
          <w:rFonts w:ascii="Arial" w:hAnsi="Arial"/>
          <w:sz w:val="20"/>
        </w:rPr>
      </w:pPr>
    </w:p>
    <w:p w14:paraId="61B49387" w14:textId="17937178" w:rsidR="00EF2CDC" w:rsidRPr="00424274" w:rsidRDefault="00EF2CDC" w:rsidP="00EF2CDC">
      <w:pPr>
        <w:pStyle w:val="Odstavekseznama"/>
        <w:keepNext/>
        <w:numPr>
          <w:ilvl w:val="2"/>
          <w:numId w:val="30"/>
        </w:numPr>
        <w:spacing w:before="240" w:after="60" w:line="276" w:lineRule="auto"/>
        <w:outlineLvl w:val="2"/>
        <w:rPr>
          <w:rFonts w:ascii="Arial" w:hAnsi="Arial" w:cs="Arial"/>
          <w:i/>
          <w:iCs/>
          <w:sz w:val="20"/>
          <w:szCs w:val="20"/>
          <w:lang w:val="sl-SI"/>
        </w:rPr>
      </w:pPr>
      <w:bookmarkStart w:id="247" w:name="_Toc45272769"/>
      <w:bookmarkStart w:id="248" w:name="_Toc113535516"/>
      <w:r w:rsidRPr="00424274">
        <w:rPr>
          <w:rFonts w:ascii="Arial" w:hAnsi="Arial" w:cs="Arial"/>
          <w:i/>
          <w:iCs/>
          <w:sz w:val="20"/>
          <w:szCs w:val="20"/>
          <w:lang w:val="sl-SI"/>
        </w:rPr>
        <w:t>Priprava statističnih podatkov in analiza gotovinskih transakcij za letno poročilo</w:t>
      </w:r>
      <w:bookmarkEnd w:id="247"/>
      <w:bookmarkEnd w:id="248"/>
    </w:p>
    <w:p w14:paraId="678C7BA8" w14:textId="77777777" w:rsidR="00EF2CDC" w:rsidRPr="00424274" w:rsidRDefault="00EF2CDC" w:rsidP="00EF2CDC">
      <w:pPr>
        <w:spacing w:line="276" w:lineRule="auto"/>
        <w:rPr>
          <w:rFonts w:ascii="Arial" w:hAnsi="Arial"/>
          <w:sz w:val="20"/>
        </w:rPr>
      </w:pPr>
    </w:p>
    <w:p w14:paraId="1370BF2A" w14:textId="0461AAD9" w:rsidR="00EF2CDC" w:rsidRPr="00424274" w:rsidRDefault="00EF2CDC" w:rsidP="00EF2CDC">
      <w:pPr>
        <w:spacing w:line="276" w:lineRule="auto"/>
        <w:rPr>
          <w:rFonts w:ascii="Arial" w:hAnsi="Arial"/>
          <w:sz w:val="20"/>
        </w:rPr>
      </w:pPr>
      <w:r w:rsidRPr="00424274">
        <w:rPr>
          <w:rFonts w:ascii="Arial" w:hAnsi="Arial"/>
          <w:sz w:val="20"/>
        </w:rPr>
        <w:t xml:space="preserve">Zaradi priprave letnega poročila </w:t>
      </w:r>
      <w:r w:rsidR="00A0541B">
        <w:rPr>
          <w:rFonts w:ascii="Arial" w:hAnsi="Arial"/>
          <w:sz w:val="20"/>
        </w:rPr>
        <w:t>urad</w:t>
      </w:r>
      <w:r w:rsidRPr="00424274">
        <w:rPr>
          <w:rFonts w:ascii="Arial" w:hAnsi="Arial"/>
          <w:sz w:val="20"/>
        </w:rPr>
        <w:t xml:space="preserve">a </w:t>
      </w:r>
      <w:r w:rsidR="00EE210D">
        <w:rPr>
          <w:rFonts w:ascii="Arial" w:hAnsi="Arial"/>
          <w:sz w:val="20"/>
        </w:rPr>
        <w:t xml:space="preserve">za </w:t>
      </w:r>
      <w:r w:rsidRPr="00424274">
        <w:rPr>
          <w:rFonts w:ascii="Arial" w:hAnsi="Arial"/>
          <w:sz w:val="20"/>
        </w:rPr>
        <w:t>Vlad</w:t>
      </w:r>
      <w:r w:rsidR="00EE210D">
        <w:rPr>
          <w:rFonts w:ascii="Arial" w:hAnsi="Arial"/>
          <w:sz w:val="20"/>
        </w:rPr>
        <w:t>o</w:t>
      </w:r>
      <w:r w:rsidRPr="00424274">
        <w:rPr>
          <w:rFonts w:ascii="Arial" w:hAnsi="Arial"/>
          <w:sz w:val="20"/>
        </w:rPr>
        <w:t xml:space="preserve"> Republike Slovenije je bilo </w:t>
      </w:r>
      <w:r w:rsidR="008126B7">
        <w:rPr>
          <w:rFonts w:ascii="Arial" w:hAnsi="Arial"/>
          <w:sz w:val="20"/>
        </w:rPr>
        <w:t>treba</w:t>
      </w:r>
      <w:r w:rsidRPr="00424274">
        <w:rPr>
          <w:rFonts w:ascii="Arial" w:hAnsi="Arial"/>
          <w:sz w:val="20"/>
        </w:rPr>
        <w:t xml:space="preserve"> pripraviti podrobno statistično analizo transakcij</w:t>
      </w:r>
      <w:r w:rsidR="00EE210D">
        <w:rPr>
          <w:rFonts w:ascii="Arial" w:hAnsi="Arial"/>
          <w:sz w:val="20"/>
        </w:rPr>
        <w:t>, ki so jih</w:t>
      </w:r>
      <w:r w:rsidRPr="00424274">
        <w:rPr>
          <w:rFonts w:ascii="Arial" w:hAnsi="Arial"/>
          <w:sz w:val="20"/>
        </w:rPr>
        <w:t xml:space="preserve"> </w:t>
      </w:r>
      <w:r w:rsidR="00A0541B">
        <w:rPr>
          <w:rFonts w:ascii="Arial" w:hAnsi="Arial"/>
          <w:sz w:val="20"/>
        </w:rPr>
        <w:t>urad</w:t>
      </w:r>
      <w:r w:rsidR="00EE210D">
        <w:rPr>
          <w:rFonts w:ascii="Arial" w:hAnsi="Arial"/>
          <w:sz w:val="20"/>
        </w:rPr>
        <w:t>u</w:t>
      </w:r>
      <w:r w:rsidRPr="00424274">
        <w:rPr>
          <w:rFonts w:ascii="Arial" w:hAnsi="Arial"/>
          <w:sz w:val="20"/>
        </w:rPr>
        <w:t xml:space="preserve"> </w:t>
      </w:r>
      <w:r w:rsidR="00EE210D">
        <w:rPr>
          <w:rFonts w:ascii="Arial" w:hAnsi="Arial"/>
          <w:sz w:val="20"/>
        </w:rPr>
        <w:t>sporočili</w:t>
      </w:r>
      <w:r w:rsidRPr="00424274">
        <w:rPr>
          <w:rFonts w:ascii="Arial" w:hAnsi="Arial"/>
          <w:sz w:val="20"/>
        </w:rPr>
        <w:t xml:space="preserve"> zavezanc</w:t>
      </w:r>
      <w:r w:rsidR="00EE210D">
        <w:rPr>
          <w:rFonts w:ascii="Arial" w:hAnsi="Arial"/>
          <w:sz w:val="20"/>
        </w:rPr>
        <w:t>i</w:t>
      </w:r>
      <w:r w:rsidRPr="00424274">
        <w:rPr>
          <w:rFonts w:ascii="Arial" w:hAnsi="Arial"/>
          <w:sz w:val="20"/>
        </w:rPr>
        <w:t xml:space="preserve"> v letu poprej. </w:t>
      </w:r>
      <w:r w:rsidR="00EE210D">
        <w:rPr>
          <w:rFonts w:ascii="Arial" w:hAnsi="Arial"/>
          <w:sz w:val="20"/>
        </w:rPr>
        <w:t>Čez</w:t>
      </w:r>
      <w:r w:rsidR="00EE210D" w:rsidRPr="00424274">
        <w:rPr>
          <w:rFonts w:ascii="Arial" w:hAnsi="Arial"/>
          <w:sz w:val="20"/>
        </w:rPr>
        <w:t xml:space="preserve"> </w:t>
      </w:r>
      <w:r w:rsidRPr="00424274">
        <w:rPr>
          <w:rFonts w:ascii="Arial" w:hAnsi="Arial"/>
          <w:sz w:val="20"/>
        </w:rPr>
        <w:t xml:space="preserve">celo leto se izvaja sintaktično preverjanje pravilnih zapisov podatkov v podatkovno zbirko. </w:t>
      </w:r>
    </w:p>
    <w:p w14:paraId="68335270" w14:textId="77777777" w:rsidR="008919CC" w:rsidRPr="00424274" w:rsidRDefault="008919CC" w:rsidP="00EF2CDC">
      <w:pPr>
        <w:spacing w:line="276" w:lineRule="auto"/>
        <w:rPr>
          <w:rFonts w:ascii="Arial" w:hAnsi="Arial"/>
          <w:sz w:val="20"/>
        </w:rPr>
      </w:pPr>
    </w:p>
    <w:p w14:paraId="4F52C387" w14:textId="31E4028D" w:rsidR="009C481B" w:rsidRPr="00424274" w:rsidRDefault="009C481B" w:rsidP="009C481B">
      <w:pPr>
        <w:pStyle w:val="Odstavekseznama"/>
        <w:keepNext/>
        <w:numPr>
          <w:ilvl w:val="2"/>
          <w:numId w:val="30"/>
        </w:numPr>
        <w:spacing w:before="240" w:after="60" w:line="276" w:lineRule="auto"/>
        <w:outlineLvl w:val="2"/>
        <w:rPr>
          <w:rFonts w:ascii="Arial" w:hAnsi="Arial" w:cs="Arial"/>
          <w:i/>
          <w:iCs/>
          <w:sz w:val="20"/>
          <w:szCs w:val="20"/>
          <w:lang w:val="sl-SI"/>
        </w:rPr>
      </w:pPr>
      <w:bookmarkStart w:id="249" w:name="_Toc45272770"/>
      <w:bookmarkStart w:id="250" w:name="_Toc113535517"/>
      <w:r w:rsidRPr="00424274">
        <w:rPr>
          <w:rFonts w:ascii="Arial" w:hAnsi="Arial" w:cs="Arial"/>
          <w:i/>
          <w:iCs/>
          <w:sz w:val="20"/>
          <w:szCs w:val="20"/>
          <w:lang w:val="sl-SI"/>
        </w:rPr>
        <w:t xml:space="preserve">Administriranje in vzdrževanje notranjih strežnikov </w:t>
      </w:r>
      <w:r w:rsidR="00A0541B">
        <w:rPr>
          <w:rFonts w:ascii="Arial" w:hAnsi="Arial" w:cs="Arial"/>
          <w:i/>
          <w:iCs/>
          <w:sz w:val="20"/>
          <w:szCs w:val="20"/>
          <w:lang w:val="sl-SI"/>
        </w:rPr>
        <w:t>urad</w:t>
      </w:r>
      <w:r w:rsidRPr="00424274">
        <w:rPr>
          <w:rFonts w:ascii="Arial" w:hAnsi="Arial" w:cs="Arial"/>
          <w:i/>
          <w:iCs/>
          <w:sz w:val="20"/>
          <w:szCs w:val="20"/>
          <w:lang w:val="sl-SI"/>
        </w:rPr>
        <w:t>a</w:t>
      </w:r>
      <w:bookmarkEnd w:id="249"/>
      <w:bookmarkEnd w:id="250"/>
    </w:p>
    <w:p w14:paraId="3523F300" w14:textId="77777777" w:rsidR="009C481B" w:rsidRPr="00424274" w:rsidRDefault="009C481B" w:rsidP="009C481B">
      <w:pPr>
        <w:spacing w:line="276" w:lineRule="auto"/>
        <w:rPr>
          <w:rFonts w:ascii="Arial" w:hAnsi="Arial"/>
          <w:sz w:val="20"/>
        </w:rPr>
      </w:pPr>
    </w:p>
    <w:p w14:paraId="3F2E227D" w14:textId="4541449B" w:rsidR="009C481B" w:rsidRPr="00424274" w:rsidRDefault="009C481B" w:rsidP="009C481B">
      <w:pPr>
        <w:spacing w:line="276" w:lineRule="auto"/>
        <w:rPr>
          <w:rFonts w:ascii="Arial" w:hAnsi="Arial"/>
          <w:sz w:val="20"/>
        </w:rPr>
      </w:pPr>
      <w:r w:rsidRPr="00424274">
        <w:rPr>
          <w:rFonts w:ascii="Arial" w:hAnsi="Arial"/>
          <w:sz w:val="20"/>
        </w:rPr>
        <w:t xml:space="preserve">Na notranjem omrežju </w:t>
      </w:r>
      <w:r w:rsidR="00A0541B">
        <w:rPr>
          <w:rFonts w:ascii="Arial" w:hAnsi="Arial"/>
          <w:sz w:val="20"/>
        </w:rPr>
        <w:t>urad</w:t>
      </w:r>
      <w:r w:rsidRPr="00424274">
        <w:rPr>
          <w:rFonts w:ascii="Arial" w:hAnsi="Arial"/>
          <w:sz w:val="20"/>
        </w:rPr>
        <w:t>a se redno spremlja</w:t>
      </w:r>
      <w:r w:rsidR="00AC0B27">
        <w:rPr>
          <w:rFonts w:ascii="Arial" w:hAnsi="Arial"/>
          <w:sz w:val="20"/>
        </w:rPr>
        <w:t>jo</w:t>
      </w:r>
      <w:r w:rsidRPr="00424274">
        <w:rPr>
          <w:rFonts w:ascii="Arial" w:hAnsi="Arial"/>
          <w:sz w:val="20"/>
        </w:rPr>
        <w:t xml:space="preserve"> log datotek</w:t>
      </w:r>
      <w:r w:rsidR="00AC0B27">
        <w:rPr>
          <w:rFonts w:ascii="Arial" w:hAnsi="Arial"/>
          <w:sz w:val="20"/>
        </w:rPr>
        <w:t>e</w:t>
      </w:r>
      <w:r w:rsidRPr="00424274">
        <w:rPr>
          <w:rFonts w:ascii="Arial" w:hAnsi="Arial"/>
          <w:sz w:val="20"/>
        </w:rPr>
        <w:t xml:space="preserve"> in opravlja</w:t>
      </w:r>
      <w:r w:rsidR="00AC0B27">
        <w:rPr>
          <w:rFonts w:ascii="Arial" w:hAnsi="Arial"/>
          <w:sz w:val="20"/>
        </w:rPr>
        <w:t>jo</w:t>
      </w:r>
      <w:r w:rsidRPr="00424274">
        <w:rPr>
          <w:rFonts w:ascii="Arial" w:hAnsi="Arial"/>
          <w:sz w:val="20"/>
        </w:rPr>
        <w:t xml:space="preserve"> servisn</w:t>
      </w:r>
      <w:r w:rsidR="00AC0B27">
        <w:rPr>
          <w:rFonts w:ascii="Arial" w:hAnsi="Arial"/>
          <w:sz w:val="20"/>
        </w:rPr>
        <w:t>a</w:t>
      </w:r>
      <w:r w:rsidRPr="00424274">
        <w:rPr>
          <w:rFonts w:ascii="Arial" w:hAnsi="Arial"/>
          <w:sz w:val="20"/>
        </w:rPr>
        <w:t xml:space="preserve"> del</w:t>
      </w:r>
      <w:r w:rsidR="00AC0B27">
        <w:rPr>
          <w:rFonts w:ascii="Arial" w:hAnsi="Arial"/>
          <w:sz w:val="20"/>
        </w:rPr>
        <w:t>a</w:t>
      </w:r>
      <w:r w:rsidRPr="00424274">
        <w:rPr>
          <w:rFonts w:ascii="Arial" w:hAnsi="Arial"/>
          <w:sz w:val="20"/>
        </w:rPr>
        <w:t xml:space="preserve"> zaradi programskih napak in strojnih okvar, če/ko se te pojavijo. Tak pregled se je </w:t>
      </w:r>
      <w:r w:rsidR="00EE210D">
        <w:rPr>
          <w:rFonts w:ascii="Arial" w:hAnsi="Arial"/>
          <w:sz w:val="20"/>
        </w:rPr>
        <w:t>izvajal</w:t>
      </w:r>
      <w:r w:rsidR="00EE210D" w:rsidRPr="00424274">
        <w:rPr>
          <w:rFonts w:ascii="Arial" w:hAnsi="Arial"/>
          <w:sz w:val="20"/>
        </w:rPr>
        <w:t xml:space="preserve"> </w:t>
      </w:r>
      <w:r w:rsidRPr="00424274">
        <w:rPr>
          <w:rFonts w:ascii="Arial" w:hAnsi="Arial"/>
          <w:sz w:val="20"/>
        </w:rPr>
        <w:t xml:space="preserve">tedensko, po potrebi tudi pogosteje. </w:t>
      </w:r>
    </w:p>
    <w:p w14:paraId="3F99DB6A" w14:textId="0C8344C2" w:rsidR="004445DD" w:rsidRPr="00424274" w:rsidRDefault="004445DD" w:rsidP="009C481B">
      <w:pPr>
        <w:spacing w:line="276" w:lineRule="auto"/>
        <w:rPr>
          <w:rFonts w:ascii="Arial" w:hAnsi="Arial"/>
          <w:sz w:val="20"/>
        </w:rPr>
      </w:pPr>
    </w:p>
    <w:p w14:paraId="532B98E3" w14:textId="73F1D75B" w:rsidR="004445DD" w:rsidRPr="00424274" w:rsidRDefault="004445DD" w:rsidP="004445DD">
      <w:pPr>
        <w:pStyle w:val="Odstavekseznama"/>
        <w:keepNext/>
        <w:numPr>
          <w:ilvl w:val="2"/>
          <w:numId w:val="30"/>
        </w:numPr>
        <w:spacing w:before="240" w:after="60" w:line="276" w:lineRule="auto"/>
        <w:outlineLvl w:val="2"/>
        <w:rPr>
          <w:rFonts w:ascii="Arial" w:hAnsi="Arial" w:cs="Arial"/>
          <w:i/>
          <w:iCs/>
          <w:sz w:val="20"/>
          <w:szCs w:val="20"/>
          <w:lang w:val="sl-SI"/>
        </w:rPr>
      </w:pPr>
      <w:bookmarkStart w:id="251" w:name="_Toc45272772"/>
      <w:bookmarkStart w:id="252" w:name="_Toc113535518"/>
      <w:r w:rsidRPr="00424274">
        <w:rPr>
          <w:rFonts w:ascii="Arial" w:hAnsi="Arial" w:cs="Arial"/>
          <w:i/>
          <w:iCs/>
          <w:sz w:val="20"/>
          <w:szCs w:val="20"/>
          <w:lang w:val="sl-SI"/>
        </w:rPr>
        <w:t>Arhiviranje prejetih zaupnih podatkov</w:t>
      </w:r>
      <w:bookmarkEnd w:id="251"/>
      <w:bookmarkEnd w:id="252"/>
    </w:p>
    <w:p w14:paraId="4A9512A2" w14:textId="77777777" w:rsidR="004445DD" w:rsidRPr="00424274" w:rsidRDefault="004445DD" w:rsidP="004445DD">
      <w:pPr>
        <w:rPr>
          <w:rFonts w:ascii="Arial" w:hAnsi="Arial"/>
          <w:sz w:val="20"/>
        </w:rPr>
      </w:pPr>
    </w:p>
    <w:p w14:paraId="53F8A658" w14:textId="67D13184" w:rsidR="004445DD" w:rsidRPr="00424274" w:rsidRDefault="004445DD" w:rsidP="004445DD">
      <w:pPr>
        <w:rPr>
          <w:rFonts w:ascii="Arial" w:hAnsi="Arial"/>
          <w:sz w:val="20"/>
        </w:rPr>
      </w:pPr>
      <w:r w:rsidRPr="00424274">
        <w:rPr>
          <w:rFonts w:ascii="Arial" w:hAnsi="Arial"/>
          <w:sz w:val="20"/>
        </w:rPr>
        <w:t xml:space="preserve">Služba za informatiko skrbi za </w:t>
      </w:r>
      <w:r w:rsidR="00985A02">
        <w:rPr>
          <w:rFonts w:ascii="Arial" w:hAnsi="Arial"/>
          <w:sz w:val="20"/>
        </w:rPr>
        <w:t>sprotno</w:t>
      </w:r>
      <w:r w:rsidR="00985A02" w:rsidRPr="00424274">
        <w:rPr>
          <w:rFonts w:ascii="Arial" w:hAnsi="Arial"/>
          <w:sz w:val="20"/>
        </w:rPr>
        <w:t xml:space="preserve"> </w:t>
      </w:r>
      <w:r w:rsidRPr="00424274">
        <w:rPr>
          <w:rFonts w:ascii="Arial" w:hAnsi="Arial"/>
          <w:sz w:val="20"/>
        </w:rPr>
        <w:t xml:space="preserve">izdelavo in hranjenje varnostnih kopij celotnega informacijskega sistema. Arhiviranje poteka </w:t>
      </w:r>
      <w:r w:rsidR="00985A02">
        <w:rPr>
          <w:rFonts w:ascii="Arial" w:hAnsi="Arial"/>
          <w:sz w:val="20"/>
        </w:rPr>
        <w:t>večinoma</w:t>
      </w:r>
      <w:r w:rsidRPr="00424274">
        <w:rPr>
          <w:rFonts w:ascii="Arial" w:hAnsi="Arial"/>
          <w:sz w:val="20"/>
        </w:rPr>
        <w:t xml:space="preserve"> avtomatizirano, tako da se ob zapustitvi seje izvede pripravljena</w:t>
      </w:r>
      <w:r w:rsidR="00EA2B5F" w:rsidRPr="00424274">
        <w:rPr>
          <w:rFonts w:ascii="Arial" w:hAnsi="Arial"/>
          <w:sz w:val="20"/>
        </w:rPr>
        <w:t xml:space="preserve"> </w:t>
      </w:r>
      <w:r w:rsidRPr="00424274">
        <w:rPr>
          <w:rFonts w:ascii="Arial" w:hAnsi="Arial"/>
          <w:sz w:val="20"/>
        </w:rPr>
        <w:t>skripta, ki poskrbi</w:t>
      </w:r>
      <w:r w:rsidR="00EA2B5F" w:rsidRPr="00424274">
        <w:rPr>
          <w:rFonts w:ascii="Arial" w:hAnsi="Arial"/>
          <w:sz w:val="20"/>
        </w:rPr>
        <w:t>,</w:t>
      </w:r>
      <w:r w:rsidRPr="00424274">
        <w:rPr>
          <w:rFonts w:ascii="Arial" w:hAnsi="Arial"/>
          <w:sz w:val="20"/>
        </w:rPr>
        <w:t xml:space="preserve"> da se vsakodnevni arhiv zapiše na zunanji podatkovni nosilec. Periodično se arhiv prenese na trajnejše podatkovne nosilce. </w:t>
      </w:r>
    </w:p>
    <w:p w14:paraId="0512617A" w14:textId="77777777" w:rsidR="004445DD" w:rsidRPr="00424274" w:rsidRDefault="004445DD" w:rsidP="004445DD">
      <w:pPr>
        <w:rPr>
          <w:rFonts w:ascii="Arial" w:hAnsi="Arial"/>
          <w:sz w:val="20"/>
        </w:rPr>
      </w:pPr>
    </w:p>
    <w:p w14:paraId="2D324131" w14:textId="705DB4D1" w:rsidR="004445DD" w:rsidRPr="00424274" w:rsidRDefault="004445DD" w:rsidP="002530C8">
      <w:pPr>
        <w:spacing w:line="276" w:lineRule="auto"/>
        <w:rPr>
          <w:rFonts w:ascii="Arial" w:hAnsi="Arial"/>
          <w:sz w:val="20"/>
        </w:rPr>
      </w:pPr>
      <w:r w:rsidRPr="00424274">
        <w:rPr>
          <w:rFonts w:ascii="Arial" w:hAnsi="Arial"/>
          <w:sz w:val="20"/>
        </w:rPr>
        <w:t>Arhivirajo se tudi podatki</w:t>
      </w:r>
      <w:r w:rsidR="00EA2B5F" w:rsidRPr="00424274">
        <w:rPr>
          <w:rFonts w:ascii="Arial" w:hAnsi="Arial"/>
          <w:sz w:val="20"/>
        </w:rPr>
        <w:t>,</w:t>
      </w:r>
      <w:r w:rsidRPr="00424274">
        <w:rPr>
          <w:rFonts w:ascii="Arial" w:hAnsi="Arial"/>
          <w:sz w:val="20"/>
        </w:rPr>
        <w:t xml:space="preserve"> prejeti prek sporočilnega sistema ESW in Fiu.net. Služba za informatiko skrbi za redno posodabljanje </w:t>
      </w:r>
      <w:proofErr w:type="spellStart"/>
      <w:r w:rsidRPr="00424274">
        <w:rPr>
          <w:rFonts w:ascii="Arial" w:hAnsi="Arial"/>
          <w:sz w:val="20"/>
        </w:rPr>
        <w:t>kriptirnih</w:t>
      </w:r>
      <w:proofErr w:type="spellEnd"/>
      <w:r w:rsidRPr="00424274">
        <w:rPr>
          <w:rFonts w:ascii="Arial" w:hAnsi="Arial"/>
          <w:sz w:val="20"/>
        </w:rPr>
        <w:t xml:space="preserve"> ključev na kriptografski napravi </w:t>
      </w:r>
      <w:r w:rsidR="007B5E7B">
        <w:rPr>
          <w:rFonts w:ascii="Arial" w:hAnsi="Arial"/>
          <w:sz w:val="20"/>
        </w:rPr>
        <w:t xml:space="preserve">omrežja </w:t>
      </w:r>
      <w:r w:rsidRPr="00424274">
        <w:rPr>
          <w:rFonts w:ascii="Arial" w:hAnsi="Arial"/>
          <w:sz w:val="20"/>
        </w:rPr>
        <w:t xml:space="preserve">Fiu.net v sodelovanju </w:t>
      </w:r>
      <w:r w:rsidR="00EA2B5F" w:rsidRPr="00424274">
        <w:rPr>
          <w:rFonts w:ascii="Arial" w:hAnsi="Arial"/>
          <w:sz w:val="20"/>
        </w:rPr>
        <w:t xml:space="preserve">z </w:t>
      </w:r>
      <w:r w:rsidRPr="00424274">
        <w:rPr>
          <w:rFonts w:ascii="Arial" w:hAnsi="Arial"/>
          <w:sz w:val="20"/>
        </w:rPr>
        <w:t xml:space="preserve">administratorjem omrežja Fiu.net </w:t>
      </w:r>
      <w:proofErr w:type="spellStart"/>
      <w:r w:rsidRPr="00424274">
        <w:rPr>
          <w:rFonts w:ascii="Arial" w:hAnsi="Arial"/>
          <w:sz w:val="20"/>
        </w:rPr>
        <w:t>Bureau</w:t>
      </w:r>
      <w:proofErr w:type="spellEnd"/>
      <w:r w:rsidRPr="00424274">
        <w:rPr>
          <w:rFonts w:ascii="Arial" w:hAnsi="Arial"/>
          <w:sz w:val="20"/>
        </w:rPr>
        <w:t xml:space="preserve"> </w:t>
      </w:r>
      <w:r w:rsidR="007B5E7B">
        <w:rPr>
          <w:rFonts w:ascii="Arial" w:hAnsi="Arial"/>
          <w:sz w:val="20"/>
        </w:rPr>
        <w:t xml:space="preserve">iz </w:t>
      </w:r>
      <w:r w:rsidRPr="00424274">
        <w:rPr>
          <w:rFonts w:ascii="Arial" w:hAnsi="Arial"/>
          <w:sz w:val="20"/>
        </w:rPr>
        <w:t>Haaga.</w:t>
      </w:r>
    </w:p>
    <w:p w14:paraId="22F17263" w14:textId="77777777" w:rsidR="004445DD" w:rsidRPr="00424274" w:rsidRDefault="004445DD" w:rsidP="009C481B">
      <w:pPr>
        <w:spacing w:line="276" w:lineRule="auto"/>
        <w:rPr>
          <w:rFonts w:ascii="Arial" w:hAnsi="Arial"/>
          <w:sz w:val="20"/>
        </w:rPr>
      </w:pPr>
    </w:p>
    <w:p w14:paraId="22CF9BF1" w14:textId="31384777" w:rsidR="006909A7" w:rsidRPr="00424274" w:rsidRDefault="006909A7" w:rsidP="00D34FD6">
      <w:pPr>
        <w:pStyle w:val="Odstavekseznama"/>
        <w:keepNext/>
        <w:numPr>
          <w:ilvl w:val="2"/>
          <w:numId w:val="30"/>
        </w:numPr>
        <w:spacing w:before="240" w:after="60" w:line="276" w:lineRule="auto"/>
        <w:outlineLvl w:val="2"/>
        <w:rPr>
          <w:rFonts w:ascii="Arial" w:hAnsi="Arial" w:cs="Arial"/>
          <w:i/>
          <w:iCs/>
          <w:sz w:val="20"/>
          <w:szCs w:val="20"/>
          <w:lang w:val="sl-SI"/>
        </w:rPr>
      </w:pPr>
      <w:bookmarkStart w:id="253" w:name="_Toc45272774"/>
      <w:bookmarkStart w:id="254" w:name="_Toc113535519"/>
      <w:r w:rsidRPr="00424274">
        <w:rPr>
          <w:rFonts w:ascii="Arial" w:hAnsi="Arial" w:cs="Arial"/>
          <w:i/>
          <w:iCs/>
          <w:sz w:val="20"/>
          <w:szCs w:val="20"/>
          <w:lang w:val="sl-SI"/>
        </w:rPr>
        <w:t>Podatki o sporočenih gotovinskih transakcijah</w:t>
      </w:r>
      <w:bookmarkEnd w:id="253"/>
      <w:bookmarkEnd w:id="254"/>
    </w:p>
    <w:p w14:paraId="119E2F8A" w14:textId="77777777" w:rsidR="006909A7" w:rsidRPr="00424274" w:rsidRDefault="006909A7" w:rsidP="006909A7">
      <w:pPr>
        <w:spacing w:line="276" w:lineRule="auto"/>
        <w:rPr>
          <w:rFonts w:ascii="Arial" w:hAnsi="Arial"/>
          <w:sz w:val="20"/>
          <w:highlight w:val="yellow"/>
        </w:rPr>
      </w:pPr>
    </w:p>
    <w:p w14:paraId="7C928371" w14:textId="1629599B" w:rsidR="006909A7" w:rsidRPr="00424274" w:rsidRDefault="006909A7" w:rsidP="0000571D">
      <w:pPr>
        <w:spacing w:line="276" w:lineRule="auto"/>
        <w:rPr>
          <w:rFonts w:ascii="Arial" w:hAnsi="Arial"/>
          <w:sz w:val="20"/>
        </w:rPr>
      </w:pPr>
      <w:r w:rsidRPr="00424274">
        <w:rPr>
          <w:rFonts w:ascii="Arial" w:hAnsi="Arial"/>
          <w:sz w:val="20"/>
        </w:rPr>
        <w:t>Ločeno poteka arhiviranje podatkov</w:t>
      </w:r>
      <w:r w:rsidR="001F0C25" w:rsidRPr="00424274">
        <w:rPr>
          <w:rFonts w:ascii="Arial" w:hAnsi="Arial"/>
          <w:sz w:val="20"/>
        </w:rPr>
        <w:t xml:space="preserve"> </w:t>
      </w:r>
      <w:r w:rsidRPr="00424274">
        <w:rPr>
          <w:rFonts w:ascii="Arial" w:hAnsi="Arial"/>
          <w:sz w:val="20"/>
        </w:rPr>
        <w:t>na ravni podatkovnih zbirk aplikativnih rešitev (</w:t>
      </w:r>
      <w:proofErr w:type="spellStart"/>
      <w:r w:rsidRPr="00424274">
        <w:rPr>
          <w:rFonts w:ascii="Arial" w:hAnsi="Arial"/>
          <w:sz w:val="20"/>
        </w:rPr>
        <w:t>ePPD</w:t>
      </w:r>
      <w:proofErr w:type="spellEnd"/>
      <w:r w:rsidRPr="00424274">
        <w:rPr>
          <w:rFonts w:ascii="Arial" w:hAnsi="Arial"/>
          <w:sz w:val="20"/>
        </w:rPr>
        <w:t>, INSPIS, Krpan ISUPPD) ter podatkov o sporočenih gotovinskih transakcijah in nakazilih (podatkovne zbirke)</w:t>
      </w:r>
      <w:r w:rsidR="007B5E7B">
        <w:rPr>
          <w:rFonts w:ascii="Arial" w:hAnsi="Arial"/>
          <w:sz w:val="20"/>
        </w:rPr>
        <w:t>,</w:t>
      </w:r>
      <w:r w:rsidRPr="00424274">
        <w:rPr>
          <w:rFonts w:ascii="Arial" w:hAnsi="Arial"/>
          <w:sz w:val="20"/>
        </w:rPr>
        <w:t xml:space="preserve"> prejetih </w:t>
      </w:r>
      <w:r w:rsidR="007B5E7B">
        <w:rPr>
          <w:rFonts w:ascii="Arial" w:hAnsi="Arial"/>
          <w:sz w:val="20"/>
        </w:rPr>
        <w:t>od</w:t>
      </w:r>
      <w:r w:rsidRPr="00424274">
        <w:rPr>
          <w:rFonts w:ascii="Arial" w:hAnsi="Arial"/>
          <w:sz w:val="20"/>
        </w:rPr>
        <w:t xml:space="preserve"> zavezancev. Tak način je nujen za</w:t>
      </w:r>
      <w:r w:rsidR="00010FC1">
        <w:rPr>
          <w:rFonts w:ascii="Arial" w:hAnsi="Arial"/>
          <w:sz w:val="20"/>
        </w:rPr>
        <w:t>to</w:t>
      </w:r>
      <w:r w:rsidRPr="00424274">
        <w:rPr>
          <w:rFonts w:ascii="Arial" w:hAnsi="Arial"/>
          <w:sz w:val="20"/>
        </w:rPr>
        <w:t xml:space="preserve">, ker je zakonska obveza </w:t>
      </w:r>
      <w:r w:rsidR="00A0541B">
        <w:rPr>
          <w:rFonts w:ascii="Arial" w:hAnsi="Arial"/>
          <w:sz w:val="20"/>
        </w:rPr>
        <w:t>urad</w:t>
      </w:r>
      <w:r w:rsidRPr="00424274">
        <w:rPr>
          <w:rFonts w:ascii="Arial" w:hAnsi="Arial"/>
          <w:sz w:val="20"/>
        </w:rPr>
        <w:t xml:space="preserve">a, da se podatki hranijo v nespremenjeni obliki, </w:t>
      </w:r>
      <w:r w:rsidR="007B5E7B">
        <w:rPr>
          <w:rFonts w:ascii="Arial" w:hAnsi="Arial"/>
          <w:sz w:val="20"/>
        </w:rPr>
        <w:t>kakor</w:t>
      </w:r>
      <w:r w:rsidR="007B5E7B" w:rsidRPr="00424274">
        <w:rPr>
          <w:rFonts w:ascii="Arial" w:hAnsi="Arial"/>
          <w:sz w:val="20"/>
        </w:rPr>
        <w:t xml:space="preserve"> </w:t>
      </w:r>
      <w:r w:rsidRPr="00424274">
        <w:rPr>
          <w:rFonts w:ascii="Arial" w:hAnsi="Arial"/>
          <w:sz w:val="20"/>
        </w:rPr>
        <w:t xml:space="preserve">so </w:t>
      </w:r>
      <w:r w:rsidR="007B5E7B">
        <w:rPr>
          <w:rFonts w:ascii="Arial" w:hAnsi="Arial"/>
          <w:sz w:val="20"/>
        </w:rPr>
        <w:t>jih</w:t>
      </w:r>
      <w:r w:rsidR="007B5E7B" w:rsidRPr="00424274">
        <w:rPr>
          <w:rFonts w:ascii="Arial" w:hAnsi="Arial"/>
          <w:sz w:val="20"/>
        </w:rPr>
        <w:t xml:space="preserve"> </w:t>
      </w:r>
      <w:r w:rsidRPr="00424274">
        <w:rPr>
          <w:rFonts w:ascii="Arial" w:hAnsi="Arial"/>
          <w:sz w:val="20"/>
        </w:rPr>
        <w:t>sporoč</w:t>
      </w:r>
      <w:r w:rsidR="007B5E7B">
        <w:rPr>
          <w:rFonts w:ascii="Arial" w:hAnsi="Arial"/>
          <w:sz w:val="20"/>
        </w:rPr>
        <w:t>ili</w:t>
      </w:r>
      <w:r w:rsidRPr="00424274">
        <w:rPr>
          <w:rFonts w:ascii="Arial" w:hAnsi="Arial"/>
          <w:sz w:val="20"/>
        </w:rPr>
        <w:t xml:space="preserve"> posamezni zavezanc</w:t>
      </w:r>
      <w:r w:rsidR="007B5E7B">
        <w:rPr>
          <w:rFonts w:ascii="Arial" w:hAnsi="Arial"/>
          <w:sz w:val="20"/>
        </w:rPr>
        <w:t>i</w:t>
      </w:r>
      <w:r w:rsidRPr="00424274">
        <w:rPr>
          <w:rFonts w:ascii="Arial" w:hAnsi="Arial"/>
          <w:sz w:val="20"/>
        </w:rPr>
        <w:t xml:space="preserve">. Tudi podatke, ki jih </w:t>
      </w:r>
      <w:r w:rsidR="00A0541B">
        <w:rPr>
          <w:rFonts w:ascii="Arial" w:hAnsi="Arial"/>
          <w:sz w:val="20"/>
        </w:rPr>
        <w:t>urad</w:t>
      </w:r>
      <w:r w:rsidRPr="00424274">
        <w:rPr>
          <w:rFonts w:ascii="Arial" w:hAnsi="Arial"/>
          <w:sz w:val="20"/>
        </w:rPr>
        <w:t xml:space="preserve"> prejme od FURS, je </w:t>
      </w:r>
      <w:r w:rsidR="008126B7">
        <w:rPr>
          <w:rFonts w:ascii="Arial" w:hAnsi="Arial"/>
          <w:sz w:val="20"/>
        </w:rPr>
        <w:t>treba</w:t>
      </w:r>
      <w:r w:rsidRPr="00424274">
        <w:rPr>
          <w:rFonts w:ascii="Arial" w:hAnsi="Arial"/>
          <w:sz w:val="20"/>
        </w:rPr>
        <w:t xml:space="preserve"> arhivirati. </w:t>
      </w:r>
    </w:p>
    <w:p w14:paraId="0B63FA06" w14:textId="4B5F3C6A" w:rsidR="00924558" w:rsidRPr="00424274" w:rsidRDefault="00924558" w:rsidP="00924558">
      <w:pPr>
        <w:pStyle w:val="Odstavekseznama"/>
        <w:keepNext/>
        <w:numPr>
          <w:ilvl w:val="2"/>
          <w:numId w:val="30"/>
        </w:numPr>
        <w:spacing w:before="240" w:after="60" w:line="276" w:lineRule="auto"/>
        <w:outlineLvl w:val="2"/>
        <w:rPr>
          <w:rFonts w:ascii="Arial" w:hAnsi="Arial"/>
          <w:i/>
          <w:iCs/>
          <w:sz w:val="20"/>
          <w:lang w:val="sl-SI"/>
        </w:rPr>
      </w:pPr>
      <w:bookmarkStart w:id="255" w:name="_Toc45272776"/>
      <w:bookmarkStart w:id="256" w:name="_Toc113535520"/>
      <w:r w:rsidRPr="00424274">
        <w:rPr>
          <w:rFonts w:ascii="Arial" w:hAnsi="Arial"/>
          <w:i/>
          <w:iCs/>
          <w:sz w:val="20"/>
          <w:lang w:val="sl-SI"/>
        </w:rPr>
        <w:t xml:space="preserve">Vključevanje novih sodelavcev v delovni proces </w:t>
      </w:r>
      <w:r w:rsidR="00A0541B">
        <w:rPr>
          <w:rFonts w:ascii="Arial" w:hAnsi="Arial"/>
          <w:i/>
          <w:iCs/>
          <w:sz w:val="20"/>
          <w:lang w:val="sl-SI"/>
        </w:rPr>
        <w:t>urad</w:t>
      </w:r>
      <w:r w:rsidRPr="00424274">
        <w:rPr>
          <w:rFonts w:ascii="Arial" w:hAnsi="Arial"/>
          <w:i/>
          <w:iCs/>
          <w:sz w:val="20"/>
          <w:lang w:val="sl-SI"/>
        </w:rPr>
        <w:t>a</w:t>
      </w:r>
      <w:bookmarkEnd w:id="255"/>
      <w:bookmarkEnd w:id="256"/>
    </w:p>
    <w:p w14:paraId="157B64B1" w14:textId="77777777" w:rsidR="00924558" w:rsidRPr="00424274" w:rsidRDefault="00924558" w:rsidP="00924558">
      <w:pPr>
        <w:spacing w:line="276" w:lineRule="auto"/>
        <w:contextualSpacing/>
        <w:rPr>
          <w:rFonts w:ascii="Arial" w:hAnsi="Arial"/>
          <w:iCs/>
          <w:sz w:val="20"/>
          <w:highlight w:val="yellow"/>
        </w:rPr>
      </w:pPr>
    </w:p>
    <w:p w14:paraId="39D289BB" w14:textId="1AF494B6" w:rsidR="00924558" w:rsidRPr="00424274" w:rsidRDefault="00924558" w:rsidP="0000571D">
      <w:pPr>
        <w:spacing w:line="276" w:lineRule="auto"/>
        <w:contextualSpacing/>
        <w:rPr>
          <w:rFonts w:ascii="Arial" w:hAnsi="Arial"/>
          <w:iCs/>
          <w:sz w:val="20"/>
        </w:rPr>
      </w:pPr>
      <w:r w:rsidRPr="00424274">
        <w:rPr>
          <w:rFonts w:ascii="Arial" w:hAnsi="Arial"/>
          <w:iCs/>
          <w:sz w:val="20"/>
        </w:rPr>
        <w:t>V letu 2020 smo v Službi za informatiko sodelovali pri tehnično</w:t>
      </w:r>
      <w:r w:rsidR="00352E51">
        <w:rPr>
          <w:rFonts w:ascii="Arial" w:hAnsi="Arial"/>
          <w:iCs/>
          <w:sz w:val="20"/>
        </w:rPr>
        <w:t>-</w:t>
      </w:r>
      <w:r w:rsidRPr="00424274">
        <w:rPr>
          <w:rFonts w:ascii="Arial" w:hAnsi="Arial"/>
          <w:iCs/>
          <w:sz w:val="20"/>
        </w:rPr>
        <w:t xml:space="preserve">informacijski vključitvi novih sodelavcev v delovni proces. </w:t>
      </w:r>
      <w:r w:rsidR="00833015">
        <w:rPr>
          <w:rFonts w:ascii="Arial" w:hAnsi="Arial"/>
          <w:iCs/>
          <w:sz w:val="20"/>
        </w:rPr>
        <w:t>N</w:t>
      </w:r>
      <w:r w:rsidRPr="00424274">
        <w:rPr>
          <w:rFonts w:ascii="Arial" w:hAnsi="Arial"/>
          <w:iCs/>
          <w:sz w:val="20"/>
        </w:rPr>
        <w:t xml:space="preserve">amestili </w:t>
      </w:r>
      <w:r w:rsidR="00352E51">
        <w:rPr>
          <w:rFonts w:ascii="Arial" w:hAnsi="Arial"/>
          <w:iCs/>
          <w:sz w:val="20"/>
        </w:rPr>
        <w:t>in</w:t>
      </w:r>
      <w:r w:rsidR="00352E51" w:rsidRPr="00424274">
        <w:rPr>
          <w:rFonts w:ascii="Arial" w:hAnsi="Arial"/>
          <w:iCs/>
          <w:sz w:val="20"/>
        </w:rPr>
        <w:t xml:space="preserve"> </w:t>
      </w:r>
      <w:r w:rsidRPr="00424274">
        <w:rPr>
          <w:rFonts w:ascii="Arial" w:hAnsi="Arial"/>
          <w:iCs/>
          <w:sz w:val="20"/>
        </w:rPr>
        <w:t xml:space="preserve">konfigurirali </w:t>
      </w:r>
      <w:r w:rsidR="00833015">
        <w:rPr>
          <w:rFonts w:ascii="Arial" w:hAnsi="Arial"/>
          <w:iCs/>
          <w:sz w:val="20"/>
        </w:rPr>
        <w:t xml:space="preserve">smo jim </w:t>
      </w:r>
      <w:r w:rsidRPr="00424274">
        <w:rPr>
          <w:rFonts w:ascii="Arial" w:hAnsi="Arial"/>
          <w:iCs/>
          <w:sz w:val="20"/>
        </w:rPr>
        <w:t>vso potrebno informacijsko</w:t>
      </w:r>
      <w:r w:rsidR="00F73794">
        <w:rPr>
          <w:rFonts w:ascii="Arial" w:hAnsi="Arial"/>
          <w:iCs/>
          <w:sz w:val="20"/>
        </w:rPr>
        <w:t>-</w:t>
      </w:r>
      <w:r w:rsidRPr="00424274">
        <w:rPr>
          <w:rFonts w:ascii="Arial" w:hAnsi="Arial"/>
          <w:iCs/>
          <w:sz w:val="20"/>
        </w:rPr>
        <w:t xml:space="preserve">komunikacijsko opremo </w:t>
      </w:r>
      <w:r w:rsidR="00833015">
        <w:rPr>
          <w:rFonts w:ascii="Arial" w:hAnsi="Arial"/>
          <w:iCs/>
          <w:sz w:val="20"/>
        </w:rPr>
        <w:t>ter</w:t>
      </w:r>
      <w:r w:rsidR="00833015" w:rsidRPr="00424274">
        <w:rPr>
          <w:rFonts w:ascii="Arial" w:hAnsi="Arial"/>
          <w:iCs/>
          <w:sz w:val="20"/>
        </w:rPr>
        <w:t xml:space="preserve"> </w:t>
      </w:r>
      <w:r w:rsidRPr="00424274">
        <w:rPr>
          <w:rFonts w:ascii="Arial" w:hAnsi="Arial"/>
          <w:iCs/>
          <w:sz w:val="20"/>
        </w:rPr>
        <w:t xml:space="preserve">jih seznanili z varnostno politiko </w:t>
      </w:r>
      <w:r w:rsidR="00A0541B">
        <w:rPr>
          <w:rFonts w:ascii="Arial" w:hAnsi="Arial"/>
          <w:iCs/>
          <w:sz w:val="20"/>
        </w:rPr>
        <w:t>urad</w:t>
      </w:r>
      <w:r w:rsidRPr="00424274">
        <w:rPr>
          <w:rFonts w:ascii="Arial" w:hAnsi="Arial"/>
          <w:iCs/>
          <w:sz w:val="20"/>
        </w:rPr>
        <w:t>a.</w:t>
      </w:r>
    </w:p>
    <w:p w14:paraId="0784F004" w14:textId="27C80068" w:rsidR="00393807" w:rsidRPr="00424274" w:rsidRDefault="00393807" w:rsidP="00393807">
      <w:pPr>
        <w:pStyle w:val="Odstavekseznama"/>
        <w:keepNext/>
        <w:numPr>
          <w:ilvl w:val="2"/>
          <w:numId w:val="30"/>
        </w:numPr>
        <w:spacing w:before="240" w:after="60" w:line="276" w:lineRule="auto"/>
        <w:outlineLvl w:val="2"/>
        <w:rPr>
          <w:rFonts w:ascii="Arial" w:hAnsi="Arial"/>
          <w:i/>
          <w:iCs/>
          <w:sz w:val="20"/>
          <w:lang w:val="sl-SI"/>
        </w:rPr>
      </w:pPr>
      <w:bookmarkStart w:id="257" w:name="_Toc45272777"/>
      <w:bookmarkStart w:id="258" w:name="_Toc113535521"/>
      <w:r w:rsidRPr="00424274">
        <w:rPr>
          <w:rFonts w:ascii="Arial" w:hAnsi="Arial"/>
          <w:i/>
          <w:iCs/>
          <w:sz w:val="20"/>
          <w:lang w:val="sl-SI"/>
        </w:rPr>
        <w:t>Aktivnosti izobraževanja uporabnikov</w:t>
      </w:r>
      <w:bookmarkEnd w:id="257"/>
      <w:bookmarkEnd w:id="258"/>
    </w:p>
    <w:p w14:paraId="11F876F0" w14:textId="77777777" w:rsidR="00393807" w:rsidRPr="00424274" w:rsidRDefault="00393807" w:rsidP="00393807">
      <w:pPr>
        <w:spacing w:line="276" w:lineRule="auto"/>
        <w:rPr>
          <w:rFonts w:ascii="Arial" w:hAnsi="Arial"/>
          <w:b/>
          <w:sz w:val="20"/>
          <w:highlight w:val="yellow"/>
        </w:rPr>
      </w:pPr>
    </w:p>
    <w:p w14:paraId="03F7927C" w14:textId="33F9C742" w:rsidR="00393807" w:rsidRPr="00424274" w:rsidRDefault="00DB3510" w:rsidP="0000571D">
      <w:pPr>
        <w:spacing w:line="276" w:lineRule="auto"/>
        <w:rPr>
          <w:rFonts w:ascii="Arial" w:hAnsi="Arial"/>
          <w:sz w:val="20"/>
        </w:rPr>
      </w:pPr>
      <w:r w:rsidRPr="00424274">
        <w:rPr>
          <w:rFonts w:ascii="Arial" w:hAnsi="Arial"/>
          <w:iCs/>
          <w:sz w:val="20"/>
        </w:rPr>
        <w:t xml:space="preserve">V letu 2020 smo v Službi za informatiko sodelovali </w:t>
      </w:r>
      <w:r w:rsidR="00393807" w:rsidRPr="00424274">
        <w:rPr>
          <w:rFonts w:ascii="Arial" w:hAnsi="Arial"/>
          <w:sz w:val="20"/>
        </w:rPr>
        <w:t xml:space="preserve">pri pripravi navodil in postopkov dela ter izvedbi izobraževanja uporabnikov evidenčnega sistema </w:t>
      </w:r>
      <w:r w:rsidR="00A0541B">
        <w:rPr>
          <w:rFonts w:ascii="Arial" w:hAnsi="Arial"/>
          <w:sz w:val="20"/>
        </w:rPr>
        <w:t>urad</w:t>
      </w:r>
      <w:r w:rsidR="00393807" w:rsidRPr="00424274">
        <w:rPr>
          <w:rFonts w:ascii="Arial" w:hAnsi="Arial"/>
          <w:sz w:val="20"/>
        </w:rPr>
        <w:t>a.</w:t>
      </w:r>
    </w:p>
    <w:p w14:paraId="361788F4" w14:textId="77777777" w:rsidR="000B6A97" w:rsidRPr="00424274" w:rsidRDefault="000B6A97" w:rsidP="00393807">
      <w:pPr>
        <w:spacing w:line="276" w:lineRule="auto"/>
        <w:rPr>
          <w:rFonts w:ascii="Arial" w:hAnsi="Arial"/>
          <w:sz w:val="20"/>
        </w:rPr>
      </w:pPr>
    </w:p>
    <w:p w14:paraId="1777EC35" w14:textId="53A3D1A7" w:rsidR="000B6A97" w:rsidRPr="00424274" w:rsidRDefault="000B6A97" w:rsidP="003C6645">
      <w:pPr>
        <w:pStyle w:val="Odstavekseznama"/>
        <w:keepNext/>
        <w:numPr>
          <w:ilvl w:val="2"/>
          <w:numId w:val="30"/>
        </w:numPr>
        <w:spacing w:before="240" w:after="60" w:line="276" w:lineRule="auto"/>
        <w:outlineLvl w:val="2"/>
        <w:rPr>
          <w:rFonts w:ascii="Arial" w:hAnsi="Arial"/>
          <w:i/>
          <w:iCs/>
          <w:sz w:val="20"/>
          <w:lang w:val="sl-SI"/>
        </w:rPr>
      </w:pPr>
      <w:bookmarkStart w:id="259" w:name="_Toc113535522"/>
      <w:r w:rsidRPr="00424274">
        <w:rPr>
          <w:rFonts w:ascii="Arial" w:hAnsi="Arial"/>
          <w:i/>
          <w:iCs/>
          <w:sz w:val="20"/>
          <w:lang w:val="sl-SI"/>
        </w:rPr>
        <w:t xml:space="preserve">Aktivnosti </w:t>
      </w:r>
      <w:r w:rsidR="00CE3F57">
        <w:rPr>
          <w:rFonts w:ascii="Arial" w:hAnsi="Arial"/>
          <w:i/>
          <w:iCs/>
          <w:sz w:val="20"/>
          <w:lang w:val="sl-SI"/>
        </w:rPr>
        <w:t xml:space="preserve">za </w:t>
      </w:r>
      <w:r w:rsidRPr="00424274">
        <w:rPr>
          <w:rFonts w:ascii="Arial" w:hAnsi="Arial"/>
          <w:i/>
          <w:iCs/>
          <w:sz w:val="20"/>
          <w:lang w:val="sl-SI"/>
        </w:rPr>
        <w:t>zagotovit</w:t>
      </w:r>
      <w:r w:rsidR="00CE3F57">
        <w:rPr>
          <w:rFonts w:ascii="Arial" w:hAnsi="Arial"/>
          <w:i/>
          <w:iCs/>
          <w:sz w:val="20"/>
          <w:lang w:val="sl-SI"/>
        </w:rPr>
        <w:t>e</w:t>
      </w:r>
      <w:r w:rsidRPr="00424274">
        <w:rPr>
          <w:rFonts w:ascii="Arial" w:hAnsi="Arial"/>
          <w:i/>
          <w:iCs/>
          <w:sz w:val="20"/>
          <w:lang w:val="sl-SI"/>
        </w:rPr>
        <w:t>v nemotenega delovanja IT</w:t>
      </w:r>
      <w:r w:rsidR="00CE3F57">
        <w:rPr>
          <w:rFonts w:ascii="Arial" w:hAnsi="Arial"/>
          <w:i/>
          <w:iCs/>
          <w:sz w:val="20"/>
          <w:lang w:val="sl-SI"/>
        </w:rPr>
        <w:t>-</w:t>
      </w:r>
      <w:r w:rsidRPr="00424274">
        <w:rPr>
          <w:rFonts w:ascii="Arial" w:hAnsi="Arial"/>
          <w:i/>
          <w:iCs/>
          <w:sz w:val="20"/>
          <w:lang w:val="sl-SI"/>
        </w:rPr>
        <w:t xml:space="preserve">tehnologije </w:t>
      </w:r>
      <w:r w:rsidR="00833015">
        <w:rPr>
          <w:rFonts w:ascii="Arial" w:hAnsi="Arial"/>
          <w:i/>
          <w:iCs/>
          <w:sz w:val="20"/>
          <w:lang w:val="sl-SI"/>
        </w:rPr>
        <w:t>med</w:t>
      </w:r>
      <w:r w:rsidRPr="00424274">
        <w:rPr>
          <w:rFonts w:ascii="Arial" w:hAnsi="Arial"/>
          <w:i/>
          <w:iCs/>
          <w:sz w:val="20"/>
          <w:lang w:val="sl-SI"/>
        </w:rPr>
        <w:t xml:space="preserve"> epidemij</w:t>
      </w:r>
      <w:r w:rsidR="00833015">
        <w:rPr>
          <w:rFonts w:ascii="Arial" w:hAnsi="Arial"/>
          <w:i/>
          <w:iCs/>
          <w:sz w:val="20"/>
          <w:lang w:val="sl-SI"/>
        </w:rPr>
        <w:t>o</w:t>
      </w:r>
      <w:r w:rsidRPr="00424274">
        <w:rPr>
          <w:rFonts w:ascii="Arial" w:hAnsi="Arial"/>
          <w:i/>
          <w:iCs/>
          <w:sz w:val="20"/>
          <w:lang w:val="sl-SI"/>
        </w:rPr>
        <w:t xml:space="preserve"> </w:t>
      </w:r>
      <w:r w:rsidR="00CE3F57">
        <w:rPr>
          <w:rFonts w:ascii="Arial" w:hAnsi="Arial"/>
          <w:i/>
          <w:iCs/>
          <w:sz w:val="20"/>
          <w:lang w:val="sl-SI"/>
        </w:rPr>
        <w:t>covida</w:t>
      </w:r>
      <w:r w:rsidRPr="00424274">
        <w:rPr>
          <w:rFonts w:ascii="Arial" w:hAnsi="Arial"/>
          <w:i/>
          <w:iCs/>
          <w:sz w:val="20"/>
          <w:lang w:val="sl-SI"/>
        </w:rPr>
        <w:t>-19</w:t>
      </w:r>
      <w:bookmarkEnd w:id="259"/>
    </w:p>
    <w:p w14:paraId="6EAD65D2" w14:textId="77777777" w:rsidR="000B6A97" w:rsidRPr="00424274" w:rsidRDefault="000B6A97" w:rsidP="000B6A97">
      <w:pPr>
        <w:spacing w:line="276" w:lineRule="auto"/>
        <w:rPr>
          <w:rFonts w:ascii="Arial" w:hAnsi="Arial"/>
          <w:sz w:val="20"/>
          <w:highlight w:val="yellow"/>
          <w:u w:val="single"/>
        </w:rPr>
      </w:pPr>
    </w:p>
    <w:p w14:paraId="60C6A799" w14:textId="1F251C1F" w:rsidR="00610E42" w:rsidRPr="00424274" w:rsidRDefault="004A4EE9" w:rsidP="00610E42">
      <w:pPr>
        <w:spacing w:line="276" w:lineRule="auto"/>
        <w:rPr>
          <w:rFonts w:ascii="Arial" w:hAnsi="Arial"/>
          <w:sz w:val="20"/>
        </w:rPr>
      </w:pPr>
      <w:r>
        <w:rPr>
          <w:rFonts w:ascii="Arial" w:hAnsi="Arial"/>
          <w:sz w:val="20"/>
        </w:rPr>
        <w:t>Med razglasitvijo</w:t>
      </w:r>
      <w:r w:rsidR="000B6A97" w:rsidRPr="00424274">
        <w:rPr>
          <w:rFonts w:ascii="Arial" w:hAnsi="Arial"/>
          <w:sz w:val="20"/>
        </w:rPr>
        <w:t xml:space="preserve"> epidemij</w:t>
      </w:r>
      <w:r>
        <w:rPr>
          <w:rFonts w:ascii="Arial" w:hAnsi="Arial"/>
          <w:sz w:val="20"/>
        </w:rPr>
        <w:t>e</w:t>
      </w:r>
      <w:r w:rsidR="000B6A97" w:rsidRPr="00424274">
        <w:rPr>
          <w:rFonts w:ascii="Arial" w:hAnsi="Arial"/>
          <w:sz w:val="20"/>
        </w:rPr>
        <w:t xml:space="preserve"> </w:t>
      </w:r>
      <w:r w:rsidR="00CE3F57">
        <w:rPr>
          <w:rFonts w:ascii="Arial" w:hAnsi="Arial"/>
          <w:sz w:val="20"/>
        </w:rPr>
        <w:t>covida-</w:t>
      </w:r>
      <w:r w:rsidR="000B6A97" w:rsidRPr="00424274">
        <w:rPr>
          <w:rFonts w:ascii="Arial" w:hAnsi="Arial"/>
          <w:sz w:val="20"/>
        </w:rPr>
        <w:t xml:space="preserve">19 so bile aktivnosti v Službi za </w:t>
      </w:r>
      <w:r w:rsidR="0075125F" w:rsidRPr="00424274">
        <w:rPr>
          <w:rFonts w:ascii="Arial" w:hAnsi="Arial"/>
          <w:sz w:val="20"/>
        </w:rPr>
        <w:t>informatiko</w:t>
      </w:r>
      <w:r w:rsidR="000B6A97" w:rsidRPr="00424274">
        <w:rPr>
          <w:rFonts w:ascii="Arial" w:hAnsi="Arial"/>
          <w:sz w:val="20"/>
        </w:rPr>
        <w:t xml:space="preserve"> usmerjene v nemoteno zagotavljanje pogojev dela sodelavcem, ki so svoje delo opravljali od doma</w:t>
      </w:r>
      <w:r w:rsidR="00856067">
        <w:rPr>
          <w:rFonts w:ascii="Arial" w:hAnsi="Arial"/>
          <w:sz w:val="20"/>
        </w:rPr>
        <w:t>,</w:t>
      </w:r>
      <w:r w:rsidR="000B6A97" w:rsidRPr="00424274">
        <w:rPr>
          <w:rFonts w:ascii="Arial" w:hAnsi="Arial"/>
          <w:sz w:val="20"/>
        </w:rPr>
        <w:t xml:space="preserve"> ob hkratnem zagotavljanju nemotenega dela pri prejemanju in arhiviranju sporočenih podatkov. Uporabnikom smo pomagali, da so lahko nemoteno izvajali videokonferenčne klice ipd. </w:t>
      </w:r>
    </w:p>
    <w:p w14:paraId="4B38C6A5" w14:textId="77777777" w:rsidR="00851C49" w:rsidRPr="00424274" w:rsidRDefault="00851C49" w:rsidP="00062D58">
      <w:pPr>
        <w:pStyle w:val="Naslov1"/>
        <w:numPr>
          <w:ilvl w:val="0"/>
          <w:numId w:val="30"/>
        </w:numPr>
        <w:spacing w:line="276" w:lineRule="auto"/>
        <w:rPr>
          <w:rFonts w:ascii="Arial" w:hAnsi="Arial"/>
          <w:sz w:val="20"/>
        </w:rPr>
      </w:pPr>
      <w:bookmarkStart w:id="260" w:name="_Toc113535523"/>
      <w:r w:rsidRPr="00424274">
        <w:rPr>
          <w:rFonts w:ascii="Arial" w:hAnsi="Arial"/>
          <w:sz w:val="20"/>
        </w:rPr>
        <w:lastRenderedPageBreak/>
        <w:t>POVZETEK</w:t>
      </w:r>
      <w:bookmarkEnd w:id="260"/>
    </w:p>
    <w:p w14:paraId="5C299662" w14:textId="4EC62B05" w:rsidR="006D2D65" w:rsidRPr="00920D80" w:rsidRDefault="00851C49" w:rsidP="00B2223A">
      <w:pPr>
        <w:pStyle w:val="Navadensplet"/>
        <w:spacing w:line="276" w:lineRule="auto"/>
        <w:jc w:val="both"/>
        <w:rPr>
          <w:rFonts w:ascii="Arial" w:hAnsi="Arial"/>
          <w:sz w:val="20"/>
          <w:szCs w:val="20"/>
        </w:rPr>
      </w:pPr>
      <w:r w:rsidRPr="00424274">
        <w:rPr>
          <w:rFonts w:ascii="Arial" w:hAnsi="Arial"/>
          <w:sz w:val="20"/>
          <w:szCs w:val="20"/>
        </w:rPr>
        <w:t xml:space="preserve">Poročilo o delu </w:t>
      </w:r>
      <w:r w:rsidR="00A0541B">
        <w:rPr>
          <w:rFonts w:ascii="Arial" w:hAnsi="Arial"/>
          <w:sz w:val="20"/>
          <w:szCs w:val="20"/>
        </w:rPr>
        <w:t>urad</w:t>
      </w:r>
      <w:r w:rsidRPr="00424274">
        <w:rPr>
          <w:rFonts w:ascii="Arial" w:hAnsi="Arial"/>
          <w:sz w:val="20"/>
          <w:szCs w:val="20"/>
        </w:rPr>
        <w:t>a za leto 20</w:t>
      </w:r>
      <w:r w:rsidR="00E22BEB" w:rsidRPr="00424274">
        <w:rPr>
          <w:rFonts w:ascii="Arial" w:hAnsi="Arial"/>
          <w:sz w:val="20"/>
          <w:szCs w:val="20"/>
        </w:rPr>
        <w:t>20</w:t>
      </w:r>
      <w:r w:rsidRPr="00424274">
        <w:rPr>
          <w:rFonts w:ascii="Arial" w:hAnsi="Arial"/>
          <w:sz w:val="20"/>
          <w:szCs w:val="20"/>
        </w:rPr>
        <w:t xml:space="preserve"> je </w:t>
      </w:r>
      <w:r w:rsidR="00E22BEB" w:rsidRPr="00424274">
        <w:rPr>
          <w:rFonts w:ascii="Arial" w:hAnsi="Arial"/>
          <w:sz w:val="20"/>
          <w:szCs w:val="20"/>
        </w:rPr>
        <w:t>petindvajseto</w:t>
      </w:r>
      <w:r w:rsidR="00636585" w:rsidRPr="00424274">
        <w:rPr>
          <w:rFonts w:ascii="Arial" w:hAnsi="Arial"/>
          <w:sz w:val="20"/>
          <w:szCs w:val="20"/>
        </w:rPr>
        <w:t xml:space="preserve"> </w:t>
      </w:r>
      <w:r w:rsidRPr="00424274">
        <w:rPr>
          <w:rFonts w:ascii="Arial" w:hAnsi="Arial"/>
          <w:sz w:val="20"/>
          <w:szCs w:val="20"/>
        </w:rPr>
        <w:t>poročilo Vladi R</w:t>
      </w:r>
      <w:r w:rsidR="00D7191C" w:rsidRPr="00424274">
        <w:rPr>
          <w:rFonts w:ascii="Arial" w:hAnsi="Arial"/>
          <w:sz w:val="20"/>
          <w:szCs w:val="20"/>
        </w:rPr>
        <w:t xml:space="preserve">epublike </w:t>
      </w:r>
      <w:r w:rsidRPr="00424274">
        <w:rPr>
          <w:rFonts w:ascii="Arial" w:hAnsi="Arial"/>
          <w:sz w:val="20"/>
          <w:szCs w:val="20"/>
        </w:rPr>
        <w:t>S</w:t>
      </w:r>
      <w:r w:rsidR="00D7191C" w:rsidRPr="00424274">
        <w:rPr>
          <w:rFonts w:ascii="Arial" w:hAnsi="Arial"/>
          <w:sz w:val="20"/>
          <w:szCs w:val="20"/>
        </w:rPr>
        <w:t>lovenije</w:t>
      </w:r>
      <w:r w:rsidRPr="00424274">
        <w:rPr>
          <w:rFonts w:ascii="Arial" w:hAnsi="Arial"/>
          <w:sz w:val="20"/>
          <w:szCs w:val="20"/>
        </w:rPr>
        <w:t>, nanaša pa se na obdobje od 1.</w:t>
      </w:r>
      <w:r w:rsidR="008C7795" w:rsidRPr="00424274">
        <w:rPr>
          <w:rFonts w:ascii="Arial" w:hAnsi="Arial"/>
          <w:sz w:val="20"/>
          <w:szCs w:val="20"/>
        </w:rPr>
        <w:t xml:space="preserve"> </w:t>
      </w:r>
      <w:r w:rsidRPr="00424274">
        <w:rPr>
          <w:rFonts w:ascii="Arial" w:hAnsi="Arial"/>
          <w:sz w:val="20"/>
          <w:szCs w:val="20"/>
        </w:rPr>
        <w:t>1.</w:t>
      </w:r>
      <w:r w:rsidR="008C7795" w:rsidRPr="00424274">
        <w:rPr>
          <w:rFonts w:ascii="Arial" w:hAnsi="Arial"/>
          <w:sz w:val="20"/>
          <w:szCs w:val="20"/>
        </w:rPr>
        <w:t xml:space="preserve"> </w:t>
      </w:r>
      <w:r w:rsidRPr="00424274">
        <w:rPr>
          <w:rFonts w:ascii="Arial" w:hAnsi="Arial"/>
          <w:sz w:val="20"/>
          <w:szCs w:val="20"/>
        </w:rPr>
        <w:t>20</w:t>
      </w:r>
      <w:r w:rsidR="00E22BEB" w:rsidRPr="00424274">
        <w:rPr>
          <w:rFonts w:ascii="Arial" w:hAnsi="Arial"/>
          <w:sz w:val="20"/>
          <w:szCs w:val="20"/>
        </w:rPr>
        <w:t>20</w:t>
      </w:r>
      <w:r w:rsidRPr="00424274">
        <w:rPr>
          <w:rFonts w:ascii="Arial" w:hAnsi="Arial"/>
          <w:sz w:val="20"/>
          <w:szCs w:val="20"/>
        </w:rPr>
        <w:t xml:space="preserve"> do 31.</w:t>
      </w:r>
      <w:r w:rsidR="001E4B6A" w:rsidRPr="00424274">
        <w:rPr>
          <w:rFonts w:ascii="Arial" w:hAnsi="Arial"/>
          <w:sz w:val="20"/>
          <w:szCs w:val="20"/>
        </w:rPr>
        <w:t xml:space="preserve"> </w:t>
      </w:r>
      <w:r w:rsidRPr="00424274">
        <w:rPr>
          <w:rFonts w:ascii="Arial" w:hAnsi="Arial"/>
          <w:sz w:val="20"/>
          <w:szCs w:val="20"/>
        </w:rPr>
        <w:t>12.</w:t>
      </w:r>
      <w:r w:rsidR="001E4B6A" w:rsidRPr="00424274">
        <w:rPr>
          <w:rFonts w:ascii="Arial" w:hAnsi="Arial"/>
          <w:sz w:val="20"/>
          <w:szCs w:val="20"/>
        </w:rPr>
        <w:t xml:space="preserve"> </w:t>
      </w:r>
      <w:r w:rsidRPr="00424274">
        <w:rPr>
          <w:rFonts w:ascii="Arial" w:hAnsi="Arial"/>
          <w:sz w:val="20"/>
          <w:szCs w:val="20"/>
        </w:rPr>
        <w:t>20</w:t>
      </w:r>
      <w:r w:rsidR="00E22BEB" w:rsidRPr="00424274">
        <w:rPr>
          <w:rFonts w:ascii="Arial" w:hAnsi="Arial"/>
          <w:sz w:val="20"/>
          <w:szCs w:val="20"/>
        </w:rPr>
        <w:t>20</w:t>
      </w:r>
      <w:r w:rsidRPr="00424274">
        <w:rPr>
          <w:rFonts w:ascii="Arial" w:hAnsi="Arial"/>
          <w:sz w:val="20"/>
          <w:szCs w:val="20"/>
        </w:rPr>
        <w:t xml:space="preserve">. V poročilu so predstavljeni podatki z vseh temeljnih področij delovanja </w:t>
      </w:r>
      <w:r w:rsidR="00A0541B">
        <w:rPr>
          <w:rFonts w:ascii="Arial" w:hAnsi="Arial"/>
          <w:sz w:val="20"/>
          <w:szCs w:val="20"/>
        </w:rPr>
        <w:t>urad</w:t>
      </w:r>
      <w:r w:rsidRPr="00424274">
        <w:rPr>
          <w:rFonts w:ascii="Arial" w:hAnsi="Arial"/>
          <w:sz w:val="20"/>
          <w:szCs w:val="20"/>
        </w:rPr>
        <w:t>a (delo na področju sumljivih transakcij, preventiv</w:t>
      </w:r>
      <w:r w:rsidR="00C548FC" w:rsidRPr="00424274">
        <w:rPr>
          <w:rFonts w:ascii="Arial" w:hAnsi="Arial"/>
          <w:sz w:val="20"/>
          <w:szCs w:val="20"/>
        </w:rPr>
        <w:t>e</w:t>
      </w:r>
      <w:r w:rsidRPr="00424274">
        <w:rPr>
          <w:rFonts w:ascii="Arial" w:hAnsi="Arial"/>
          <w:sz w:val="20"/>
          <w:szCs w:val="20"/>
        </w:rPr>
        <w:t xml:space="preserve"> in nadzor</w:t>
      </w:r>
      <w:r w:rsidR="00C548FC" w:rsidRPr="00424274">
        <w:rPr>
          <w:rFonts w:ascii="Arial" w:hAnsi="Arial"/>
          <w:sz w:val="20"/>
          <w:szCs w:val="20"/>
        </w:rPr>
        <w:t>a</w:t>
      </w:r>
      <w:r w:rsidRPr="00424274">
        <w:rPr>
          <w:rFonts w:ascii="Arial" w:hAnsi="Arial"/>
          <w:sz w:val="20"/>
          <w:szCs w:val="20"/>
        </w:rPr>
        <w:t xml:space="preserve"> ter mednarodn</w:t>
      </w:r>
      <w:r w:rsidR="00C548FC" w:rsidRPr="00424274">
        <w:rPr>
          <w:rFonts w:ascii="Arial" w:hAnsi="Arial"/>
          <w:sz w:val="20"/>
          <w:szCs w:val="20"/>
        </w:rPr>
        <w:t>ega sodelovanja</w:t>
      </w:r>
      <w:r w:rsidRPr="00424274">
        <w:rPr>
          <w:rFonts w:ascii="Arial" w:hAnsi="Arial"/>
          <w:sz w:val="20"/>
          <w:szCs w:val="20"/>
        </w:rPr>
        <w:t xml:space="preserve">), podatki o poslovanju </w:t>
      </w:r>
      <w:r w:rsidR="00A0541B">
        <w:rPr>
          <w:rFonts w:ascii="Arial" w:hAnsi="Arial"/>
          <w:sz w:val="20"/>
          <w:szCs w:val="20"/>
        </w:rPr>
        <w:t>urad</w:t>
      </w:r>
      <w:r w:rsidRPr="00424274">
        <w:rPr>
          <w:rFonts w:ascii="Arial" w:hAnsi="Arial"/>
          <w:sz w:val="20"/>
          <w:szCs w:val="20"/>
        </w:rPr>
        <w:t xml:space="preserve">a na finančnem in kadrovskem področju ter na področju informatike, kot tudi nekateri statistični podatki o delovanju </w:t>
      </w:r>
      <w:r w:rsidR="00187641">
        <w:rPr>
          <w:rFonts w:ascii="Arial" w:hAnsi="Arial"/>
          <w:sz w:val="20"/>
          <w:szCs w:val="20"/>
        </w:rPr>
        <w:t>drugih</w:t>
      </w:r>
      <w:r w:rsidR="00187641" w:rsidRPr="00424274">
        <w:rPr>
          <w:rFonts w:ascii="Arial" w:hAnsi="Arial"/>
          <w:sz w:val="20"/>
          <w:szCs w:val="20"/>
        </w:rPr>
        <w:t xml:space="preserve"> </w:t>
      </w:r>
      <w:r w:rsidRPr="00424274">
        <w:rPr>
          <w:rFonts w:ascii="Arial" w:hAnsi="Arial"/>
          <w:sz w:val="20"/>
          <w:szCs w:val="20"/>
        </w:rPr>
        <w:t xml:space="preserve">državnih organov, ki so prejemniki izdelkov </w:t>
      </w:r>
      <w:r w:rsidR="00A0541B">
        <w:rPr>
          <w:rFonts w:ascii="Arial" w:hAnsi="Arial"/>
          <w:sz w:val="20"/>
          <w:szCs w:val="20"/>
        </w:rPr>
        <w:t>urad</w:t>
      </w:r>
      <w:r w:rsidRPr="00424274">
        <w:rPr>
          <w:rFonts w:ascii="Arial" w:hAnsi="Arial"/>
          <w:sz w:val="20"/>
          <w:szCs w:val="20"/>
        </w:rPr>
        <w:t xml:space="preserve">a oziroma </w:t>
      </w:r>
      <w:r w:rsidR="00A0541B">
        <w:rPr>
          <w:rFonts w:ascii="Arial" w:hAnsi="Arial"/>
          <w:sz w:val="20"/>
          <w:szCs w:val="20"/>
        </w:rPr>
        <w:t>urad</w:t>
      </w:r>
      <w:r w:rsidRPr="00424274">
        <w:rPr>
          <w:rFonts w:ascii="Arial" w:hAnsi="Arial"/>
          <w:sz w:val="20"/>
          <w:szCs w:val="20"/>
        </w:rPr>
        <w:t xml:space="preserve"> z njimi sodeluje pri izvajanju predpisov s področja preprečevanja in </w:t>
      </w:r>
      <w:r w:rsidRPr="00920D80">
        <w:rPr>
          <w:rFonts w:ascii="Arial" w:hAnsi="Arial"/>
          <w:sz w:val="20"/>
          <w:szCs w:val="20"/>
        </w:rPr>
        <w:t>odkrivanja pranja denarja.</w:t>
      </w:r>
    </w:p>
    <w:p w14:paraId="427B23C3" w14:textId="77767D25" w:rsidR="00D1763B" w:rsidRPr="00920D80" w:rsidRDefault="00D539BC" w:rsidP="0061482A">
      <w:pPr>
        <w:pStyle w:val="Naslov2"/>
        <w:numPr>
          <w:ilvl w:val="1"/>
          <w:numId w:val="35"/>
        </w:numPr>
      </w:pPr>
      <w:bookmarkStart w:id="261" w:name="_Toc113535524"/>
      <w:r w:rsidRPr="00920D80">
        <w:t>GOTOVINSKE TRANSAKCIJE, NAKAZILA</w:t>
      </w:r>
      <w:r w:rsidR="00DC1B8F" w:rsidRPr="00920D80">
        <w:t>,</w:t>
      </w:r>
      <w:r w:rsidRPr="00920D80">
        <w:t xml:space="preserve"> POVEZANA S TVEGANIMI DRŽAVAMI</w:t>
      </w:r>
      <w:r w:rsidR="00DC1B8F" w:rsidRPr="00920D80">
        <w:t>,</w:t>
      </w:r>
      <w:r w:rsidRPr="00920D80">
        <w:t xml:space="preserve"> IN PRENOSI GOTOVINE ČEZ MEJO </w:t>
      </w:r>
      <w:r w:rsidR="00A57673" w:rsidRPr="00920D80">
        <w:t>UNIJE</w:t>
      </w:r>
      <w:bookmarkEnd w:id="261"/>
    </w:p>
    <w:p w14:paraId="0917DAD7" w14:textId="77777777" w:rsidR="00D1763B" w:rsidRPr="00424274" w:rsidRDefault="00D1763B" w:rsidP="001B399A">
      <w:pPr>
        <w:pStyle w:val="Telobesedila"/>
        <w:spacing w:line="276" w:lineRule="auto"/>
        <w:rPr>
          <w:rFonts w:ascii="Arial" w:hAnsi="Arial"/>
          <w:b/>
          <w:i/>
          <w:sz w:val="20"/>
        </w:rPr>
      </w:pPr>
    </w:p>
    <w:p w14:paraId="4F9C0B66" w14:textId="39491091" w:rsidR="00033EE7" w:rsidRPr="00424274" w:rsidRDefault="00033EE7" w:rsidP="001B399A">
      <w:pPr>
        <w:spacing w:line="276" w:lineRule="auto"/>
        <w:ind w:right="-22"/>
        <w:rPr>
          <w:rFonts w:ascii="Arial" w:hAnsi="Arial"/>
          <w:sz w:val="20"/>
        </w:rPr>
      </w:pPr>
      <w:r w:rsidRPr="00424274">
        <w:rPr>
          <w:rFonts w:ascii="Arial" w:hAnsi="Arial"/>
          <w:sz w:val="20"/>
        </w:rPr>
        <w:t xml:space="preserve">V letu 2020 je </w:t>
      </w:r>
      <w:r w:rsidR="00A0541B">
        <w:rPr>
          <w:rFonts w:ascii="Arial" w:hAnsi="Arial"/>
          <w:sz w:val="20"/>
        </w:rPr>
        <w:t>urad</w:t>
      </w:r>
      <w:r w:rsidRPr="00424274">
        <w:rPr>
          <w:rFonts w:ascii="Arial" w:hAnsi="Arial"/>
          <w:sz w:val="20"/>
        </w:rPr>
        <w:t xml:space="preserve"> prejel podatke o </w:t>
      </w:r>
      <w:r w:rsidRPr="00424274">
        <w:rPr>
          <w:rFonts w:ascii="Arial" w:hAnsi="Arial"/>
          <w:iCs/>
          <w:sz w:val="20"/>
        </w:rPr>
        <w:t>36</w:t>
      </w:r>
      <w:r w:rsidRPr="00424274">
        <w:rPr>
          <w:rFonts w:ascii="Arial" w:hAnsi="Arial"/>
          <w:iCs/>
          <w:sz w:val="20"/>
          <w:lang w:eastAsia="sl-SI"/>
        </w:rPr>
        <w:t>.195</w:t>
      </w:r>
      <w:r w:rsidRPr="00424274">
        <w:rPr>
          <w:rFonts w:ascii="Arial" w:hAnsi="Arial"/>
          <w:b/>
          <w:iCs/>
          <w:color w:val="000000"/>
          <w:sz w:val="18"/>
          <w:szCs w:val="18"/>
          <w:lang w:eastAsia="sl-SI"/>
        </w:rPr>
        <w:t xml:space="preserve"> </w:t>
      </w:r>
      <w:r w:rsidRPr="00424274">
        <w:rPr>
          <w:rFonts w:ascii="Arial" w:hAnsi="Arial"/>
          <w:sz w:val="20"/>
        </w:rPr>
        <w:t xml:space="preserve">gotovinskih transakcijah nad 15.000 EUR. Primerjava podatkov o sporočenih gotovinskih transakcijah za zadnja leta kaže na trend umirjenega zmanjševanja tako števila kot </w:t>
      </w:r>
      <w:r w:rsidR="00DC1B8F">
        <w:rPr>
          <w:rFonts w:ascii="Arial" w:hAnsi="Arial"/>
          <w:sz w:val="20"/>
        </w:rPr>
        <w:t xml:space="preserve">tudi </w:t>
      </w:r>
      <w:r w:rsidRPr="00424274">
        <w:rPr>
          <w:rFonts w:ascii="Arial" w:hAnsi="Arial"/>
          <w:sz w:val="20"/>
        </w:rPr>
        <w:t>skupnega zneska transakcij</w:t>
      </w:r>
      <w:r w:rsidR="00DC1B8F">
        <w:rPr>
          <w:rFonts w:ascii="Arial" w:hAnsi="Arial"/>
          <w:sz w:val="20"/>
        </w:rPr>
        <w:t>,</w:t>
      </w:r>
      <w:r w:rsidRPr="00424274">
        <w:rPr>
          <w:rFonts w:ascii="Arial" w:hAnsi="Arial"/>
          <w:sz w:val="20"/>
        </w:rPr>
        <w:t xml:space="preserve"> izvršenih v gotovini (pred tem smo v obdobju od 2008 do 2015 zaznali trend strmega upadanja). Struktura sporočenih gotovinskih transakcij glede na sektor pošiljatelja ostaja enak</w:t>
      </w:r>
      <w:r w:rsidR="0071318E">
        <w:rPr>
          <w:rFonts w:ascii="Arial" w:hAnsi="Arial"/>
          <w:sz w:val="20"/>
        </w:rPr>
        <w:t>a</w:t>
      </w:r>
      <w:r w:rsidRPr="00424274">
        <w:rPr>
          <w:rFonts w:ascii="Arial" w:hAnsi="Arial"/>
          <w:sz w:val="20"/>
        </w:rPr>
        <w:t xml:space="preserve">. Največ sporočenih gotovinskih transakcij je </w:t>
      </w:r>
      <w:r w:rsidR="00A0541B">
        <w:rPr>
          <w:rFonts w:ascii="Arial" w:hAnsi="Arial"/>
          <w:sz w:val="20"/>
        </w:rPr>
        <w:t>urad</w:t>
      </w:r>
      <w:r w:rsidRPr="00424274">
        <w:rPr>
          <w:rFonts w:ascii="Arial" w:hAnsi="Arial"/>
          <w:sz w:val="20"/>
        </w:rPr>
        <w:t>, tako kot že vsa leta poprej, prejel iz bančnega sektorja.</w:t>
      </w:r>
    </w:p>
    <w:p w14:paraId="306E19E1" w14:textId="25649E38" w:rsidR="00033EE7" w:rsidRPr="00424274" w:rsidRDefault="00033EE7" w:rsidP="001B399A">
      <w:pPr>
        <w:spacing w:line="276" w:lineRule="auto"/>
        <w:ind w:right="-22"/>
        <w:rPr>
          <w:rFonts w:ascii="Arial" w:hAnsi="Arial"/>
          <w:sz w:val="20"/>
        </w:rPr>
      </w:pPr>
    </w:p>
    <w:p w14:paraId="0AE38DB4" w14:textId="420E4ACE" w:rsidR="00033EE7" w:rsidRPr="00424274" w:rsidRDefault="00033EE7" w:rsidP="001B399A">
      <w:pPr>
        <w:spacing w:line="276" w:lineRule="auto"/>
        <w:ind w:right="-22"/>
        <w:rPr>
          <w:rFonts w:ascii="Arial" w:hAnsi="Arial"/>
          <w:iCs/>
          <w:sz w:val="20"/>
        </w:rPr>
      </w:pPr>
      <w:r w:rsidRPr="00424274">
        <w:rPr>
          <w:rFonts w:ascii="Arial" w:hAnsi="Arial"/>
          <w:sz w:val="20"/>
        </w:rPr>
        <w:t>V zvezi s transakcijami, ki so jih družbe z bančnih računov</w:t>
      </w:r>
      <w:r w:rsidR="00DC1B8F">
        <w:rPr>
          <w:rFonts w:ascii="Arial" w:hAnsi="Arial"/>
          <w:sz w:val="20"/>
        </w:rPr>
        <w:t>,</w:t>
      </w:r>
      <w:r w:rsidRPr="00424274">
        <w:rPr>
          <w:rFonts w:ascii="Arial" w:hAnsi="Arial"/>
          <w:sz w:val="20"/>
        </w:rPr>
        <w:t xml:space="preserve"> odprtih v Republiki Sloveniji</w:t>
      </w:r>
      <w:r w:rsidR="00DC1B8F">
        <w:rPr>
          <w:rFonts w:ascii="Arial" w:hAnsi="Arial"/>
          <w:sz w:val="20"/>
        </w:rPr>
        <w:t>,</w:t>
      </w:r>
      <w:r w:rsidRPr="00424274">
        <w:rPr>
          <w:rFonts w:ascii="Arial" w:hAnsi="Arial"/>
          <w:sz w:val="20"/>
        </w:rPr>
        <w:t xml:space="preserve"> izvršile družbam s sedežem v tvegani državi ali na bančne račune</w:t>
      </w:r>
      <w:r w:rsidR="00DC1B8F">
        <w:rPr>
          <w:rFonts w:ascii="Arial" w:hAnsi="Arial"/>
          <w:sz w:val="20"/>
        </w:rPr>
        <w:t>,</w:t>
      </w:r>
      <w:r w:rsidRPr="00424274">
        <w:rPr>
          <w:rFonts w:ascii="Arial" w:hAnsi="Arial"/>
          <w:sz w:val="20"/>
        </w:rPr>
        <w:t xml:space="preserve"> odprte v tvegani državi</w:t>
      </w:r>
      <w:r w:rsidR="00DC1B8F">
        <w:rPr>
          <w:rFonts w:ascii="Arial" w:hAnsi="Arial"/>
          <w:sz w:val="20"/>
        </w:rPr>
        <w:t>,</w:t>
      </w:r>
      <w:r w:rsidRPr="00424274">
        <w:rPr>
          <w:rFonts w:ascii="Arial" w:hAnsi="Arial"/>
          <w:sz w:val="20"/>
        </w:rPr>
        <w:t xml:space="preserve"> so nam v letu 2020 organizacije sporočile podatke o 5.847 transakcijah (leta 2019 18.103) v skupnem znesku </w:t>
      </w:r>
      <w:r w:rsidRPr="00424274">
        <w:rPr>
          <w:rFonts w:ascii="Arial" w:hAnsi="Arial"/>
          <w:iCs/>
          <w:color w:val="000000"/>
          <w:sz w:val="20"/>
          <w:lang w:eastAsia="sl-SI"/>
        </w:rPr>
        <w:t>676.304.817 EUR</w:t>
      </w:r>
      <w:r w:rsidRPr="00424274">
        <w:rPr>
          <w:rFonts w:ascii="Arial" w:hAnsi="Arial"/>
          <w:b/>
          <w:bCs/>
          <w:iCs/>
          <w:sz w:val="20"/>
        </w:rPr>
        <w:t xml:space="preserve"> </w:t>
      </w:r>
      <w:r w:rsidRPr="00424274">
        <w:rPr>
          <w:rFonts w:ascii="Arial" w:hAnsi="Arial"/>
          <w:sz w:val="20"/>
        </w:rPr>
        <w:t>(preračunano po tečaju na dan 31.</w:t>
      </w:r>
      <w:r w:rsidR="00DC1B8F">
        <w:rPr>
          <w:rFonts w:ascii="Arial" w:hAnsi="Arial"/>
          <w:sz w:val="20"/>
        </w:rPr>
        <w:t> </w:t>
      </w:r>
      <w:r w:rsidRPr="00424274">
        <w:rPr>
          <w:rFonts w:ascii="Arial" w:hAnsi="Arial"/>
          <w:sz w:val="20"/>
        </w:rPr>
        <w:t>12.</w:t>
      </w:r>
      <w:r w:rsidR="00DC1B8F">
        <w:rPr>
          <w:rFonts w:ascii="Arial" w:hAnsi="Arial"/>
          <w:sz w:val="20"/>
        </w:rPr>
        <w:t> </w:t>
      </w:r>
      <w:r w:rsidRPr="00424274">
        <w:rPr>
          <w:rFonts w:ascii="Arial" w:hAnsi="Arial"/>
          <w:sz w:val="20"/>
        </w:rPr>
        <w:t xml:space="preserve">2020). </w:t>
      </w:r>
      <w:r w:rsidRPr="00424274">
        <w:rPr>
          <w:rFonts w:ascii="Arial" w:hAnsi="Arial"/>
          <w:iCs/>
          <w:sz w:val="20"/>
        </w:rPr>
        <w:t>Skoraj vsa nakazila</w:t>
      </w:r>
      <w:r w:rsidR="00DC1B8F">
        <w:rPr>
          <w:rFonts w:ascii="Arial" w:hAnsi="Arial"/>
          <w:iCs/>
          <w:sz w:val="20"/>
        </w:rPr>
        <w:t>,</w:t>
      </w:r>
      <w:r w:rsidRPr="00424274">
        <w:rPr>
          <w:rFonts w:ascii="Arial" w:hAnsi="Arial"/>
          <w:iCs/>
          <w:sz w:val="20"/>
        </w:rPr>
        <w:t xml:space="preserve"> povezana s tveganimi državami</w:t>
      </w:r>
      <w:r w:rsidR="00DC1B8F">
        <w:rPr>
          <w:rFonts w:ascii="Arial" w:hAnsi="Arial"/>
          <w:iCs/>
          <w:sz w:val="20"/>
        </w:rPr>
        <w:t>,</w:t>
      </w:r>
      <w:r w:rsidRPr="00424274">
        <w:rPr>
          <w:rFonts w:ascii="Arial" w:hAnsi="Arial"/>
          <w:iCs/>
          <w:sz w:val="20"/>
        </w:rPr>
        <w:t xml:space="preserve"> so bila izvršen</w:t>
      </w:r>
      <w:r w:rsidR="00DC1B8F">
        <w:rPr>
          <w:rFonts w:ascii="Arial" w:hAnsi="Arial"/>
          <w:iCs/>
          <w:sz w:val="20"/>
        </w:rPr>
        <w:t>a</w:t>
      </w:r>
      <w:r w:rsidRPr="00424274">
        <w:rPr>
          <w:rFonts w:ascii="Arial" w:hAnsi="Arial"/>
          <w:iCs/>
          <w:sz w:val="20"/>
        </w:rPr>
        <w:t xml:space="preserve"> za račune pravnih oseb, pri katerih se kot prejemnik prav tako pojavlja pravna oseba. Te transakcije je izvedlo skupaj okoli 850 različnih pravnih oseb, od tega le okoli 30 tujih.</w:t>
      </w:r>
    </w:p>
    <w:p w14:paraId="56BFF85F" w14:textId="77777777" w:rsidR="00033EE7" w:rsidRPr="00424274" w:rsidRDefault="00033EE7" w:rsidP="001B399A">
      <w:pPr>
        <w:spacing w:line="276" w:lineRule="auto"/>
        <w:ind w:right="-22"/>
        <w:rPr>
          <w:rFonts w:ascii="Arial" w:hAnsi="Arial"/>
          <w:sz w:val="20"/>
        </w:rPr>
      </w:pPr>
    </w:p>
    <w:p w14:paraId="1DA84761" w14:textId="31EE82B1" w:rsidR="00033EE7" w:rsidRPr="00424274" w:rsidRDefault="00033EE7" w:rsidP="001B399A">
      <w:pPr>
        <w:spacing w:line="276" w:lineRule="auto"/>
        <w:ind w:right="-22"/>
        <w:rPr>
          <w:rFonts w:ascii="Arial" w:hAnsi="Arial"/>
          <w:sz w:val="20"/>
        </w:rPr>
      </w:pPr>
      <w:r w:rsidRPr="00424274">
        <w:rPr>
          <w:rFonts w:ascii="Arial" w:hAnsi="Arial"/>
          <w:sz w:val="20"/>
        </w:rPr>
        <w:t xml:space="preserve">V letu 2020 je bilo na slovenskem delu meje </w:t>
      </w:r>
      <w:r w:rsidR="00BE5215" w:rsidRPr="005474C7">
        <w:rPr>
          <w:rFonts w:ascii="Arial" w:hAnsi="Arial"/>
          <w:sz w:val="20"/>
        </w:rPr>
        <w:t>Evropske u</w:t>
      </w:r>
      <w:r w:rsidR="009A7A35" w:rsidRPr="005474C7">
        <w:rPr>
          <w:rFonts w:ascii="Arial" w:hAnsi="Arial"/>
          <w:sz w:val="20"/>
        </w:rPr>
        <w:t>nije</w:t>
      </w:r>
      <w:r w:rsidRPr="00424274">
        <w:rPr>
          <w:rFonts w:ascii="Arial" w:hAnsi="Arial"/>
          <w:sz w:val="20"/>
        </w:rPr>
        <w:t xml:space="preserve"> skupno prijavljen</w:t>
      </w:r>
      <w:r w:rsidR="00DC1B8F">
        <w:rPr>
          <w:rFonts w:ascii="Arial" w:hAnsi="Arial"/>
          <w:sz w:val="20"/>
        </w:rPr>
        <w:t>ih</w:t>
      </w:r>
      <w:r w:rsidRPr="00424274">
        <w:rPr>
          <w:rFonts w:ascii="Arial" w:hAnsi="Arial"/>
          <w:sz w:val="20"/>
        </w:rPr>
        <w:t xml:space="preserve"> 51 prenosov gotovine čez mejo</w:t>
      </w:r>
      <w:r w:rsidR="00A0541B">
        <w:rPr>
          <w:rFonts w:ascii="Arial" w:hAnsi="Arial"/>
          <w:sz w:val="20"/>
        </w:rPr>
        <w:t>,</w:t>
      </w:r>
      <w:r w:rsidRPr="00424274">
        <w:rPr>
          <w:rFonts w:ascii="Arial" w:hAnsi="Arial"/>
          <w:sz w:val="20"/>
        </w:rPr>
        <w:t xml:space="preserve"> in sicer 17 vnosov v znesku okoli 1 mio</w:t>
      </w:r>
      <w:r w:rsidR="00DC1B8F">
        <w:rPr>
          <w:rFonts w:ascii="Arial" w:hAnsi="Arial"/>
          <w:sz w:val="20"/>
        </w:rPr>
        <w:t>.</w:t>
      </w:r>
      <w:r w:rsidRPr="00424274">
        <w:rPr>
          <w:rFonts w:ascii="Arial" w:hAnsi="Arial"/>
          <w:sz w:val="20"/>
        </w:rPr>
        <w:t xml:space="preserve"> EUR in 34 iznosov gotovine v znesku okoli 700.000</w:t>
      </w:r>
      <w:r w:rsidR="00BE5215">
        <w:rPr>
          <w:rFonts w:ascii="Arial" w:hAnsi="Arial"/>
          <w:sz w:val="20"/>
        </w:rPr>
        <w:t> </w:t>
      </w:r>
      <w:r w:rsidRPr="00424274">
        <w:rPr>
          <w:rFonts w:ascii="Arial" w:hAnsi="Arial"/>
          <w:sz w:val="20"/>
        </w:rPr>
        <w:t>EUR. Približno polovica vnosov gotovine ali 55 % se nanaša na vnos gotovine z</w:t>
      </w:r>
      <w:r w:rsidR="00BE5215">
        <w:rPr>
          <w:rFonts w:ascii="Arial" w:hAnsi="Arial"/>
          <w:sz w:val="20"/>
        </w:rPr>
        <w:t>aradi</w:t>
      </w:r>
      <w:r w:rsidRPr="00424274">
        <w:rPr>
          <w:rFonts w:ascii="Arial" w:hAnsi="Arial"/>
          <w:sz w:val="20"/>
        </w:rPr>
        <w:t xml:space="preserve"> osebne</w:t>
      </w:r>
      <w:r w:rsidR="00DC1B8F">
        <w:rPr>
          <w:rFonts w:ascii="Arial" w:hAnsi="Arial"/>
          <w:sz w:val="20"/>
        </w:rPr>
        <w:t>ga</w:t>
      </w:r>
      <w:r w:rsidRPr="00424274">
        <w:rPr>
          <w:rFonts w:ascii="Arial" w:hAnsi="Arial"/>
          <w:sz w:val="20"/>
        </w:rPr>
        <w:t xml:space="preserve"> nakupa, medtem ko se 82 % vseh iznosov nanaša na gotovino za potrebe ladij.</w:t>
      </w:r>
    </w:p>
    <w:p w14:paraId="33F49C97" w14:textId="77777777" w:rsidR="006D2D65" w:rsidRPr="00424274" w:rsidRDefault="006D2D65">
      <w:pPr>
        <w:pStyle w:val="Oznaenseznam2"/>
      </w:pPr>
    </w:p>
    <w:p w14:paraId="4A2820DA" w14:textId="5CBD5781" w:rsidR="00D1763B" w:rsidRPr="00424274" w:rsidRDefault="00D539BC" w:rsidP="002C2557">
      <w:pPr>
        <w:pStyle w:val="Naslov2"/>
        <w:numPr>
          <w:ilvl w:val="1"/>
          <w:numId w:val="35"/>
        </w:numPr>
      </w:pPr>
      <w:bookmarkStart w:id="262" w:name="_Toc113535525"/>
      <w:r w:rsidRPr="00424274">
        <w:t>SUMLJIVE TRANSAKCIJE</w:t>
      </w:r>
      <w:bookmarkEnd w:id="262"/>
    </w:p>
    <w:p w14:paraId="0081166D" w14:textId="77777777" w:rsidR="001D7A12" w:rsidRPr="00424274" w:rsidRDefault="001D7A12">
      <w:pPr>
        <w:pStyle w:val="Oznaenseznam2"/>
      </w:pPr>
    </w:p>
    <w:p w14:paraId="2F83EC9D" w14:textId="114837C5" w:rsidR="00033EE7" w:rsidRPr="00424274" w:rsidRDefault="00033EE7" w:rsidP="001B399A">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rPr>
          <w:rFonts w:ascii="Arial" w:hAnsi="Arial"/>
          <w:iCs/>
          <w:sz w:val="20"/>
        </w:rPr>
      </w:pPr>
      <w:r w:rsidRPr="00424274">
        <w:rPr>
          <w:rFonts w:ascii="Arial" w:hAnsi="Arial"/>
          <w:iCs/>
          <w:sz w:val="20"/>
        </w:rPr>
        <w:t xml:space="preserve">Na področju sumljivih transakcij smo v </w:t>
      </w:r>
      <w:r w:rsidR="00814A21">
        <w:rPr>
          <w:rFonts w:ascii="Arial" w:hAnsi="Arial"/>
          <w:iCs/>
          <w:sz w:val="20"/>
        </w:rPr>
        <w:t>u</w:t>
      </w:r>
      <w:r w:rsidRPr="00424274">
        <w:rPr>
          <w:rFonts w:ascii="Arial" w:hAnsi="Arial"/>
          <w:iCs/>
          <w:sz w:val="20"/>
        </w:rPr>
        <w:t xml:space="preserve">radu leta 2020 prejeli skupno 1.137 prijav, in sicer: </w:t>
      </w:r>
      <w:r w:rsidRPr="00424274">
        <w:rPr>
          <w:rFonts w:ascii="Arial" w:hAnsi="Arial"/>
          <w:bCs/>
          <w:sz w:val="20"/>
        </w:rPr>
        <w:t xml:space="preserve">1.078 prijav sumljivih transakcij ali sumljivih aktivnosti, ki so se nanašale na razloge za sum pranja denarja, 53 prijav, ki so se nanašale na razloge za sum financiranja terorizma, medtem ko smo </w:t>
      </w:r>
      <w:r w:rsidR="00814A21">
        <w:rPr>
          <w:rFonts w:ascii="Arial" w:hAnsi="Arial"/>
          <w:bCs/>
          <w:sz w:val="20"/>
        </w:rPr>
        <w:t>šest</w:t>
      </w:r>
      <w:r w:rsidRPr="00424274">
        <w:rPr>
          <w:rFonts w:ascii="Arial" w:hAnsi="Arial"/>
          <w:bCs/>
          <w:sz w:val="20"/>
        </w:rPr>
        <w:t xml:space="preserve"> prijav prejeli od tožilstva, ki je po predhodnem strinjanju </w:t>
      </w:r>
      <w:r w:rsidR="00814A21">
        <w:rPr>
          <w:rFonts w:ascii="Arial" w:hAnsi="Arial"/>
          <w:bCs/>
          <w:sz w:val="20"/>
        </w:rPr>
        <w:t>u</w:t>
      </w:r>
      <w:r w:rsidRPr="00424274">
        <w:rPr>
          <w:rFonts w:ascii="Arial" w:hAnsi="Arial"/>
          <w:bCs/>
          <w:sz w:val="20"/>
        </w:rPr>
        <w:t>rada odredilo finančno preiskavo v skladu z Zakonom o odvzemu premoženja nezakonitega izvora.</w:t>
      </w:r>
      <w:r w:rsidRPr="00424274">
        <w:rPr>
          <w:rFonts w:ascii="Arial" w:hAnsi="Arial"/>
          <w:iCs/>
          <w:sz w:val="20"/>
        </w:rPr>
        <w:t xml:space="preserve"> V zvezi z vsemi temi prijavami smo odprli zadeve in </w:t>
      </w:r>
      <w:r w:rsidR="00814A21">
        <w:rPr>
          <w:rFonts w:ascii="Arial" w:hAnsi="Arial"/>
          <w:iCs/>
          <w:sz w:val="20"/>
        </w:rPr>
        <w:t>za</w:t>
      </w:r>
      <w:r w:rsidRPr="00424274">
        <w:rPr>
          <w:rFonts w:ascii="Arial" w:hAnsi="Arial"/>
          <w:iCs/>
          <w:sz w:val="20"/>
        </w:rPr>
        <w:t>čeli zbira</w:t>
      </w:r>
      <w:r w:rsidR="00814A21">
        <w:rPr>
          <w:rFonts w:ascii="Arial" w:hAnsi="Arial"/>
          <w:iCs/>
          <w:sz w:val="20"/>
        </w:rPr>
        <w:t>ti</w:t>
      </w:r>
      <w:r w:rsidRPr="00424274">
        <w:rPr>
          <w:rFonts w:ascii="Arial" w:hAnsi="Arial"/>
          <w:iCs/>
          <w:sz w:val="20"/>
        </w:rPr>
        <w:t xml:space="preserve"> podatk</w:t>
      </w:r>
      <w:r w:rsidR="00814A21">
        <w:rPr>
          <w:rFonts w:ascii="Arial" w:hAnsi="Arial"/>
          <w:iCs/>
          <w:sz w:val="20"/>
        </w:rPr>
        <w:t>e</w:t>
      </w:r>
      <w:r w:rsidRPr="00424274">
        <w:rPr>
          <w:rFonts w:ascii="Arial" w:hAnsi="Arial"/>
          <w:iCs/>
          <w:sz w:val="20"/>
        </w:rPr>
        <w:t xml:space="preserve">. Skupno smo v </w:t>
      </w:r>
      <w:r w:rsidR="00814A21">
        <w:rPr>
          <w:rFonts w:ascii="Arial" w:hAnsi="Arial"/>
          <w:iCs/>
          <w:sz w:val="20"/>
        </w:rPr>
        <w:t>u</w:t>
      </w:r>
      <w:r w:rsidRPr="00424274">
        <w:rPr>
          <w:rFonts w:ascii="Arial" w:hAnsi="Arial"/>
          <w:iCs/>
          <w:sz w:val="20"/>
        </w:rPr>
        <w:t>radu v obdobju 1995</w:t>
      </w:r>
      <w:r w:rsidR="00814A21">
        <w:rPr>
          <w:rFonts w:ascii="Arial" w:hAnsi="Arial"/>
          <w:iCs/>
          <w:sz w:val="20"/>
        </w:rPr>
        <w:t>–</w:t>
      </w:r>
      <w:r w:rsidRPr="00424274">
        <w:rPr>
          <w:rFonts w:ascii="Arial" w:hAnsi="Arial"/>
          <w:iCs/>
          <w:sz w:val="20"/>
        </w:rPr>
        <w:t xml:space="preserve">2020 odprli že </w:t>
      </w:r>
      <w:r w:rsidR="00814A21">
        <w:rPr>
          <w:rFonts w:ascii="Arial" w:hAnsi="Arial"/>
          <w:iCs/>
          <w:sz w:val="20"/>
        </w:rPr>
        <w:t>več kot</w:t>
      </w:r>
      <w:r w:rsidR="00814A21" w:rsidRPr="00424274">
        <w:rPr>
          <w:rFonts w:ascii="Arial" w:hAnsi="Arial"/>
          <w:iCs/>
          <w:sz w:val="20"/>
        </w:rPr>
        <w:t xml:space="preserve"> </w:t>
      </w:r>
      <w:r w:rsidRPr="00424274">
        <w:rPr>
          <w:rFonts w:ascii="Arial" w:hAnsi="Arial"/>
          <w:iCs/>
          <w:sz w:val="20"/>
        </w:rPr>
        <w:t>8.000 zadev. Med prijavitelji so tudi leta 2020 prevladovale banke (742 prijav oziroma 63</w:t>
      </w:r>
      <w:r w:rsidR="00814A21">
        <w:rPr>
          <w:rFonts w:ascii="Arial" w:hAnsi="Arial"/>
          <w:iCs/>
          <w:sz w:val="20"/>
        </w:rPr>
        <w:t>-</w:t>
      </w:r>
      <w:r w:rsidRPr="00424274">
        <w:rPr>
          <w:rFonts w:ascii="Arial" w:hAnsi="Arial"/>
          <w:iCs/>
          <w:sz w:val="20"/>
        </w:rPr>
        <w:t>% delež vseh prijav). V letu 2020 se je število prijav ponovno zvišalo, in sicer za 6</w:t>
      </w:r>
      <w:r w:rsidR="00814A21">
        <w:rPr>
          <w:rFonts w:ascii="Arial" w:hAnsi="Arial"/>
          <w:iCs/>
          <w:sz w:val="20"/>
        </w:rPr>
        <w:t> </w:t>
      </w:r>
      <w:r w:rsidRPr="00424274">
        <w:rPr>
          <w:rFonts w:ascii="Arial" w:hAnsi="Arial"/>
          <w:iCs/>
          <w:sz w:val="20"/>
        </w:rPr>
        <w:t>%, medtem ko je struktura prijaviteljev ostala enaka.</w:t>
      </w:r>
    </w:p>
    <w:p w14:paraId="7319051F" w14:textId="77777777" w:rsidR="00033EE7" w:rsidRPr="00424274" w:rsidRDefault="00033EE7" w:rsidP="001B399A">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rPr>
          <w:rFonts w:ascii="Arial" w:hAnsi="Arial"/>
          <w:iCs/>
          <w:sz w:val="20"/>
        </w:rPr>
      </w:pPr>
    </w:p>
    <w:p w14:paraId="21E6638C" w14:textId="73655096" w:rsidR="00033EE7" w:rsidRPr="00424274" w:rsidRDefault="00033EE7" w:rsidP="001B399A">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rPr>
          <w:rFonts w:ascii="Arial" w:hAnsi="Arial"/>
          <w:iCs/>
          <w:sz w:val="20"/>
        </w:rPr>
      </w:pPr>
      <w:r w:rsidRPr="00424274">
        <w:rPr>
          <w:rFonts w:ascii="Arial" w:hAnsi="Arial"/>
          <w:iCs/>
          <w:sz w:val="20"/>
        </w:rPr>
        <w:t xml:space="preserve">Urad je leta 2020 </w:t>
      </w:r>
      <w:r w:rsidR="00083FED">
        <w:rPr>
          <w:rFonts w:ascii="Arial" w:hAnsi="Arial"/>
          <w:iCs/>
          <w:sz w:val="20"/>
        </w:rPr>
        <w:t>končal</w:t>
      </w:r>
      <w:r w:rsidRPr="00424274">
        <w:rPr>
          <w:rFonts w:ascii="Arial" w:hAnsi="Arial"/>
          <w:iCs/>
          <w:sz w:val="20"/>
        </w:rPr>
        <w:t xml:space="preserve"> obravnavo v 1.234 zadevah, kar je 60 % več kot v letu 2019. Od vseh teh zaključenih zadev smo v 450 primerih policiji/državnemu tožilstvu </w:t>
      </w:r>
      <w:r w:rsidR="00083FED">
        <w:rPr>
          <w:rFonts w:ascii="Arial" w:hAnsi="Arial"/>
          <w:iCs/>
          <w:sz w:val="20"/>
        </w:rPr>
        <w:t>poslali</w:t>
      </w:r>
      <w:r w:rsidR="00083FED" w:rsidRPr="00424274">
        <w:rPr>
          <w:rFonts w:ascii="Arial" w:hAnsi="Arial"/>
          <w:iCs/>
          <w:sz w:val="20"/>
        </w:rPr>
        <w:t xml:space="preserve"> </w:t>
      </w:r>
      <w:r w:rsidRPr="00424274">
        <w:rPr>
          <w:rFonts w:ascii="Arial" w:hAnsi="Arial"/>
          <w:iCs/>
          <w:sz w:val="20"/>
        </w:rPr>
        <w:t xml:space="preserve">obvestilo o sumljivih transakcijah zaradi suma pranja denarja ali financiranja terorizma, v nadaljnjih 486 zadevah smo pristojnim organom </w:t>
      </w:r>
      <w:r w:rsidR="00083FED">
        <w:rPr>
          <w:rFonts w:ascii="Arial" w:hAnsi="Arial"/>
          <w:iCs/>
          <w:sz w:val="20"/>
        </w:rPr>
        <w:t>poslali</w:t>
      </w:r>
      <w:r w:rsidR="00083FED" w:rsidRPr="00424274">
        <w:rPr>
          <w:rFonts w:ascii="Arial" w:hAnsi="Arial"/>
          <w:iCs/>
          <w:sz w:val="20"/>
        </w:rPr>
        <w:t xml:space="preserve"> </w:t>
      </w:r>
      <w:r w:rsidRPr="00424274">
        <w:rPr>
          <w:rFonts w:ascii="Arial" w:hAnsi="Arial"/>
          <w:iCs/>
          <w:sz w:val="20"/>
        </w:rPr>
        <w:t xml:space="preserve">informacije zaradi ugotovljenega suma storitve nekaterih drugih kaznivih dejanj, medtem ko v 298 zadevah z analizo nismo potrdili </w:t>
      </w:r>
      <w:r w:rsidR="00083FED">
        <w:rPr>
          <w:rFonts w:ascii="Arial" w:hAnsi="Arial"/>
          <w:iCs/>
          <w:sz w:val="20"/>
        </w:rPr>
        <w:t>na</w:t>
      </w:r>
      <w:r w:rsidRPr="00424274">
        <w:rPr>
          <w:rFonts w:ascii="Arial" w:hAnsi="Arial"/>
          <w:iCs/>
          <w:sz w:val="20"/>
        </w:rPr>
        <w:t xml:space="preserve"> začetku izkazanih razlogov za sum pranja denarja. Med predhodnimi kaznivimi dejanji, iz katerih najverjetneje izvira umazan</w:t>
      </w:r>
      <w:r w:rsidR="00083FED">
        <w:rPr>
          <w:rFonts w:ascii="Arial" w:hAnsi="Arial"/>
          <w:iCs/>
          <w:sz w:val="20"/>
        </w:rPr>
        <w:t>i</w:t>
      </w:r>
      <w:r w:rsidRPr="00424274">
        <w:rPr>
          <w:rFonts w:ascii="Arial" w:hAnsi="Arial"/>
          <w:iCs/>
          <w:sz w:val="20"/>
        </w:rPr>
        <w:t xml:space="preserve"> denar, je bilo v letu 2020 največ kaznivih dejanj goljufije, ki so jim sledila kazniva dejanja </w:t>
      </w:r>
      <w:r w:rsidRPr="00424274">
        <w:rPr>
          <w:rFonts w:ascii="Arial" w:hAnsi="Arial"/>
          <w:bCs/>
          <w:iCs/>
          <w:sz w:val="20"/>
        </w:rPr>
        <w:t>davčne zatajitve, neupravičene proizvodnje in prometa s prepovedanimi drogami, nedovoljenimi snovmi v športu in predhodnimi sestavinami za izdelavo prepovedanih drog in z</w:t>
      </w:r>
      <w:r w:rsidRPr="00424274">
        <w:rPr>
          <w:rFonts w:ascii="Arial" w:hAnsi="Arial"/>
          <w:color w:val="000000"/>
          <w:sz w:val="20"/>
          <w:lang w:eastAsia="sl-SI"/>
        </w:rPr>
        <w:t>loraba prostitucije</w:t>
      </w:r>
      <w:r w:rsidRPr="00424274">
        <w:rPr>
          <w:rFonts w:ascii="Arial" w:hAnsi="Arial"/>
          <w:iCs/>
          <w:sz w:val="20"/>
        </w:rPr>
        <w:t>. V letu 2020 je delež obvestil, pri katerih smo ocenili, da gre za predhodna kazniva dejanja</w:t>
      </w:r>
      <w:r w:rsidR="00814A21">
        <w:rPr>
          <w:rFonts w:ascii="Arial" w:hAnsi="Arial"/>
          <w:iCs/>
          <w:sz w:val="20"/>
        </w:rPr>
        <w:t>,</w:t>
      </w:r>
      <w:r w:rsidRPr="00424274">
        <w:rPr>
          <w:rFonts w:ascii="Arial" w:hAnsi="Arial"/>
          <w:iCs/>
          <w:sz w:val="20"/>
        </w:rPr>
        <w:t xml:space="preserve"> storjena v tujini, znašal 44 %, podobno kot v letih 2017 in 2018, ko se je ta delež gibal okoli 45 %. </w:t>
      </w:r>
    </w:p>
    <w:p w14:paraId="1E85B5AC" w14:textId="77777777" w:rsidR="00033EE7" w:rsidRPr="00424274" w:rsidRDefault="00033EE7" w:rsidP="001B399A">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rPr>
          <w:rFonts w:ascii="Arial" w:hAnsi="Arial"/>
          <w:iCs/>
          <w:sz w:val="20"/>
        </w:rPr>
      </w:pPr>
    </w:p>
    <w:p w14:paraId="0A9749B9" w14:textId="6201F53B" w:rsidR="00033EE7" w:rsidRPr="00424274" w:rsidRDefault="00033EE7" w:rsidP="001B399A">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rPr>
          <w:rFonts w:ascii="Arial" w:hAnsi="Arial"/>
          <w:sz w:val="20"/>
        </w:rPr>
      </w:pPr>
      <w:r w:rsidRPr="00424274">
        <w:rPr>
          <w:rFonts w:ascii="Arial" w:hAnsi="Arial"/>
          <w:iCs/>
          <w:sz w:val="20"/>
        </w:rPr>
        <w:t xml:space="preserve">Urad je v zadevah, v katerih je obravnaval sume storitve kaznivega dejanja pranja denarja, v letu 2020 </w:t>
      </w:r>
      <w:r w:rsidRPr="00424274">
        <w:rPr>
          <w:rFonts w:ascii="Arial" w:hAnsi="Arial"/>
          <w:sz w:val="20"/>
        </w:rPr>
        <w:lastRenderedPageBreak/>
        <w:t>ustavil transakcije v breme 13 bančnih računov v skupnem znesku 817.371</w:t>
      </w:r>
      <w:r w:rsidR="00814A21">
        <w:rPr>
          <w:rFonts w:ascii="Arial" w:hAnsi="Arial"/>
          <w:sz w:val="20"/>
        </w:rPr>
        <w:t> </w:t>
      </w:r>
      <w:r w:rsidRPr="00424274">
        <w:rPr>
          <w:rFonts w:ascii="Arial" w:hAnsi="Arial"/>
          <w:sz w:val="20"/>
        </w:rPr>
        <w:t xml:space="preserve">EUR, 450.000 USD in 156.856 GBP. Odredbe o ustavitvi so se nanašale na </w:t>
      </w:r>
      <w:r w:rsidR="00083FED">
        <w:rPr>
          <w:rFonts w:ascii="Arial" w:hAnsi="Arial"/>
          <w:sz w:val="20"/>
        </w:rPr>
        <w:t>sedem</w:t>
      </w:r>
      <w:r w:rsidRPr="00424274">
        <w:rPr>
          <w:rFonts w:ascii="Arial" w:hAnsi="Arial"/>
          <w:sz w:val="20"/>
        </w:rPr>
        <w:t xml:space="preserve"> bančnih računov v Sloveniji </w:t>
      </w:r>
      <w:r w:rsidR="00083FED">
        <w:rPr>
          <w:rFonts w:ascii="Arial" w:hAnsi="Arial"/>
          <w:sz w:val="20"/>
        </w:rPr>
        <w:t>in</w:t>
      </w:r>
      <w:r w:rsidR="00083FED" w:rsidRPr="00424274">
        <w:rPr>
          <w:rFonts w:ascii="Arial" w:hAnsi="Arial"/>
          <w:sz w:val="20"/>
        </w:rPr>
        <w:t xml:space="preserve"> </w:t>
      </w:r>
      <w:r w:rsidR="00083FED">
        <w:rPr>
          <w:rFonts w:ascii="Arial" w:hAnsi="Arial"/>
          <w:sz w:val="20"/>
        </w:rPr>
        <w:t>šest</w:t>
      </w:r>
      <w:r w:rsidRPr="00424274">
        <w:rPr>
          <w:rFonts w:ascii="Arial" w:hAnsi="Arial"/>
          <w:sz w:val="20"/>
        </w:rPr>
        <w:t xml:space="preserve"> bančnih računov v tujini.</w:t>
      </w:r>
    </w:p>
    <w:p w14:paraId="1F59178F" w14:textId="77777777" w:rsidR="006D2D65" w:rsidRPr="00424274" w:rsidRDefault="006D2D65" w:rsidP="00ED398A">
      <w:pPr>
        <w:pStyle w:val="Telobesedila2"/>
        <w:spacing w:line="276" w:lineRule="auto"/>
        <w:rPr>
          <w:rFonts w:ascii="Arial" w:hAnsi="Arial"/>
          <w:b/>
          <w:bCs/>
          <w:i/>
          <w:iCs/>
          <w:color w:val="FF0000"/>
          <w:sz w:val="20"/>
        </w:rPr>
      </w:pPr>
    </w:p>
    <w:p w14:paraId="37E98B1D" w14:textId="5DC53547" w:rsidR="00D1763B" w:rsidRPr="00424274" w:rsidRDefault="00D539BC" w:rsidP="002C2557">
      <w:pPr>
        <w:pStyle w:val="Naslov2"/>
        <w:numPr>
          <w:ilvl w:val="1"/>
          <w:numId w:val="35"/>
        </w:numPr>
      </w:pPr>
      <w:bookmarkStart w:id="263" w:name="_Toc113535526"/>
      <w:r w:rsidRPr="00424274">
        <w:t>FAZE POSTOPKOV V ZVEZI S PODANIMI KAZENSKIMI OVADBAMI ZA</w:t>
      </w:r>
      <w:r w:rsidR="008D74CA">
        <w:t>RADI</w:t>
      </w:r>
      <w:r w:rsidRPr="00424274">
        <w:t xml:space="preserve"> PRANJ</w:t>
      </w:r>
      <w:r w:rsidR="008D74CA">
        <w:t>A</w:t>
      </w:r>
      <w:r w:rsidRPr="00424274">
        <w:t xml:space="preserve"> DENARJ</w:t>
      </w:r>
      <w:r w:rsidR="008D74CA">
        <w:t>A</w:t>
      </w:r>
      <w:bookmarkEnd w:id="263"/>
    </w:p>
    <w:p w14:paraId="158A99ED" w14:textId="77777777" w:rsidR="001D7A12" w:rsidRPr="00424274" w:rsidRDefault="001D7A12" w:rsidP="00D21F86">
      <w:pPr>
        <w:pStyle w:val="Telobesedila"/>
        <w:spacing w:line="276" w:lineRule="auto"/>
        <w:ind w:right="-22"/>
        <w:rPr>
          <w:rFonts w:ascii="Arial" w:hAnsi="Arial"/>
          <w:sz w:val="20"/>
        </w:rPr>
      </w:pPr>
    </w:p>
    <w:p w14:paraId="7E72961A" w14:textId="614C7384" w:rsidR="00A77FCD" w:rsidRPr="00424274" w:rsidRDefault="00A77FCD" w:rsidP="001F4E58">
      <w:pPr>
        <w:widowControl/>
        <w:spacing w:line="276" w:lineRule="auto"/>
        <w:ind w:right="-22"/>
        <w:rPr>
          <w:rFonts w:ascii="Arial" w:hAnsi="Arial"/>
          <w:sz w:val="20"/>
        </w:rPr>
      </w:pPr>
      <w:r w:rsidRPr="00424274">
        <w:rPr>
          <w:rFonts w:ascii="Arial" w:hAnsi="Arial"/>
          <w:sz w:val="20"/>
        </w:rPr>
        <w:t xml:space="preserve">Iz statističnih podatkov, ki jih </w:t>
      </w:r>
      <w:r w:rsidR="00A0541B">
        <w:rPr>
          <w:rFonts w:ascii="Arial" w:hAnsi="Arial"/>
          <w:sz w:val="20"/>
        </w:rPr>
        <w:t>urad</w:t>
      </w:r>
      <w:r w:rsidRPr="00424274">
        <w:rPr>
          <w:rFonts w:ascii="Arial" w:hAnsi="Arial"/>
          <w:sz w:val="20"/>
        </w:rPr>
        <w:t xml:space="preserve"> prejema od policije, državnih tožilstev in sodišč, je razvidno, da je leta 2020 </w:t>
      </w:r>
      <w:r w:rsidR="00E0080D">
        <w:rPr>
          <w:rFonts w:ascii="Arial" w:hAnsi="Arial"/>
          <w:sz w:val="20"/>
        </w:rPr>
        <w:t>p</w:t>
      </w:r>
      <w:r w:rsidRPr="00424274">
        <w:rPr>
          <w:rFonts w:ascii="Arial" w:hAnsi="Arial"/>
          <w:sz w:val="20"/>
        </w:rPr>
        <w:t>olicij</w:t>
      </w:r>
      <w:r w:rsidR="009A7A35">
        <w:rPr>
          <w:rFonts w:ascii="Arial" w:hAnsi="Arial"/>
          <w:sz w:val="20"/>
        </w:rPr>
        <w:t>a</w:t>
      </w:r>
      <w:r w:rsidRPr="00424274">
        <w:rPr>
          <w:rFonts w:ascii="Arial" w:hAnsi="Arial"/>
          <w:sz w:val="20"/>
        </w:rPr>
        <w:t xml:space="preserve"> poda</w:t>
      </w:r>
      <w:r w:rsidR="009A7A35">
        <w:rPr>
          <w:rFonts w:ascii="Arial" w:hAnsi="Arial"/>
          <w:sz w:val="20"/>
        </w:rPr>
        <w:t>la</w:t>
      </w:r>
      <w:r w:rsidRPr="00424274">
        <w:rPr>
          <w:rFonts w:ascii="Arial" w:hAnsi="Arial"/>
          <w:sz w:val="20"/>
        </w:rPr>
        <w:t xml:space="preserve"> 26 novih kazenskih ovadb zaradi utemeljenega suma storitve kaznivega dejanja pranja denarja, medtem ko so tožilstva v letu 2020 sama, brez kazenske ovadbe </w:t>
      </w:r>
      <w:r w:rsidR="00E0080D">
        <w:rPr>
          <w:rFonts w:ascii="Arial" w:hAnsi="Arial"/>
          <w:sz w:val="20"/>
        </w:rPr>
        <w:t>p</w:t>
      </w:r>
      <w:r w:rsidRPr="00424274">
        <w:rPr>
          <w:rFonts w:ascii="Arial" w:hAnsi="Arial"/>
          <w:sz w:val="20"/>
        </w:rPr>
        <w:t xml:space="preserve">olicije, začela </w:t>
      </w:r>
      <w:r w:rsidR="009A7A35">
        <w:rPr>
          <w:rFonts w:ascii="Arial" w:hAnsi="Arial"/>
          <w:sz w:val="20"/>
        </w:rPr>
        <w:t>pet</w:t>
      </w:r>
      <w:r w:rsidRPr="00424274">
        <w:rPr>
          <w:rFonts w:ascii="Arial" w:hAnsi="Arial"/>
          <w:sz w:val="20"/>
        </w:rPr>
        <w:t xml:space="preserve"> predkazenskih ali kazenskih postopkov</w:t>
      </w:r>
      <w:r w:rsidR="00BE5215">
        <w:rPr>
          <w:rFonts w:ascii="Arial" w:hAnsi="Arial"/>
          <w:sz w:val="20"/>
        </w:rPr>
        <w:t>.</w:t>
      </w:r>
      <w:r w:rsidRPr="00424274">
        <w:rPr>
          <w:rFonts w:ascii="Arial" w:hAnsi="Arial"/>
          <w:sz w:val="20"/>
        </w:rPr>
        <w:t xml:space="preserve"> Od leta 1995 </w:t>
      </w:r>
      <w:r w:rsidR="00210B00">
        <w:rPr>
          <w:rFonts w:ascii="Arial" w:hAnsi="Arial"/>
          <w:sz w:val="20"/>
        </w:rPr>
        <w:t>naprej</w:t>
      </w:r>
      <w:r w:rsidR="00210B00" w:rsidRPr="00424274">
        <w:rPr>
          <w:rFonts w:ascii="Arial" w:hAnsi="Arial"/>
          <w:sz w:val="20"/>
        </w:rPr>
        <w:t xml:space="preserve"> </w:t>
      </w:r>
      <w:r w:rsidRPr="00424274">
        <w:rPr>
          <w:rFonts w:ascii="Arial" w:hAnsi="Arial"/>
          <w:sz w:val="20"/>
        </w:rPr>
        <w:t xml:space="preserve">so se skupno </w:t>
      </w:r>
      <w:r w:rsidR="009A7A35">
        <w:rPr>
          <w:rFonts w:ascii="Arial" w:hAnsi="Arial"/>
          <w:sz w:val="20"/>
        </w:rPr>
        <w:t>za</w:t>
      </w:r>
      <w:r w:rsidRPr="00424274">
        <w:rPr>
          <w:rFonts w:ascii="Arial" w:hAnsi="Arial"/>
          <w:sz w:val="20"/>
        </w:rPr>
        <w:t>čeli postopki v 667 predkazenskih in kazenskih zadevah</w:t>
      </w:r>
      <w:r w:rsidR="009A7A35">
        <w:rPr>
          <w:rFonts w:ascii="Arial" w:hAnsi="Arial"/>
          <w:sz w:val="20"/>
        </w:rPr>
        <w:t>,</w:t>
      </w:r>
      <w:r w:rsidRPr="00424274">
        <w:rPr>
          <w:rFonts w:ascii="Arial" w:hAnsi="Arial"/>
          <w:sz w:val="20"/>
        </w:rPr>
        <w:t xml:space="preserve"> povezanih s kaznivim dejanjem pranja denarja.</w:t>
      </w:r>
    </w:p>
    <w:p w14:paraId="0CF56F31" w14:textId="77777777" w:rsidR="00A77FCD" w:rsidRPr="00424274" w:rsidRDefault="00A77FCD" w:rsidP="001F4E58">
      <w:pPr>
        <w:widowControl/>
        <w:spacing w:line="276" w:lineRule="auto"/>
        <w:ind w:right="-22"/>
        <w:rPr>
          <w:rFonts w:ascii="Arial" w:hAnsi="Arial"/>
          <w:sz w:val="20"/>
        </w:rPr>
      </w:pPr>
    </w:p>
    <w:p w14:paraId="3EB75523" w14:textId="7C2F8519" w:rsidR="00A77FCD" w:rsidRPr="00424274" w:rsidRDefault="00A77FCD" w:rsidP="001F4E58">
      <w:pPr>
        <w:widowControl/>
        <w:spacing w:line="276" w:lineRule="auto"/>
        <w:ind w:right="-22"/>
        <w:rPr>
          <w:rFonts w:ascii="Arial" w:hAnsi="Arial"/>
          <w:sz w:val="20"/>
        </w:rPr>
      </w:pPr>
      <w:r w:rsidRPr="00424274">
        <w:rPr>
          <w:rFonts w:ascii="Arial" w:hAnsi="Arial"/>
          <w:sz w:val="20"/>
        </w:rPr>
        <w:t xml:space="preserve">V zvezi z vsemi temi zadevami je postopek že končan v 336 zadevah (101 zadeva se je končala s pravnomočno obsodilno sodbo, v 29 zadevah so bile izrečene oprostilne sodbe, v 112 zadevah se tožilstvo ni odločil za pregon, v 70 zadevah je tožilec odstopil od pregona ali </w:t>
      </w:r>
      <w:r w:rsidR="00210B00">
        <w:rPr>
          <w:rFonts w:ascii="Arial" w:hAnsi="Arial"/>
          <w:sz w:val="20"/>
        </w:rPr>
        <w:t xml:space="preserve">pa </w:t>
      </w:r>
      <w:r w:rsidRPr="00424274">
        <w:rPr>
          <w:rFonts w:ascii="Arial" w:hAnsi="Arial"/>
          <w:sz w:val="20"/>
        </w:rPr>
        <w:t xml:space="preserve">je postopek ustavilo sodišče, </w:t>
      </w:r>
      <w:r w:rsidR="009A7A35">
        <w:rPr>
          <w:rFonts w:ascii="Arial" w:hAnsi="Arial"/>
          <w:sz w:val="20"/>
        </w:rPr>
        <w:t>šest</w:t>
      </w:r>
      <w:r w:rsidRPr="00424274">
        <w:rPr>
          <w:rFonts w:ascii="Arial" w:hAnsi="Arial"/>
          <w:sz w:val="20"/>
        </w:rPr>
        <w:t xml:space="preserve"> zadev so sodišča odstopila v reševanje v tujino, medtem ko je v 13 primerih prišlo do združitev postopkov in v </w:t>
      </w:r>
      <w:r w:rsidR="009A7A35">
        <w:rPr>
          <w:rFonts w:ascii="Arial" w:hAnsi="Arial"/>
          <w:sz w:val="20"/>
        </w:rPr>
        <w:t>petih</w:t>
      </w:r>
      <w:r w:rsidRPr="00424274">
        <w:rPr>
          <w:rFonts w:ascii="Arial" w:hAnsi="Arial"/>
          <w:sz w:val="20"/>
        </w:rPr>
        <w:t xml:space="preserve"> do prekvalifikacije kaznivega dejanja). V predkazenskem ali kazenskem postopku je še 331 zadev, in sicer se tožilstvo v 147 zadevah še odloča o pregonu, v </w:t>
      </w:r>
      <w:r w:rsidR="009A7A35">
        <w:rPr>
          <w:rFonts w:ascii="Arial" w:hAnsi="Arial"/>
          <w:sz w:val="20"/>
        </w:rPr>
        <w:t>eni</w:t>
      </w:r>
      <w:r w:rsidRPr="00424274">
        <w:rPr>
          <w:rFonts w:ascii="Arial" w:hAnsi="Arial"/>
          <w:sz w:val="20"/>
        </w:rPr>
        <w:t xml:space="preserve"> zadevi je tožilstvo pregon odložilo, medtem ko </w:t>
      </w:r>
      <w:r w:rsidR="009A7A35">
        <w:rPr>
          <w:rFonts w:ascii="Arial" w:hAnsi="Arial"/>
          <w:sz w:val="20"/>
        </w:rPr>
        <w:t>je</w:t>
      </w:r>
      <w:r w:rsidR="009A7A35" w:rsidRPr="00424274">
        <w:rPr>
          <w:rFonts w:ascii="Arial" w:hAnsi="Arial"/>
          <w:sz w:val="20"/>
        </w:rPr>
        <w:t xml:space="preserve"> </w:t>
      </w:r>
      <w:r w:rsidRPr="00424274">
        <w:rPr>
          <w:rFonts w:ascii="Arial" w:hAnsi="Arial"/>
          <w:sz w:val="20"/>
        </w:rPr>
        <w:t>183 zadev v različnih fazah obravnave (zahteva za preiskavo, preiskava, obtožnica). V letu 2020 so se tožilstva v 10 zadevah odločila za kazenski pregon in s</w:t>
      </w:r>
      <w:r w:rsidR="00210B00">
        <w:rPr>
          <w:rFonts w:ascii="Arial" w:hAnsi="Arial"/>
          <w:sz w:val="20"/>
        </w:rPr>
        <w:t>o</w:t>
      </w:r>
      <w:r w:rsidRPr="00424274">
        <w:rPr>
          <w:rFonts w:ascii="Arial" w:hAnsi="Arial"/>
          <w:sz w:val="20"/>
        </w:rPr>
        <w:t xml:space="preserve"> v fazah zahteve za preiskavo, preiskave ali obtožnice. Na </w:t>
      </w:r>
      <w:r w:rsidR="00A0541B">
        <w:rPr>
          <w:rFonts w:ascii="Arial" w:hAnsi="Arial"/>
          <w:sz w:val="20"/>
        </w:rPr>
        <w:t>urad</w:t>
      </w:r>
      <w:r w:rsidRPr="00424274">
        <w:rPr>
          <w:rFonts w:ascii="Arial" w:hAnsi="Arial"/>
          <w:sz w:val="20"/>
        </w:rPr>
        <w:t>u ugotavljamo, da se je trend povečevanja števila predkazenskih in kazenskih postopkov v zvezi s sumi storitve kaznivega dejanja pranja denarja nadaljeval tudi v letu 2020.</w:t>
      </w:r>
    </w:p>
    <w:p w14:paraId="1A49EB3F" w14:textId="77777777" w:rsidR="00A77FCD" w:rsidRPr="00424274" w:rsidRDefault="00A77FCD" w:rsidP="001F4E58">
      <w:pPr>
        <w:widowControl/>
        <w:spacing w:line="276" w:lineRule="auto"/>
        <w:ind w:right="-22"/>
        <w:rPr>
          <w:rFonts w:ascii="Arial" w:hAnsi="Arial"/>
          <w:sz w:val="20"/>
        </w:rPr>
      </w:pPr>
    </w:p>
    <w:p w14:paraId="20D286F6" w14:textId="42ED411C" w:rsidR="00A77FCD" w:rsidRPr="00424274" w:rsidRDefault="00A77FCD" w:rsidP="001F4E58">
      <w:pPr>
        <w:widowControl/>
        <w:spacing w:line="276" w:lineRule="auto"/>
        <w:ind w:right="-22"/>
        <w:rPr>
          <w:rFonts w:ascii="Arial" w:hAnsi="Arial"/>
          <w:sz w:val="20"/>
        </w:rPr>
      </w:pPr>
      <w:r w:rsidRPr="00424274">
        <w:rPr>
          <w:rFonts w:ascii="Arial" w:hAnsi="Arial"/>
          <w:sz w:val="20"/>
        </w:rPr>
        <w:t xml:space="preserve">Sodišča so do konca leta 2020 v 101 zadevi izrekla 106 pravnomočnih obsodilnih sodb zoper 120 domačih fizičnih oseb, 16 tujih fizičnih oseb </w:t>
      </w:r>
      <w:r w:rsidR="009A7A35">
        <w:rPr>
          <w:rFonts w:ascii="Arial" w:hAnsi="Arial"/>
          <w:sz w:val="20"/>
        </w:rPr>
        <w:t>in</w:t>
      </w:r>
      <w:r w:rsidR="009A7A35" w:rsidRPr="00424274">
        <w:rPr>
          <w:rFonts w:ascii="Arial" w:hAnsi="Arial"/>
          <w:sz w:val="20"/>
        </w:rPr>
        <w:t xml:space="preserve"> </w:t>
      </w:r>
      <w:r w:rsidR="009A7A35">
        <w:rPr>
          <w:rFonts w:ascii="Arial" w:hAnsi="Arial"/>
          <w:sz w:val="20"/>
        </w:rPr>
        <w:t>pet</w:t>
      </w:r>
      <w:r w:rsidRPr="00424274">
        <w:rPr>
          <w:rFonts w:ascii="Arial" w:hAnsi="Arial"/>
          <w:sz w:val="20"/>
        </w:rPr>
        <w:t xml:space="preserve"> domačih pravnih oseb. V teh 106 pravnomočnih sodbah so sodišča izrekla 141 zapornih kazni</w:t>
      </w:r>
      <w:r w:rsidR="009A7A35">
        <w:rPr>
          <w:rFonts w:ascii="Arial" w:hAnsi="Arial"/>
          <w:sz w:val="20"/>
        </w:rPr>
        <w:t>,</w:t>
      </w:r>
      <w:r w:rsidRPr="00424274">
        <w:rPr>
          <w:rFonts w:ascii="Arial" w:hAnsi="Arial"/>
          <w:sz w:val="20"/>
        </w:rPr>
        <w:t xml:space="preserve"> od tega 73 pogojnih, medtem ko je bilo </w:t>
      </w:r>
      <w:r w:rsidR="009A7A35">
        <w:rPr>
          <w:rFonts w:ascii="Arial" w:hAnsi="Arial"/>
          <w:sz w:val="20"/>
        </w:rPr>
        <w:t>sedem</w:t>
      </w:r>
      <w:r w:rsidRPr="00424274">
        <w:rPr>
          <w:rFonts w:ascii="Arial" w:hAnsi="Arial"/>
          <w:sz w:val="20"/>
        </w:rPr>
        <w:t xml:space="preserve"> izrečenih zapornih kazni spremenjenih v delo v splošno korist. Povprečna kazen zapora znaša 18 mesecev, pri čemer je najmanjša izrečena kazen zapora </w:t>
      </w:r>
      <w:r w:rsidR="009A7A35">
        <w:rPr>
          <w:rFonts w:ascii="Arial" w:hAnsi="Arial"/>
          <w:sz w:val="20"/>
        </w:rPr>
        <w:t>šest</w:t>
      </w:r>
      <w:r w:rsidRPr="00424274">
        <w:rPr>
          <w:rFonts w:ascii="Arial" w:hAnsi="Arial"/>
          <w:sz w:val="20"/>
        </w:rPr>
        <w:t xml:space="preserve"> mesecev in najvišja </w:t>
      </w:r>
      <w:r w:rsidR="009A7A35">
        <w:rPr>
          <w:rFonts w:ascii="Arial" w:hAnsi="Arial"/>
          <w:sz w:val="20"/>
        </w:rPr>
        <w:t>pet</w:t>
      </w:r>
      <w:r w:rsidRPr="00424274">
        <w:rPr>
          <w:rFonts w:ascii="Arial" w:hAnsi="Arial"/>
          <w:sz w:val="20"/>
        </w:rPr>
        <w:t xml:space="preserve"> let. V 22 sodbah so sodišča izrekla odvzem premoženja v skupni vrednosti </w:t>
      </w:r>
      <w:r w:rsidRPr="00424274">
        <w:rPr>
          <w:rFonts w:ascii="Arial" w:hAnsi="Arial"/>
          <w:color w:val="000000"/>
          <w:sz w:val="20"/>
          <w:lang w:eastAsia="sl-SI"/>
        </w:rPr>
        <w:t xml:space="preserve">3.581.822 </w:t>
      </w:r>
      <w:r w:rsidRPr="00424274">
        <w:rPr>
          <w:rFonts w:ascii="Arial" w:hAnsi="Arial"/>
          <w:sz w:val="20"/>
        </w:rPr>
        <w:t>EUR, v 43 sodbah odredila vračilo sredstev, ki so bila pridobljena s kaznivim dejanjem</w:t>
      </w:r>
      <w:r w:rsidR="004C7A9F">
        <w:rPr>
          <w:rFonts w:ascii="Arial" w:hAnsi="Arial"/>
          <w:sz w:val="20"/>
        </w:rPr>
        <w:t>,</w:t>
      </w:r>
      <w:r w:rsidRPr="00424274">
        <w:rPr>
          <w:rFonts w:ascii="Arial" w:hAnsi="Arial"/>
          <w:sz w:val="20"/>
        </w:rPr>
        <w:t xml:space="preserve"> v višini </w:t>
      </w:r>
      <w:r w:rsidRPr="00424274">
        <w:rPr>
          <w:rFonts w:ascii="Arial" w:hAnsi="Arial"/>
          <w:bCs/>
          <w:sz w:val="20"/>
          <w:lang w:eastAsia="sl-SI"/>
        </w:rPr>
        <w:t xml:space="preserve">32.069.526 </w:t>
      </w:r>
      <w:r w:rsidRPr="00424274">
        <w:rPr>
          <w:rFonts w:ascii="Arial" w:hAnsi="Arial"/>
          <w:sz w:val="20"/>
        </w:rPr>
        <w:t>EUR</w:t>
      </w:r>
      <w:r w:rsidR="009A7A35">
        <w:rPr>
          <w:rFonts w:ascii="Arial" w:hAnsi="Arial"/>
          <w:sz w:val="20"/>
        </w:rPr>
        <w:t>,</w:t>
      </w:r>
      <w:r w:rsidRPr="00424274">
        <w:rPr>
          <w:rFonts w:ascii="Arial" w:hAnsi="Arial"/>
          <w:sz w:val="20"/>
        </w:rPr>
        <w:t xml:space="preserve"> </w:t>
      </w:r>
      <w:r w:rsidR="009A7A35">
        <w:rPr>
          <w:rFonts w:ascii="Arial" w:hAnsi="Arial"/>
          <w:sz w:val="20"/>
        </w:rPr>
        <w:t>in</w:t>
      </w:r>
      <w:r w:rsidR="009A7A35" w:rsidRPr="00424274">
        <w:rPr>
          <w:rFonts w:ascii="Arial" w:hAnsi="Arial"/>
          <w:sz w:val="20"/>
        </w:rPr>
        <w:t xml:space="preserve"> </w:t>
      </w:r>
      <w:r w:rsidRPr="00424274">
        <w:rPr>
          <w:rFonts w:ascii="Arial" w:hAnsi="Arial"/>
          <w:sz w:val="20"/>
        </w:rPr>
        <w:t xml:space="preserve">izrekla 81 stranskih denarnih kazni v skupni višini </w:t>
      </w:r>
      <w:r w:rsidRPr="00424274">
        <w:rPr>
          <w:rFonts w:ascii="Arial" w:hAnsi="Arial"/>
          <w:bCs/>
          <w:sz w:val="20"/>
          <w:lang w:eastAsia="sl-SI"/>
        </w:rPr>
        <w:t xml:space="preserve">1.311.529 </w:t>
      </w:r>
      <w:r w:rsidRPr="00424274">
        <w:rPr>
          <w:rFonts w:ascii="Arial" w:hAnsi="Arial"/>
          <w:sz w:val="20"/>
        </w:rPr>
        <w:t>EUR.</w:t>
      </w:r>
    </w:p>
    <w:p w14:paraId="47905240" w14:textId="77777777" w:rsidR="00A77FCD" w:rsidRPr="00424274" w:rsidRDefault="00A77FCD" w:rsidP="001F4E58">
      <w:pPr>
        <w:widowControl/>
        <w:spacing w:line="276" w:lineRule="auto"/>
        <w:ind w:right="-22"/>
        <w:rPr>
          <w:rFonts w:ascii="Arial" w:hAnsi="Arial"/>
          <w:sz w:val="20"/>
        </w:rPr>
      </w:pPr>
    </w:p>
    <w:p w14:paraId="06B034A6" w14:textId="554089EB" w:rsidR="00A77FCD" w:rsidRPr="00424274" w:rsidRDefault="00A77FCD" w:rsidP="001F4E58">
      <w:pPr>
        <w:widowControl/>
        <w:spacing w:line="276" w:lineRule="auto"/>
        <w:ind w:right="-22"/>
        <w:rPr>
          <w:rFonts w:ascii="Arial" w:hAnsi="Arial"/>
          <w:sz w:val="20"/>
        </w:rPr>
      </w:pPr>
      <w:r w:rsidRPr="00424274">
        <w:rPr>
          <w:rFonts w:ascii="Arial" w:hAnsi="Arial"/>
          <w:sz w:val="20"/>
        </w:rPr>
        <w:t xml:space="preserve">V zvezi s sodelovanjem </w:t>
      </w:r>
      <w:r w:rsidR="00A0541B">
        <w:rPr>
          <w:rFonts w:ascii="Arial" w:hAnsi="Arial"/>
          <w:sz w:val="20"/>
        </w:rPr>
        <w:t>urad</w:t>
      </w:r>
      <w:r w:rsidRPr="00424274">
        <w:rPr>
          <w:rFonts w:ascii="Arial" w:hAnsi="Arial"/>
          <w:sz w:val="20"/>
        </w:rPr>
        <w:t xml:space="preserve">a pri odkrivanju kaznivih dejanj pranja denarja v obdobju 2010–2020 ugotavljamo, da je 56 % od skupno 667 predkazenskih in kazenskih postopkov s področja pranja denarja temeljilo na obvestilih </w:t>
      </w:r>
      <w:r w:rsidR="00A0541B">
        <w:rPr>
          <w:rFonts w:ascii="Arial" w:hAnsi="Arial"/>
          <w:sz w:val="20"/>
        </w:rPr>
        <w:t>urad</w:t>
      </w:r>
      <w:r w:rsidRPr="00424274">
        <w:rPr>
          <w:rFonts w:ascii="Arial" w:hAnsi="Arial"/>
          <w:sz w:val="20"/>
        </w:rPr>
        <w:t xml:space="preserve">a. Med temi zadevami se je kar 38 % zadev s področja pranja denarja začelo samo na podlagi podatkov, ki so jih </w:t>
      </w:r>
      <w:r w:rsidR="00A0541B">
        <w:rPr>
          <w:rFonts w:ascii="Arial" w:hAnsi="Arial"/>
          <w:sz w:val="20"/>
        </w:rPr>
        <w:t>urad</w:t>
      </w:r>
      <w:r w:rsidRPr="00424274">
        <w:rPr>
          <w:rFonts w:ascii="Arial" w:hAnsi="Arial"/>
          <w:sz w:val="20"/>
        </w:rPr>
        <w:t xml:space="preserve">u v obliki prijav sumljivih transakcij </w:t>
      </w:r>
      <w:r w:rsidR="00814A21">
        <w:rPr>
          <w:rFonts w:ascii="Arial" w:hAnsi="Arial"/>
          <w:sz w:val="20"/>
        </w:rPr>
        <w:t>poslali</w:t>
      </w:r>
      <w:r w:rsidR="00814A21" w:rsidRPr="00424274">
        <w:rPr>
          <w:rFonts w:ascii="Arial" w:hAnsi="Arial"/>
          <w:sz w:val="20"/>
        </w:rPr>
        <w:t xml:space="preserve"> </w:t>
      </w:r>
      <w:r w:rsidRPr="00424274">
        <w:rPr>
          <w:rFonts w:ascii="Arial" w:hAnsi="Arial"/>
          <w:sz w:val="20"/>
        </w:rPr>
        <w:t xml:space="preserve">zavezanci iz 4. člena ZPPDFT-1, medtem ko je </w:t>
      </w:r>
      <w:r w:rsidR="00814A21">
        <w:rPr>
          <w:rFonts w:ascii="Arial" w:hAnsi="Arial"/>
          <w:sz w:val="20"/>
        </w:rPr>
        <w:t>u</w:t>
      </w:r>
      <w:r w:rsidRPr="00424274">
        <w:rPr>
          <w:rFonts w:ascii="Arial" w:hAnsi="Arial"/>
          <w:sz w:val="20"/>
        </w:rPr>
        <w:t>rad v 18</w:t>
      </w:r>
      <w:r w:rsidR="00210B00">
        <w:rPr>
          <w:rFonts w:ascii="Arial" w:hAnsi="Arial"/>
          <w:sz w:val="20"/>
        </w:rPr>
        <w:t> </w:t>
      </w:r>
      <w:r w:rsidRPr="00424274">
        <w:rPr>
          <w:rFonts w:ascii="Arial" w:hAnsi="Arial"/>
          <w:sz w:val="20"/>
        </w:rPr>
        <w:t>% primer</w:t>
      </w:r>
      <w:r w:rsidR="00210B00">
        <w:rPr>
          <w:rFonts w:ascii="Arial" w:hAnsi="Arial"/>
          <w:sz w:val="20"/>
        </w:rPr>
        <w:t>ov</w:t>
      </w:r>
      <w:r w:rsidRPr="00424274">
        <w:rPr>
          <w:rFonts w:ascii="Arial" w:hAnsi="Arial"/>
          <w:sz w:val="20"/>
        </w:rPr>
        <w:t xml:space="preserve"> </w:t>
      </w:r>
      <w:r w:rsidR="00814A21">
        <w:rPr>
          <w:rFonts w:ascii="Arial" w:hAnsi="Arial"/>
          <w:sz w:val="20"/>
        </w:rPr>
        <w:t>za</w:t>
      </w:r>
      <w:r w:rsidRPr="00424274">
        <w:rPr>
          <w:rFonts w:ascii="Arial" w:hAnsi="Arial"/>
          <w:sz w:val="20"/>
        </w:rPr>
        <w:t xml:space="preserve">čel analizo na podlagi pobud državnih organov. Policija ali tožilstva so v 44 % zadev preganjala kaznivo dejanje pranja denarja </w:t>
      </w:r>
      <w:r w:rsidR="009A7A35">
        <w:rPr>
          <w:rFonts w:ascii="Arial" w:hAnsi="Arial"/>
          <w:sz w:val="20"/>
        </w:rPr>
        <w:t>popolnoma</w:t>
      </w:r>
      <w:r w:rsidR="009A7A35" w:rsidRPr="00424274">
        <w:rPr>
          <w:rFonts w:ascii="Arial" w:hAnsi="Arial"/>
          <w:sz w:val="20"/>
        </w:rPr>
        <w:t xml:space="preserve"> </w:t>
      </w:r>
      <w:r w:rsidRPr="00424274">
        <w:rPr>
          <w:rFonts w:ascii="Arial" w:hAnsi="Arial"/>
          <w:sz w:val="20"/>
        </w:rPr>
        <w:t xml:space="preserve">samostojno. Navedena struktura jasno kaže na to, da sporočene sumljive transakcije zavezancev odločilno prispevajo k številu obravnavanih zadev policije in tožilstva. Navedeno dokazuje, da je sistem boja proti pranju denarja </w:t>
      </w:r>
      <w:r w:rsidR="00397140">
        <w:rPr>
          <w:rFonts w:ascii="Arial" w:hAnsi="Arial"/>
          <w:sz w:val="20"/>
        </w:rPr>
        <w:t>z</w:t>
      </w:r>
      <w:r w:rsidR="00397140" w:rsidRPr="00424274">
        <w:rPr>
          <w:rFonts w:ascii="Arial" w:hAnsi="Arial"/>
          <w:sz w:val="20"/>
        </w:rPr>
        <w:t xml:space="preserve"> </w:t>
      </w:r>
      <w:r w:rsidRPr="00424274">
        <w:rPr>
          <w:rFonts w:ascii="Arial" w:hAnsi="Arial"/>
          <w:sz w:val="20"/>
        </w:rPr>
        <w:t>zaznavanj</w:t>
      </w:r>
      <w:r w:rsidR="00397140">
        <w:rPr>
          <w:rFonts w:ascii="Arial" w:hAnsi="Arial"/>
          <w:sz w:val="20"/>
        </w:rPr>
        <w:t>em</w:t>
      </w:r>
      <w:r w:rsidRPr="00424274">
        <w:rPr>
          <w:rFonts w:ascii="Arial" w:hAnsi="Arial"/>
          <w:sz w:val="20"/>
        </w:rPr>
        <w:t xml:space="preserve"> sumljivih transakcij v finančnem in nefinančnem sektorju učinkovit.</w:t>
      </w:r>
    </w:p>
    <w:p w14:paraId="3883561F" w14:textId="77777777" w:rsidR="00424A7E" w:rsidRPr="00424274" w:rsidRDefault="00424A7E" w:rsidP="00373B21">
      <w:pPr>
        <w:pStyle w:val="Telobesedila"/>
        <w:spacing w:line="276" w:lineRule="auto"/>
        <w:rPr>
          <w:rFonts w:ascii="Arial" w:hAnsi="Arial"/>
          <w:b/>
          <w:i/>
          <w:color w:val="FF0000"/>
          <w:sz w:val="20"/>
        </w:rPr>
      </w:pPr>
    </w:p>
    <w:p w14:paraId="218BA234" w14:textId="77777777" w:rsidR="00851C49" w:rsidRPr="00424274" w:rsidRDefault="00D539BC" w:rsidP="00483B6A">
      <w:pPr>
        <w:pStyle w:val="Naslov2"/>
        <w:numPr>
          <w:ilvl w:val="1"/>
          <w:numId w:val="35"/>
        </w:numPr>
      </w:pPr>
      <w:bookmarkStart w:id="264" w:name="_Toc113535527"/>
      <w:r w:rsidRPr="00424274">
        <w:t>PREVENTIVA IN NADZOR</w:t>
      </w:r>
      <w:bookmarkEnd w:id="264"/>
    </w:p>
    <w:p w14:paraId="04DA6E8D" w14:textId="77777777" w:rsidR="00CD0E60" w:rsidRPr="00424274" w:rsidRDefault="00CD0E60" w:rsidP="00373B21">
      <w:pPr>
        <w:pStyle w:val="ParagraphNumbering"/>
        <w:tabs>
          <w:tab w:val="clear" w:pos="851"/>
        </w:tabs>
        <w:spacing w:after="0" w:line="276" w:lineRule="auto"/>
        <w:rPr>
          <w:rFonts w:ascii="Arial" w:hAnsi="Arial"/>
          <w:sz w:val="20"/>
        </w:rPr>
      </w:pPr>
    </w:p>
    <w:p w14:paraId="79967C34" w14:textId="6AB65DB7" w:rsidR="004173D0" w:rsidRPr="00424274" w:rsidRDefault="004173D0" w:rsidP="001B399A">
      <w:pPr>
        <w:spacing w:line="276" w:lineRule="auto"/>
        <w:rPr>
          <w:rFonts w:ascii="Arial" w:hAnsi="Arial"/>
          <w:sz w:val="20"/>
        </w:rPr>
      </w:pPr>
      <w:r w:rsidRPr="00424274">
        <w:rPr>
          <w:rFonts w:ascii="Arial" w:hAnsi="Arial"/>
          <w:sz w:val="20"/>
        </w:rPr>
        <w:t>Na področju zakonodaje so v letu 2020 potekale številne aktivnosti. Preoblikovana je bila novela ZPPDFT-1B, pripravljen je bil predlog nove novele ZPPDFT-1C, začel se je postopek preoblikovanja predloga novele ZPPDFT-1C v nov zakon ZPPDFT-2</w:t>
      </w:r>
      <w:r w:rsidR="008A22F9" w:rsidRPr="00424274">
        <w:rPr>
          <w:rFonts w:ascii="Arial" w:hAnsi="Arial"/>
          <w:sz w:val="20"/>
        </w:rPr>
        <w:t xml:space="preserve">. </w:t>
      </w:r>
      <w:r w:rsidR="00397140">
        <w:rPr>
          <w:rFonts w:ascii="Arial" w:hAnsi="Arial"/>
          <w:sz w:val="20"/>
        </w:rPr>
        <w:t>P</w:t>
      </w:r>
      <w:r w:rsidR="008A22F9" w:rsidRPr="00424274">
        <w:rPr>
          <w:rFonts w:ascii="Arial" w:hAnsi="Arial"/>
          <w:sz w:val="20"/>
        </w:rPr>
        <w:t xml:space="preserve">ripravljenih </w:t>
      </w:r>
      <w:r w:rsidR="00397140">
        <w:rPr>
          <w:rFonts w:ascii="Arial" w:hAnsi="Arial"/>
          <w:sz w:val="20"/>
        </w:rPr>
        <w:t xml:space="preserve">je bilo </w:t>
      </w:r>
      <w:r w:rsidR="008A22F9" w:rsidRPr="00424274">
        <w:rPr>
          <w:rFonts w:ascii="Arial" w:hAnsi="Arial"/>
          <w:sz w:val="20"/>
        </w:rPr>
        <w:t xml:space="preserve">tudi </w:t>
      </w:r>
      <w:r w:rsidR="00397140">
        <w:rPr>
          <w:rFonts w:ascii="Arial" w:hAnsi="Arial"/>
          <w:sz w:val="20"/>
        </w:rPr>
        <w:t>pet</w:t>
      </w:r>
      <w:r w:rsidRPr="00424274">
        <w:rPr>
          <w:rFonts w:ascii="Arial" w:hAnsi="Arial"/>
          <w:sz w:val="20"/>
        </w:rPr>
        <w:t xml:space="preserve"> predlogov podzakonskih predpisov. </w:t>
      </w:r>
    </w:p>
    <w:p w14:paraId="1D27E183" w14:textId="77777777" w:rsidR="004173D0" w:rsidRPr="00424274" w:rsidRDefault="004173D0" w:rsidP="001B399A">
      <w:pPr>
        <w:widowControl/>
        <w:spacing w:line="276" w:lineRule="auto"/>
        <w:rPr>
          <w:rFonts w:ascii="Arial" w:hAnsi="Arial"/>
          <w:sz w:val="20"/>
        </w:rPr>
      </w:pPr>
    </w:p>
    <w:p w14:paraId="1E031391" w14:textId="2A076278" w:rsidR="004173D0" w:rsidRPr="00424274" w:rsidRDefault="004173D0" w:rsidP="001B399A">
      <w:pPr>
        <w:widowControl/>
        <w:spacing w:line="276" w:lineRule="auto"/>
        <w:rPr>
          <w:rFonts w:ascii="Arial" w:hAnsi="Arial"/>
          <w:sz w:val="20"/>
        </w:rPr>
      </w:pPr>
      <w:r w:rsidRPr="00424274">
        <w:rPr>
          <w:rFonts w:ascii="Arial" w:hAnsi="Arial"/>
          <w:sz w:val="20"/>
        </w:rPr>
        <w:t xml:space="preserve">V letu 2020 je </w:t>
      </w:r>
      <w:r w:rsidR="00A0541B">
        <w:rPr>
          <w:rFonts w:ascii="Arial" w:hAnsi="Arial"/>
          <w:sz w:val="20"/>
        </w:rPr>
        <w:t>urad</w:t>
      </w:r>
      <w:r w:rsidRPr="00424274">
        <w:rPr>
          <w:rFonts w:ascii="Arial" w:hAnsi="Arial"/>
          <w:sz w:val="20"/>
        </w:rPr>
        <w:t xml:space="preserve"> podal 90 pisnih mnenj oziroma stališč v zvezi z razlago izvajanja posameznih določil ZPPDFT-1. Na splošno je prepoznano, da so postavljena vprašanja oziroma zaprosila za pomoč pri izvajanju zakonskih določb čedalje bolj zahtevna in kompleksna, kar na eni strani zahteva vključevanje več resursov v okviru </w:t>
      </w:r>
      <w:r w:rsidR="00A0541B">
        <w:rPr>
          <w:rFonts w:ascii="Arial" w:hAnsi="Arial"/>
          <w:sz w:val="20"/>
        </w:rPr>
        <w:t>urad</w:t>
      </w:r>
      <w:r w:rsidRPr="00424274">
        <w:rPr>
          <w:rFonts w:ascii="Arial" w:hAnsi="Arial"/>
          <w:sz w:val="20"/>
        </w:rPr>
        <w:t xml:space="preserve">a in usklajevanje z drugimi nadzornimi organi, na drugi strani pa predstavlja </w:t>
      </w:r>
      <w:r w:rsidRPr="00424274">
        <w:rPr>
          <w:rFonts w:ascii="Arial" w:hAnsi="Arial"/>
          <w:sz w:val="20"/>
        </w:rPr>
        <w:lastRenderedPageBreak/>
        <w:t>kazalnik kakovostnega razvoja, vsaj v nekaterih kategorijah zavezancev, pri izvajanju ukrepov za preprečevanje pranja denarja in financiranja terorizma v okviru svojih poslovnih procesov.</w:t>
      </w:r>
    </w:p>
    <w:p w14:paraId="77126542" w14:textId="77777777" w:rsidR="004173D0" w:rsidRPr="00424274" w:rsidRDefault="004173D0" w:rsidP="001B399A">
      <w:pPr>
        <w:widowControl/>
        <w:spacing w:line="276" w:lineRule="auto"/>
        <w:rPr>
          <w:rFonts w:ascii="Arial" w:hAnsi="Arial"/>
          <w:sz w:val="20"/>
        </w:rPr>
      </w:pPr>
    </w:p>
    <w:p w14:paraId="17C38F0A" w14:textId="55182C3D" w:rsidR="004173D0" w:rsidRPr="00424274" w:rsidRDefault="004173D0" w:rsidP="001B399A">
      <w:pPr>
        <w:spacing w:before="120" w:line="276" w:lineRule="auto"/>
        <w:rPr>
          <w:rFonts w:ascii="Arial" w:hAnsi="Arial"/>
          <w:sz w:val="20"/>
        </w:rPr>
      </w:pPr>
      <w:r w:rsidRPr="00424274">
        <w:rPr>
          <w:rFonts w:ascii="Arial" w:hAnsi="Arial"/>
          <w:sz w:val="20"/>
        </w:rPr>
        <w:t xml:space="preserve">Delo </w:t>
      </w:r>
      <w:r w:rsidR="00A0541B">
        <w:rPr>
          <w:rFonts w:ascii="Arial" w:hAnsi="Arial"/>
          <w:sz w:val="20"/>
        </w:rPr>
        <w:t>urad</w:t>
      </w:r>
      <w:r w:rsidRPr="00424274">
        <w:rPr>
          <w:rFonts w:ascii="Arial" w:hAnsi="Arial"/>
          <w:sz w:val="20"/>
        </w:rPr>
        <w:t xml:space="preserve">a je bilo tudi v letu 2020 v veliki meri vezano na delovanje Posebnega odbora pri Svetu Evrope MONEYVAL. </w:t>
      </w:r>
    </w:p>
    <w:p w14:paraId="44532210" w14:textId="77777777" w:rsidR="004173D0" w:rsidRPr="00424274" w:rsidRDefault="004173D0" w:rsidP="001B399A">
      <w:pPr>
        <w:spacing w:before="120" w:line="276" w:lineRule="auto"/>
        <w:rPr>
          <w:rFonts w:ascii="Arial" w:hAnsi="Arial"/>
          <w:snapToGrid w:val="0"/>
          <w:sz w:val="20"/>
        </w:rPr>
      </w:pPr>
    </w:p>
    <w:p w14:paraId="444E98D4" w14:textId="1B6603D1" w:rsidR="004173D0" w:rsidRPr="00424274" w:rsidRDefault="004173D0" w:rsidP="001B399A">
      <w:pPr>
        <w:spacing w:line="276" w:lineRule="auto"/>
        <w:rPr>
          <w:rFonts w:ascii="Arial" w:hAnsi="Arial"/>
          <w:bCs/>
          <w:iCs/>
          <w:sz w:val="20"/>
        </w:rPr>
      </w:pPr>
      <w:r w:rsidRPr="00424274">
        <w:rPr>
          <w:rFonts w:ascii="Arial" w:hAnsi="Arial"/>
          <w:snapToGrid w:val="0"/>
          <w:sz w:val="20"/>
        </w:rPr>
        <w:t xml:space="preserve">Predstavniki </w:t>
      </w:r>
      <w:r w:rsidR="00A0541B">
        <w:rPr>
          <w:rFonts w:ascii="Arial" w:hAnsi="Arial"/>
          <w:bCs/>
          <w:iCs/>
          <w:sz w:val="20"/>
        </w:rPr>
        <w:t>urad</w:t>
      </w:r>
      <w:r w:rsidRPr="00424274">
        <w:rPr>
          <w:rFonts w:ascii="Arial" w:hAnsi="Arial"/>
          <w:bCs/>
          <w:iCs/>
          <w:sz w:val="20"/>
        </w:rPr>
        <w:t xml:space="preserve">a so v letu 2020 izvedli skupno 17 ur predavanj na različnih seminarjih doma in v tujini. </w:t>
      </w:r>
      <w:r w:rsidRPr="00424274">
        <w:rPr>
          <w:rFonts w:ascii="Arial" w:hAnsi="Arial"/>
          <w:snapToGrid w:val="0"/>
          <w:sz w:val="20"/>
        </w:rPr>
        <w:t xml:space="preserve">Seminarji oziroma sodelovanje pri različnih oblikah izobraževanj so bili namenjeni predvsem zavezancem iz 4. člena ZPPDFT-1. </w:t>
      </w:r>
    </w:p>
    <w:p w14:paraId="1649CEC4" w14:textId="77777777" w:rsidR="004173D0" w:rsidRPr="00424274" w:rsidRDefault="004173D0" w:rsidP="001B399A">
      <w:pPr>
        <w:spacing w:line="276" w:lineRule="auto"/>
        <w:rPr>
          <w:rFonts w:ascii="Arial" w:hAnsi="Arial"/>
          <w:snapToGrid w:val="0"/>
          <w:sz w:val="20"/>
        </w:rPr>
      </w:pPr>
    </w:p>
    <w:p w14:paraId="288DEF33" w14:textId="5DD1AC85" w:rsidR="004173D0" w:rsidRPr="00424274" w:rsidRDefault="004173D0" w:rsidP="001B399A">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rPr>
          <w:rFonts w:ascii="Arial" w:hAnsi="Arial"/>
          <w:sz w:val="20"/>
        </w:rPr>
      </w:pPr>
      <w:r w:rsidRPr="00424274">
        <w:rPr>
          <w:rFonts w:ascii="Arial" w:hAnsi="Arial"/>
          <w:sz w:val="20"/>
        </w:rPr>
        <w:t xml:space="preserve">Skladno s sprejetimi strateškimi usmeritvami in </w:t>
      </w:r>
      <w:r w:rsidR="00106CBC">
        <w:rPr>
          <w:rFonts w:ascii="Arial" w:hAnsi="Arial"/>
          <w:sz w:val="20"/>
        </w:rPr>
        <w:t>prednostnimi nalogami</w:t>
      </w:r>
      <w:r w:rsidR="00106CBC" w:rsidRPr="00424274">
        <w:rPr>
          <w:rFonts w:ascii="Arial" w:hAnsi="Arial"/>
          <w:sz w:val="20"/>
        </w:rPr>
        <w:t xml:space="preserve"> </w:t>
      </w:r>
      <w:r w:rsidRPr="00424274">
        <w:rPr>
          <w:rFonts w:ascii="Arial" w:hAnsi="Arial"/>
          <w:sz w:val="20"/>
        </w:rPr>
        <w:t xml:space="preserve">inšpekcijskega nadzora za leto 2020 je </w:t>
      </w:r>
      <w:r w:rsidR="00A0541B">
        <w:rPr>
          <w:rFonts w:ascii="Arial" w:hAnsi="Arial"/>
          <w:sz w:val="20"/>
        </w:rPr>
        <w:t>urad</w:t>
      </w:r>
      <w:r w:rsidRPr="00424274">
        <w:rPr>
          <w:rFonts w:ascii="Arial" w:hAnsi="Arial"/>
          <w:sz w:val="20"/>
        </w:rPr>
        <w:t xml:space="preserve"> načrtoval samostojne inšpekcijske nadzore predvsem pri tistih zavezancih, ki svojega primarnega nadzornika nimajo. </w:t>
      </w:r>
      <w:r w:rsidRPr="00424274">
        <w:rPr>
          <w:rFonts w:ascii="Arial" w:hAnsi="Arial"/>
          <w:snapToGrid w:val="0"/>
          <w:sz w:val="20"/>
        </w:rPr>
        <w:t>V letu 2020 je bilo tako izvedenih 50 inšpekcijskih nadzorov na terenu</w:t>
      </w:r>
      <w:r w:rsidR="008A1626">
        <w:rPr>
          <w:rFonts w:ascii="Arial" w:hAnsi="Arial"/>
          <w:snapToGrid w:val="0"/>
          <w:sz w:val="20"/>
        </w:rPr>
        <w:t xml:space="preserve"> in</w:t>
      </w:r>
      <w:r w:rsidRPr="00424274">
        <w:rPr>
          <w:rFonts w:ascii="Arial" w:hAnsi="Arial"/>
          <w:snapToGrid w:val="0"/>
          <w:sz w:val="20"/>
        </w:rPr>
        <w:t xml:space="preserve"> izdanih 46 ureditvenih odločb. Zaradi epidemije </w:t>
      </w:r>
      <w:r w:rsidR="008A1626">
        <w:rPr>
          <w:rFonts w:ascii="Arial" w:hAnsi="Arial"/>
          <w:snapToGrid w:val="0"/>
          <w:sz w:val="20"/>
        </w:rPr>
        <w:t>covida</w:t>
      </w:r>
      <w:r w:rsidRPr="00424274">
        <w:rPr>
          <w:rFonts w:ascii="Arial" w:hAnsi="Arial"/>
          <w:snapToGrid w:val="0"/>
          <w:sz w:val="20"/>
        </w:rPr>
        <w:t xml:space="preserve">-19 so bili opravljeni tudi 103 posredni nadzori na podlagi </w:t>
      </w:r>
      <w:r w:rsidR="00814A21">
        <w:rPr>
          <w:rFonts w:ascii="Arial" w:hAnsi="Arial"/>
          <w:snapToGrid w:val="0"/>
          <w:sz w:val="20"/>
        </w:rPr>
        <w:t>poslanih</w:t>
      </w:r>
      <w:r w:rsidR="00814A21" w:rsidRPr="00424274">
        <w:rPr>
          <w:rFonts w:ascii="Arial" w:hAnsi="Arial"/>
          <w:snapToGrid w:val="0"/>
          <w:sz w:val="20"/>
        </w:rPr>
        <w:t xml:space="preserve"> </w:t>
      </w:r>
      <w:r w:rsidRPr="00424274">
        <w:rPr>
          <w:rFonts w:ascii="Arial" w:hAnsi="Arial"/>
          <w:snapToGrid w:val="0"/>
          <w:sz w:val="20"/>
        </w:rPr>
        <w:t xml:space="preserve">vprašalnikov o aktivnostih poslovnih subjektov na področju preprečevanja pranja denarja in financiranja terorizma, izdana </w:t>
      </w:r>
      <w:r w:rsidR="00814A21">
        <w:rPr>
          <w:rFonts w:ascii="Arial" w:hAnsi="Arial"/>
          <w:snapToGrid w:val="0"/>
          <w:sz w:val="20"/>
        </w:rPr>
        <w:t xml:space="preserve">je bila </w:t>
      </w:r>
      <w:r w:rsidRPr="00424274">
        <w:rPr>
          <w:rFonts w:ascii="Arial" w:hAnsi="Arial"/>
          <w:snapToGrid w:val="0"/>
          <w:sz w:val="20"/>
        </w:rPr>
        <w:t xml:space="preserve">ena odločba o odpravi nepravilnosti </w:t>
      </w:r>
      <w:r w:rsidR="00814A21">
        <w:rPr>
          <w:rFonts w:ascii="Arial" w:hAnsi="Arial"/>
          <w:snapToGrid w:val="0"/>
          <w:sz w:val="20"/>
        </w:rPr>
        <w:t>in</w:t>
      </w:r>
      <w:r w:rsidR="00814A21" w:rsidRPr="00424274">
        <w:rPr>
          <w:rFonts w:ascii="Arial" w:hAnsi="Arial"/>
          <w:snapToGrid w:val="0"/>
          <w:sz w:val="20"/>
        </w:rPr>
        <w:t xml:space="preserve"> </w:t>
      </w:r>
      <w:r w:rsidRPr="00424274">
        <w:rPr>
          <w:rFonts w:ascii="Arial" w:hAnsi="Arial"/>
          <w:snapToGrid w:val="0"/>
          <w:sz w:val="20"/>
        </w:rPr>
        <w:t xml:space="preserve">odprta ena </w:t>
      </w:r>
      <w:proofErr w:type="spellStart"/>
      <w:r w:rsidRPr="00424274">
        <w:rPr>
          <w:rFonts w:ascii="Arial" w:hAnsi="Arial"/>
          <w:snapToGrid w:val="0"/>
          <w:sz w:val="20"/>
        </w:rPr>
        <w:t>prekrškovna</w:t>
      </w:r>
      <w:proofErr w:type="spellEnd"/>
      <w:r w:rsidRPr="00424274">
        <w:rPr>
          <w:rFonts w:ascii="Arial" w:hAnsi="Arial"/>
          <w:snapToGrid w:val="0"/>
          <w:sz w:val="20"/>
        </w:rPr>
        <w:t xml:space="preserve"> zadeva.</w:t>
      </w:r>
      <w:r w:rsidRPr="00424274">
        <w:rPr>
          <w:rFonts w:ascii="Arial" w:hAnsi="Arial"/>
          <w:sz w:val="20"/>
        </w:rPr>
        <w:t xml:space="preserve"> V obeh primerih je bilo zaznano pomanjkljivo poznavanje obveznosti predvsem pri zavezancih, ki do uveljavitve ZPPDFT-1 niso imeli pristojnega nadzornega organa. V okviru nadzora nad izvajanjem določb 44. člena ZPPDFT-1 je </w:t>
      </w:r>
      <w:r w:rsidR="00814A21">
        <w:rPr>
          <w:rFonts w:ascii="Arial" w:hAnsi="Arial"/>
          <w:sz w:val="20"/>
        </w:rPr>
        <w:t>u</w:t>
      </w:r>
      <w:r w:rsidRPr="00424274">
        <w:rPr>
          <w:rFonts w:ascii="Arial" w:hAnsi="Arial"/>
          <w:sz w:val="20"/>
        </w:rPr>
        <w:t>rad izdal</w:t>
      </w:r>
      <w:r w:rsidRPr="00424274">
        <w:rPr>
          <w:rFonts w:ascii="Arial" w:hAnsi="Arial"/>
          <w:snapToGrid w:val="0"/>
          <w:sz w:val="20"/>
        </w:rPr>
        <w:t xml:space="preserve"> </w:t>
      </w:r>
      <w:r w:rsidR="00814A21">
        <w:rPr>
          <w:rFonts w:ascii="Arial" w:hAnsi="Arial"/>
          <w:snapToGrid w:val="0"/>
          <w:sz w:val="20"/>
        </w:rPr>
        <w:t>eno</w:t>
      </w:r>
      <w:r w:rsidRPr="00424274">
        <w:rPr>
          <w:rFonts w:ascii="Arial" w:hAnsi="Arial"/>
          <w:snapToGrid w:val="0"/>
          <w:sz w:val="20"/>
        </w:rPr>
        <w:t xml:space="preserve"> opozorilo </w:t>
      </w:r>
      <w:r w:rsidR="00814A21">
        <w:rPr>
          <w:rFonts w:ascii="Arial" w:hAnsi="Arial"/>
          <w:snapToGrid w:val="0"/>
          <w:sz w:val="20"/>
        </w:rPr>
        <w:t>in</w:t>
      </w:r>
      <w:r w:rsidR="00814A21" w:rsidRPr="00424274">
        <w:rPr>
          <w:rFonts w:ascii="Arial" w:hAnsi="Arial"/>
          <w:snapToGrid w:val="0"/>
          <w:sz w:val="20"/>
        </w:rPr>
        <w:t xml:space="preserve"> </w:t>
      </w:r>
      <w:r w:rsidR="00814A21">
        <w:rPr>
          <w:rFonts w:ascii="Arial" w:hAnsi="Arial"/>
          <w:snapToGrid w:val="0"/>
          <w:sz w:val="20"/>
        </w:rPr>
        <w:t>tri</w:t>
      </w:r>
      <w:r w:rsidRPr="00424274">
        <w:rPr>
          <w:rFonts w:ascii="Arial" w:hAnsi="Arial"/>
          <w:snapToGrid w:val="0"/>
          <w:sz w:val="20"/>
        </w:rPr>
        <w:t xml:space="preserve"> opomine po Zakonu o prekrških</w:t>
      </w:r>
      <w:r w:rsidRPr="00424274">
        <w:rPr>
          <w:rFonts w:ascii="Arial" w:hAnsi="Arial"/>
          <w:sz w:val="20"/>
        </w:rPr>
        <w:t xml:space="preserve"> v zvezi z vpisom podatkov poslovnih subjektov v Register dejanskih lastnikov. Na podlagi ugotovljenega se bodo tudi v prihodnje izvajale aktivnosti tako </w:t>
      </w:r>
      <w:r w:rsidR="00814A21">
        <w:rPr>
          <w:rFonts w:ascii="Arial" w:hAnsi="Arial"/>
          <w:sz w:val="20"/>
        </w:rPr>
        <w:t>glede</w:t>
      </w:r>
      <w:r w:rsidRPr="00424274">
        <w:rPr>
          <w:rFonts w:ascii="Arial" w:hAnsi="Arial"/>
          <w:sz w:val="20"/>
        </w:rPr>
        <w:t xml:space="preserve"> usposabljanja in strokovne pomoči kot tudi nadzora.</w:t>
      </w:r>
    </w:p>
    <w:p w14:paraId="681E41A1" w14:textId="77777777" w:rsidR="004173D0" w:rsidRPr="00424274" w:rsidRDefault="004173D0" w:rsidP="001B399A">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rPr>
          <w:rFonts w:ascii="Arial" w:hAnsi="Arial"/>
          <w:color w:val="FF0000"/>
          <w:sz w:val="20"/>
        </w:rPr>
      </w:pPr>
    </w:p>
    <w:p w14:paraId="6BC8AFFA" w14:textId="35C3A620" w:rsidR="004173D0" w:rsidRPr="00424274" w:rsidRDefault="004173D0" w:rsidP="001B399A">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rPr>
          <w:rFonts w:ascii="Arial" w:hAnsi="Arial"/>
          <w:strike/>
          <w:sz w:val="20"/>
        </w:rPr>
      </w:pPr>
      <w:r w:rsidRPr="00424274">
        <w:rPr>
          <w:rFonts w:ascii="Arial" w:hAnsi="Arial"/>
          <w:snapToGrid w:val="0"/>
          <w:sz w:val="20"/>
        </w:rPr>
        <w:t>V letu 2020 se zaradi razmer</w:t>
      </w:r>
      <w:r w:rsidR="00814A21">
        <w:rPr>
          <w:rFonts w:ascii="Arial" w:hAnsi="Arial"/>
          <w:snapToGrid w:val="0"/>
          <w:sz w:val="20"/>
        </w:rPr>
        <w:t>,</w:t>
      </w:r>
      <w:r w:rsidRPr="00424274">
        <w:rPr>
          <w:rFonts w:ascii="Arial" w:hAnsi="Arial"/>
          <w:snapToGrid w:val="0"/>
          <w:sz w:val="20"/>
        </w:rPr>
        <w:t xml:space="preserve"> povezanih z epidemijo </w:t>
      </w:r>
      <w:r w:rsidR="00814A21">
        <w:rPr>
          <w:rFonts w:ascii="Arial" w:hAnsi="Arial"/>
          <w:snapToGrid w:val="0"/>
          <w:sz w:val="20"/>
        </w:rPr>
        <w:t>covida-19,</w:t>
      </w:r>
      <w:r w:rsidRPr="00424274">
        <w:rPr>
          <w:rFonts w:ascii="Arial" w:hAnsi="Arial"/>
          <w:snapToGrid w:val="0"/>
          <w:sz w:val="20"/>
        </w:rPr>
        <w:t xml:space="preserve"> niso izvajali skupni nadzori z drugimi pristojnimi nadzornimi organi iz 151. člena ZPPDFT-1. Takšno sodelovanje se predvideva v letu 2021</w:t>
      </w:r>
      <w:r w:rsidR="0043124F">
        <w:rPr>
          <w:rFonts w:ascii="Arial" w:hAnsi="Arial"/>
          <w:snapToGrid w:val="0"/>
          <w:sz w:val="20"/>
        </w:rPr>
        <w:t xml:space="preserve"> </w:t>
      </w:r>
      <w:r w:rsidRPr="00424274">
        <w:rPr>
          <w:rFonts w:ascii="Arial" w:hAnsi="Arial"/>
          <w:sz w:val="20"/>
        </w:rPr>
        <w:t>z</w:t>
      </w:r>
      <w:r w:rsidR="00814A21">
        <w:rPr>
          <w:rFonts w:ascii="Arial" w:hAnsi="Arial"/>
          <w:sz w:val="20"/>
        </w:rPr>
        <w:t>a</w:t>
      </w:r>
      <w:r w:rsidRPr="00424274">
        <w:rPr>
          <w:rFonts w:ascii="Arial" w:hAnsi="Arial"/>
          <w:sz w:val="20"/>
        </w:rPr>
        <w:t xml:space="preserve"> poenotenj</w:t>
      </w:r>
      <w:r w:rsidR="00814A21">
        <w:rPr>
          <w:rFonts w:ascii="Arial" w:hAnsi="Arial"/>
          <w:sz w:val="20"/>
        </w:rPr>
        <w:t>e</w:t>
      </w:r>
      <w:r w:rsidRPr="00424274">
        <w:rPr>
          <w:rFonts w:ascii="Arial" w:hAnsi="Arial"/>
          <w:sz w:val="20"/>
        </w:rPr>
        <w:t xml:space="preserve"> nadzorniških praks in izboljšanj</w:t>
      </w:r>
      <w:r w:rsidR="00814A21">
        <w:rPr>
          <w:rFonts w:ascii="Arial" w:hAnsi="Arial"/>
          <w:sz w:val="20"/>
        </w:rPr>
        <w:t>e</w:t>
      </w:r>
      <w:r w:rsidRPr="00424274">
        <w:rPr>
          <w:rFonts w:ascii="Arial" w:hAnsi="Arial"/>
          <w:sz w:val="20"/>
        </w:rPr>
        <w:t xml:space="preserve"> izvajanja določb ZPPDFT-1 v praksi.</w:t>
      </w:r>
    </w:p>
    <w:p w14:paraId="0D13F8A5" w14:textId="77777777" w:rsidR="004173D0" w:rsidRPr="00424274" w:rsidRDefault="004173D0" w:rsidP="001B399A">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rPr>
          <w:rFonts w:ascii="Arial" w:hAnsi="Arial"/>
          <w:snapToGrid w:val="0"/>
          <w:sz w:val="20"/>
        </w:rPr>
      </w:pPr>
    </w:p>
    <w:p w14:paraId="523677EE" w14:textId="10AEBD70" w:rsidR="004173D0" w:rsidRPr="00424274" w:rsidRDefault="004173D0" w:rsidP="001B399A">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rPr>
          <w:rFonts w:ascii="Arial" w:hAnsi="Arial"/>
          <w:snapToGrid w:val="0"/>
          <w:sz w:val="20"/>
        </w:rPr>
      </w:pPr>
      <w:r w:rsidRPr="00424274">
        <w:rPr>
          <w:rFonts w:ascii="Arial" w:hAnsi="Arial"/>
          <w:snapToGrid w:val="0"/>
          <w:sz w:val="20"/>
        </w:rPr>
        <w:t xml:space="preserve">V letu 2020 so inšpektorice </w:t>
      </w:r>
      <w:r w:rsidR="00814A21">
        <w:rPr>
          <w:rFonts w:ascii="Arial" w:hAnsi="Arial"/>
          <w:snapToGrid w:val="0"/>
          <w:sz w:val="20"/>
        </w:rPr>
        <w:t>u</w:t>
      </w:r>
      <w:r w:rsidRPr="00424274">
        <w:rPr>
          <w:rFonts w:ascii="Arial" w:hAnsi="Arial"/>
          <w:snapToGrid w:val="0"/>
          <w:sz w:val="20"/>
        </w:rPr>
        <w:t xml:space="preserve">rada izvedle tudi 36 nadzorov nad spoštovanjem </w:t>
      </w:r>
      <w:r w:rsidR="00814A21">
        <w:rPr>
          <w:rFonts w:ascii="Arial" w:hAnsi="Arial"/>
          <w:snapToGrid w:val="0"/>
          <w:sz w:val="20"/>
        </w:rPr>
        <w:t>covidskih</w:t>
      </w:r>
      <w:r w:rsidRPr="00424274">
        <w:rPr>
          <w:rFonts w:ascii="Arial" w:hAnsi="Arial"/>
          <w:snapToGrid w:val="0"/>
          <w:sz w:val="20"/>
        </w:rPr>
        <w:t xml:space="preserve"> ukrepov na podlagi Zakona o nalezljivih boleznih (Uradni list RS, št. Uradni list RS, št. 33/06 – uradno prečiščeno besedilo, 49/20 – ZIUZEOP, 142/20, 175/20 – ZIUOPDVE in 15/21 – ZDUOP</w:t>
      </w:r>
      <w:r w:rsidR="005A460D" w:rsidRPr="00424274">
        <w:rPr>
          <w:rFonts w:ascii="Arial" w:hAnsi="Arial"/>
          <w:snapToGrid w:val="0"/>
          <w:sz w:val="20"/>
        </w:rPr>
        <w:t>)</w:t>
      </w:r>
      <w:r w:rsidRPr="00424274">
        <w:rPr>
          <w:rFonts w:ascii="Arial" w:hAnsi="Arial"/>
          <w:snapToGrid w:val="0"/>
          <w:sz w:val="20"/>
        </w:rPr>
        <w:t xml:space="preserve"> </w:t>
      </w:r>
      <w:r w:rsidR="00814A21">
        <w:rPr>
          <w:rFonts w:ascii="Arial" w:hAnsi="Arial"/>
          <w:snapToGrid w:val="0"/>
          <w:sz w:val="20"/>
        </w:rPr>
        <w:t>in</w:t>
      </w:r>
      <w:r w:rsidR="00814A21" w:rsidRPr="00424274">
        <w:rPr>
          <w:rFonts w:ascii="Arial" w:hAnsi="Arial"/>
          <w:snapToGrid w:val="0"/>
          <w:sz w:val="20"/>
        </w:rPr>
        <w:t xml:space="preserve"> </w:t>
      </w:r>
      <w:r w:rsidRPr="00424274">
        <w:rPr>
          <w:rFonts w:ascii="Arial" w:hAnsi="Arial"/>
          <w:snapToGrid w:val="0"/>
          <w:sz w:val="20"/>
        </w:rPr>
        <w:t>predpisih</w:t>
      </w:r>
      <w:r w:rsidR="00814A21">
        <w:rPr>
          <w:rFonts w:ascii="Arial" w:hAnsi="Arial"/>
          <w:snapToGrid w:val="0"/>
          <w:sz w:val="20"/>
        </w:rPr>
        <w:t>,</w:t>
      </w:r>
      <w:r w:rsidRPr="00424274">
        <w:rPr>
          <w:rFonts w:ascii="Arial" w:hAnsi="Arial"/>
          <w:snapToGrid w:val="0"/>
          <w:sz w:val="20"/>
        </w:rPr>
        <w:t xml:space="preserve"> izdanih na njegovi podlagi.</w:t>
      </w:r>
    </w:p>
    <w:p w14:paraId="0EA3C2D3" w14:textId="77777777" w:rsidR="004173D0" w:rsidRPr="00424274" w:rsidRDefault="004173D0" w:rsidP="001B399A">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rPr>
          <w:rFonts w:ascii="Arial" w:hAnsi="Arial"/>
          <w:snapToGrid w:val="0"/>
          <w:sz w:val="20"/>
        </w:rPr>
      </w:pPr>
    </w:p>
    <w:p w14:paraId="3B75D891" w14:textId="55B16E0C" w:rsidR="004173D0" w:rsidRPr="00424274" w:rsidRDefault="00814A21" w:rsidP="001B399A">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spacing w:line="276" w:lineRule="auto"/>
        <w:rPr>
          <w:rFonts w:ascii="Arial" w:hAnsi="Arial"/>
          <w:sz w:val="20"/>
        </w:rPr>
      </w:pPr>
      <w:r>
        <w:rPr>
          <w:rFonts w:ascii="Arial" w:hAnsi="Arial"/>
          <w:snapToGrid w:val="0"/>
          <w:sz w:val="20"/>
        </w:rPr>
        <w:t>Poudariti</w:t>
      </w:r>
      <w:r w:rsidRPr="00424274">
        <w:rPr>
          <w:rFonts w:ascii="Arial" w:hAnsi="Arial"/>
          <w:snapToGrid w:val="0"/>
          <w:sz w:val="20"/>
        </w:rPr>
        <w:t xml:space="preserve"> </w:t>
      </w:r>
      <w:r w:rsidR="004173D0" w:rsidRPr="00424274">
        <w:rPr>
          <w:rFonts w:ascii="Arial" w:hAnsi="Arial"/>
          <w:snapToGrid w:val="0"/>
          <w:sz w:val="20"/>
        </w:rPr>
        <w:t xml:space="preserve">velja tudi veliko število novinarskih vprašanj, na katera je </w:t>
      </w:r>
      <w:r>
        <w:rPr>
          <w:rFonts w:ascii="Arial" w:hAnsi="Arial"/>
          <w:snapToGrid w:val="0"/>
          <w:sz w:val="20"/>
        </w:rPr>
        <w:t>u</w:t>
      </w:r>
      <w:r w:rsidR="004173D0" w:rsidRPr="00424274">
        <w:rPr>
          <w:rFonts w:ascii="Arial" w:hAnsi="Arial"/>
          <w:snapToGrid w:val="0"/>
          <w:sz w:val="20"/>
        </w:rPr>
        <w:t xml:space="preserve">rad odgovoril prek Službe za odnose z javnostmi Ministrstva za finance. </w:t>
      </w:r>
      <w:r w:rsidR="004173D0" w:rsidRPr="00424274">
        <w:rPr>
          <w:rFonts w:ascii="Arial" w:hAnsi="Arial"/>
          <w:sz w:val="20"/>
        </w:rPr>
        <w:t xml:space="preserve">V letu 2020 </w:t>
      </w:r>
      <w:r>
        <w:rPr>
          <w:rFonts w:ascii="Arial" w:hAnsi="Arial"/>
          <w:sz w:val="20"/>
        </w:rPr>
        <w:t>u</w:t>
      </w:r>
      <w:r w:rsidR="004173D0" w:rsidRPr="00424274">
        <w:rPr>
          <w:rFonts w:ascii="Arial" w:hAnsi="Arial"/>
          <w:sz w:val="20"/>
        </w:rPr>
        <w:t xml:space="preserve">rad ni prejel nobene zahteve za posredovanje informacij javnega značaja. </w:t>
      </w:r>
    </w:p>
    <w:p w14:paraId="5C5322D7" w14:textId="77777777" w:rsidR="00373B21" w:rsidRPr="00424274" w:rsidRDefault="00373B21" w:rsidP="00D21F86">
      <w:pPr>
        <w:pStyle w:val="Telobesedila"/>
        <w:spacing w:line="276" w:lineRule="auto"/>
        <w:rPr>
          <w:rFonts w:ascii="Arial" w:hAnsi="Arial"/>
          <w:b/>
          <w:i/>
          <w:color w:val="FF0000"/>
          <w:sz w:val="20"/>
        </w:rPr>
      </w:pPr>
    </w:p>
    <w:p w14:paraId="07A47898" w14:textId="77777777" w:rsidR="00851C49" w:rsidRPr="00424274" w:rsidRDefault="00D539BC" w:rsidP="002C2557">
      <w:pPr>
        <w:pStyle w:val="Naslov2"/>
        <w:numPr>
          <w:ilvl w:val="1"/>
          <w:numId w:val="35"/>
        </w:numPr>
      </w:pPr>
      <w:bookmarkStart w:id="265" w:name="_Toc113535528"/>
      <w:r w:rsidRPr="00424274">
        <w:t>MEDNARODNO SODELOVANJE</w:t>
      </w:r>
      <w:bookmarkEnd w:id="265"/>
    </w:p>
    <w:p w14:paraId="4BB30E59" w14:textId="5C4ABD8C" w:rsidR="00CD0E60" w:rsidRPr="00424274" w:rsidRDefault="00CD0E60" w:rsidP="00D21F86">
      <w:pPr>
        <w:snapToGrid w:val="0"/>
        <w:spacing w:line="276" w:lineRule="auto"/>
        <w:rPr>
          <w:rFonts w:ascii="Arial" w:hAnsi="Arial"/>
          <w:sz w:val="20"/>
        </w:rPr>
      </w:pPr>
    </w:p>
    <w:p w14:paraId="70E1051D" w14:textId="7AA96EAE" w:rsidR="001619BB" w:rsidRPr="00424274" w:rsidRDefault="001619BB" w:rsidP="001B399A">
      <w:pPr>
        <w:widowControl/>
        <w:spacing w:line="276" w:lineRule="auto"/>
        <w:rPr>
          <w:rFonts w:ascii="Arial" w:hAnsi="Arial"/>
          <w:snapToGrid w:val="0"/>
          <w:sz w:val="20"/>
        </w:rPr>
      </w:pPr>
      <w:r w:rsidRPr="00424274">
        <w:rPr>
          <w:rFonts w:ascii="Arial" w:hAnsi="Arial"/>
          <w:snapToGrid w:val="0"/>
          <w:sz w:val="20"/>
        </w:rPr>
        <w:t xml:space="preserve">Pravna podlaga za mednarodno delovanje </w:t>
      </w:r>
      <w:r w:rsidR="00A0541B">
        <w:rPr>
          <w:rFonts w:ascii="Arial" w:hAnsi="Arial"/>
          <w:snapToGrid w:val="0"/>
          <w:sz w:val="20"/>
        </w:rPr>
        <w:t>urad</w:t>
      </w:r>
      <w:r w:rsidRPr="00424274">
        <w:rPr>
          <w:rFonts w:ascii="Arial" w:hAnsi="Arial"/>
          <w:snapToGrid w:val="0"/>
          <w:sz w:val="20"/>
        </w:rPr>
        <w:t xml:space="preserve">a je določena s 105., 106. in 108. členom ZPPDFT-1, ki pooblaščajo </w:t>
      </w:r>
      <w:r w:rsidR="00A0541B">
        <w:rPr>
          <w:rFonts w:ascii="Arial" w:hAnsi="Arial"/>
          <w:snapToGrid w:val="0"/>
          <w:sz w:val="20"/>
        </w:rPr>
        <w:t>urad</w:t>
      </w:r>
      <w:r w:rsidRPr="00424274">
        <w:rPr>
          <w:rFonts w:ascii="Arial" w:hAnsi="Arial"/>
          <w:snapToGrid w:val="0"/>
          <w:sz w:val="20"/>
        </w:rPr>
        <w:t>, da izmenjuje podatke s tujimi organi, pristojnimi za preprečevanje pranja denarja in financiranja terorizma.</w:t>
      </w:r>
    </w:p>
    <w:p w14:paraId="038E28D8" w14:textId="77777777" w:rsidR="001619BB" w:rsidRPr="00424274" w:rsidRDefault="001619BB" w:rsidP="001B399A">
      <w:pPr>
        <w:widowControl/>
        <w:spacing w:line="276" w:lineRule="auto"/>
        <w:jc w:val="left"/>
        <w:rPr>
          <w:rFonts w:ascii="Arial" w:hAnsi="Arial"/>
          <w:snapToGrid w:val="0"/>
          <w:sz w:val="20"/>
        </w:rPr>
      </w:pPr>
    </w:p>
    <w:p w14:paraId="7FC18AF5" w14:textId="58C9290A" w:rsidR="001619BB" w:rsidRPr="00424274" w:rsidRDefault="001619BB" w:rsidP="001B399A">
      <w:pPr>
        <w:widowControl/>
        <w:spacing w:line="276" w:lineRule="auto"/>
        <w:rPr>
          <w:rFonts w:ascii="Arial" w:hAnsi="Arial"/>
          <w:snapToGrid w:val="0"/>
          <w:sz w:val="20"/>
        </w:rPr>
      </w:pPr>
      <w:r w:rsidRPr="00424274">
        <w:rPr>
          <w:rFonts w:ascii="Arial" w:hAnsi="Arial"/>
          <w:snapToGrid w:val="0"/>
          <w:sz w:val="20"/>
        </w:rPr>
        <w:t>Urad ima določene pristojnosti tudi na podlagi Konvencije Sveta Evrope št. 198 o pranju, odkrivanju, zasegu in odvzemu premoženjske koristi, pridobljene s kaznivim dejanjem</w:t>
      </w:r>
      <w:r w:rsidR="00161A2B">
        <w:rPr>
          <w:rFonts w:ascii="Arial" w:hAnsi="Arial"/>
          <w:snapToGrid w:val="0"/>
          <w:sz w:val="20"/>
        </w:rPr>
        <w:t>,</w:t>
      </w:r>
      <w:r w:rsidRPr="00424274">
        <w:rPr>
          <w:rFonts w:ascii="Arial" w:hAnsi="Arial"/>
          <w:snapToGrid w:val="0"/>
          <w:sz w:val="20"/>
        </w:rPr>
        <w:t xml:space="preserve"> in o financiranju terorizma, </w:t>
      </w:r>
      <w:r w:rsidR="00E55F9C">
        <w:rPr>
          <w:rFonts w:ascii="Arial" w:hAnsi="Arial"/>
          <w:snapToGrid w:val="0"/>
          <w:sz w:val="20"/>
        </w:rPr>
        <w:t>po</w:t>
      </w:r>
      <w:r w:rsidRPr="00424274">
        <w:rPr>
          <w:rFonts w:ascii="Arial" w:hAnsi="Arial"/>
          <w:snapToGrid w:val="0"/>
          <w:sz w:val="20"/>
        </w:rPr>
        <w:t xml:space="preserve"> kater</w:t>
      </w:r>
      <w:r w:rsidR="00E55F9C">
        <w:rPr>
          <w:rFonts w:ascii="Arial" w:hAnsi="Arial"/>
          <w:snapToGrid w:val="0"/>
          <w:sz w:val="20"/>
        </w:rPr>
        <w:t>i</w:t>
      </w:r>
      <w:r w:rsidRPr="00424274">
        <w:rPr>
          <w:rFonts w:ascii="Arial" w:hAnsi="Arial"/>
          <w:snapToGrid w:val="0"/>
          <w:sz w:val="20"/>
        </w:rPr>
        <w:t xml:space="preserve"> je </w:t>
      </w:r>
      <w:r w:rsidR="00E55F9C">
        <w:rPr>
          <w:rFonts w:ascii="Arial" w:hAnsi="Arial"/>
          <w:snapToGrid w:val="0"/>
          <w:sz w:val="20"/>
        </w:rPr>
        <w:t>u</w:t>
      </w:r>
      <w:r w:rsidRPr="00424274">
        <w:rPr>
          <w:rFonts w:ascii="Arial" w:hAnsi="Arial"/>
          <w:snapToGrid w:val="0"/>
          <w:sz w:val="20"/>
        </w:rPr>
        <w:t xml:space="preserve">rad osrednji organ, prek katerega se </w:t>
      </w:r>
      <w:r w:rsidR="00E55F9C">
        <w:rPr>
          <w:rFonts w:ascii="Arial" w:hAnsi="Arial"/>
          <w:snapToGrid w:val="0"/>
          <w:sz w:val="20"/>
        </w:rPr>
        <w:t>pošiljajo</w:t>
      </w:r>
      <w:r w:rsidR="00E55F9C" w:rsidRPr="00424274">
        <w:rPr>
          <w:rFonts w:ascii="Arial" w:hAnsi="Arial"/>
          <w:snapToGrid w:val="0"/>
          <w:sz w:val="20"/>
        </w:rPr>
        <w:t xml:space="preserve"> </w:t>
      </w:r>
      <w:r w:rsidRPr="00424274">
        <w:rPr>
          <w:rFonts w:ascii="Arial" w:hAnsi="Arial"/>
          <w:snapToGrid w:val="0"/>
          <w:sz w:val="20"/>
        </w:rPr>
        <w:t xml:space="preserve">zaprosila in zahtevki, ki se nanašajo pranje denarja, odkrivanje, zaseg in odvzem premoženjske koristi, pridobljene s kaznivim dejanjem pranja denarja in financiranjem terorizma. </w:t>
      </w:r>
    </w:p>
    <w:p w14:paraId="3EFCC474" w14:textId="77777777" w:rsidR="001619BB" w:rsidRPr="00424274" w:rsidRDefault="001619BB" w:rsidP="001B399A">
      <w:pPr>
        <w:widowControl/>
        <w:spacing w:line="276" w:lineRule="auto"/>
        <w:jc w:val="left"/>
        <w:rPr>
          <w:rFonts w:ascii="Arial" w:hAnsi="Arial"/>
          <w:snapToGrid w:val="0"/>
          <w:sz w:val="20"/>
        </w:rPr>
      </w:pPr>
    </w:p>
    <w:p w14:paraId="02095BE7" w14:textId="54401ED3" w:rsidR="001619BB" w:rsidRPr="00424274" w:rsidRDefault="001619BB" w:rsidP="001B399A">
      <w:pPr>
        <w:widowControl/>
        <w:spacing w:line="276" w:lineRule="auto"/>
        <w:rPr>
          <w:rFonts w:ascii="Arial" w:hAnsi="Arial"/>
          <w:snapToGrid w:val="0"/>
          <w:sz w:val="20"/>
        </w:rPr>
      </w:pPr>
      <w:r w:rsidRPr="00424274">
        <w:rPr>
          <w:rFonts w:ascii="Arial" w:hAnsi="Arial"/>
          <w:snapToGrid w:val="0"/>
          <w:sz w:val="20"/>
        </w:rPr>
        <w:t>Leta 2020 </w:t>
      </w:r>
      <w:r w:rsidR="00A0541B">
        <w:rPr>
          <w:rFonts w:ascii="Arial" w:hAnsi="Arial"/>
          <w:snapToGrid w:val="0"/>
          <w:sz w:val="20"/>
        </w:rPr>
        <w:t>urad</w:t>
      </w:r>
      <w:r w:rsidRPr="00424274">
        <w:rPr>
          <w:rFonts w:ascii="Arial" w:hAnsi="Arial"/>
          <w:snapToGrid w:val="0"/>
          <w:sz w:val="20"/>
        </w:rPr>
        <w:t xml:space="preserve"> na podlagi 105. člena ZPPDFT-1 poslal 345 zaprosil v 245 zadevah v 52 držav (v letu 2019 239 zaprosil v 189 zadevah v 52 držav), poleg tega pa na podlagi 108. člena ZPPDFT-1 še 168 spontanih informacij v 38 držav (v letu 2019 141 spontanih informacij v 32 držav). V primerjavi z letom 2019 lahko torej opazimo kar 44</w:t>
      </w:r>
      <w:r w:rsidR="00B66736">
        <w:rPr>
          <w:rFonts w:ascii="Arial" w:hAnsi="Arial"/>
          <w:snapToGrid w:val="0"/>
          <w:sz w:val="20"/>
        </w:rPr>
        <w:t> </w:t>
      </w:r>
      <w:r w:rsidRPr="00424274">
        <w:rPr>
          <w:rFonts w:ascii="Arial" w:hAnsi="Arial"/>
          <w:snapToGrid w:val="0"/>
          <w:sz w:val="20"/>
        </w:rPr>
        <w:t xml:space="preserve">% višje število poslanih zaprosil </w:t>
      </w:r>
      <w:r w:rsidR="00A0541B">
        <w:rPr>
          <w:rFonts w:ascii="Arial" w:hAnsi="Arial"/>
          <w:snapToGrid w:val="0"/>
          <w:sz w:val="20"/>
        </w:rPr>
        <w:t>urad</w:t>
      </w:r>
      <w:r w:rsidRPr="00424274">
        <w:rPr>
          <w:rFonts w:ascii="Arial" w:hAnsi="Arial"/>
          <w:snapToGrid w:val="0"/>
          <w:sz w:val="20"/>
        </w:rPr>
        <w:t xml:space="preserve">a </w:t>
      </w:r>
      <w:r w:rsidR="00B66736">
        <w:rPr>
          <w:rFonts w:ascii="Arial" w:hAnsi="Arial"/>
          <w:snapToGrid w:val="0"/>
          <w:sz w:val="20"/>
        </w:rPr>
        <w:t>in</w:t>
      </w:r>
      <w:r w:rsidR="00B66736" w:rsidRPr="00424274">
        <w:rPr>
          <w:rFonts w:ascii="Arial" w:hAnsi="Arial"/>
          <w:snapToGrid w:val="0"/>
          <w:sz w:val="20"/>
        </w:rPr>
        <w:t xml:space="preserve"> </w:t>
      </w:r>
      <w:r w:rsidRPr="00424274">
        <w:rPr>
          <w:rFonts w:ascii="Arial" w:hAnsi="Arial"/>
          <w:snapToGrid w:val="0"/>
          <w:sz w:val="20"/>
        </w:rPr>
        <w:t xml:space="preserve">19 % višje število spontanih informacij </w:t>
      </w:r>
      <w:r w:rsidR="00A0541B">
        <w:rPr>
          <w:rFonts w:ascii="Arial" w:hAnsi="Arial"/>
          <w:snapToGrid w:val="0"/>
          <w:sz w:val="20"/>
        </w:rPr>
        <w:t>urad</w:t>
      </w:r>
      <w:r w:rsidRPr="00424274">
        <w:rPr>
          <w:rFonts w:ascii="Arial" w:hAnsi="Arial"/>
          <w:snapToGrid w:val="0"/>
          <w:sz w:val="20"/>
        </w:rPr>
        <w:t>a.</w:t>
      </w:r>
    </w:p>
    <w:p w14:paraId="3C176484" w14:textId="77777777" w:rsidR="001619BB" w:rsidRPr="00424274" w:rsidRDefault="001619BB" w:rsidP="001B399A">
      <w:pPr>
        <w:widowControl/>
        <w:spacing w:line="276" w:lineRule="auto"/>
        <w:jc w:val="left"/>
        <w:rPr>
          <w:rFonts w:ascii="Arial" w:hAnsi="Arial"/>
          <w:snapToGrid w:val="0"/>
          <w:sz w:val="20"/>
        </w:rPr>
      </w:pPr>
    </w:p>
    <w:p w14:paraId="5BD5A42A" w14:textId="3A92988B" w:rsidR="001619BB" w:rsidRPr="00424274" w:rsidRDefault="001619BB" w:rsidP="007D79AB">
      <w:pPr>
        <w:widowControl/>
        <w:spacing w:line="276" w:lineRule="auto"/>
        <w:rPr>
          <w:rFonts w:ascii="Arial" w:hAnsi="Arial"/>
          <w:snapToGrid w:val="0"/>
          <w:sz w:val="20"/>
        </w:rPr>
      </w:pPr>
      <w:r w:rsidRPr="00424274">
        <w:rPr>
          <w:rFonts w:ascii="Arial" w:hAnsi="Arial"/>
          <w:snapToGrid w:val="0"/>
          <w:sz w:val="20"/>
        </w:rPr>
        <w:lastRenderedPageBreak/>
        <w:t xml:space="preserve">Na </w:t>
      </w:r>
      <w:r w:rsidR="00B66736">
        <w:rPr>
          <w:rFonts w:ascii="Arial" w:hAnsi="Arial"/>
          <w:snapToGrid w:val="0"/>
          <w:sz w:val="20"/>
        </w:rPr>
        <w:t>podlagi</w:t>
      </w:r>
      <w:r w:rsidR="00B66736" w:rsidRPr="00424274">
        <w:rPr>
          <w:rFonts w:ascii="Arial" w:hAnsi="Arial"/>
          <w:snapToGrid w:val="0"/>
          <w:sz w:val="20"/>
        </w:rPr>
        <w:t xml:space="preserve"> </w:t>
      </w:r>
      <w:r w:rsidRPr="00424274">
        <w:rPr>
          <w:rFonts w:ascii="Arial" w:hAnsi="Arial"/>
          <w:snapToGrid w:val="0"/>
          <w:sz w:val="20"/>
        </w:rPr>
        <w:t xml:space="preserve">106. člena ZPPDFT-1 je </w:t>
      </w:r>
      <w:r w:rsidR="00A0541B">
        <w:rPr>
          <w:rFonts w:ascii="Arial" w:hAnsi="Arial"/>
          <w:snapToGrid w:val="0"/>
          <w:sz w:val="20"/>
        </w:rPr>
        <w:t>urad</w:t>
      </w:r>
      <w:r w:rsidRPr="00424274">
        <w:rPr>
          <w:rFonts w:ascii="Arial" w:hAnsi="Arial"/>
          <w:snapToGrid w:val="0"/>
          <w:sz w:val="20"/>
        </w:rPr>
        <w:t xml:space="preserve"> v letu 2020 prejel 141 zaprosil v 135 zadevah iz 38 držav (v letu 2019 176 zaprosil v 142 zadevah iz 59 držav) </w:t>
      </w:r>
      <w:r w:rsidR="00B66736">
        <w:rPr>
          <w:rFonts w:ascii="Arial" w:hAnsi="Arial"/>
          <w:snapToGrid w:val="0"/>
          <w:sz w:val="20"/>
        </w:rPr>
        <w:t>in</w:t>
      </w:r>
      <w:r w:rsidR="00B66736" w:rsidRPr="00424274">
        <w:rPr>
          <w:rFonts w:ascii="Arial" w:hAnsi="Arial"/>
          <w:snapToGrid w:val="0"/>
          <w:sz w:val="20"/>
        </w:rPr>
        <w:t xml:space="preserve"> </w:t>
      </w:r>
      <w:r w:rsidRPr="00424274">
        <w:rPr>
          <w:rFonts w:ascii="Arial" w:hAnsi="Arial"/>
          <w:snapToGrid w:val="0"/>
          <w:sz w:val="20"/>
        </w:rPr>
        <w:t>85 spontanih informacij iz 24 držav (v letu 2019 52 spontanih informacij iz 18 držav).</w:t>
      </w:r>
      <w:r w:rsidR="004D3DF8" w:rsidRPr="00424274">
        <w:rPr>
          <w:rFonts w:ascii="Arial" w:hAnsi="Arial"/>
          <w:snapToGrid w:val="0"/>
          <w:sz w:val="20"/>
        </w:rPr>
        <w:t xml:space="preserve"> </w:t>
      </w:r>
      <w:r w:rsidRPr="00424274">
        <w:rPr>
          <w:rFonts w:ascii="Arial" w:hAnsi="Arial"/>
          <w:snapToGrid w:val="0"/>
          <w:sz w:val="20"/>
        </w:rPr>
        <w:t>V primerjavi z letom 2019 lahko torej opazimo 20</w:t>
      </w:r>
      <w:r w:rsidR="00B009F8">
        <w:rPr>
          <w:rFonts w:ascii="Arial" w:hAnsi="Arial"/>
          <w:snapToGrid w:val="0"/>
          <w:sz w:val="20"/>
        </w:rPr>
        <w:t> </w:t>
      </w:r>
      <w:r w:rsidRPr="00424274">
        <w:rPr>
          <w:rFonts w:ascii="Arial" w:hAnsi="Arial"/>
          <w:snapToGrid w:val="0"/>
          <w:sz w:val="20"/>
        </w:rPr>
        <w:t>% nižje število prejetih zaprosil tujih uradov, medtem ko se je število prejetih spontanih informacij povišalo kar za 63</w:t>
      </w:r>
      <w:r w:rsidR="00B66736">
        <w:rPr>
          <w:rFonts w:ascii="Arial" w:hAnsi="Arial"/>
          <w:snapToGrid w:val="0"/>
          <w:sz w:val="20"/>
        </w:rPr>
        <w:t> </w:t>
      </w:r>
      <w:r w:rsidRPr="00424274">
        <w:rPr>
          <w:rFonts w:ascii="Arial" w:hAnsi="Arial"/>
          <w:snapToGrid w:val="0"/>
          <w:sz w:val="20"/>
        </w:rPr>
        <w:t>%.</w:t>
      </w:r>
    </w:p>
    <w:p w14:paraId="2E07B906" w14:textId="77777777" w:rsidR="001619BB" w:rsidRPr="00424274" w:rsidRDefault="001619BB" w:rsidP="007D79AB">
      <w:pPr>
        <w:widowControl/>
        <w:spacing w:line="276" w:lineRule="auto"/>
        <w:rPr>
          <w:rFonts w:ascii="Arial" w:hAnsi="Arial"/>
          <w:snapToGrid w:val="0"/>
          <w:sz w:val="20"/>
        </w:rPr>
      </w:pPr>
    </w:p>
    <w:p w14:paraId="7951E5E1" w14:textId="139578C6" w:rsidR="001619BB" w:rsidRPr="00424274" w:rsidRDefault="001619BB" w:rsidP="007D79AB">
      <w:pPr>
        <w:widowControl/>
        <w:spacing w:line="276" w:lineRule="auto"/>
        <w:rPr>
          <w:rFonts w:ascii="Arial" w:hAnsi="Arial"/>
          <w:snapToGrid w:val="0"/>
          <w:sz w:val="20"/>
        </w:rPr>
      </w:pPr>
      <w:r w:rsidRPr="00424274">
        <w:rPr>
          <w:rFonts w:ascii="Arial" w:hAnsi="Arial"/>
          <w:snapToGrid w:val="0"/>
          <w:sz w:val="20"/>
        </w:rPr>
        <w:t xml:space="preserve">V letu 2020 je </w:t>
      </w:r>
      <w:r w:rsidR="00A0541B">
        <w:rPr>
          <w:rFonts w:ascii="Arial" w:hAnsi="Arial"/>
          <w:snapToGrid w:val="0"/>
          <w:sz w:val="20"/>
        </w:rPr>
        <w:t>urad</w:t>
      </w:r>
      <w:r w:rsidRPr="00424274">
        <w:rPr>
          <w:rFonts w:ascii="Arial" w:hAnsi="Arial"/>
          <w:snapToGrid w:val="0"/>
          <w:sz w:val="20"/>
        </w:rPr>
        <w:t xml:space="preserve"> največ podatkov izmenjal s pristojnimi uradi </w:t>
      </w:r>
      <w:r w:rsidR="00B66736">
        <w:rPr>
          <w:rFonts w:ascii="Arial" w:hAnsi="Arial"/>
          <w:snapToGrid w:val="0"/>
          <w:sz w:val="20"/>
        </w:rPr>
        <w:t xml:space="preserve">iz </w:t>
      </w:r>
      <w:r w:rsidRPr="00424274">
        <w:rPr>
          <w:rFonts w:ascii="Arial" w:hAnsi="Arial"/>
          <w:snapToGrid w:val="0"/>
          <w:sz w:val="20"/>
        </w:rPr>
        <w:t xml:space="preserve">Italije, Hrvaške, Nemčije, Rusije, Velike Britanije in Srbije. </w:t>
      </w:r>
    </w:p>
    <w:p w14:paraId="55ECEC9C" w14:textId="77777777" w:rsidR="001619BB" w:rsidRPr="00424274" w:rsidRDefault="001619BB" w:rsidP="007D79AB">
      <w:pPr>
        <w:widowControl/>
        <w:spacing w:line="276" w:lineRule="auto"/>
        <w:rPr>
          <w:rFonts w:ascii="Arial" w:hAnsi="Arial"/>
          <w:snapToGrid w:val="0"/>
          <w:sz w:val="20"/>
        </w:rPr>
      </w:pPr>
    </w:p>
    <w:p w14:paraId="7D3E10E2" w14:textId="0C542F70" w:rsidR="001619BB" w:rsidRPr="00424274" w:rsidRDefault="00B66736" w:rsidP="007D79AB">
      <w:pPr>
        <w:widowControl/>
        <w:spacing w:line="276" w:lineRule="auto"/>
        <w:rPr>
          <w:rFonts w:ascii="Arial" w:hAnsi="Arial"/>
          <w:snapToGrid w:val="0"/>
          <w:sz w:val="20"/>
        </w:rPr>
      </w:pPr>
      <w:r>
        <w:rPr>
          <w:rFonts w:ascii="Arial" w:hAnsi="Arial"/>
          <w:snapToGrid w:val="0"/>
          <w:sz w:val="20"/>
        </w:rPr>
        <w:t>S</w:t>
      </w:r>
      <w:r w:rsidR="001619BB" w:rsidRPr="00424274">
        <w:rPr>
          <w:rFonts w:ascii="Arial" w:hAnsi="Arial"/>
          <w:snapToGrid w:val="0"/>
          <w:sz w:val="20"/>
        </w:rPr>
        <w:t xml:space="preserve">odelovanje s tujimi uradi se lahko še dodatno nadgradi z izmenjavo oziroma podpisom formalno neobvezujočih pisnih dogovorov (tako imenovanih </w:t>
      </w:r>
      <w:r>
        <w:rPr>
          <w:rFonts w:ascii="Arial" w:hAnsi="Arial"/>
          <w:snapToGrid w:val="0"/>
          <w:sz w:val="20"/>
        </w:rPr>
        <w:t>»</w:t>
      </w:r>
      <w:r w:rsidR="001619BB" w:rsidRPr="00424274">
        <w:rPr>
          <w:rFonts w:ascii="Arial" w:hAnsi="Arial"/>
          <w:snapToGrid w:val="0"/>
          <w:sz w:val="20"/>
        </w:rPr>
        <w:t>pisem o izmenjavi podatkov</w:t>
      </w:r>
      <w:r>
        <w:rPr>
          <w:rFonts w:ascii="Arial" w:hAnsi="Arial"/>
          <w:snapToGrid w:val="0"/>
          <w:sz w:val="20"/>
        </w:rPr>
        <w:t>«</w:t>
      </w:r>
      <w:r w:rsidR="001619BB" w:rsidRPr="00424274">
        <w:rPr>
          <w:rFonts w:ascii="Arial" w:hAnsi="Arial"/>
          <w:snapToGrid w:val="0"/>
          <w:sz w:val="20"/>
        </w:rPr>
        <w:t xml:space="preserve"> – Memorandum </w:t>
      </w:r>
      <w:proofErr w:type="spellStart"/>
      <w:r w:rsidR="001619BB" w:rsidRPr="00424274">
        <w:rPr>
          <w:rFonts w:ascii="Arial" w:hAnsi="Arial"/>
          <w:snapToGrid w:val="0"/>
          <w:sz w:val="20"/>
        </w:rPr>
        <w:t>of</w:t>
      </w:r>
      <w:proofErr w:type="spellEnd"/>
      <w:r w:rsidR="001619BB" w:rsidRPr="00424274">
        <w:rPr>
          <w:rFonts w:ascii="Arial" w:hAnsi="Arial"/>
          <w:snapToGrid w:val="0"/>
          <w:sz w:val="20"/>
        </w:rPr>
        <w:t xml:space="preserve"> </w:t>
      </w:r>
      <w:proofErr w:type="spellStart"/>
      <w:r w:rsidR="001619BB" w:rsidRPr="00424274">
        <w:rPr>
          <w:rFonts w:ascii="Arial" w:hAnsi="Arial"/>
          <w:snapToGrid w:val="0"/>
          <w:sz w:val="20"/>
        </w:rPr>
        <w:t>Understanding</w:t>
      </w:r>
      <w:proofErr w:type="spellEnd"/>
      <w:r w:rsidR="001619BB" w:rsidRPr="00424274">
        <w:rPr>
          <w:rFonts w:ascii="Arial" w:hAnsi="Arial"/>
          <w:snapToGrid w:val="0"/>
          <w:sz w:val="20"/>
        </w:rPr>
        <w:t xml:space="preserve"> – MOU).</w:t>
      </w:r>
    </w:p>
    <w:p w14:paraId="511AA3BD" w14:textId="77777777" w:rsidR="001619BB" w:rsidRPr="00424274" w:rsidRDefault="001619BB" w:rsidP="007D79AB">
      <w:pPr>
        <w:widowControl/>
        <w:spacing w:line="276" w:lineRule="auto"/>
        <w:rPr>
          <w:rFonts w:ascii="Arial" w:hAnsi="Arial"/>
          <w:snapToGrid w:val="0"/>
          <w:sz w:val="20"/>
        </w:rPr>
      </w:pPr>
    </w:p>
    <w:p w14:paraId="06086A65" w14:textId="3A987475" w:rsidR="001619BB" w:rsidRPr="00424274" w:rsidRDefault="001619BB" w:rsidP="007D79AB">
      <w:pPr>
        <w:widowControl/>
        <w:spacing w:line="276" w:lineRule="auto"/>
        <w:rPr>
          <w:rFonts w:ascii="Arial" w:hAnsi="Arial"/>
          <w:snapToGrid w:val="0"/>
          <w:sz w:val="20"/>
        </w:rPr>
      </w:pPr>
      <w:r w:rsidRPr="00424274">
        <w:rPr>
          <w:rFonts w:ascii="Arial" w:hAnsi="Arial"/>
          <w:snapToGrid w:val="0"/>
          <w:sz w:val="20"/>
        </w:rPr>
        <w:t xml:space="preserve">V letu 2020 je </w:t>
      </w:r>
      <w:r w:rsidR="00A0541B">
        <w:rPr>
          <w:rFonts w:ascii="Arial" w:hAnsi="Arial"/>
          <w:snapToGrid w:val="0"/>
          <w:sz w:val="20"/>
        </w:rPr>
        <w:t>urad</w:t>
      </w:r>
      <w:r w:rsidRPr="00424274">
        <w:rPr>
          <w:rFonts w:ascii="Arial" w:hAnsi="Arial"/>
          <w:snapToGrid w:val="0"/>
          <w:sz w:val="20"/>
        </w:rPr>
        <w:t xml:space="preserve"> podpisal sporazum s sorodnimi uradi z Maldivov, </w:t>
      </w:r>
      <w:r w:rsidR="00A0541B">
        <w:rPr>
          <w:rFonts w:ascii="Arial" w:hAnsi="Arial"/>
          <w:snapToGrid w:val="0"/>
          <w:sz w:val="20"/>
        </w:rPr>
        <w:t xml:space="preserve">iz </w:t>
      </w:r>
      <w:r w:rsidRPr="00424274">
        <w:rPr>
          <w:rFonts w:ascii="Arial" w:hAnsi="Arial"/>
          <w:snapToGrid w:val="0"/>
          <w:sz w:val="20"/>
        </w:rPr>
        <w:t>Gvatemale in Južne Afrike.</w:t>
      </w:r>
    </w:p>
    <w:p w14:paraId="0BE66B47" w14:textId="77777777" w:rsidR="001619BB" w:rsidRPr="00424274" w:rsidRDefault="001619BB" w:rsidP="007D79AB">
      <w:pPr>
        <w:widowControl/>
        <w:spacing w:line="276" w:lineRule="auto"/>
        <w:rPr>
          <w:rFonts w:ascii="Arial" w:hAnsi="Arial"/>
          <w:snapToGrid w:val="0"/>
          <w:sz w:val="20"/>
        </w:rPr>
      </w:pPr>
    </w:p>
    <w:p w14:paraId="21AE3A51" w14:textId="77777777" w:rsidR="001619BB" w:rsidRPr="00424274" w:rsidRDefault="001619BB" w:rsidP="007D79AB">
      <w:pPr>
        <w:widowControl/>
        <w:spacing w:line="276" w:lineRule="auto"/>
        <w:rPr>
          <w:rFonts w:ascii="Arial" w:hAnsi="Arial"/>
          <w:snapToGrid w:val="0"/>
          <w:sz w:val="20"/>
        </w:rPr>
      </w:pPr>
      <w:r w:rsidRPr="00424274">
        <w:rPr>
          <w:rFonts w:ascii="Arial" w:hAnsi="Arial"/>
          <w:snapToGrid w:val="0"/>
          <w:sz w:val="20"/>
        </w:rPr>
        <w:t>Urad je od začetka svojega delovanja v letu 1995 pa do konca leta 2020 podpisal že 51 pisem o izmenjavi podatkov.</w:t>
      </w:r>
    </w:p>
    <w:p w14:paraId="6B15A6F9" w14:textId="77777777" w:rsidR="002A4789" w:rsidRPr="00424274" w:rsidRDefault="002A4789" w:rsidP="00373B21">
      <w:pPr>
        <w:spacing w:line="276" w:lineRule="auto"/>
        <w:rPr>
          <w:rFonts w:ascii="Arial" w:hAnsi="Arial"/>
          <w:color w:val="FF0000"/>
          <w:sz w:val="20"/>
        </w:rPr>
      </w:pPr>
    </w:p>
    <w:p w14:paraId="73B8F2A1" w14:textId="77777777" w:rsidR="006D2D65" w:rsidRPr="00424274" w:rsidRDefault="006D2D65" w:rsidP="009320D3">
      <w:pPr>
        <w:spacing w:line="276" w:lineRule="auto"/>
        <w:rPr>
          <w:rFonts w:ascii="Arial" w:hAnsi="Arial"/>
          <w:sz w:val="20"/>
        </w:rPr>
      </w:pPr>
    </w:p>
    <w:p w14:paraId="1940FB7C" w14:textId="77777777" w:rsidR="0074501A" w:rsidRPr="00424274" w:rsidRDefault="0074501A" w:rsidP="00E33677">
      <w:pPr>
        <w:pStyle w:val="Naslov2"/>
        <w:numPr>
          <w:ilvl w:val="1"/>
          <w:numId w:val="35"/>
        </w:numPr>
      </w:pPr>
      <w:bookmarkStart w:id="266" w:name="_Toc113535529"/>
      <w:r w:rsidRPr="00424274">
        <w:t>INFORMATIKA</w:t>
      </w:r>
      <w:bookmarkEnd w:id="266"/>
    </w:p>
    <w:p w14:paraId="6CFC7439" w14:textId="77777777" w:rsidR="0074501A" w:rsidRPr="00424274" w:rsidRDefault="0074501A" w:rsidP="00D21F86">
      <w:pPr>
        <w:spacing w:line="276" w:lineRule="auto"/>
        <w:rPr>
          <w:rFonts w:ascii="Arial" w:hAnsi="Arial"/>
          <w:sz w:val="20"/>
        </w:rPr>
      </w:pPr>
    </w:p>
    <w:p w14:paraId="2F708C9A" w14:textId="5F686739" w:rsidR="00C63307" w:rsidRPr="00424274" w:rsidRDefault="00C63307" w:rsidP="001B399A">
      <w:pPr>
        <w:spacing w:line="276" w:lineRule="auto"/>
        <w:rPr>
          <w:rFonts w:ascii="Arial" w:hAnsi="Arial"/>
          <w:sz w:val="20"/>
        </w:rPr>
      </w:pPr>
      <w:r w:rsidRPr="00424274">
        <w:rPr>
          <w:rFonts w:ascii="Arial" w:hAnsi="Arial"/>
          <w:sz w:val="20"/>
        </w:rPr>
        <w:t xml:space="preserve">Tudi v letu 2020 je Služba za informatiko </w:t>
      </w:r>
      <w:r w:rsidR="00A0541B">
        <w:rPr>
          <w:rFonts w:ascii="Arial" w:hAnsi="Arial"/>
          <w:sz w:val="20"/>
        </w:rPr>
        <w:t>urad</w:t>
      </w:r>
      <w:r w:rsidRPr="00424274">
        <w:rPr>
          <w:rFonts w:ascii="Arial" w:hAnsi="Arial"/>
          <w:sz w:val="20"/>
        </w:rPr>
        <w:t xml:space="preserve">a izvajala aktivnosti, ki se </w:t>
      </w:r>
      <w:r w:rsidR="00B66736">
        <w:rPr>
          <w:rFonts w:ascii="Arial" w:hAnsi="Arial"/>
          <w:sz w:val="20"/>
        </w:rPr>
        <w:t>večinoma</w:t>
      </w:r>
      <w:r w:rsidRPr="00424274">
        <w:rPr>
          <w:rFonts w:ascii="Arial" w:hAnsi="Arial"/>
          <w:sz w:val="20"/>
        </w:rPr>
        <w:t xml:space="preserve"> nanašajo na upravljanje evidenčnega sistema </w:t>
      </w:r>
      <w:r w:rsidR="00A0541B">
        <w:rPr>
          <w:rFonts w:ascii="Arial" w:hAnsi="Arial"/>
          <w:sz w:val="20"/>
        </w:rPr>
        <w:t>urad</w:t>
      </w:r>
      <w:r w:rsidRPr="00424274">
        <w:rPr>
          <w:rFonts w:ascii="Arial" w:hAnsi="Arial"/>
          <w:sz w:val="20"/>
        </w:rPr>
        <w:t xml:space="preserve">a </w:t>
      </w:r>
      <w:r w:rsidR="00B66736">
        <w:rPr>
          <w:rFonts w:ascii="Arial" w:hAnsi="Arial"/>
          <w:sz w:val="20"/>
        </w:rPr>
        <w:t>in</w:t>
      </w:r>
      <w:r w:rsidR="00B66736" w:rsidRPr="00424274">
        <w:rPr>
          <w:rFonts w:ascii="Arial" w:hAnsi="Arial"/>
          <w:sz w:val="20"/>
        </w:rPr>
        <w:t xml:space="preserve"> </w:t>
      </w:r>
      <w:r w:rsidRPr="00424274">
        <w:rPr>
          <w:rFonts w:ascii="Arial" w:hAnsi="Arial"/>
          <w:sz w:val="20"/>
        </w:rPr>
        <w:t xml:space="preserve">administriranje notranjega omrežja </w:t>
      </w:r>
      <w:r w:rsidR="00A0541B">
        <w:rPr>
          <w:rFonts w:ascii="Arial" w:hAnsi="Arial"/>
          <w:sz w:val="20"/>
        </w:rPr>
        <w:t>urad</w:t>
      </w:r>
      <w:r w:rsidRPr="00424274">
        <w:rPr>
          <w:rFonts w:ascii="Arial" w:hAnsi="Arial"/>
          <w:sz w:val="20"/>
        </w:rPr>
        <w:t xml:space="preserve">a. Te aktivnosti so bile operativne, izobraževalne in administrativne. Med </w:t>
      </w:r>
      <w:r w:rsidR="00B66736">
        <w:rPr>
          <w:rFonts w:ascii="Arial" w:hAnsi="Arial"/>
          <w:sz w:val="20"/>
        </w:rPr>
        <w:t>njimi</w:t>
      </w:r>
      <w:r w:rsidR="00B66736" w:rsidRPr="00424274">
        <w:rPr>
          <w:rFonts w:ascii="Arial" w:hAnsi="Arial"/>
          <w:sz w:val="20"/>
        </w:rPr>
        <w:t xml:space="preserve"> </w:t>
      </w:r>
      <w:r w:rsidRPr="00424274">
        <w:rPr>
          <w:rFonts w:ascii="Arial" w:hAnsi="Arial"/>
          <w:sz w:val="20"/>
        </w:rPr>
        <w:t xml:space="preserve">velja </w:t>
      </w:r>
      <w:r w:rsidR="00B66736">
        <w:rPr>
          <w:rFonts w:ascii="Arial" w:hAnsi="Arial"/>
          <w:sz w:val="20"/>
        </w:rPr>
        <w:t>poudariti</w:t>
      </w:r>
      <w:r w:rsidR="00B66736" w:rsidRPr="00424274">
        <w:rPr>
          <w:rFonts w:ascii="Arial" w:hAnsi="Arial"/>
          <w:sz w:val="20"/>
        </w:rPr>
        <w:t xml:space="preserve"> </w:t>
      </w:r>
      <w:r w:rsidRPr="00424274">
        <w:rPr>
          <w:rFonts w:ascii="Arial" w:hAnsi="Arial"/>
          <w:sz w:val="20"/>
        </w:rPr>
        <w:t xml:space="preserve">sodelovanje pri izvajanju sporazuma (SLA) z Direktoratom za </w:t>
      </w:r>
      <w:r w:rsidR="00B66736">
        <w:rPr>
          <w:rFonts w:ascii="Arial" w:hAnsi="Arial"/>
          <w:sz w:val="20"/>
        </w:rPr>
        <w:t>i</w:t>
      </w:r>
      <w:r w:rsidRPr="00424274">
        <w:rPr>
          <w:rFonts w:ascii="Arial" w:hAnsi="Arial"/>
          <w:sz w:val="20"/>
        </w:rPr>
        <w:t xml:space="preserve">nformatiko pri Ministrstvu za javno upravo. </w:t>
      </w:r>
    </w:p>
    <w:p w14:paraId="0BCEC2E5" w14:textId="77777777" w:rsidR="00C63307" w:rsidRPr="00424274" w:rsidRDefault="00C63307" w:rsidP="001B399A">
      <w:pPr>
        <w:spacing w:line="276" w:lineRule="auto"/>
        <w:rPr>
          <w:rFonts w:ascii="Arial" w:hAnsi="Arial"/>
          <w:sz w:val="20"/>
        </w:rPr>
      </w:pPr>
    </w:p>
    <w:p w14:paraId="16178198" w14:textId="1C780452" w:rsidR="00C63307" w:rsidRPr="00424274" w:rsidRDefault="00683250" w:rsidP="001B399A">
      <w:pPr>
        <w:spacing w:line="276" w:lineRule="auto"/>
      </w:pPr>
      <w:r>
        <w:rPr>
          <w:rFonts w:ascii="Arial" w:hAnsi="Arial"/>
          <w:sz w:val="20"/>
        </w:rPr>
        <w:t>Med razglasitvijo</w:t>
      </w:r>
      <w:r w:rsidR="00C63307" w:rsidRPr="00424274">
        <w:rPr>
          <w:rFonts w:ascii="Arial" w:hAnsi="Arial"/>
          <w:sz w:val="20"/>
        </w:rPr>
        <w:t xml:space="preserve"> epidemij</w:t>
      </w:r>
      <w:r>
        <w:rPr>
          <w:rFonts w:ascii="Arial" w:hAnsi="Arial"/>
          <w:sz w:val="20"/>
        </w:rPr>
        <w:t>e</w:t>
      </w:r>
      <w:r w:rsidR="00C63307" w:rsidRPr="00424274">
        <w:rPr>
          <w:rFonts w:ascii="Arial" w:hAnsi="Arial"/>
          <w:sz w:val="20"/>
        </w:rPr>
        <w:t xml:space="preserve"> </w:t>
      </w:r>
      <w:r>
        <w:rPr>
          <w:rFonts w:ascii="Arial" w:hAnsi="Arial"/>
          <w:sz w:val="20"/>
        </w:rPr>
        <w:t>covida-</w:t>
      </w:r>
      <w:r w:rsidR="00C63307" w:rsidRPr="00424274">
        <w:rPr>
          <w:rFonts w:ascii="Arial" w:hAnsi="Arial"/>
          <w:sz w:val="20"/>
        </w:rPr>
        <w:t>19 so bile aktivnosti v Službi za</w:t>
      </w:r>
      <w:r w:rsidR="003C3FAA" w:rsidRPr="00424274">
        <w:rPr>
          <w:rFonts w:ascii="Arial" w:hAnsi="Arial"/>
          <w:sz w:val="20"/>
        </w:rPr>
        <w:t xml:space="preserve"> informatiko </w:t>
      </w:r>
      <w:r w:rsidR="00A0541B">
        <w:rPr>
          <w:rFonts w:ascii="Arial" w:hAnsi="Arial"/>
          <w:sz w:val="20"/>
        </w:rPr>
        <w:t>urad</w:t>
      </w:r>
      <w:r w:rsidR="00197F05" w:rsidRPr="00424274">
        <w:rPr>
          <w:rFonts w:ascii="Arial" w:hAnsi="Arial"/>
          <w:sz w:val="20"/>
        </w:rPr>
        <w:t xml:space="preserve">a </w:t>
      </w:r>
      <w:r w:rsidR="00C63307" w:rsidRPr="00424274">
        <w:rPr>
          <w:rFonts w:ascii="Arial" w:hAnsi="Arial"/>
          <w:sz w:val="20"/>
        </w:rPr>
        <w:t>usmerjene v nemoteno zagotavljanje pogojev dela sodelavcem, ki so svoje delo opravljali od doma</w:t>
      </w:r>
      <w:r w:rsidR="00197F05" w:rsidRPr="00424274">
        <w:rPr>
          <w:rFonts w:ascii="Arial" w:hAnsi="Arial"/>
          <w:sz w:val="20"/>
        </w:rPr>
        <w:t>,</w:t>
      </w:r>
      <w:r w:rsidR="00C63307" w:rsidRPr="00424274">
        <w:rPr>
          <w:rFonts w:ascii="Arial" w:hAnsi="Arial"/>
          <w:sz w:val="20"/>
        </w:rPr>
        <w:t xml:space="preserve"> ob hkratnem zagotavljanju nemotenega dela pri prejemanju in arhiviranju sporočenih podatkov.</w:t>
      </w:r>
    </w:p>
    <w:p w14:paraId="1ED352C0" w14:textId="77777777" w:rsidR="00C63307" w:rsidRPr="00424274" w:rsidRDefault="00C63307" w:rsidP="001B399A">
      <w:pPr>
        <w:spacing w:line="276" w:lineRule="auto"/>
        <w:rPr>
          <w:rFonts w:ascii="Arial" w:hAnsi="Arial"/>
          <w:sz w:val="20"/>
        </w:rPr>
      </w:pPr>
    </w:p>
    <w:p w14:paraId="2C1A61DF" w14:textId="434A705E" w:rsidR="00C63307" w:rsidRPr="00424274" w:rsidRDefault="00C63307" w:rsidP="001B399A">
      <w:pPr>
        <w:spacing w:line="276" w:lineRule="auto"/>
        <w:rPr>
          <w:rFonts w:ascii="Arial" w:hAnsi="Arial"/>
          <w:sz w:val="20"/>
        </w:rPr>
      </w:pPr>
      <w:r w:rsidRPr="00424274">
        <w:rPr>
          <w:rFonts w:ascii="Arial" w:hAnsi="Arial"/>
          <w:sz w:val="20"/>
        </w:rPr>
        <w:t>Operativne aktivnosti so bile naslednje:</w:t>
      </w:r>
    </w:p>
    <w:p w14:paraId="0B2984DA" w14:textId="77777777" w:rsidR="00C63307" w:rsidRPr="00424274" w:rsidRDefault="00C63307" w:rsidP="001B399A">
      <w:pPr>
        <w:pStyle w:val="Odstavekseznama"/>
        <w:numPr>
          <w:ilvl w:val="0"/>
          <w:numId w:val="25"/>
        </w:numPr>
        <w:spacing w:line="276" w:lineRule="auto"/>
        <w:rPr>
          <w:rFonts w:ascii="Arial" w:hAnsi="Arial"/>
          <w:iCs/>
          <w:sz w:val="20"/>
          <w:lang w:val="sl-SI"/>
        </w:rPr>
      </w:pPr>
      <w:r w:rsidRPr="00424274">
        <w:rPr>
          <w:rFonts w:ascii="Arial" w:hAnsi="Arial"/>
          <w:iCs/>
          <w:sz w:val="20"/>
          <w:lang w:val="sl-SI"/>
        </w:rPr>
        <w:t>dopolnitev načina hranjenja varnostnih kopij;</w:t>
      </w:r>
    </w:p>
    <w:p w14:paraId="52DA54B1" w14:textId="77777777" w:rsidR="00C63307" w:rsidRPr="00424274" w:rsidRDefault="00C63307" w:rsidP="001B399A">
      <w:pPr>
        <w:pStyle w:val="Odstavekseznama"/>
        <w:numPr>
          <w:ilvl w:val="0"/>
          <w:numId w:val="25"/>
        </w:numPr>
        <w:spacing w:line="276" w:lineRule="auto"/>
        <w:rPr>
          <w:rFonts w:ascii="Arial" w:hAnsi="Arial"/>
          <w:iCs/>
          <w:sz w:val="20"/>
          <w:lang w:val="sl-SI"/>
        </w:rPr>
      </w:pPr>
      <w:r w:rsidRPr="00424274">
        <w:rPr>
          <w:rFonts w:ascii="Arial" w:hAnsi="Arial" w:cs="Arial"/>
          <w:sz w:val="20"/>
          <w:szCs w:val="20"/>
          <w:lang w:val="sl-SI"/>
        </w:rPr>
        <w:t>periodično preverjanje ustreznosti shranjevanja podatkov;</w:t>
      </w:r>
      <w:r w:rsidRPr="00424274">
        <w:rPr>
          <w:rFonts w:ascii="Arial" w:hAnsi="Arial"/>
          <w:sz w:val="20"/>
          <w:lang w:val="sl-SI"/>
        </w:rPr>
        <w:t xml:space="preserve"> </w:t>
      </w:r>
    </w:p>
    <w:p w14:paraId="1CEFFEAB" w14:textId="5EA30AC9" w:rsidR="00C63307" w:rsidRPr="00424274" w:rsidRDefault="00683250" w:rsidP="001B399A">
      <w:pPr>
        <w:pStyle w:val="Odstavekseznama"/>
        <w:numPr>
          <w:ilvl w:val="0"/>
          <w:numId w:val="25"/>
        </w:numPr>
        <w:spacing w:line="276" w:lineRule="auto"/>
        <w:rPr>
          <w:rFonts w:ascii="Arial" w:hAnsi="Arial"/>
          <w:iCs/>
          <w:sz w:val="20"/>
          <w:lang w:val="sl-SI"/>
        </w:rPr>
      </w:pPr>
      <w:r>
        <w:rPr>
          <w:rFonts w:ascii="Arial" w:hAnsi="Arial" w:cs="Arial"/>
          <w:sz w:val="20"/>
          <w:szCs w:val="20"/>
          <w:lang w:val="sl-SI"/>
        </w:rPr>
        <w:t>čez</w:t>
      </w:r>
      <w:r w:rsidRPr="00424274">
        <w:rPr>
          <w:rFonts w:ascii="Arial" w:hAnsi="Arial" w:cs="Arial"/>
          <w:sz w:val="20"/>
          <w:szCs w:val="20"/>
          <w:lang w:val="sl-SI"/>
        </w:rPr>
        <w:t xml:space="preserve"> </w:t>
      </w:r>
      <w:r w:rsidR="00C63307" w:rsidRPr="00424274">
        <w:rPr>
          <w:rFonts w:ascii="Arial" w:hAnsi="Arial" w:cs="Arial"/>
          <w:sz w:val="20"/>
          <w:szCs w:val="20"/>
          <w:lang w:val="sl-SI"/>
        </w:rPr>
        <w:t>vse leto trajajoče aktivnosti upravljanja podatkovnih zbirk z</w:t>
      </w:r>
      <w:r>
        <w:rPr>
          <w:rFonts w:ascii="Arial" w:hAnsi="Arial" w:cs="Arial"/>
          <w:sz w:val="20"/>
          <w:szCs w:val="20"/>
          <w:lang w:val="sl-SI"/>
        </w:rPr>
        <w:t>a</w:t>
      </w:r>
      <w:r w:rsidR="00C63307" w:rsidRPr="00424274">
        <w:rPr>
          <w:rFonts w:ascii="Arial" w:hAnsi="Arial" w:cs="Arial"/>
          <w:sz w:val="20"/>
          <w:szCs w:val="20"/>
          <w:lang w:val="sl-SI"/>
        </w:rPr>
        <w:t xml:space="preserve"> boljš</w:t>
      </w:r>
      <w:r>
        <w:rPr>
          <w:rFonts w:ascii="Arial" w:hAnsi="Arial" w:cs="Arial"/>
          <w:sz w:val="20"/>
          <w:szCs w:val="20"/>
          <w:lang w:val="sl-SI"/>
        </w:rPr>
        <w:t>o</w:t>
      </w:r>
      <w:r w:rsidR="00C63307" w:rsidRPr="00424274">
        <w:rPr>
          <w:rFonts w:ascii="Arial" w:hAnsi="Arial" w:cs="Arial"/>
          <w:sz w:val="20"/>
          <w:szCs w:val="20"/>
          <w:lang w:val="sl-SI"/>
        </w:rPr>
        <w:t xml:space="preserve"> organizacij</w:t>
      </w:r>
      <w:r>
        <w:rPr>
          <w:rFonts w:ascii="Arial" w:hAnsi="Arial" w:cs="Arial"/>
          <w:sz w:val="20"/>
          <w:szCs w:val="20"/>
          <w:lang w:val="sl-SI"/>
        </w:rPr>
        <w:t>o</w:t>
      </w:r>
      <w:r w:rsidR="00C63307" w:rsidRPr="00424274">
        <w:rPr>
          <w:rFonts w:ascii="Arial" w:hAnsi="Arial" w:cs="Arial"/>
          <w:sz w:val="20"/>
          <w:szCs w:val="20"/>
          <w:lang w:val="sl-SI"/>
        </w:rPr>
        <w:t xml:space="preserve"> podatkov v zbirkah gotovinskih transakcij in podatkov o transakcijah v tvegane države; </w:t>
      </w:r>
    </w:p>
    <w:p w14:paraId="3E099CF8" w14:textId="7D7A5607" w:rsidR="00C63307" w:rsidRPr="00424274" w:rsidRDefault="00C63307" w:rsidP="001B399A">
      <w:pPr>
        <w:pStyle w:val="Odstavekseznama"/>
        <w:numPr>
          <w:ilvl w:val="0"/>
          <w:numId w:val="25"/>
        </w:numPr>
        <w:spacing w:line="276" w:lineRule="auto"/>
        <w:rPr>
          <w:rFonts w:ascii="Arial" w:hAnsi="Arial"/>
          <w:iCs/>
          <w:sz w:val="20"/>
          <w:lang w:val="sl-SI"/>
        </w:rPr>
      </w:pPr>
      <w:r w:rsidRPr="00424274">
        <w:rPr>
          <w:rFonts w:ascii="Arial" w:hAnsi="Arial" w:cs="Arial"/>
          <w:sz w:val="20"/>
          <w:szCs w:val="20"/>
          <w:lang w:val="sl-SI"/>
        </w:rPr>
        <w:t>vzdrževanje strojne in programske opreme ter administracij</w:t>
      </w:r>
      <w:r w:rsidR="00683250">
        <w:rPr>
          <w:rFonts w:ascii="Arial" w:hAnsi="Arial" w:cs="Arial"/>
          <w:sz w:val="20"/>
          <w:szCs w:val="20"/>
          <w:lang w:val="sl-SI"/>
        </w:rPr>
        <w:t>a</w:t>
      </w:r>
      <w:r w:rsidRPr="00424274">
        <w:rPr>
          <w:rFonts w:ascii="Arial" w:hAnsi="Arial" w:cs="Arial"/>
          <w:sz w:val="20"/>
          <w:szCs w:val="20"/>
          <w:lang w:val="sl-SI"/>
        </w:rPr>
        <w:t xml:space="preserve"> notranjega omrežja </w:t>
      </w:r>
      <w:r w:rsidR="00A0541B">
        <w:rPr>
          <w:rFonts w:ascii="Arial" w:hAnsi="Arial" w:cs="Arial"/>
          <w:sz w:val="20"/>
          <w:szCs w:val="20"/>
          <w:lang w:val="sl-SI"/>
        </w:rPr>
        <w:t>urad</w:t>
      </w:r>
      <w:r w:rsidRPr="00424274">
        <w:rPr>
          <w:rFonts w:ascii="Arial" w:hAnsi="Arial" w:cs="Arial"/>
          <w:sz w:val="20"/>
          <w:szCs w:val="20"/>
          <w:lang w:val="sl-SI"/>
        </w:rPr>
        <w:t>a.</w:t>
      </w:r>
    </w:p>
    <w:p w14:paraId="0EBF681C" w14:textId="77777777" w:rsidR="00851C49" w:rsidRPr="00424274" w:rsidRDefault="00851C49" w:rsidP="00373B21">
      <w:pPr>
        <w:spacing w:line="276" w:lineRule="auto"/>
        <w:rPr>
          <w:rFonts w:ascii="Arial" w:hAnsi="Arial"/>
          <w:sz w:val="20"/>
        </w:rPr>
      </w:pPr>
    </w:p>
    <w:p w14:paraId="6009C5B3" w14:textId="77777777" w:rsidR="00851C49" w:rsidRPr="00424274" w:rsidRDefault="00D539BC" w:rsidP="00E33677">
      <w:pPr>
        <w:pStyle w:val="Naslov2"/>
        <w:numPr>
          <w:ilvl w:val="1"/>
          <w:numId w:val="35"/>
        </w:numPr>
      </w:pPr>
      <w:bookmarkStart w:id="267" w:name="_Toc113535530"/>
      <w:r w:rsidRPr="00424274">
        <w:t>KADROVSKE ZADEVE</w:t>
      </w:r>
      <w:bookmarkEnd w:id="267"/>
    </w:p>
    <w:p w14:paraId="71F24176" w14:textId="77777777" w:rsidR="00CD0E60" w:rsidRPr="00424274" w:rsidRDefault="00CD0E60" w:rsidP="00D21F86">
      <w:pPr>
        <w:tabs>
          <w:tab w:val="left" w:pos="-689"/>
          <w:tab w:val="left" w:pos="31"/>
          <w:tab w:val="left" w:pos="720"/>
        </w:tabs>
        <w:spacing w:line="276" w:lineRule="auto"/>
        <w:rPr>
          <w:rFonts w:ascii="Arial" w:eastAsia="Arial" w:hAnsi="Arial"/>
          <w:sz w:val="20"/>
        </w:rPr>
      </w:pPr>
    </w:p>
    <w:p w14:paraId="75C6391C" w14:textId="17762E60" w:rsidR="00636585" w:rsidRPr="00424274" w:rsidRDefault="00636585" w:rsidP="001B399A">
      <w:pPr>
        <w:tabs>
          <w:tab w:val="left" w:pos="-689"/>
          <w:tab w:val="left" w:pos="31"/>
          <w:tab w:val="left" w:pos="720"/>
        </w:tabs>
        <w:spacing w:line="276" w:lineRule="auto"/>
        <w:rPr>
          <w:rFonts w:ascii="Arial" w:eastAsia="Arial" w:hAnsi="Arial"/>
          <w:sz w:val="20"/>
        </w:rPr>
      </w:pPr>
      <w:r w:rsidRPr="00424274">
        <w:rPr>
          <w:rFonts w:ascii="Arial" w:eastAsia="Arial" w:hAnsi="Arial"/>
          <w:sz w:val="20"/>
        </w:rPr>
        <w:t xml:space="preserve">V </w:t>
      </w:r>
      <w:r w:rsidR="00A0541B">
        <w:rPr>
          <w:rFonts w:ascii="Arial" w:eastAsia="Arial" w:hAnsi="Arial"/>
          <w:sz w:val="20"/>
        </w:rPr>
        <w:t>urad</w:t>
      </w:r>
      <w:r w:rsidRPr="00424274">
        <w:rPr>
          <w:rFonts w:ascii="Arial" w:eastAsia="Arial" w:hAnsi="Arial"/>
          <w:sz w:val="20"/>
        </w:rPr>
        <w:t>u je bilo na dan 31. 12. 20</w:t>
      </w:r>
      <w:r w:rsidR="000D0496" w:rsidRPr="00424274">
        <w:rPr>
          <w:rFonts w:ascii="Arial" w:eastAsia="Arial" w:hAnsi="Arial"/>
          <w:sz w:val="20"/>
        </w:rPr>
        <w:t>20</w:t>
      </w:r>
      <w:r w:rsidRPr="00424274">
        <w:rPr>
          <w:rFonts w:ascii="Arial" w:eastAsia="Arial" w:hAnsi="Arial"/>
          <w:sz w:val="20"/>
        </w:rPr>
        <w:t xml:space="preserve"> skupaj z </w:t>
      </w:r>
      <w:r w:rsidR="007F72EC" w:rsidRPr="00424274">
        <w:rPr>
          <w:rFonts w:ascii="Arial" w:eastAsia="Arial" w:hAnsi="Arial"/>
          <w:sz w:val="20"/>
        </w:rPr>
        <w:t>v</w:t>
      </w:r>
      <w:r w:rsidR="008126B7">
        <w:rPr>
          <w:rFonts w:ascii="Arial" w:eastAsia="Arial" w:hAnsi="Arial"/>
          <w:sz w:val="20"/>
        </w:rPr>
        <w:t xml:space="preserve">ršilcem </w:t>
      </w:r>
      <w:r w:rsidR="007F72EC" w:rsidRPr="00424274">
        <w:rPr>
          <w:rFonts w:ascii="Arial" w:eastAsia="Arial" w:hAnsi="Arial"/>
          <w:sz w:val="20"/>
        </w:rPr>
        <w:t>d</w:t>
      </w:r>
      <w:r w:rsidR="008126B7">
        <w:rPr>
          <w:rFonts w:ascii="Arial" w:eastAsia="Arial" w:hAnsi="Arial"/>
          <w:sz w:val="20"/>
        </w:rPr>
        <w:t>olžnosti</w:t>
      </w:r>
      <w:r w:rsidR="007F72EC" w:rsidRPr="00424274">
        <w:rPr>
          <w:rFonts w:ascii="Arial" w:eastAsia="Arial" w:hAnsi="Arial"/>
          <w:sz w:val="20"/>
        </w:rPr>
        <w:t xml:space="preserve"> </w:t>
      </w:r>
      <w:r w:rsidRPr="00424274">
        <w:rPr>
          <w:rFonts w:ascii="Arial" w:eastAsia="Arial" w:hAnsi="Arial"/>
          <w:sz w:val="20"/>
        </w:rPr>
        <w:t>direktorj</w:t>
      </w:r>
      <w:r w:rsidR="007F72EC" w:rsidRPr="00424274">
        <w:rPr>
          <w:rFonts w:ascii="Arial" w:eastAsia="Arial" w:hAnsi="Arial"/>
          <w:sz w:val="20"/>
        </w:rPr>
        <w:t>a</w:t>
      </w:r>
      <w:r w:rsidRPr="00424274">
        <w:rPr>
          <w:rFonts w:ascii="Arial" w:eastAsia="Arial" w:hAnsi="Arial"/>
          <w:sz w:val="20"/>
        </w:rPr>
        <w:t xml:space="preserve"> zaposlenih </w:t>
      </w:r>
      <w:r w:rsidR="00C548FC" w:rsidRPr="00424274">
        <w:rPr>
          <w:rFonts w:ascii="Arial" w:eastAsia="Arial" w:hAnsi="Arial"/>
          <w:sz w:val="20"/>
        </w:rPr>
        <w:t>2</w:t>
      </w:r>
      <w:r w:rsidR="007F72EC" w:rsidRPr="00424274">
        <w:rPr>
          <w:rFonts w:ascii="Arial" w:eastAsia="Arial" w:hAnsi="Arial"/>
          <w:sz w:val="20"/>
        </w:rPr>
        <w:t>8</w:t>
      </w:r>
      <w:r w:rsidRPr="00424274">
        <w:rPr>
          <w:rFonts w:ascii="Arial" w:eastAsia="Arial" w:hAnsi="Arial"/>
          <w:sz w:val="20"/>
        </w:rPr>
        <w:t xml:space="preserve"> </w:t>
      </w:r>
      <w:r w:rsidR="007F72EC" w:rsidRPr="00424274">
        <w:rPr>
          <w:rFonts w:ascii="Arial" w:eastAsia="Arial" w:hAnsi="Arial"/>
          <w:sz w:val="20"/>
        </w:rPr>
        <w:t>uslužbencev</w:t>
      </w:r>
      <w:r w:rsidRPr="00424274">
        <w:rPr>
          <w:rFonts w:ascii="Arial" w:eastAsia="Arial" w:hAnsi="Arial"/>
          <w:sz w:val="20"/>
        </w:rPr>
        <w:t xml:space="preserve">. Na podlagi Akta o notranji organizaciji in sistemizaciji delovnih mest v Uradu RS za preprečevanje pranja denarja je v </w:t>
      </w:r>
      <w:r w:rsidR="00A0541B">
        <w:rPr>
          <w:rFonts w:ascii="Arial" w:eastAsia="Arial" w:hAnsi="Arial"/>
          <w:sz w:val="20"/>
        </w:rPr>
        <w:t>urad</w:t>
      </w:r>
      <w:r w:rsidRPr="00424274">
        <w:rPr>
          <w:rFonts w:ascii="Arial" w:eastAsia="Arial" w:hAnsi="Arial"/>
          <w:sz w:val="20"/>
        </w:rPr>
        <w:t xml:space="preserve">u sistemiziranih </w:t>
      </w:r>
      <w:r w:rsidR="005E4C1C" w:rsidRPr="00424274">
        <w:rPr>
          <w:rFonts w:ascii="Arial" w:eastAsia="Arial" w:hAnsi="Arial"/>
          <w:sz w:val="20"/>
        </w:rPr>
        <w:t>3</w:t>
      </w:r>
      <w:r w:rsidR="00F41100" w:rsidRPr="00424274">
        <w:rPr>
          <w:rFonts w:ascii="Arial" w:eastAsia="Arial" w:hAnsi="Arial"/>
          <w:sz w:val="20"/>
        </w:rPr>
        <w:t>3</w:t>
      </w:r>
      <w:r w:rsidR="005E4C1C" w:rsidRPr="00424274">
        <w:rPr>
          <w:rFonts w:ascii="Arial" w:eastAsia="Arial" w:hAnsi="Arial"/>
          <w:sz w:val="20"/>
        </w:rPr>
        <w:t xml:space="preserve"> delovnih mest, kar pomeni, da je bila konec leta 20</w:t>
      </w:r>
      <w:r w:rsidR="000D0496" w:rsidRPr="00424274">
        <w:rPr>
          <w:rFonts w:ascii="Arial" w:eastAsia="Arial" w:hAnsi="Arial"/>
          <w:sz w:val="20"/>
        </w:rPr>
        <w:t>20</w:t>
      </w:r>
      <w:r w:rsidR="005E4C1C" w:rsidRPr="00424274">
        <w:rPr>
          <w:rFonts w:ascii="Arial" w:eastAsia="Arial" w:hAnsi="Arial"/>
          <w:sz w:val="20"/>
        </w:rPr>
        <w:t xml:space="preserve"> zasedenost delovnih mest </w:t>
      </w:r>
      <w:r w:rsidR="002A4286" w:rsidRPr="00424274">
        <w:rPr>
          <w:rFonts w:ascii="Arial" w:eastAsia="Arial" w:hAnsi="Arial"/>
          <w:sz w:val="20"/>
        </w:rPr>
        <w:t>8</w:t>
      </w:r>
      <w:r w:rsidR="00F41100" w:rsidRPr="00424274">
        <w:rPr>
          <w:rFonts w:ascii="Arial" w:eastAsia="Arial" w:hAnsi="Arial"/>
          <w:sz w:val="20"/>
        </w:rPr>
        <w:t>5</w:t>
      </w:r>
      <w:r w:rsidR="00683250">
        <w:rPr>
          <w:rFonts w:ascii="Arial" w:eastAsia="Arial" w:hAnsi="Arial"/>
          <w:sz w:val="20"/>
        </w:rPr>
        <w:t>-</w:t>
      </w:r>
      <w:r w:rsidR="005E4C1C" w:rsidRPr="00424274">
        <w:rPr>
          <w:rFonts w:ascii="Arial" w:eastAsia="Arial" w:hAnsi="Arial"/>
          <w:sz w:val="20"/>
        </w:rPr>
        <w:t>%.</w:t>
      </w:r>
    </w:p>
    <w:p w14:paraId="5089E114" w14:textId="77777777" w:rsidR="00890953" w:rsidRPr="00424274" w:rsidRDefault="00890953" w:rsidP="00D21F86">
      <w:pPr>
        <w:snapToGrid w:val="0"/>
        <w:spacing w:line="276" w:lineRule="auto"/>
        <w:rPr>
          <w:rFonts w:ascii="Arial" w:hAnsi="Arial"/>
          <w:sz w:val="20"/>
        </w:rPr>
      </w:pPr>
    </w:p>
    <w:p w14:paraId="548CAA7C" w14:textId="2BDDD126" w:rsidR="00851C49" w:rsidRPr="00424274" w:rsidRDefault="00D539BC" w:rsidP="00E33677">
      <w:pPr>
        <w:pStyle w:val="Naslov2"/>
        <w:numPr>
          <w:ilvl w:val="1"/>
          <w:numId w:val="35"/>
        </w:numPr>
      </w:pPr>
      <w:bookmarkStart w:id="268" w:name="_Toc113535531"/>
      <w:r w:rsidRPr="00424274">
        <w:t>FINANČNO</w:t>
      </w:r>
      <w:r w:rsidR="00E94E1E">
        <w:t>-</w:t>
      </w:r>
      <w:r w:rsidRPr="00424274">
        <w:t>MATERIALNO POSLOVANJE</w:t>
      </w:r>
      <w:bookmarkEnd w:id="268"/>
    </w:p>
    <w:p w14:paraId="3375384E" w14:textId="77777777" w:rsidR="00CD0E60" w:rsidRPr="00424274" w:rsidRDefault="00CD0E60" w:rsidP="00D21F86">
      <w:pPr>
        <w:spacing w:line="276" w:lineRule="auto"/>
        <w:rPr>
          <w:rFonts w:ascii="Arial" w:eastAsia="Arial" w:hAnsi="Arial"/>
          <w:sz w:val="20"/>
        </w:rPr>
      </w:pPr>
    </w:p>
    <w:p w14:paraId="1B448C1C" w14:textId="55C37732" w:rsidR="00851C49" w:rsidRPr="00424274" w:rsidRDefault="00B4424E" w:rsidP="001B399A">
      <w:pPr>
        <w:widowControl/>
        <w:spacing w:line="276" w:lineRule="auto"/>
        <w:rPr>
          <w:rFonts w:ascii="Arial" w:eastAsia="Arial" w:hAnsi="Arial"/>
          <w:sz w:val="20"/>
          <w:szCs w:val="22"/>
          <w:lang w:eastAsia="sl-SI"/>
        </w:rPr>
      </w:pPr>
      <w:r w:rsidRPr="00424274">
        <w:rPr>
          <w:rFonts w:ascii="Arial" w:eastAsia="Arial" w:hAnsi="Arial"/>
          <w:sz w:val="20"/>
        </w:rPr>
        <w:t xml:space="preserve">Višina proračunskih sredstev, </w:t>
      </w:r>
      <w:r w:rsidR="001F1869" w:rsidRPr="00424274">
        <w:rPr>
          <w:rFonts w:ascii="Arial" w:eastAsia="Arial" w:hAnsi="Arial"/>
          <w:sz w:val="20"/>
          <w:szCs w:val="22"/>
          <w:lang w:eastAsia="sl-SI"/>
        </w:rPr>
        <w:t xml:space="preserve">načrtovanih v finančnem načrtu </w:t>
      </w:r>
      <w:r w:rsidR="00A0541B">
        <w:rPr>
          <w:rFonts w:ascii="Arial" w:eastAsia="Arial" w:hAnsi="Arial"/>
          <w:sz w:val="20"/>
          <w:szCs w:val="22"/>
          <w:lang w:eastAsia="sl-SI"/>
        </w:rPr>
        <w:t>urad</w:t>
      </w:r>
      <w:r w:rsidR="001F1869" w:rsidRPr="00424274">
        <w:rPr>
          <w:rFonts w:ascii="Arial" w:eastAsia="Arial" w:hAnsi="Arial"/>
          <w:sz w:val="20"/>
          <w:szCs w:val="22"/>
          <w:lang w:eastAsia="sl-SI"/>
        </w:rPr>
        <w:t>a</w:t>
      </w:r>
      <w:r w:rsidRPr="00424274">
        <w:rPr>
          <w:rFonts w:ascii="Arial" w:eastAsia="Arial" w:hAnsi="Arial"/>
          <w:sz w:val="20"/>
        </w:rPr>
        <w:t>, je za leto 20</w:t>
      </w:r>
      <w:r w:rsidR="00836598" w:rsidRPr="00424274">
        <w:rPr>
          <w:rFonts w:ascii="Arial" w:eastAsia="Arial" w:hAnsi="Arial"/>
          <w:sz w:val="20"/>
        </w:rPr>
        <w:t>20</w:t>
      </w:r>
      <w:r w:rsidRPr="00424274">
        <w:rPr>
          <w:rFonts w:ascii="Arial" w:eastAsia="Arial" w:hAnsi="Arial"/>
          <w:sz w:val="20"/>
        </w:rPr>
        <w:t xml:space="preserve"> znašala </w:t>
      </w:r>
      <w:r w:rsidR="00542181" w:rsidRPr="00424274">
        <w:rPr>
          <w:rFonts w:ascii="Arial" w:eastAsia="Arial" w:hAnsi="Arial"/>
          <w:sz w:val="20"/>
          <w:szCs w:val="22"/>
          <w:lang w:eastAsia="sl-SI"/>
        </w:rPr>
        <w:t>1.159.624</w:t>
      </w:r>
      <w:r w:rsidR="00821C5C">
        <w:rPr>
          <w:rFonts w:ascii="Arial" w:eastAsia="Arial" w:hAnsi="Arial"/>
          <w:sz w:val="20"/>
          <w:szCs w:val="22"/>
          <w:lang w:eastAsia="sl-SI"/>
        </w:rPr>
        <w:t> </w:t>
      </w:r>
      <w:r w:rsidR="00195856" w:rsidRPr="00424274">
        <w:rPr>
          <w:rFonts w:ascii="Arial" w:eastAsia="Arial" w:hAnsi="Arial"/>
          <w:sz w:val="20"/>
        </w:rPr>
        <w:t>EUR</w:t>
      </w:r>
      <w:r w:rsidRPr="00424274">
        <w:rPr>
          <w:rFonts w:ascii="Arial" w:eastAsia="Arial" w:hAnsi="Arial"/>
          <w:sz w:val="20"/>
        </w:rPr>
        <w:t xml:space="preserve">. </w:t>
      </w:r>
      <w:r w:rsidR="001F1869" w:rsidRPr="00424274">
        <w:rPr>
          <w:rFonts w:ascii="Arial" w:eastAsia="Arial" w:hAnsi="Arial"/>
          <w:sz w:val="20"/>
          <w:szCs w:val="22"/>
          <w:lang w:eastAsia="sl-SI"/>
        </w:rPr>
        <w:t xml:space="preserve">Od načrtovanih sredstev je bilo za plače in druge izdatke zaposlenih, blago in storitve, plačilo članarine organizacije EGMONT, manjše investicije in investicijsko vzdrževanje in za slovensko udeležbo v projektu nadgradnje informacijskega sistema </w:t>
      </w:r>
      <w:r w:rsidR="00A0541B">
        <w:rPr>
          <w:rFonts w:ascii="Arial" w:eastAsia="Arial" w:hAnsi="Arial"/>
          <w:sz w:val="20"/>
          <w:szCs w:val="22"/>
          <w:lang w:eastAsia="sl-SI"/>
        </w:rPr>
        <w:t>urad</w:t>
      </w:r>
      <w:r w:rsidR="001F1869" w:rsidRPr="00424274">
        <w:rPr>
          <w:rFonts w:ascii="Arial" w:eastAsia="Arial" w:hAnsi="Arial"/>
          <w:sz w:val="20"/>
          <w:szCs w:val="22"/>
          <w:lang w:eastAsia="sl-SI"/>
        </w:rPr>
        <w:t>a porabljenih skupno 1.112.682 EUR oziroma 95,95</w:t>
      </w:r>
      <w:r w:rsidR="008A1626">
        <w:rPr>
          <w:rFonts w:ascii="Arial" w:eastAsia="Arial" w:hAnsi="Arial"/>
          <w:sz w:val="20"/>
          <w:szCs w:val="22"/>
          <w:lang w:eastAsia="sl-SI"/>
        </w:rPr>
        <w:t> </w:t>
      </w:r>
      <w:r w:rsidR="001F1869" w:rsidRPr="00424274">
        <w:rPr>
          <w:rFonts w:ascii="Arial" w:eastAsia="Arial" w:hAnsi="Arial"/>
          <w:sz w:val="20"/>
          <w:szCs w:val="22"/>
          <w:lang w:eastAsia="sl-SI"/>
        </w:rPr>
        <w:t>% vseh načrtovanih sredstev.</w:t>
      </w:r>
    </w:p>
    <w:p w14:paraId="2FBFD68E" w14:textId="2B55DC51" w:rsidR="000A0275" w:rsidRPr="00424274" w:rsidRDefault="000A0275" w:rsidP="00D21F86">
      <w:pPr>
        <w:spacing w:line="276" w:lineRule="auto"/>
        <w:rPr>
          <w:rFonts w:ascii="Arial" w:hAnsi="Arial"/>
          <w:sz w:val="20"/>
        </w:rPr>
      </w:pPr>
    </w:p>
    <w:p w14:paraId="6D96CAE4" w14:textId="607FE6F2" w:rsidR="00851C49" w:rsidRPr="00424274" w:rsidRDefault="00542738" w:rsidP="00542738">
      <w:pPr>
        <w:spacing w:line="276" w:lineRule="auto"/>
        <w:rPr>
          <w:rFonts w:ascii="Arial" w:hAnsi="Arial"/>
          <w:b/>
          <w:sz w:val="20"/>
        </w:rPr>
      </w:pPr>
      <w:r>
        <w:rPr>
          <w:rFonts w:ascii="Arial" w:hAnsi="Arial"/>
          <w:b/>
          <w:sz w:val="20"/>
        </w:rPr>
        <w:t xml:space="preserve">                                                                                                              </w:t>
      </w:r>
      <w:r w:rsidR="005F5F33">
        <w:rPr>
          <w:rFonts w:ascii="Arial" w:hAnsi="Arial"/>
          <w:b/>
          <w:sz w:val="20"/>
        </w:rPr>
        <w:t>mag</w:t>
      </w:r>
      <w:r w:rsidR="0027624E" w:rsidRPr="00424274">
        <w:rPr>
          <w:rFonts w:ascii="Arial" w:hAnsi="Arial"/>
          <w:b/>
          <w:sz w:val="20"/>
        </w:rPr>
        <w:t xml:space="preserve">. </w:t>
      </w:r>
      <w:r w:rsidR="005F5F33">
        <w:rPr>
          <w:rFonts w:ascii="Arial" w:hAnsi="Arial"/>
          <w:b/>
          <w:sz w:val="20"/>
        </w:rPr>
        <w:t>Anika Vrabec Božič</w:t>
      </w:r>
    </w:p>
    <w:p w14:paraId="4CF28DB4" w14:textId="2AC624A8" w:rsidR="00851C49" w:rsidRPr="00424274" w:rsidRDefault="004A0CA5" w:rsidP="00D21F86">
      <w:pPr>
        <w:spacing w:line="276" w:lineRule="auto"/>
        <w:rPr>
          <w:rFonts w:ascii="Arial" w:hAnsi="Arial"/>
          <w:b/>
          <w:sz w:val="20"/>
        </w:rPr>
      </w:pPr>
      <w:r w:rsidRPr="00424274">
        <w:rPr>
          <w:rFonts w:ascii="Arial" w:hAnsi="Arial"/>
          <w:b/>
          <w:sz w:val="20"/>
        </w:rPr>
        <w:tab/>
      </w:r>
      <w:r w:rsidRPr="00424274">
        <w:rPr>
          <w:rFonts w:ascii="Arial" w:hAnsi="Arial"/>
          <w:b/>
          <w:sz w:val="20"/>
        </w:rPr>
        <w:tab/>
      </w:r>
      <w:r w:rsidRPr="00424274">
        <w:rPr>
          <w:rFonts w:ascii="Arial" w:hAnsi="Arial"/>
          <w:b/>
          <w:sz w:val="20"/>
        </w:rPr>
        <w:tab/>
      </w:r>
      <w:r w:rsidRPr="00424274">
        <w:rPr>
          <w:rFonts w:ascii="Arial" w:hAnsi="Arial"/>
          <w:b/>
          <w:sz w:val="20"/>
        </w:rPr>
        <w:tab/>
      </w:r>
      <w:r w:rsidRPr="00424274">
        <w:rPr>
          <w:rFonts w:ascii="Arial" w:hAnsi="Arial"/>
          <w:b/>
          <w:sz w:val="20"/>
        </w:rPr>
        <w:tab/>
      </w:r>
      <w:r w:rsidRPr="00424274">
        <w:rPr>
          <w:rFonts w:ascii="Arial" w:hAnsi="Arial"/>
          <w:b/>
          <w:sz w:val="20"/>
        </w:rPr>
        <w:tab/>
      </w:r>
      <w:r w:rsidRPr="00424274">
        <w:rPr>
          <w:rFonts w:ascii="Arial" w:hAnsi="Arial"/>
          <w:b/>
          <w:sz w:val="20"/>
        </w:rPr>
        <w:tab/>
      </w:r>
      <w:r w:rsidRPr="00424274">
        <w:rPr>
          <w:rFonts w:ascii="Arial" w:hAnsi="Arial"/>
          <w:b/>
          <w:sz w:val="20"/>
        </w:rPr>
        <w:tab/>
        <w:t xml:space="preserve">     vršil</w:t>
      </w:r>
      <w:r w:rsidR="005F5F33">
        <w:rPr>
          <w:rFonts w:ascii="Arial" w:hAnsi="Arial"/>
          <w:b/>
          <w:sz w:val="20"/>
        </w:rPr>
        <w:t>ka</w:t>
      </w:r>
      <w:r w:rsidRPr="00424274">
        <w:rPr>
          <w:rFonts w:ascii="Arial" w:hAnsi="Arial"/>
          <w:b/>
          <w:sz w:val="20"/>
        </w:rPr>
        <w:t xml:space="preserve"> dolžnosti </w:t>
      </w:r>
      <w:r w:rsidR="00851C49" w:rsidRPr="00424274">
        <w:rPr>
          <w:rFonts w:ascii="Arial" w:hAnsi="Arial"/>
          <w:b/>
          <w:sz w:val="20"/>
        </w:rPr>
        <w:t>direktor</w:t>
      </w:r>
      <w:r w:rsidRPr="00424274">
        <w:rPr>
          <w:rFonts w:ascii="Arial" w:hAnsi="Arial"/>
          <w:b/>
          <w:sz w:val="20"/>
        </w:rPr>
        <w:t>ja</w:t>
      </w:r>
    </w:p>
    <w:p w14:paraId="10331C6B" w14:textId="77777777" w:rsidR="00851C49" w:rsidRPr="00424274" w:rsidRDefault="00851C49" w:rsidP="00D21F86">
      <w:pPr>
        <w:pStyle w:val="Telobesedila"/>
        <w:spacing w:line="276" w:lineRule="auto"/>
        <w:rPr>
          <w:rFonts w:ascii="Arial" w:hAnsi="Arial"/>
          <w:b/>
          <w:sz w:val="20"/>
        </w:rPr>
      </w:pPr>
    </w:p>
    <w:p w14:paraId="13D5E92D" w14:textId="77777777" w:rsidR="0027624E" w:rsidRPr="00424274" w:rsidRDefault="0027624E" w:rsidP="00D21F86">
      <w:pPr>
        <w:pStyle w:val="Telobesedila"/>
        <w:spacing w:line="276" w:lineRule="auto"/>
        <w:rPr>
          <w:rFonts w:ascii="Arial" w:hAnsi="Arial"/>
          <w:bCs/>
          <w:sz w:val="20"/>
        </w:rPr>
      </w:pPr>
    </w:p>
    <w:p w14:paraId="105F0E96" w14:textId="631DE254" w:rsidR="0027624E" w:rsidRDefault="0027624E" w:rsidP="00D21F86">
      <w:pPr>
        <w:pStyle w:val="Telobesedila"/>
        <w:spacing w:line="276" w:lineRule="auto"/>
        <w:rPr>
          <w:rFonts w:ascii="Arial" w:hAnsi="Arial"/>
          <w:bCs/>
          <w:sz w:val="20"/>
        </w:rPr>
      </w:pPr>
    </w:p>
    <w:p w14:paraId="0C80A0FD" w14:textId="3DACAFAD" w:rsidR="0087088B" w:rsidRDefault="0087088B" w:rsidP="00D21F86">
      <w:pPr>
        <w:pStyle w:val="Telobesedila"/>
        <w:spacing w:line="276" w:lineRule="auto"/>
        <w:rPr>
          <w:rFonts w:ascii="Arial" w:hAnsi="Arial"/>
          <w:bCs/>
          <w:sz w:val="20"/>
        </w:rPr>
      </w:pPr>
    </w:p>
    <w:p w14:paraId="24DC484E" w14:textId="77777777" w:rsidR="0087088B" w:rsidRPr="00424274" w:rsidRDefault="0087088B" w:rsidP="00D21F86">
      <w:pPr>
        <w:pStyle w:val="Telobesedila"/>
        <w:spacing w:line="276" w:lineRule="auto"/>
        <w:rPr>
          <w:rFonts w:ascii="Arial" w:hAnsi="Arial"/>
          <w:bCs/>
          <w:sz w:val="20"/>
        </w:rPr>
      </w:pPr>
    </w:p>
    <w:p w14:paraId="29BF3C8D" w14:textId="77777777" w:rsidR="006D2D65" w:rsidRPr="00424274" w:rsidRDefault="006D2D65" w:rsidP="00D21F86">
      <w:pPr>
        <w:pStyle w:val="Telobesedila"/>
        <w:spacing w:line="276" w:lineRule="auto"/>
        <w:rPr>
          <w:rFonts w:ascii="Arial" w:hAnsi="Arial"/>
          <w:bCs/>
          <w:sz w:val="20"/>
        </w:rPr>
      </w:pPr>
    </w:p>
    <w:p w14:paraId="2882BF92" w14:textId="77777777" w:rsidR="00851C49" w:rsidRPr="00424274" w:rsidRDefault="00851C49" w:rsidP="00D21F86">
      <w:pPr>
        <w:pStyle w:val="Telobesedila"/>
        <w:spacing w:line="276" w:lineRule="auto"/>
        <w:rPr>
          <w:rFonts w:ascii="Arial" w:hAnsi="Arial"/>
          <w:bCs/>
          <w:sz w:val="20"/>
        </w:rPr>
      </w:pPr>
      <w:r w:rsidRPr="00424274">
        <w:rPr>
          <w:rFonts w:ascii="Arial" w:hAnsi="Arial"/>
          <w:bCs/>
          <w:sz w:val="20"/>
        </w:rPr>
        <w:t>Poslano:</w:t>
      </w:r>
    </w:p>
    <w:p w14:paraId="3AFC0F6B" w14:textId="5572BB67" w:rsidR="00851C49" w:rsidRPr="00424274" w:rsidRDefault="00D63149">
      <w:pPr>
        <w:pStyle w:val="Oznaenseznam2"/>
      </w:pPr>
      <w:r>
        <w:t xml:space="preserve">– </w:t>
      </w:r>
      <w:r w:rsidR="00851C49" w:rsidRPr="00424274">
        <w:t>1</w:t>
      </w:r>
      <w:r w:rsidR="008126B7">
        <w:t xml:space="preserve"> izvod za </w:t>
      </w:r>
      <w:r w:rsidR="00851C49" w:rsidRPr="00424274">
        <w:t>Vlad</w:t>
      </w:r>
      <w:r w:rsidR="008126B7">
        <w:t>o</w:t>
      </w:r>
      <w:r w:rsidR="00851C49" w:rsidRPr="00424274">
        <w:t xml:space="preserve"> Republike Slovenije</w:t>
      </w:r>
    </w:p>
    <w:p w14:paraId="72E84B5E" w14:textId="7AA9E75D" w:rsidR="00851C49" w:rsidRPr="00424274" w:rsidRDefault="00D63149">
      <w:pPr>
        <w:pStyle w:val="Oznaenseznam2"/>
      </w:pPr>
      <w:r>
        <w:t xml:space="preserve">– </w:t>
      </w:r>
      <w:r w:rsidR="00851C49" w:rsidRPr="00424274">
        <w:t>1</w:t>
      </w:r>
      <w:r w:rsidR="008126B7">
        <w:t xml:space="preserve"> izvod za </w:t>
      </w:r>
      <w:r w:rsidR="00851C49" w:rsidRPr="00424274">
        <w:t>zbirk</w:t>
      </w:r>
      <w:r w:rsidR="008126B7">
        <w:t>o</w:t>
      </w:r>
      <w:r w:rsidR="00851C49" w:rsidRPr="00424274">
        <w:t xml:space="preserve"> dokumentarnega gradiva</w:t>
      </w:r>
    </w:p>
    <w:sectPr w:rsidR="00851C49" w:rsidRPr="00424274" w:rsidSect="004F5E15">
      <w:headerReference w:type="default" r:id="rId57"/>
      <w:footerReference w:type="default" r:id="rId58"/>
      <w:endnotePr>
        <w:numFmt w:val="decimal"/>
      </w:endnotePr>
      <w:pgSz w:w="11908" w:h="16833" w:code="9"/>
      <w:pgMar w:top="619" w:right="1418" w:bottom="709" w:left="1440" w:header="566" w:footer="261" w:gutter="0"/>
      <w:pgNumType w:start="1"/>
      <w:cols w:space="708"/>
      <w:noEndnote/>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37652" w14:textId="77777777" w:rsidR="000A36A5" w:rsidRDefault="000A36A5">
      <w:r>
        <w:separator/>
      </w:r>
    </w:p>
  </w:endnote>
  <w:endnote w:type="continuationSeparator" w:id="0">
    <w:p w14:paraId="2F73FA19" w14:textId="77777777" w:rsidR="000A36A5" w:rsidRDefault="000A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CE">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A5BE" w14:textId="77777777" w:rsidR="00BB21A2" w:rsidRPr="004F5E15" w:rsidRDefault="00BB21A2" w:rsidP="004F5E15">
    <w:pPr>
      <w:pStyle w:val="Noga"/>
      <w:jc w:val="center"/>
      <w:rPr>
        <w:rFonts w:ascii="Arial" w:hAnsi="Arial"/>
        <w:bCs/>
      </w:rPr>
    </w:pPr>
    <w:r w:rsidRPr="004F5E15">
      <w:rPr>
        <w:rFonts w:ascii="Arial" w:hAnsi="Arial"/>
        <w:bCs/>
        <w:sz w:val="16"/>
      </w:rPr>
      <w:fldChar w:fldCharType="begin"/>
    </w:r>
    <w:r w:rsidRPr="004F5E15">
      <w:rPr>
        <w:rFonts w:ascii="Arial" w:hAnsi="Arial"/>
        <w:bCs/>
        <w:sz w:val="16"/>
      </w:rPr>
      <w:instrText xml:space="preserve"> PAGE </w:instrText>
    </w:r>
    <w:r w:rsidRPr="004F5E15">
      <w:rPr>
        <w:rFonts w:ascii="Arial" w:hAnsi="Arial"/>
        <w:bCs/>
        <w:sz w:val="16"/>
      </w:rPr>
      <w:fldChar w:fldCharType="separate"/>
    </w:r>
    <w:r>
      <w:rPr>
        <w:rFonts w:ascii="Arial" w:hAnsi="Arial"/>
        <w:bCs/>
        <w:noProof/>
        <w:sz w:val="16"/>
      </w:rPr>
      <w:t>22</w:t>
    </w:r>
    <w:r w:rsidRPr="004F5E15">
      <w:rPr>
        <w:rFonts w:ascii="Arial" w:hAnsi="Arial"/>
        <w:bCs/>
        <w:sz w:val="16"/>
      </w:rPr>
      <w:fldChar w:fldCharType="end"/>
    </w:r>
    <w:r w:rsidRPr="004F5E15">
      <w:rPr>
        <w:rFonts w:ascii="Arial" w:hAnsi="Arial"/>
        <w:bCs/>
        <w:sz w:val="16"/>
      </w:rPr>
      <w:t>/</w:t>
    </w:r>
    <w:r w:rsidRPr="004F5E15">
      <w:rPr>
        <w:rFonts w:ascii="Arial" w:hAnsi="Arial"/>
        <w:bCs/>
        <w:sz w:val="16"/>
      </w:rPr>
      <w:fldChar w:fldCharType="begin"/>
    </w:r>
    <w:r w:rsidRPr="004F5E15">
      <w:rPr>
        <w:rFonts w:ascii="Arial" w:hAnsi="Arial"/>
        <w:bCs/>
        <w:sz w:val="16"/>
      </w:rPr>
      <w:instrText xml:space="preserve"> NUMPAGES  </w:instrText>
    </w:r>
    <w:r w:rsidRPr="004F5E15">
      <w:rPr>
        <w:rFonts w:ascii="Arial" w:hAnsi="Arial"/>
        <w:bCs/>
        <w:sz w:val="16"/>
      </w:rPr>
      <w:fldChar w:fldCharType="separate"/>
    </w:r>
    <w:r>
      <w:rPr>
        <w:rFonts w:ascii="Arial" w:hAnsi="Arial"/>
        <w:bCs/>
        <w:noProof/>
        <w:sz w:val="16"/>
      </w:rPr>
      <w:t>63</w:t>
    </w:r>
    <w:r w:rsidRPr="004F5E15">
      <w:rPr>
        <w:rFonts w:ascii="Arial" w:hAnsi="Arial"/>
        <w:bCs/>
        <w:sz w:val="16"/>
      </w:rPr>
      <w:fldChar w:fldCharType="end"/>
    </w:r>
  </w:p>
  <w:p w14:paraId="73562BE2" w14:textId="77777777" w:rsidR="00BB21A2" w:rsidRDefault="00BB21A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5AD33" w14:textId="77777777" w:rsidR="000A36A5" w:rsidRDefault="000A36A5">
      <w:r>
        <w:separator/>
      </w:r>
    </w:p>
  </w:footnote>
  <w:footnote w:type="continuationSeparator" w:id="0">
    <w:p w14:paraId="6B4930CD" w14:textId="77777777" w:rsidR="000A36A5" w:rsidRDefault="000A36A5">
      <w:r>
        <w:continuationSeparator/>
      </w:r>
    </w:p>
  </w:footnote>
  <w:footnote w:id="1">
    <w:p w14:paraId="29B4DE3D" w14:textId="6F25693F" w:rsidR="00BB21A2" w:rsidRPr="0095240A" w:rsidRDefault="00BB21A2" w:rsidP="00AC7C31">
      <w:r w:rsidRPr="00BA626E">
        <w:rPr>
          <w:rStyle w:val="Sprotnaopomba-sklic"/>
          <w:sz w:val="16"/>
          <w:szCs w:val="16"/>
        </w:rPr>
        <w:footnoteRef/>
      </w:r>
      <w:r w:rsidRPr="00BA626E">
        <w:rPr>
          <w:sz w:val="16"/>
          <w:szCs w:val="16"/>
        </w:rPr>
        <w:t xml:space="preserve"> </w:t>
      </w:r>
      <w:r w:rsidRPr="00BA626E">
        <w:rPr>
          <w:rFonts w:ascii="Arial" w:hAnsi="Arial"/>
          <w:i/>
          <w:sz w:val="16"/>
          <w:szCs w:val="16"/>
        </w:rPr>
        <w:t xml:space="preserve">Projektna skupina za finančno ukrepanje (Financial Action Task Force </w:t>
      </w:r>
      <w:r>
        <w:rPr>
          <w:rFonts w:ascii="Arial" w:hAnsi="Arial"/>
          <w:i/>
          <w:sz w:val="16"/>
          <w:szCs w:val="16"/>
        </w:rPr>
        <w:t>–</w:t>
      </w:r>
      <w:r w:rsidRPr="00BA626E">
        <w:rPr>
          <w:rFonts w:ascii="Arial" w:hAnsi="Arial"/>
          <w:i/>
          <w:sz w:val="16"/>
          <w:szCs w:val="16"/>
        </w:rPr>
        <w:t xml:space="preserve"> FATF) je vodilno mednarodno telo za boj proti pranju denarja in financiranju terorizma, ki postavlja mednarodne standarde na tem področju (4</w:t>
      </w:r>
      <w:r>
        <w:rPr>
          <w:rFonts w:ascii="Arial" w:hAnsi="Arial"/>
          <w:i/>
          <w:sz w:val="16"/>
          <w:szCs w:val="16"/>
        </w:rPr>
        <w:t>0</w:t>
      </w:r>
      <w:r w:rsidRPr="00BA626E">
        <w:rPr>
          <w:rFonts w:ascii="Arial" w:hAnsi="Arial"/>
          <w:i/>
          <w:sz w:val="16"/>
          <w:szCs w:val="16"/>
        </w:rPr>
        <w:t xml:space="preserve"> priporočil FATF</w:t>
      </w:r>
      <w:r>
        <w:rPr>
          <w:rFonts w:ascii="Arial" w:hAnsi="Arial"/>
          <w:i/>
          <w:sz w:val="16"/>
          <w:szCs w:val="16"/>
        </w:rPr>
        <w:t xml:space="preserve"> iz februarja 2012</w:t>
      </w:r>
      <w:r w:rsidRPr="00BA626E">
        <w:rPr>
          <w:rFonts w:ascii="Arial" w:hAnsi="Arial"/>
          <w:i/>
          <w:sz w:val="16"/>
          <w:szCs w:val="16"/>
        </w:rPr>
        <w:t>). Deluje pod okriljem OECD</w:t>
      </w:r>
      <w:r>
        <w:rPr>
          <w:rFonts w:ascii="Arial" w:hAnsi="Arial"/>
          <w:i/>
          <w:sz w:val="16"/>
          <w:szCs w:val="16"/>
        </w:rPr>
        <w:t>,</w:t>
      </w:r>
      <w:r w:rsidRPr="00BA626E">
        <w:rPr>
          <w:rFonts w:ascii="Arial" w:hAnsi="Arial"/>
          <w:i/>
          <w:sz w:val="16"/>
          <w:szCs w:val="16"/>
        </w:rPr>
        <w:t xml:space="preserve"> vendar ni njegovo telo. Slovenija ni članica te skupine predvsem zaradi strateške odločitve FATF, da za stalne članice sprejme le še redke države (ob upoštevanju največje možne velikosti FATF, enakomerne geografske zastopanosti držav članic in pomembnosti oziroma moči posameznega gospodarstva).  </w:t>
      </w:r>
    </w:p>
  </w:footnote>
  <w:footnote w:id="2">
    <w:p w14:paraId="1ABE86EE" w14:textId="60694F72" w:rsidR="00BB21A2" w:rsidRPr="0095240A" w:rsidRDefault="00BB21A2" w:rsidP="00570F35">
      <w:pPr>
        <w:pStyle w:val="Sprotnaopomba-besedilo"/>
        <w:ind w:firstLine="0"/>
      </w:pPr>
      <w:r w:rsidRPr="00BA626E">
        <w:rPr>
          <w:rStyle w:val="Sprotnaopomba-sklic"/>
          <w:sz w:val="16"/>
          <w:szCs w:val="16"/>
        </w:rPr>
        <w:footnoteRef/>
      </w:r>
      <w:r w:rsidRPr="00BA626E">
        <w:rPr>
          <w:sz w:val="16"/>
          <w:szCs w:val="16"/>
        </w:rPr>
        <w:t xml:space="preserve"> </w:t>
      </w:r>
      <w:r w:rsidRPr="00BA626E">
        <w:rPr>
          <w:rFonts w:ascii="Arial" w:hAnsi="Arial"/>
          <w:i/>
          <w:sz w:val="16"/>
          <w:szCs w:val="16"/>
        </w:rPr>
        <w:t>Kaznivo dejanje pranja denarja je bilo v naši nacionalni zakonodaji uzakonjeno v Kazenskem zakoniku leta 1995. Istega</w:t>
      </w:r>
      <w:r>
        <w:rPr>
          <w:rFonts w:ascii="Arial" w:hAnsi="Arial"/>
          <w:i/>
          <w:sz w:val="16"/>
          <w:szCs w:val="16"/>
        </w:rPr>
        <w:t xml:space="preserve"> </w:t>
      </w:r>
      <w:r w:rsidRPr="00BA626E">
        <w:rPr>
          <w:rFonts w:ascii="Arial" w:hAnsi="Arial"/>
          <w:i/>
          <w:sz w:val="16"/>
          <w:szCs w:val="16"/>
        </w:rPr>
        <w:t xml:space="preserve">leta je </w:t>
      </w:r>
      <w:r>
        <w:rPr>
          <w:rFonts w:ascii="Arial" w:hAnsi="Arial"/>
          <w:i/>
          <w:sz w:val="16"/>
          <w:szCs w:val="16"/>
        </w:rPr>
        <w:t>za</w:t>
      </w:r>
      <w:r w:rsidRPr="00BA626E">
        <w:rPr>
          <w:rFonts w:ascii="Arial" w:hAnsi="Arial"/>
          <w:i/>
          <w:sz w:val="16"/>
          <w:szCs w:val="16"/>
        </w:rPr>
        <w:t xml:space="preserve">čel veljati tudi prvi zakon o preprečevanju pranja denarja in bil </w:t>
      </w:r>
      <w:r>
        <w:rPr>
          <w:rFonts w:ascii="Arial" w:hAnsi="Arial"/>
          <w:i/>
          <w:sz w:val="16"/>
          <w:szCs w:val="16"/>
        </w:rPr>
        <w:t>u</w:t>
      </w:r>
      <w:r w:rsidRPr="00BA626E">
        <w:rPr>
          <w:rFonts w:ascii="Arial" w:hAnsi="Arial"/>
          <w:i/>
          <w:sz w:val="16"/>
          <w:szCs w:val="16"/>
        </w:rPr>
        <w:t>stanovljen Urad RS za preprečevanj</w:t>
      </w:r>
      <w:r>
        <w:rPr>
          <w:rFonts w:ascii="Arial" w:hAnsi="Arial"/>
          <w:i/>
          <w:sz w:val="16"/>
          <w:szCs w:val="16"/>
        </w:rPr>
        <w:t>e</w:t>
      </w:r>
      <w:r w:rsidRPr="00BA626E">
        <w:rPr>
          <w:rFonts w:ascii="Arial" w:hAnsi="Arial"/>
          <w:i/>
          <w:sz w:val="16"/>
          <w:szCs w:val="16"/>
        </w:rPr>
        <w:t xml:space="preserve"> pranja denarja.</w:t>
      </w:r>
    </w:p>
  </w:footnote>
  <w:footnote w:id="3">
    <w:p w14:paraId="1A4B17DA" w14:textId="3255EF84" w:rsidR="00BB21A2" w:rsidRPr="0095240A" w:rsidRDefault="00BB21A2" w:rsidP="003F313D">
      <w:pPr>
        <w:tabs>
          <w:tab w:val="left" w:pos="6096"/>
        </w:tabs>
      </w:pPr>
      <w:r w:rsidRPr="00BA626E">
        <w:rPr>
          <w:rStyle w:val="Sprotnaopomba-sklic"/>
          <w:rFonts w:ascii="Arial" w:hAnsi="Arial" w:cs="Arial"/>
          <w:i/>
          <w:sz w:val="16"/>
          <w:szCs w:val="16"/>
        </w:rPr>
        <w:footnoteRef/>
      </w:r>
      <w:r w:rsidRPr="00BA626E">
        <w:rPr>
          <w:rFonts w:ascii="Arial" w:hAnsi="Arial"/>
          <w:i/>
          <w:sz w:val="16"/>
          <w:szCs w:val="16"/>
        </w:rPr>
        <w:t xml:space="preserve"> Naloge </w:t>
      </w:r>
      <w:r>
        <w:rPr>
          <w:rFonts w:ascii="Arial" w:hAnsi="Arial"/>
          <w:i/>
          <w:sz w:val="16"/>
          <w:szCs w:val="16"/>
        </w:rPr>
        <w:t>u</w:t>
      </w:r>
      <w:r w:rsidRPr="00BA626E">
        <w:rPr>
          <w:rFonts w:ascii="Arial" w:hAnsi="Arial"/>
          <w:i/>
          <w:sz w:val="16"/>
          <w:szCs w:val="16"/>
        </w:rPr>
        <w:t>rada, ki se nanašajo na preprečevanje pranja denarja in financiranja terorizma</w:t>
      </w:r>
      <w:r>
        <w:rPr>
          <w:rFonts w:ascii="Arial" w:hAnsi="Arial"/>
          <w:i/>
          <w:sz w:val="16"/>
          <w:szCs w:val="16"/>
        </w:rPr>
        <w:t>,</w:t>
      </w:r>
      <w:r w:rsidRPr="00BA626E">
        <w:rPr>
          <w:rFonts w:ascii="Arial" w:hAnsi="Arial"/>
          <w:i/>
          <w:sz w:val="16"/>
          <w:szCs w:val="16"/>
        </w:rPr>
        <w:t xml:space="preserve"> so predlaganje sprememb predpisov, pripravljanje smernic za zavezance, sodelovanje pri pripravi seznama indikatorjev za prepoznavanje sumljivih transakcij, sodelovanje pri strokovnem usposabljanju zavezancev, spremljanje tipologij in trendov. </w:t>
      </w:r>
    </w:p>
  </w:footnote>
  <w:footnote w:id="4">
    <w:p w14:paraId="080264ED" w14:textId="77777777" w:rsidR="00BB21A2" w:rsidRPr="00174D35" w:rsidRDefault="00BB21A2" w:rsidP="008231A8">
      <w:pPr>
        <w:pStyle w:val="Sprotnaopomba-besedilo"/>
        <w:ind w:firstLine="0"/>
        <w:rPr>
          <w:rFonts w:ascii="Arial" w:hAnsi="Arial"/>
          <w:i/>
          <w:sz w:val="16"/>
          <w:szCs w:val="16"/>
        </w:rPr>
      </w:pPr>
      <w:r w:rsidRPr="00174D35">
        <w:rPr>
          <w:rStyle w:val="Sprotnaopomba-sklic"/>
          <w:rFonts w:ascii="Arial" w:hAnsi="Arial" w:cs="Arial"/>
          <w:i/>
          <w:sz w:val="16"/>
          <w:szCs w:val="16"/>
        </w:rPr>
        <w:footnoteRef/>
      </w:r>
      <w:r>
        <w:rPr>
          <w:rFonts w:ascii="Arial" w:hAnsi="Arial"/>
          <w:i/>
          <w:sz w:val="16"/>
          <w:szCs w:val="16"/>
        </w:rPr>
        <w:t>Zavezanci sporočajo podatke o transakcijah na obrazcih, pri čemer je lahko na obrazcu tudi več transakcij, katerih seštevek presega znesek 15.000 EUR.</w:t>
      </w:r>
    </w:p>
  </w:footnote>
  <w:footnote w:id="5">
    <w:p w14:paraId="40A37849" w14:textId="2D721CA7" w:rsidR="00BB21A2" w:rsidRPr="0095240A" w:rsidRDefault="00BB21A2" w:rsidP="008F6703">
      <w:pPr>
        <w:pStyle w:val="Sprotnaopomba-besedilo"/>
      </w:pPr>
      <w:r w:rsidRPr="00BA626E">
        <w:rPr>
          <w:rStyle w:val="Sprotnaopomba-sklic"/>
          <w:rFonts w:ascii="Arial" w:hAnsi="Arial" w:cs="Arial"/>
          <w:sz w:val="16"/>
          <w:szCs w:val="16"/>
        </w:rPr>
        <w:footnoteRef/>
      </w:r>
      <w:r w:rsidRPr="00BA626E">
        <w:rPr>
          <w:rFonts w:ascii="Arial" w:hAnsi="Arial"/>
          <w:sz w:val="16"/>
          <w:szCs w:val="16"/>
        </w:rPr>
        <w:t xml:space="preserve"> </w:t>
      </w:r>
      <w:r w:rsidRPr="00BA626E">
        <w:rPr>
          <w:rFonts w:ascii="Arial" w:hAnsi="Arial"/>
          <w:i/>
          <w:sz w:val="16"/>
          <w:szCs w:val="16"/>
        </w:rPr>
        <w:t xml:space="preserve">Podatki v tej koloni predstavljajo število pisnih obvestil ali informacij </w:t>
      </w:r>
      <w:r>
        <w:rPr>
          <w:rFonts w:ascii="Arial" w:hAnsi="Arial"/>
          <w:i/>
          <w:sz w:val="16"/>
          <w:szCs w:val="16"/>
        </w:rPr>
        <w:t>u</w:t>
      </w:r>
      <w:r w:rsidRPr="00BA626E">
        <w:rPr>
          <w:rFonts w:ascii="Arial" w:hAnsi="Arial"/>
          <w:i/>
          <w:sz w:val="16"/>
          <w:szCs w:val="16"/>
        </w:rPr>
        <w:t>rada</w:t>
      </w:r>
      <w:r>
        <w:rPr>
          <w:rFonts w:ascii="Arial" w:hAnsi="Arial"/>
          <w:i/>
          <w:sz w:val="16"/>
          <w:szCs w:val="16"/>
        </w:rPr>
        <w:t xml:space="preserve"> pristojnim organom</w:t>
      </w:r>
      <w:r w:rsidRPr="00BA626E">
        <w:rPr>
          <w:rFonts w:ascii="Arial" w:hAnsi="Arial"/>
          <w:i/>
          <w:sz w:val="16"/>
          <w:szCs w:val="16"/>
        </w:rPr>
        <w:t xml:space="preserve">, ki je manjše od števila obravnavanih zadev, saj lahko </w:t>
      </w:r>
      <w:r>
        <w:rPr>
          <w:rFonts w:ascii="Arial" w:hAnsi="Arial"/>
          <w:i/>
          <w:sz w:val="16"/>
          <w:szCs w:val="16"/>
        </w:rPr>
        <w:t>u</w:t>
      </w:r>
      <w:r w:rsidRPr="00BA626E">
        <w:rPr>
          <w:rFonts w:ascii="Arial" w:hAnsi="Arial"/>
          <w:i/>
          <w:sz w:val="16"/>
          <w:szCs w:val="16"/>
        </w:rPr>
        <w:t xml:space="preserve">rad v enem </w:t>
      </w:r>
      <w:r>
        <w:rPr>
          <w:rFonts w:ascii="Arial" w:hAnsi="Arial"/>
          <w:i/>
          <w:sz w:val="16"/>
          <w:szCs w:val="16"/>
        </w:rPr>
        <w:t xml:space="preserve">pisnem izdelku, </w:t>
      </w:r>
      <w:r w:rsidRPr="00BA626E">
        <w:rPr>
          <w:rFonts w:ascii="Arial" w:hAnsi="Arial"/>
          <w:i/>
          <w:sz w:val="16"/>
          <w:szCs w:val="16"/>
        </w:rPr>
        <w:t xml:space="preserve">ki </w:t>
      </w:r>
      <w:r>
        <w:rPr>
          <w:rFonts w:ascii="Arial" w:hAnsi="Arial"/>
          <w:i/>
          <w:sz w:val="16"/>
          <w:szCs w:val="16"/>
        </w:rPr>
        <w:t>ga</w:t>
      </w:r>
      <w:r w:rsidRPr="00BA626E">
        <w:rPr>
          <w:rFonts w:ascii="Arial" w:hAnsi="Arial"/>
          <w:i/>
          <w:sz w:val="16"/>
          <w:szCs w:val="16"/>
        </w:rPr>
        <w:t xml:space="preserve"> pošlje pristojnim organom</w:t>
      </w:r>
      <w:r>
        <w:rPr>
          <w:rFonts w:ascii="Arial" w:hAnsi="Arial"/>
          <w:i/>
          <w:sz w:val="16"/>
          <w:szCs w:val="16"/>
        </w:rPr>
        <w:t>,</w:t>
      </w:r>
      <w:r w:rsidRPr="00BA626E">
        <w:rPr>
          <w:rFonts w:ascii="Arial" w:hAnsi="Arial"/>
          <w:i/>
          <w:sz w:val="16"/>
          <w:szCs w:val="16"/>
        </w:rPr>
        <w:t xml:space="preserve"> obravnava več zadev</w:t>
      </w:r>
      <w:r>
        <w:rPr>
          <w:rFonts w:ascii="Arial" w:hAnsi="Arial"/>
          <w:i/>
          <w:sz w:val="16"/>
          <w:szCs w:val="16"/>
        </w:rPr>
        <w:t>.</w:t>
      </w:r>
    </w:p>
  </w:footnote>
  <w:footnote w:id="6">
    <w:p w14:paraId="1E2DC788" w14:textId="17DC7635" w:rsidR="00BB21A2" w:rsidRPr="00D22F9B" w:rsidRDefault="00BB21A2" w:rsidP="004979F7">
      <w:pPr>
        <w:pStyle w:val="Sprotnaopomba-besedilo"/>
        <w:ind w:firstLine="0"/>
      </w:pPr>
      <w:r w:rsidRPr="00B55CEF">
        <w:rPr>
          <w:rStyle w:val="Sprotnaopomba-sklic"/>
          <w:rFonts w:ascii="Arial" w:hAnsi="Arial" w:cs="Arial"/>
          <w:sz w:val="16"/>
          <w:szCs w:val="16"/>
        </w:rPr>
        <w:footnoteRef/>
      </w:r>
      <w:r w:rsidRPr="00B55CEF">
        <w:rPr>
          <w:rFonts w:ascii="Arial" w:hAnsi="Arial"/>
          <w:sz w:val="16"/>
          <w:szCs w:val="16"/>
        </w:rPr>
        <w:t xml:space="preserve"> </w:t>
      </w:r>
      <w:r w:rsidRPr="00B55CEF">
        <w:rPr>
          <w:rFonts w:ascii="Arial" w:hAnsi="Arial"/>
          <w:i/>
          <w:sz w:val="16"/>
          <w:szCs w:val="16"/>
        </w:rPr>
        <w:t xml:space="preserve">Navajamo samo tiste zadeve, ki so bile </w:t>
      </w:r>
      <w:r>
        <w:rPr>
          <w:rFonts w:ascii="Arial" w:hAnsi="Arial"/>
          <w:i/>
          <w:sz w:val="16"/>
          <w:szCs w:val="16"/>
        </w:rPr>
        <w:t>poslane</w:t>
      </w:r>
      <w:r w:rsidRPr="00B55CEF">
        <w:rPr>
          <w:rFonts w:ascii="Arial" w:hAnsi="Arial"/>
          <w:i/>
          <w:sz w:val="16"/>
          <w:szCs w:val="16"/>
        </w:rPr>
        <w:t xml:space="preserve"> pristojnim organom kot informacije zaradi sumov izvršitve drugih kaznivih dejanj. Informacije, ki smo jih </w:t>
      </w:r>
      <w:r>
        <w:rPr>
          <w:rFonts w:ascii="Arial" w:hAnsi="Arial"/>
          <w:i/>
          <w:sz w:val="16"/>
          <w:szCs w:val="16"/>
        </w:rPr>
        <w:t>poslali</w:t>
      </w:r>
      <w:r w:rsidRPr="00B55CEF">
        <w:rPr>
          <w:rFonts w:ascii="Arial" w:hAnsi="Arial"/>
          <w:i/>
          <w:sz w:val="16"/>
          <w:szCs w:val="16"/>
        </w:rPr>
        <w:t xml:space="preserve"> </w:t>
      </w:r>
      <w:r>
        <w:rPr>
          <w:rFonts w:ascii="Arial" w:hAnsi="Arial"/>
          <w:i/>
          <w:sz w:val="16"/>
          <w:szCs w:val="16"/>
        </w:rPr>
        <w:t>F</w:t>
      </w:r>
      <w:r w:rsidRPr="00B55CEF">
        <w:rPr>
          <w:rFonts w:ascii="Arial" w:hAnsi="Arial"/>
          <w:i/>
          <w:sz w:val="16"/>
          <w:szCs w:val="16"/>
        </w:rPr>
        <w:t>URS</w:t>
      </w:r>
      <w:r>
        <w:rPr>
          <w:rFonts w:ascii="Arial" w:hAnsi="Arial"/>
          <w:i/>
          <w:sz w:val="16"/>
          <w:szCs w:val="16"/>
        </w:rPr>
        <w:t>,</w:t>
      </w:r>
      <w:r w:rsidRPr="00B55CEF">
        <w:rPr>
          <w:rFonts w:ascii="Arial" w:hAnsi="Arial"/>
          <w:i/>
          <w:sz w:val="16"/>
          <w:szCs w:val="16"/>
        </w:rPr>
        <w:t xml:space="preserve"> hkrati pa tudi kot obvestila na </w:t>
      </w:r>
      <w:r>
        <w:rPr>
          <w:rFonts w:ascii="Arial" w:hAnsi="Arial"/>
          <w:i/>
          <w:sz w:val="16"/>
          <w:szCs w:val="16"/>
        </w:rPr>
        <w:t>p</w:t>
      </w:r>
      <w:r w:rsidRPr="00B55CEF">
        <w:rPr>
          <w:rFonts w:ascii="Arial" w:hAnsi="Arial"/>
          <w:i/>
          <w:sz w:val="16"/>
          <w:szCs w:val="16"/>
        </w:rPr>
        <w:t xml:space="preserve">olicijo, smo statistično zajeli že med obvestili v točki </w:t>
      </w:r>
      <w:r w:rsidRPr="00E33ED5">
        <w:rPr>
          <w:rFonts w:ascii="Arial" w:hAnsi="Arial"/>
          <w:i/>
          <w:sz w:val="16"/>
          <w:szCs w:val="16"/>
        </w:rPr>
        <w:t>3.1.3.</w:t>
      </w:r>
    </w:p>
  </w:footnote>
  <w:footnote w:id="7">
    <w:p w14:paraId="503B7B4B" w14:textId="47453B9D" w:rsidR="00BB21A2" w:rsidRPr="0095240A" w:rsidRDefault="00BB21A2" w:rsidP="00931931">
      <w:pPr>
        <w:pStyle w:val="Sprotnaopomba-besedilo"/>
        <w:ind w:firstLine="0"/>
      </w:pPr>
      <w:r w:rsidRPr="007B6ED8">
        <w:rPr>
          <w:rStyle w:val="Sprotnaopomba-sklic"/>
          <w:rFonts w:ascii="Arial" w:hAnsi="Arial" w:cs="Arial"/>
        </w:rPr>
        <w:footnoteRef/>
      </w:r>
      <w:r w:rsidRPr="00F23AD0">
        <w:rPr>
          <w:rFonts w:ascii="Arial" w:hAnsi="Arial"/>
          <w:i/>
          <w:sz w:val="18"/>
          <w:szCs w:val="18"/>
        </w:rPr>
        <w:t xml:space="preserve">Za navedeno sporočanje povratnih informacij </w:t>
      </w:r>
      <w:r>
        <w:rPr>
          <w:rFonts w:ascii="Arial" w:hAnsi="Arial"/>
          <w:i/>
          <w:sz w:val="18"/>
          <w:szCs w:val="18"/>
        </w:rPr>
        <w:t>u</w:t>
      </w:r>
      <w:r w:rsidRPr="00F23AD0">
        <w:rPr>
          <w:rFonts w:ascii="Arial" w:hAnsi="Arial"/>
          <w:i/>
          <w:sz w:val="18"/>
          <w:szCs w:val="18"/>
        </w:rPr>
        <w:t xml:space="preserve">radu o ugotovitvah, do katerih je </w:t>
      </w:r>
      <w:r>
        <w:rPr>
          <w:rFonts w:ascii="Arial" w:hAnsi="Arial"/>
          <w:i/>
          <w:sz w:val="18"/>
          <w:szCs w:val="18"/>
        </w:rPr>
        <w:t>prišla p</w:t>
      </w:r>
      <w:r w:rsidRPr="00F23AD0">
        <w:rPr>
          <w:rFonts w:ascii="Arial" w:hAnsi="Arial"/>
          <w:i/>
          <w:sz w:val="18"/>
          <w:szCs w:val="18"/>
        </w:rPr>
        <w:t xml:space="preserve">olicija </w:t>
      </w:r>
      <w:r>
        <w:rPr>
          <w:rFonts w:ascii="Arial" w:hAnsi="Arial"/>
          <w:i/>
          <w:sz w:val="18"/>
          <w:szCs w:val="18"/>
        </w:rPr>
        <w:t>v zvezi s preiskovanjem kaznivega dejanja pranja denarja,</w:t>
      </w:r>
      <w:r w:rsidRPr="00F23AD0">
        <w:rPr>
          <w:rFonts w:ascii="Arial" w:hAnsi="Arial"/>
          <w:i/>
          <w:sz w:val="18"/>
          <w:szCs w:val="18"/>
        </w:rPr>
        <w:t xml:space="preserve"> se je mednarodno uveljavil angleški izraz »feedback«. Povratne informacije </w:t>
      </w:r>
      <w:r>
        <w:rPr>
          <w:rFonts w:ascii="Arial" w:hAnsi="Arial"/>
          <w:i/>
          <w:sz w:val="18"/>
          <w:szCs w:val="18"/>
        </w:rPr>
        <w:t>so</w:t>
      </w:r>
      <w:r w:rsidRPr="00F23AD0">
        <w:rPr>
          <w:rFonts w:ascii="Arial" w:hAnsi="Arial"/>
          <w:i/>
          <w:sz w:val="18"/>
          <w:szCs w:val="18"/>
        </w:rPr>
        <w:t xml:space="preserve"> pomemben kazal</w:t>
      </w:r>
      <w:r>
        <w:rPr>
          <w:rFonts w:ascii="Arial" w:hAnsi="Arial"/>
          <w:i/>
          <w:sz w:val="18"/>
          <w:szCs w:val="18"/>
        </w:rPr>
        <w:t>nik</w:t>
      </w:r>
      <w:r w:rsidRPr="00F23AD0">
        <w:rPr>
          <w:rFonts w:ascii="Arial" w:hAnsi="Arial"/>
          <w:i/>
          <w:sz w:val="18"/>
          <w:szCs w:val="18"/>
        </w:rPr>
        <w:t xml:space="preserve"> učinkovitosti </w:t>
      </w:r>
      <w:r>
        <w:rPr>
          <w:rFonts w:ascii="Arial" w:hAnsi="Arial"/>
          <w:i/>
          <w:sz w:val="18"/>
          <w:szCs w:val="18"/>
        </w:rPr>
        <w:t>u</w:t>
      </w:r>
      <w:r w:rsidRPr="00F23AD0">
        <w:rPr>
          <w:rFonts w:ascii="Arial" w:hAnsi="Arial"/>
          <w:i/>
          <w:sz w:val="18"/>
          <w:szCs w:val="18"/>
        </w:rPr>
        <w:t xml:space="preserve">rada in </w:t>
      </w:r>
      <w:r>
        <w:rPr>
          <w:rFonts w:ascii="Arial" w:hAnsi="Arial"/>
          <w:i/>
          <w:sz w:val="18"/>
          <w:szCs w:val="18"/>
        </w:rPr>
        <w:t>p</w:t>
      </w:r>
      <w:r w:rsidRPr="00F23AD0">
        <w:rPr>
          <w:rFonts w:ascii="Arial" w:hAnsi="Arial"/>
          <w:i/>
          <w:sz w:val="18"/>
          <w:szCs w:val="18"/>
        </w:rPr>
        <w:t>olicije</w:t>
      </w:r>
      <w:r>
        <w:rPr>
          <w:rFonts w:ascii="Arial" w:hAnsi="Arial"/>
          <w:i/>
          <w:sz w:val="18"/>
          <w:szCs w:val="18"/>
        </w:rPr>
        <w:t xml:space="preserve"> ter tudi tožilstva</w:t>
      </w:r>
      <w:r w:rsidRPr="00F23AD0">
        <w:rPr>
          <w:rFonts w:ascii="Arial" w:hAnsi="Arial"/>
          <w:i/>
          <w:sz w:val="18"/>
          <w:szCs w:val="18"/>
        </w:rPr>
        <w:t>.</w:t>
      </w:r>
    </w:p>
  </w:footnote>
  <w:footnote w:id="8">
    <w:p w14:paraId="78CFD697" w14:textId="77777777" w:rsidR="00BB21A2" w:rsidRPr="000662CD" w:rsidRDefault="00BB21A2" w:rsidP="00894B57">
      <w:pPr>
        <w:pStyle w:val="Sprotnaopomba-besedilo"/>
        <w:ind w:firstLine="0"/>
        <w:rPr>
          <w:rFonts w:ascii="Arial" w:hAnsi="Arial"/>
          <w:i/>
        </w:rPr>
      </w:pPr>
      <w:r w:rsidRPr="000662CD">
        <w:rPr>
          <w:rStyle w:val="Sprotnaopomba-sklic"/>
          <w:rFonts w:ascii="Arial" w:hAnsi="Arial" w:cs="Arial"/>
          <w:i/>
        </w:rPr>
        <w:footnoteRef/>
      </w:r>
      <w:r w:rsidRPr="000662CD">
        <w:rPr>
          <w:rFonts w:ascii="Arial" w:hAnsi="Arial"/>
          <w:i/>
        </w:rPr>
        <w:t>Na tem mestu ne upoštevamo odvzetega premoženja v skladu s 498</w:t>
      </w:r>
      <w:r>
        <w:rPr>
          <w:rFonts w:ascii="Arial" w:hAnsi="Arial"/>
          <w:i/>
        </w:rPr>
        <w:t>.</w:t>
      </w:r>
      <w:r w:rsidRPr="000662CD">
        <w:rPr>
          <w:rFonts w:ascii="Arial" w:hAnsi="Arial"/>
          <w:i/>
        </w:rPr>
        <w:t>a členom ZKP.</w:t>
      </w:r>
    </w:p>
  </w:footnote>
  <w:footnote w:id="9">
    <w:p w14:paraId="497B61E7" w14:textId="7D04B4F9" w:rsidR="00BB21A2" w:rsidRPr="000D761D" w:rsidRDefault="00BB21A2" w:rsidP="0038398E">
      <w:pPr>
        <w:rPr>
          <w:rFonts w:ascii="Arial" w:hAnsi="Arial"/>
          <w:i/>
          <w:sz w:val="16"/>
          <w:szCs w:val="16"/>
        </w:rPr>
      </w:pPr>
      <w:r w:rsidRPr="0040537C">
        <w:rPr>
          <w:rStyle w:val="Sprotnaopomba-sklic"/>
          <w:rFonts w:ascii="Arial" w:hAnsi="Arial" w:cs="Arial"/>
          <w:sz w:val="16"/>
          <w:szCs w:val="16"/>
        </w:rPr>
        <w:footnoteRef/>
      </w:r>
      <w:r w:rsidRPr="0040537C">
        <w:rPr>
          <w:rFonts w:ascii="Arial" w:hAnsi="Arial"/>
          <w:sz w:val="16"/>
          <w:szCs w:val="16"/>
        </w:rPr>
        <w:t xml:space="preserve"> </w:t>
      </w:r>
      <w:r w:rsidRPr="000D761D">
        <w:rPr>
          <w:rFonts w:ascii="Arial" w:hAnsi="Arial"/>
          <w:bCs/>
          <w:i/>
          <w:sz w:val="16"/>
          <w:szCs w:val="16"/>
        </w:rPr>
        <w:t xml:space="preserve">Republika Slovenija je bila kot članica odbora </w:t>
      </w:r>
      <w:r>
        <w:rPr>
          <w:rFonts w:ascii="Arial" w:hAnsi="Arial"/>
          <w:bCs/>
          <w:i/>
          <w:sz w:val="16"/>
          <w:szCs w:val="16"/>
        </w:rPr>
        <w:t>s</w:t>
      </w:r>
      <w:r w:rsidRPr="000D761D">
        <w:rPr>
          <w:rFonts w:ascii="Arial" w:hAnsi="Arial"/>
          <w:bCs/>
          <w:i/>
          <w:sz w:val="16"/>
          <w:szCs w:val="16"/>
        </w:rPr>
        <w:t xml:space="preserve">trokovnjakov Sveta Evrope za ocenjevanje učinkovitosti sistema preprečevanja pranja denarja in financiranja terorizma (MONEYVAL) ocenjena v petem krogu ocenjevanja tega odbora, obisk ocenjevalcev je potekal od 7. do 19. </w:t>
      </w:r>
      <w:r>
        <w:rPr>
          <w:rFonts w:ascii="Arial" w:hAnsi="Arial"/>
          <w:bCs/>
          <w:i/>
          <w:sz w:val="16"/>
          <w:szCs w:val="16"/>
        </w:rPr>
        <w:t>novembra</w:t>
      </w:r>
      <w:r w:rsidRPr="000D761D">
        <w:rPr>
          <w:rFonts w:ascii="Arial" w:hAnsi="Arial"/>
          <w:bCs/>
          <w:i/>
          <w:sz w:val="16"/>
          <w:szCs w:val="16"/>
        </w:rPr>
        <w:t xml:space="preserve"> 2016. Poročilo petega kroga ocenjevanja je bilo sprejeto na 53. plenarni seji odbora MONEYVAL v juniju 2017. Sistem preprečevanja pranja denarja in financiranja terorizma je bil ocenjen kot zadovoljiv, vendar pa so ocenjevalci ugotovili </w:t>
      </w:r>
      <w:r>
        <w:rPr>
          <w:rFonts w:ascii="Arial" w:hAnsi="Arial"/>
          <w:bCs/>
          <w:i/>
          <w:sz w:val="16"/>
          <w:szCs w:val="16"/>
        </w:rPr>
        <w:t>nekatere</w:t>
      </w:r>
      <w:r w:rsidRPr="000D761D">
        <w:rPr>
          <w:rFonts w:ascii="Arial" w:hAnsi="Arial"/>
          <w:bCs/>
          <w:i/>
          <w:sz w:val="16"/>
          <w:szCs w:val="16"/>
        </w:rPr>
        <w:t xml:space="preserve"> pomanjkljivosti </w:t>
      </w:r>
      <w:r>
        <w:rPr>
          <w:rFonts w:ascii="Arial" w:hAnsi="Arial"/>
          <w:bCs/>
          <w:i/>
          <w:sz w:val="16"/>
          <w:szCs w:val="16"/>
        </w:rPr>
        <w:t>in dali priporočila za njihovo odpravo</w:t>
      </w:r>
      <w:r w:rsidRPr="000D761D">
        <w:rPr>
          <w:rFonts w:ascii="Arial" w:hAnsi="Arial"/>
          <w:bCs/>
          <w:i/>
          <w:sz w:val="16"/>
          <w:szCs w:val="16"/>
        </w:rPr>
        <w:t xml:space="preserve">. Priporočila ocenjevalcev so bila v celoti vključena v oba omenjena akcijska načrta – za izboljšanje zakonodajne usklajenosti </w:t>
      </w:r>
      <w:r>
        <w:rPr>
          <w:rFonts w:ascii="Arial" w:hAnsi="Arial"/>
          <w:bCs/>
          <w:i/>
          <w:sz w:val="16"/>
          <w:szCs w:val="16"/>
        </w:rPr>
        <w:t>in</w:t>
      </w:r>
      <w:r w:rsidRPr="000D761D">
        <w:rPr>
          <w:rFonts w:ascii="Arial" w:hAnsi="Arial"/>
          <w:bCs/>
          <w:i/>
          <w:sz w:val="16"/>
          <w:szCs w:val="16"/>
        </w:rPr>
        <w:t xml:space="preserve"> učinkovitosti sistema </w:t>
      </w:r>
      <w:r>
        <w:rPr>
          <w:rFonts w:ascii="Arial" w:hAnsi="Arial"/>
          <w:bCs/>
          <w:i/>
          <w:sz w:val="16"/>
          <w:szCs w:val="16"/>
        </w:rPr>
        <w:t xml:space="preserve">za </w:t>
      </w:r>
      <w:r w:rsidRPr="000D761D">
        <w:rPr>
          <w:rFonts w:ascii="Arial" w:hAnsi="Arial"/>
          <w:bCs/>
          <w:i/>
          <w:sz w:val="16"/>
          <w:szCs w:val="16"/>
        </w:rPr>
        <w:t>preprečevanj</w:t>
      </w:r>
      <w:r>
        <w:rPr>
          <w:rFonts w:ascii="Arial" w:hAnsi="Arial"/>
          <w:bCs/>
          <w:i/>
          <w:sz w:val="16"/>
          <w:szCs w:val="16"/>
        </w:rPr>
        <w:t>e</w:t>
      </w:r>
      <w:r w:rsidRPr="000D761D">
        <w:rPr>
          <w:rFonts w:ascii="Arial" w:hAnsi="Arial"/>
          <w:bCs/>
          <w:i/>
          <w:sz w:val="16"/>
          <w:szCs w:val="16"/>
        </w:rPr>
        <w:t xml:space="preserve"> </w:t>
      </w:r>
      <w:r>
        <w:rPr>
          <w:rFonts w:ascii="Arial" w:hAnsi="Arial"/>
          <w:bCs/>
          <w:i/>
          <w:sz w:val="16"/>
          <w:szCs w:val="16"/>
        </w:rPr>
        <w:t>pranja denarja/financiranja terorizma</w:t>
      </w:r>
      <w:r w:rsidRPr="000D761D">
        <w:rPr>
          <w:rFonts w:ascii="Arial" w:hAnsi="Arial"/>
          <w:bCs/>
          <w:i/>
          <w:sz w:val="16"/>
          <w:szCs w:val="16"/>
        </w:rPr>
        <w:t xml:space="preserve"> naše države.</w:t>
      </w:r>
    </w:p>
    <w:p w14:paraId="1D67B249" w14:textId="77777777" w:rsidR="00BB21A2" w:rsidRPr="0095240A" w:rsidRDefault="00BB21A2" w:rsidP="0038398E">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15852" w14:textId="0FB8FED8" w:rsidR="00BB21A2" w:rsidRPr="00832CC2" w:rsidRDefault="00BB21A2" w:rsidP="00832CC2">
    <w:pPr>
      <w:pStyle w:val="Glava"/>
      <w:jc w:val="center"/>
      <w:rPr>
        <w:rFonts w:ascii="Arial" w:hAnsi="Arial"/>
        <w:color w:val="808080" w:themeColor="background1" w:themeShade="80"/>
        <w:sz w:val="18"/>
        <w:szCs w:val="18"/>
      </w:rPr>
    </w:pPr>
    <w:r w:rsidRPr="00832CC2">
      <w:rPr>
        <w:rFonts w:ascii="Arial" w:hAnsi="Arial"/>
        <w:color w:val="808080" w:themeColor="background1" w:themeShade="80"/>
        <w:sz w:val="18"/>
        <w:szCs w:val="18"/>
      </w:rPr>
      <w:t xml:space="preserve">POROČILO </w:t>
    </w:r>
    <w:r>
      <w:rPr>
        <w:rFonts w:ascii="Arial" w:hAnsi="Arial"/>
        <w:color w:val="808080" w:themeColor="background1" w:themeShade="80"/>
        <w:sz w:val="18"/>
        <w:szCs w:val="18"/>
      </w:rPr>
      <w:t>UPPD ZA LETO 2020</w:t>
    </w:r>
  </w:p>
  <w:p w14:paraId="207620CD" w14:textId="77777777" w:rsidR="00BB21A2" w:rsidRPr="00832CC2" w:rsidRDefault="00BB21A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BC6ACBA"/>
    <w:lvl w:ilvl="0">
      <w:start w:val="1"/>
      <w:numFmt w:val="bullet"/>
      <w:pStyle w:val="Naslov8"/>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666888"/>
    <w:lvl w:ilvl="0">
      <w:start w:val="1"/>
      <w:numFmt w:val="bullet"/>
      <w:pStyle w:val="Naslov9"/>
      <w:lvlText w:val=""/>
      <w:lvlJc w:val="left"/>
      <w:pPr>
        <w:tabs>
          <w:tab w:val="num" w:pos="360"/>
        </w:tabs>
        <w:ind w:left="360" w:hanging="360"/>
      </w:pPr>
      <w:rPr>
        <w:rFonts w:ascii="Symbol" w:hAnsi="Symbol" w:hint="default"/>
      </w:rPr>
    </w:lvl>
  </w:abstractNum>
  <w:abstractNum w:abstractNumId="2" w15:restartNumberingAfterBreak="0">
    <w:nsid w:val="02F65029"/>
    <w:multiLevelType w:val="hybridMultilevel"/>
    <w:tmpl w:val="08E24AA8"/>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185FDE"/>
    <w:multiLevelType w:val="hybridMultilevel"/>
    <w:tmpl w:val="E8D2475A"/>
    <w:lvl w:ilvl="0" w:tplc="00000096">
      <w:numFmt w:val="bullet"/>
      <w:lvlText w:val="–"/>
      <w:lvlJc w:val="left"/>
      <w:pPr>
        <w:ind w:left="720" w:hanging="360"/>
      </w:pPr>
      <w:rPr>
        <w:rFonts w:ascii="Times New Roman" w:hAnsi="Times New Roman" w:cs="Times New Roman" w:hint="default"/>
        <w:color w:val="000000"/>
        <w:sz w:val="20"/>
        <w:szCs w:val="20"/>
        <w:lang w:eastAsia="sl-SI"/>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4D51EAE"/>
    <w:multiLevelType w:val="hybridMultilevel"/>
    <w:tmpl w:val="655257E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5" w15:restartNumberingAfterBreak="0">
    <w:nsid w:val="0A3C48F4"/>
    <w:multiLevelType w:val="multilevel"/>
    <w:tmpl w:val="EBEA053C"/>
    <w:lvl w:ilvl="0">
      <w:start w:val="7"/>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4"/>
      <w:numFmt w:val="decimal"/>
      <w:lvlText w:val="%1.%2.%3"/>
      <w:lvlJc w:val="left"/>
      <w:pPr>
        <w:ind w:left="720" w:hanging="720"/>
      </w:pPr>
      <w:rPr>
        <w:rFonts w:hint="default"/>
        <w:i/>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516018"/>
    <w:multiLevelType w:val="hybridMultilevel"/>
    <w:tmpl w:val="DDF2079C"/>
    <w:lvl w:ilvl="0" w:tplc="00000096">
      <w:numFmt w:val="bullet"/>
      <w:lvlText w:val="–"/>
      <w:lvlJc w:val="left"/>
      <w:pPr>
        <w:ind w:left="1800" w:hanging="360"/>
      </w:pPr>
      <w:rPr>
        <w:rFonts w:ascii="Times New Roman" w:hAnsi="Times New Roman" w:cs="Times New Roman" w:hint="default"/>
        <w:color w:val="000000"/>
        <w:sz w:val="20"/>
        <w:szCs w:val="20"/>
        <w:lang w:eastAsia="sl-SI"/>
      </w:rPr>
    </w:lvl>
    <w:lvl w:ilvl="1" w:tplc="04240003" w:tentative="1">
      <w:start w:val="1"/>
      <w:numFmt w:val="bullet"/>
      <w:lvlText w:val="o"/>
      <w:lvlJc w:val="left"/>
      <w:pPr>
        <w:ind w:left="2520" w:hanging="360"/>
      </w:pPr>
      <w:rPr>
        <w:rFonts w:ascii="Courier New" w:hAnsi="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7" w15:restartNumberingAfterBreak="0">
    <w:nsid w:val="0E004554"/>
    <w:multiLevelType w:val="hybridMultilevel"/>
    <w:tmpl w:val="C816B0E0"/>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636D5C"/>
    <w:multiLevelType w:val="hybridMultilevel"/>
    <w:tmpl w:val="4674462E"/>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9" w15:restartNumberingAfterBreak="0">
    <w:nsid w:val="0F8337A2"/>
    <w:multiLevelType w:val="hybridMultilevel"/>
    <w:tmpl w:val="040EC77E"/>
    <w:lvl w:ilvl="0" w:tplc="5F5253E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205D6D"/>
    <w:multiLevelType w:val="multilevel"/>
    <w:tmpl w:val="BE86C4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C414A3"/>
    <w:multiLevelType w:val="hybridMultilevel"/>
    <w:tmpl w:val="78082C88"/>
    <w:lvl w:ilvl="0" w:tplc="04240001">
      <w:start w:val="1"/>
      <w:numFmt w:val="decimal"/>
      <w:lvlText w:val="%1."/>
      <w:lvlJc w:val="left"/>
      <w:pPr>
        <w:tabs>
          <w:tab w:val="num" w:pos="720"/>
        </w:tabs>
        <w:ind w:left="720" w:hanging="360"/>
      </w:pPr>
      <w:rPr>
        <w:rFonts w:cs="Times New Roman"/>
        <w:b w:val="0"/>
      </w:rPr>
    </w:lvl>
    <w:lvl w:ilvl="1" w:tplc="04240003">
      <w:start w:val="1"/>
      <w:numFmt w:val="decimal"/>
      <w:lvlText w:val="%2."/>
      <w:lvlJc w:val="left"/>
      <w:pPr>
        <w:tabs>
          <w:tab w:val="num" w:pos="1440"/>
        </w:tabs>
        <w:ind w:left="1440" w:hanging="360"/>
      </w:pPr>
      <w:rPr>
        <w:rFonts w:cs="Times New Roman" w:hint="default"/>
      </w:rPr>
    </w:lvl>
    <w:lvl w:ilvl="2" w:tplc="04240005">
      <w:start w:val="2"/>
      <w:numFmt w:val="decimal"/>
      <w:lvlText w:val="%3)"/>
      <w:lvlJc w:val="left"/>
      <w:pPr>
        <w:tabs>
          <w:tab w:val="num" w:pos="2160"/>
        </w:tabs>
        <w:ind w:left="2160" w:hanging="360"/>
      </w:pPr>
      <w:rPr>
        <w:rFonts w:cs="Times New Roman" w:hint="default"/>
      </w:rPr>
    </w:lvl>
    <w:lvl w:ilvl="3" w:tplc="04240001">
      <w:start w:val="1"/>
      <w:numFmt w:val="lowerLetter"/>
      <w:lvlText w:val="%4)"/>
      <w:lvlJc w:val="left"/>
      <w:pPr>
        <w:tabs>
          <w:tab w:val="num" w:pos="680"/>
        </w:tabs>
        <w:ind w:left="680" w:hanging="396"/>
      </w:pPr>
      <w:rPr>
        <w:rFonts w:cs="Times New Roman" w:hint="default"/>
        <w:b/>
      </w:rPr>
    </w:lvl>
    <w:lvl w:ilvl="4" w:tplc="04240003" w:tentative="1">
      <w:start w:val="1"/>
      <w:numFmt w:val="decimal"/>
      <w:lvlText w:val="%5."/>
      <w:lvlJc w:val="left"/>
      <w:pPr>
        <w:tabs>
          <w:tab w:val="num" w:pos="3600"/>
        </w:tabs>
        <w:ind w:left="3600" w:hanging="360"/>
      </w:pPr>
      <w:rPr>
        <w:rFonts w:cs="Times New Roman"/>
      </w:rPr>
    </w:lvl>
    <w:lvl w:ilvl="5" w:tplc="04240005" w:tentative="1">
      <w:start w:val="1"/>
      <w:numFmt w:val="decimal"/>
      <w:lvlText w:val="%6."/>
      <w:lvlJc w:val="left"/>
      <w:pPr>
        <w:tabs>
          <w:tab w:val="num" w:pos="4320"/>
        </w:tabs>
        <w:ind w:left="4320" w:hanging="36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decimal"/>
      <w:lvlText w:val="%8."/>
      <w:lvlJc w:val="left"/>
      <w:pPr>
        <w:tabs>
          <w:tab w:val="num" w:pos="5760"/>
        </w:tabs>
        <w:ind w:left="5760" w:hanging="360"/>
      </w:pPr>
      <w:rPr>
        <w:rFonts w:cs="Times New Roman"/>
      </w:rPr>
    </w:lvl>
    <w:lvl w:ilvl="8" w:tplc="04240005" w:tentative="1">
      <w:start w:val="1"/>
      <w:numFmt w:val="decimal"/>
      <w:lvlText w:val="%9."/>
      <w:lvlJc w:val="left"/>
      <w:pPr>
        <w:tabs>
          <w:tab w:val="num" w:pos="6480"/>
        </w:tabs>
        <w:ind w:left="6480" w:hanging="360"/>
      </w:pPr>
      <w:rPr>
        <w:rFonts w:cs="Times New Roman"/>
      </w:rPr>
    </w:lvl>
  </w:abstractNum>
  <w:abstractNum w:abstractNumId="12" w15:restartNumberingAfterBreak="0">
    <w:nsid w:val="16FC6FC4"/>
    <w:multiLevelType w:val="multilevel"/>
    <w:tmpl w:val="6B5CFEBA"/>
    <w:lvl w:ilvl="0">
      <w:start w:val="1"/>
      <w:numFmt w:val="decimal"/>
      <w:lvlText w:val="%1"/>
      <w:lvlJc w:val="left"/>
      <w:pPr>
        <w:tabs>
          <w:tab w:val="num" w:pos="432"/>
        </w:tabs>
        <w:ind w:left="432" w:hanging="432"/>
      </w:pPr>
      <w:rPr>
        <w:rFonts w:cs="Times New Roman" w:hint="default"/>
      </w:rPr>
    </w:lvl>
    <w:lvl w:ilvl="1">
      <w:start w:val="1"/>
      <w:numFmt w:val="decimal"/>
      <w:pStyle w:val="Naslov2"/>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851"/>
        </w:tabs>
        <w:ind w:left="851" w:hanging="851"/>
      </w:pPr>
      <w:rPr>
        <w:rFonts w:cs="Times New Roman" w:hint="default"/>
        <w:i/>
        <w:iCs w:val="0"/>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1E240522"/>
    <w:multiLevelType w:val="hybridMultilevel"/>
    <w:tmpl w:val="C3A8AF22"/>
    <w:lvl w:ilvl="0" w:tplc="149E4B62">
      <w:start w:val="1"/>
      <w:numFmt w:val="bullet"/>
      <w:pStyle w:val="Oznaenseznam"/>
      <w:lvlText w:val=""/>
      <w:lvlJc w:val="left"/>
      <w:pPr>
        <w:tabs>
          <w:tab w:val="num" w:pos="360"/>
        </w:tabs>
        <w:ind w:left="360" w:hanging="360"/>
      </w:pPr>
      <w:rPr>
        <w:rFonts w:ascii="Symbol" w:hAnsi="Symbol" w:hint="default"/>
      </w:rPr>
    </w:lvl>
    <w:lvl w:ilvl="1" w:tplc="71A41108" w:tentative="1">
      <w:start w:val="1"/>
      <w:numFmt w:val="bullet"/>
      <w:lvlText w:val="o"/>
      <w:lvlJc w:val="left"/>
      <w:pPr>
        <w:tabs>
          <w:tab w:val="num" w:pos="1440"/>
        </w:tabs>
        <w:ind w:left="1440" w:hanging="360"/>
      </w:pPr>
      <w:rPr>
        <w:rFonts w:ascii="Courier New" w:hAnsi="Courier New" w:hint="default"/>
      </w:rPr>
    </w:lvl>
    <w:lvl w:ilvl="2" w:tplc="A538D34A" w:tentative="1">
      <w:start w:val="1"/>
      <w:numFmt w:val="bullet"/>
      <w:lvlText w:val=""/>
      <w:lvlJc w:val="left"/>
      <w:pPr>
        <w:tabs>
          <w:tab w:val="num" w:pos="2160"/>
        </w:tabs>
        <w:ind w:left="2160" w:hanging="360"/>
      </w:pPr>
      <w:rPr>
        <w:rFonts w:ascii="Wingdings" w:hAnsi="Wingdings" w:hint="default"/>
      </w:rPr>
    </w:lvl>
    <w:lvl w:ilvl="3" w:tplc="78FCF100" w:tentative="1">
      <w:start w:val="1"/>
      <w:numFmt w:val="bullet"/>
      <w:lvlText w:val=""/>
      <w:lvlJc w:val="left"/>
      <w:pPr>
        <w:tabs>
          <w:tab w:val="num" w:pos="2880"/>
        </w:tabs>
        <w:ind w:left="2880" w:hanging="360"/>
      </w:pPr>
      <w:rPr>
        <w:rFonts w:ascii="Symbol" w:hAnsi="Symbol" w:hint="default"/>
      </w:rPr>
    </w:lvl>
    <w:lvl w:ilvl="4" w:tplc="194CD70E" w:tentative="1">
      <w:start w:val="1"/>
      <w:numFmt w:val="bullet"/>
      <w:lvlText w:val="o"/>
      <w:lvlJc w:val="left"/>
      <w:pPr>
        <w:tabs>
          <w:tab w:val="num" w:pos="3600"/>
        </w:tabs>
        <w:ind w:left="3600" w:hanging="360"/>
      </w:pPr>
      <w:rPr>
        <w:rFonts w:ascii="Courier New" w:hAnsi="Courier New" w:hint="default"/>
      </w:rPr>
    </w:lvl>
    <w:lvl w:ilvl="5" w:tplc="E1087E32" w:tentative="1">
      <w:start w:val="1"/>
      <w:numFmt w:val="bullet"/>
      <w:lvlText w:val=""/>
      <w:lvlJc w:val="left"/>
      <w:pPr>
        <w:tabs>
          <w:tab w:val="num" w:pos="4320"/>
        </w:tabs>
        <w:ind w:left="4320" w:hanging="360"/>
      </w:pPr>
      <w:rPr>
        <w:rFonts w:ascii="Wingdings" w:hAnsi="Wingdings" w:hint="default"/>
      </w:rPr>
    </w:lvl>
    <w:lvl w:ilvl="6" w:tplc="AD24E226" w:tentative="1">
      <w:start w:val="1"/>
      <w:numFmt w:val="bullet"/>
      <w:lvlText w:val=""/>
      <w:lvlJc w:val="left"/>
      <w:pPr>
        <w:tabs>
          <w:tab w:val="num" w:pos="5040"/>
        </w:tabs>
        <w:ind w:left="5040" w:hanging="360"/>
      </w:pPr>
      <w:rPr>
        <w:rFonts w:ascii="Symbol" w:hAnsi="Symbol" w:hint="default"/>
      </w:rPr>
    </w:lvl>
    <w:lvl w:ilvl="7" w:tplc="4B5C8958" w:tentative="1">
      <w:start w:val="1"/>
      <w:numFmt w:val="bullet"/>
      <w:lvlText w:val="o"/>
      <w:lvlJc w:val="left"/>
      <w:pPr>
        <w:tabs>
          <w:tab w:val="num" w:pos="5760"/>
        </w:tabs>
        <w:ind w:left="5760" w:hanging="360"/>
      </w:pPr>
      <w:rPr>
        <w:rFonts w:ascii="Courier New" w:hAnsi="Courier New" w:hint="default"/>
      </w:rPr>
    </w:lvl>
    <w:lvl w:ilvl="8" w:tplc="94529B3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37354F"/>
    <w:multiLevelType w:val="hybridMultilevel"/>
    <w:tmpl w:val="E61EAA18"/>
    <w:lvl w:ilvl="0" w:tplc="00000096">
      <w:numFmt w:val="bullet"/>
      <w:lvlText w:val="–"/>
      <w:lvlJc w:val="left"/>
      <w:pPr>
        <w:tabs>
          <w:tab w:val="num" w:pos="720"/>
        </w:tabs>
        <w:ind w:left="720" w:hanging="360"/>
      </w:pPr>
      <w:rPr>
        <w:rFonts w:ascii="Times New Roman" w:hAnsi="Times New Roman" w:cs="Times New Roman" w:hint="default"/>
        <w:color w:val="000000"/>
        <w:sz w:val="20"/>
        <w:szCs w:val="20"/>
        <w:lang w:eastAsia="sl-S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F07894"/>
    <w:multiLevelType w:val="hybridMultilevel"/>
    <w:tmpl w:val="AE86C7A4"/>
    <w:lvl w:ilvl="0" w:tplc="00000096">
      <w:numFmt w:val="bullet"/>
      <w:lvlText w:val="–"/>
      <w:lvlJc w:val="left"/>
      <w:pPr>
        <w:tabs>
          <w:tab w:val="num" w:pos="760"/>
        </w:tabs>
        <w:ind w:left="760" w:hanging="400"/>
      </w:pPr>
      <w:rPr>
        <w:rFonts w:ascii="Times New Roman" w:hAnsi="Times New Roman" w:cs="Times New Roman" w:hint="default"/>
        <w:color w:val="000000"/>
        <w:sz w:val="20"/>
        <w:szCs w:val="20"/>
        <w:lang w:eastAsia="sl-SI"/>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183EF5"/>
    <w:multiLevelType w:val="multilevel"/>
    <w:tmpl w:val="FFB8E118"/>
    <w:lvl w:ilvl="0">
      <w:start w:val="1"/>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611CDC"/>
    <w:multiLevelType w:val="multilevel"/>
    <w:tmpl w:val="9BEE94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2C1587"/>
    <w:multiLevelType w:val="hybridMultilevel"/>
    <w:tmpl w:val="0A4EBBF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9232B24"/>
    <w:multiLevelType w:val="multilevel"/>
    <w:tmpl w:val="60449A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C27655"/>
    <w:multiLevelType w:val="multilevel"/>
    <w:tmpl w:val="F6B888BE"/>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BE3E2B"/>
    <w:multiLevelType w:val="hybridMultilevel"/>
    <w:tmpl w:val="C6BA6C3C"/>
    <w:lvl w:ilvl="0" w:tplc="00000096">
      <w:numFmt w:val="bullet"/>
      <w:lvlText w:val="–"/>
      <w:lvlJc w:val="left"/>
      <w:pPr>
        <w:tabs>
          <w:tab w:val="num" w:pos="454"/>
        </w:tabs>
        <w:ind w:left="454" w:hanging="284"/>
      </w:pPr>
      <w:rPr>
        <w:rFonts w:ascii="Times New Roman" w:hAnsi="Times New Roman" w:cs="Times New Roman" w:hint="default"/>
        <w:color w:val="000000"/>
        <w:sz w:val="20"/>
        <w:szCs w:val="20"/>
        <w:lang w:eastAsia="sl-SI"/>
      </w:rPr>
    </w:lvl>
    <w:lvl w:ilvl="1" w:tplc="C99E41CE" w:tentative="1">
      <w:start w:val="1"/>
      <w:numFmt w:val="bullet"/>
      <w:lvlText w:val="o"/>
      <w:lvlJc w:val="left"/>
      <w:pPr>
        <w:tabs>
          <w:tab w:val="num" w:pos="1440"/>
        </w:tabs>
        <w:ind w:left="1440" w:hanging="360"/>
      </w:pPr>
      <w:rPr>
        <w:rFonts w:ascii="Courier New" w:hAnsi="Courier New" w:hint="default"/>
      </w:rPr>
    </w:lvl>
    <w:lvl w:ilvl="2" w:tplc="FEF49520" w:tentative="1">
      <w:start w:val="1"/>
      <w:numFmt w:val="bullet"/>
      <w:lvlText w:val=""/>
      <w:lvlJc w:val="left"/>
      <w:pPr>
        <w:tabs>
          <w:tab w:val="num" w:pos="2160"/>
        </w:tabs>
        <w:ind w:left="2160" w:hanging="360"/>
      </w:pPr>
      <w:rPr>
        <w:rFonts w:ascii="Wingdings" w:hAnsi="Wingdings" w:hint="default"/>
      </w:rPr>
    </w:lvl>
    <w:lvl w:ilvl="3" w:tplc="73E454F6" w:tentative="1">
      <w:start w:val="1"/>
      <w:numFmt w:val="bullet"/>
      <w:lvlText w:val=""/>
      <w:lvlJc w:val="left"/>
      <w:pPr>
        <w:tabs>
          <w:tab w:val="num" w:pos="2880"/>
        </w:tabs>
        <w:ind w:left="2880" w:hanging="360"/>
      </w:pPr>
      <w:rPr>
        <w:rFonts w:ascii="Symbol" w:hAnsi="Symbol" w:hint="default"/>
      </w:rPr>
    </w:lvl>
    <w:lvl w:ilvl="4" w:tplc="F62A502C" w:tentative="1">
      <w:start w:val="1"/>
      <w:numFmt w:val="bullet"/>
      <w:lvlText w:val="o"/>
      <w:lvlJc w:val="left"/>
      <w:pPr>
        <w:tabs>
          <w:tab w:val="num" w:pos="3600"/>
        </w:tabs>
        <w:ind w:left="3600" w:hanging="360"/>
      </w:pPr>
      <w:rPr>
        <w:rFonts w:ascii="Courier New" w:hAnsi="Courier New" w:hint="default"/>
      </w:rPr>
    </w:lvl>
    <w:lvl w:ilvl="5" w:tplc="2D8CC978" w:tentative="1">
      <w:start w:val="1"/>
      <w:numFmt w:val="bullet"/>
      <w:lvlText w:val=""/>
      <w:lvlJc w:val="left"/>
      <w:pPr>
        <w:tabs>
          <w:tab w:val="num" w:pos="4320"/>
        </w:tabs>
        <w:ind w:left="4320" w:hanging="360"/>
      </w:pPr>
      <w:rPr>
        <w:rFonts w:ascii="Wingdings" w:hAnsi="Wingdings" w:hint="default"/>
      </w:rPr>
    </w:lvl>
    <w:lvl w:ilvl="6" w:tplc="B058C058" w:tentative="1">
      <w:start w:val="1"/>
      <w:numFmt w:val="bullet"/>
      <w:lvlText w:val=""/>
      <w:lvlJc w:val="left"/>
      <w:pPr>
        <w:tabs>
          <w:tab w:val="num" w:pos="5040"/>
        </w:tabs>
        <w:ind w:left="5040" w:hanging="360"/>
      </w:pPr>
      <w:rPr>
        <w:rFonts w:ascii="Symbol" w:hAnsi="Symbol" w:hint="default"/>
      </w:rPr>
    </w:lvl>
    <w:lvl w:ilvl="7" w:tplc="72B636BA" w:tentative="1">
      <w:start w:val="1"/>
      <w:numFmt w:val="bullet"/>
      <w:lvlText w:val="o"/>
      <w:lvlJc w:val="left"/>
      <w:pPr>
        <w:tabs>
          <w:tab w:val="num" w:pos="5760"/>
        </w:tabs>
        <w:ind w:left="5760" w:hanging="360"/>
      </w:pPr>
      <w:rPr>
        <w:rFonts w:ascii="Courier New" w:hAnsi="Courier New" w:hint="default"/>
      </w:rPr>
    </w:lvl>
    <w:lvl w:ilvl="8" w:tplc="F01871A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4313A"/>
    <w:multiLevelType w:val="hybridMultilevel"/>
    <w:tmpl w:val="9F7E264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21557B6"/>
    <w:multiLevelType w:val="multilevel"/>
    <w:tmpl w:val="36106A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4D1A5D"/>
    <w:multiLevelType w:val="hybridMultilevel"/>
    <w:tmpl w:val="BFCC75F8"/>
    <w:lvl w:ilvl="0" w:tplc="93AA5E4E">
      <w:start w:val="1"/>
      <w:numFmt w:val="bullet"/>
      <w:lvlText w:val=""/>
      <w:lvlJc w:val="left"/>
      <w:pPr>
        <w:ind w:left="720" w:hanging="360"/>
      </w:pPr>
      <w:rPr>
        <w:rFonts w:ascii="Symbol" w:hAnsi="Symbol" w:hint="default"/>
      </w:rPr>
    </w:lvl>
    <w:lvl w:ilvl="1" w:tplc="39F0379A" w:tentative="1">
      <w:start w:val="1"/>
      <w:numFmt w:val="bullet"/>
      <w:lvlText w:val="o"/>
      <w:lvlJc w:val="left"/>
      <w:pPr>
        <w:ind w:left="1440" w:hanging="360"/>
      </w:pPr>
      <w:rPr>
        <w:rFonts w:ascii="Courier New" w:hAnsi="Courier New" w:hint="default"/>
      </w:rPr>
    </w:lvl>
    <w:lvl w:ilvl="2" w:tplc="87F07100" w:tentative="1">
      <w:start w:val="1"/>
      <w:numFmt w:val="bullet"/>
      <w:lvlText w:val=""/>
      <w:lvlJc w:val="left"/>
      <w:pPr>
        <w:ind w:left="2160" w:hanging="360"/>
      </w:pPr>
      <w:rPr>
        <w:rFonts w:ascii="Wingdings" w:hAnsi="Wingdings" w:hint="default"/>
      </w:rPr>
    </w:lvl>
    <w:lvl w:ilvl="3" w:tplc="68B44582" w:tentative="1">
      <w:start w:val="1"/>
      <w:numFmt w:val="bullet"/>
      <w:lvlText w:val=""/>
      <w:lvlJc w:val="left"/>
      <w:pPr>
        <w:ind w:left="2880" w:hanging="360"/>
      </w:pPr>
      <w:rPr>
        <w:rFonts w:ascii="Symbol" w:hAnsi="Symbol" w:hint="default"/>
      </w:rPr>
    </w:lvl>
    <w:lvl w:ilvl="4" w:tplc="EA0418F6" w:tentative="1">
      <w:start w:val="1"/>
      <w:numFmt w:val="bullet"/>
      <w:lvlText w:val="o"/>
      <w:lvlJc w:val="left"/>
      <w:pPr>
        <w:ind w:left="3600" w:hanging="360"/>
      </w:pPr>
      <w:rPr>
        <w:rFonts w:ascii="Courier New" w:hAnsi="Courier New" w:hint="default"/>
      </w:rPr>
    </w:lvl>
    <w:lvl w:ilvl="5" w:tplc="F798405C" w:tentative="1">
      <w:start w:val="1"/>
      <w:numFmt w:val="bullet"/>
      <w:lvlText w:val=""/>
      <w:lvlJc w:val="left"/>
      <w:pPr>
        <w:ind w:left="4320" w:hanging="360"/>
      </w:pPr>
      <w:rPr>
        <w:rFonts w:ascii="Wingdings" w:hAnsi="Wingdings" w:hint="default"/>
      </w:rPr>
    </w:lvl>
    <w:lvl w:ilvl="6" w:tplc="5CC0BA3C" w:tentative="1">
      <w:start w:val="1"/>
      <w:numFmt w:val="bullet"/>
      <w:lvlText w:val=""/>
      <w:lvlJc w:val="left"/>
      <w:pPr>
        <w:ind w:left="5040" w:hanging="360"/>
      </w:pPr>
      <w:rPr>
        <w:rFonts w:ascii="Symbol" w:hAnsi="Symbol" w:hint="default"/>
      </w:rPr>
    </w:lvl>
    <w:lvl w:ilvl="7" w:tplc="04208666" w:tentative="1">
      <w:start w:val="1"/>
      <w:numFmt w:val="bullet"/>
      <w:lvlText w:val="o"/>
      <w:lvlJc w:val="left"/>
      <w:pPr>
        <w:ind w:left="5760" w:hanging="360"/>
      </w:pPr>
      <w:rPr>
        <w:rFonts w:ascii="Courier New" w:hAnsi="Courier New" w:hint="default"/>
      </w:rPr>
    </w:lvl>
    <w:lvl w:ilvl="8" w:tplc="9B3E2E8C" w:tentative="1">
      <w:start w:val="1"/>
      <w:numFmt w:val="bullet"/>
      <w:lvlText w:val=""/>
      <w:lvlJc w:val="left"/>
      <w:pPr>
        <w:ind w:left="6480" w:hanging="360"/>
      </w:pPr>
      <w:rPr>
        <w:rFonts w:ascii="Wingdings" w:hAnsi="Wingdings" w:hint="default"/>
      </w:rPr>
    </w:lvl>
  </w:abstractNum>
  <w:abstractNum w:abstractNumId="25" w15:restartNumberingAfterBreak="0">
    <w:nsid w:val="6FD643C7"/>
    <w:multiLevelType w:val="multilevel"/>
    <w:tmpl w:val="BA10AC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31A0FFA"/>
    <w:multiLevelType w:val="multilevel"/>
    <w:tmpl w:val="2D3A56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3CA5C3D"/>
    <w:multiLevelType w:val="hybridMultilevel"/>
    <w:tmpl w:val="C9B6D8B0"/>
    <w:lvl w:ilvl="0" w:tplc="04240001">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B0C429B"/>
    <w:multiLevelType w:val="hybridMultilevel"/>
    <w:tmpl w:val="3FD40720"/>
    <w:lvl w:ilvl="0" w:tplc="00000096">
      <w:numFmt w:val="bullet"/>
      <w:lvlText w:val="–"/>
      <w:lvlJc w:val="left"/>
      <w:pPr>
        <w:tabs>
          <w:tab w:val="num" w:pos="826"/>
        </w:tabs>
        <w:ind w:left="826" w:hanging="400"/>
      </w:pPr>
      <w:rPr>
        <w:rFonts w:ascii="Times New Roman" w:hAnsi="Times New Roman" w:cs="Times New Roman" w:hint="default"/>
        <w:color w:val="000000"/>
        <w:sz w:val="20"/>
        <w:szCs w:val="20"/>
        <w:lang w:eastAsia="sl-SI"/>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7D726409"/>
    <w:multiLevelType w:val="hybridMultilevel"/>
    <w:tmpl w:val="A1E44EA4"/>
    <w:lvl w:ilvl="0" w:tplc="00000096">
      <w:numFmt w:val="bullet"/>
      <w:lvlText w:val="–"/>
      <w:lvlJc w:val="left"/>
      <w:pPr>
        <w:tabs>
          <w:tab w:val="num" w:pos="454"/>
        </w:tabs>
        <w:ind w:left="454" w:hanging="284"/>
      </w:pPr>
      <w:rPr>
        <w:rFonts w:ascii="Times New Roman" w:hAnsi="Times New Roman" w:cs="Times New Roman" w:hint="default"/>
        <w:color w:val="000000"/>
        <w:sz w:val="20"/>
        <w:szCs w:val="20"/>
        <w:lang w:eastAsia="sl-SI"/>
      </w:rPr>
    </w:lvl>
    <w:lvl w:ilvl="1" w:tplc="04240019"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1"/>
  </w:num>
  <w:num w:numId="6">
    <w:abstractNumId w:val="12"/>
  </w:num>
  <w:num w:numId="7">
    <w:abstractNumId w:val="13"/>
  </w:num>
  <w:num w:numId="8">
    <w:abstractNumId w:val="7"/>
  </w:num>
  <w:num w:numId="9">
    <w:abstractNumId w:val="28"/>
  </w:num>
  <w:num w:numId="10">
    <w:abstractNumId w:val="15"/>
  </w:num>
  <w:num w:numId="11">
    <w:abstractNumId w:val="9"/>
  </w:num>
  <w:num w:numId="12">
    <w:abstractNumId w:val="14"/>
  </w:num>
  <w:num w:numId="13">
    <w:abstractNumId w:val="21"/>
  </w:num>
  <w:num w:numId="14">
    <w:abstractNumId w:val="29"/>
  </w:num>
  <w:num w:numId="15">
    <w:abstractNumId w:val="24"/>
  </w:num>
  <w:num w:numId="16">
    <w:abstractNumId w:val="6"/>
  </w:num>
  <w:num w:numId="17">
    <w:abstractNumId w:val="2"/>
  </w:num>
  <w:num w:numId="18">
    <w:abstractNumId w:val="3"/>
  </w:num>
  <w:num w:numId="19">
    <w:abstractNumId w:val="17"/>
  </w:num>
  <w:num w:numId="20">
    <w:abstractNumId w:val="25"/>
  </w:num>
  <w:num w:numId="21">
    <w:abstractNumId w:val="19"/>
  </w:num>
  <w:num w:numId="22">
    <w:abstractNumId w:val="10"/>
  </w:num>
  <w:num w:numId="23">
    <w:abstractNumId w:val="27"/>
  </w:num>
  <w:num w:numId="24">
    <w:abstractNumId w:val="8"/>
  </w:num>
  <w:num w:numId="25">
    <w:abstractNumId w:val="4"/>
  </w:num>
  <w:num w:numId="26">
    <w:abstractNumId w:val="23"/>
  </w:num>
  <w:num w:numId="27">
    <w:abstractNumId w:val="20"/>
  </w:num>
  <w:num w:numId="28">
    <w:abstractNumId w:val="1"/>
  </w:num>
  <w:num w:numId="29">
    <w:abstractNumId w:val="1"/>
  </w:num>
  <w:num w:numId="30">
    <w:abstractNumId w:val="5"/>
  </w:num>
  <w:num w:numId="31">
    <w:abstractNumId w:val="16"/>
  </w:num>
  <w:num w:numId="32">
    <w:abstractNumId w:val="22"/>
  </w:num>
  <w:num w:numId="33">
    <w:abstractNumId w:val="18"/>
  </w:num>
  <w:num w:numId="34">
    <w:abstractNumId w:val="12"/>
  </w:num>
  <w:num w:numId="35">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058"/>
    <w:rsid w:val="000009DA"/>
    <w:rsid w:val="00001B12"/>
    <w:rsid w:val="00001F86"/>
    <w:rsid w:val="0000361F"/>
    <w:rsid w:val="0000386D"/>
    <w:rsid w:val="00003DCE"/>
    <w:rsid w:val="00004027"/>
    <w:rsid w:val="0000571D"/>
    <w:rsid w:val="00005CBE"/>
    <w:rsid w:val="00006F0B"/>
    <w:rsid w:val="00007DCC"/>
    <w:rsid w:val="00007DF0"/>
    <w:rsid w:val="00010B46"/>
    <w:rsid w:val="00010FC1"/>
    <w:rsid w:val="00011761"/>
    <w:rsid w:val="00011FB7"/>
    <w:rsid w:val="00012B84"/>
    <w:rsid w:val="00012C8C"/>
    <w:rsid w:val="0001328C"/>
    <w:rsid w:val="000136E0"/>
    <w:rsid w:val="0001383A"/>
    <w:rsid w:val="00013F7F"/>
    <w:rsid w:val="00014A6E"/>
    <w:rsid w:val="00014CDF"/>
    <w:rsid w:val="00015148"/>
    <w:rsid w:val="00015E04"/>
    <w:rsid w:val="00016409"/>
    <w:rsid w:val="000164C2"/>
    <w:rsid w:val="00016C35"/>
    <w:rsid w:val="00017479"/>
    <w:rsid w:val="000204E4"/>
    <w:rsid w:val="00020648"/>
    <w:rsid w:val="00020A05"/>
    <w:rsid w:val="00020C70"/>
    <w:rsid w:val="000211B4"/>
    <w:rsid w:val="000221C8"/>
    <w:rsid w:val="00022520"/>
    <w:rsid w:val="0002388B"/>
    <w:rsid w:val="00023AB3"/>
    <w:rsid w:val="00023B9A"/>
    <w:rsid w:val="00024164"/>
    <w:rsid w:val="0002478D"/>
    <w:rsid w:val="000265F8"/>
    <w:rsid w:val="000268BE"/>
    <w:rsid w:val="00026906"/>
    <w:rsid w:val="00026EAE"/>
    <w:rsid w:val="000272B2"/>
    <w:rsid w:val="000273C2"/>
    <w:rsid w:val="000279DC"/>
    <w:rsid w:val="000303DB"/>
    <w:rsid w:val="000307D8"/>
    <w:rsid w:val="00030FB2"/>
    <w:rsid w:val="00031D6A"/>
    <w:rsid w:val="000324E2"/>
    <w:rsid w:val="000331EE"/>
    <w:rsid w:val="000336FA"/>
    <w:rsid w:val="00033E49"/>
    <w:rsid w:val="00033EE7"/>
    <w:rsid w:val="00034CED"/>
    <w:rsid w:val="00034E9D"/>
    <w:rsid w:val="00037932"/>
    <w:rsid w:val="00037EE8"/>
    <w:rsid w:val="000401E3"/>
    <w:rsid w:val="000404C0"/>
    <w:rsid w:val="00041722"/>
    <w:rsid w:val="0004315C"/>
    <w:rsid w:val="00043FD4"/>
    <w:rsid w:val="000441D3"/>
    <w:rsid w:val="00044992"/>
    <w:rsid w:val="00045D57"/>
    <w:rsid w:val="00045E64"/>
    <w:rsid w:val="00046C71"/>
    <w:rsid w:val="0004712A"/>
    <w:rsid w:val="00047A2D"/>
    <w:rsid w:val="00050367"/>
    <w:rsid w:val="00050B0E"/>
    <w:rsid w:val="00051472"/>
    <w:rsid w:val="00051C10"/>
    <w:rsid w:val="00051F4B"/>
    <w:rsid w:val="00053387"/>
    <w:rsid w:val="00054387"/>
    <w:rsid w:val="0005483E"/>
    <w:rsid w:val="000557A2"/>
    <w:rsid w:val="000562DD"/>
    <w:rsid w:val="00056F49"/>
    <w:rsid w:val="0005761E"/>
    <w:rsid w:val="0005796F"/>
    <w:rsid w:val="00057BF8"/>
    <w:rsid w:val="00057DD9"/>
    <w:rsid w:val="00057DE3"/>
    <w:rsid w:val="00060110"/>
    <w:rsid w:val="000610A4"/>
    <w:rsid w:val="00062768"/>
    <w:rsid w:val="00062D58"/>
    <w:rsid w:val="00063BC2"/>
    <w:rsid w:val="00063D79"/>
    <w:rsid w:val="00063E2C"/>
    <w:rsid w:val="000645F3"/>
    <w:rsid w:val="0006584E"/>
    <w:rsid w:val="00065EA0"/>
    <w:rsid w:val="000662CD"/>
    <w:rsid w:val="00066C49"/>
    <w:rsid w:val="00066D2B"/>
    <w:rsid w:val="000707ED"/>
    <w:rsid w:val="00071A13"/>
    <w:rsid w:val="000727CA"/>
    <w:rsid w:val="00073335"/>
    <w:rsid w:val="000743F6"/>
    <w:rsid w:val="00074A60"/>
    <w:rsid w:val="000764A4"/>
    <w:rsid w:val="00076D15"/>
    <w:rsid w:val="000771BE"/>
    <w:rsid w:val="0007791B"/>
    <w:rsid w:val="00077A80"/>
    <w:rsid w:val="0008013F"/>
    <w:rsid w:val="0008091E"/>
    <w:rsid w:val="00082398"/>
    <w:rsid w:val="0008278D"/>
    <w:rsid w:val="00082E7E"/>
    <w:rsid w:val="000832EF"/>
    <w:rsid w:val="00083FED"/>
    <w:rsid w:val="00084EDC"/>
    <w:rsid w:val="00084EFD"/>
    <w:rsid w:val="00084F93"/>
    <w:rsid w:val="0008508D"/>
    <w:rsid w:val="00085850"/>
    <w:rsid w:val="000858CD"/>
    <w:rsid w:val="000874CC"/>
    <w:rsid w:val="000911D9"/>
    <w:rsid w:val="000918AC"/>
    <w:rsid w:val="00091C9C"/>
    <w:rsid w:val="00093AE0"/>
    <w:rsid w:val="00093FD6"/>
    <w:rsid w:val="00094103"/>
    <w:rsid w:val="0009478A"/>
    <w:rsid w:val="00095954"/>
    <w:rsid w:val="00095C26"/>
    <w:rsid w:val="00096A53"/>
    <w:rsid w:val="00096BCC"/>
    <w:rsid w:val="00096E10"/>
    <w:rsid w:val="000977FE"/>
    <w:rsid w:val="00097A81"/>
    <w:rsid w:val="00097C13"/>
    <w:rsid w:val="000A005A"/>
    <w:rsid w:val="000A01A6"/>
    <w:rsid w:val="000A0275"/>
    <w:rsid w:val="000A0E8B"/>
    <w:rsid w:val="000A1C20"/>
    <w:rsid w:val="000A263D"/>
    <w:rsid w:val="000A2A6D"/>
    <w:rsid w:val="000A36A5"/>
    <w:rsid w:val="000A3D88"/>
    <w:rsid w:val="000A4184"/>
    <w:rsid w:val="000A43E5"/>
    <w:rsid w:val="000A4469"/>
    <w:rsid w:val="000A5087"/>
    <w:rsid w:val="000A5124"/>
    <w:rsid w:val="000A5BAE"/>
    <w:rsid w:val="000A626B"/>
    <w:rsid w:val="000A7FCE"/>
    <w:rsid w:val="000B035F"/>
    <w:rsid w:val="000B059E"/>
    <w:rsid w:val="000B0E8F"/>
    <w:rsid w:val="000B1ED3"/>
    <w:rsid w:val="000B21A4"/>
    <w:rsid w:val="000B2536"/>
    <w:rsid w:val="000B2BB9"/>
    <w:rsid w:val="000B2C65"/>
    <w:rsid w:val="000B2F0D"/>
    <w:rsid w:val="000B31CA"/>
    <w:rsid w:val="000B52E7"/>
    <w:rsid w:val="000B5373"/>
    <w:rsid w:val="000B5639"/>
    <w:rsid w:val="000B64B8"/>
    <w:rsid w:val="000B6751"/>
    <w:rsid w:val="000B6A97"/>
    <w:rsid w:val="000B6F92"/>
    <w:rsid w:val="000B70AB"/>
    <w:rsid w:val="000B7211"/>
    <w:rsid w:val="000C080D"/>
    <w:rsid w:val="000C0926"/>
    <w:rsid w:val="000C15E5"/>
    <w:rsid w:val="000C1946"/>
    <w:rsid w:val="000C1EE9"/>
    <w:rsid w:val="000C2A7E"/>
    <w:rsid w:val="000C6530"/>
    <w:rsid w:val="000C65CE"/>
    <w:rsid w:val="000C6D08"/>
    <w:rsid w:val="000C6F2E"/>
    <w:rsid w:val="000C7E7F"/>
    <w:rsid w:val="000D0254"/>
    <w:rsid w:val="000D02D7"/>
    <w:rsid w:val="000D0496"/>
    <w:rsid w:val="000D25B3"/>
    <w:rsid w:val="000D2827"/>
    <w:rsid w:val="000D3004"/>
    <w:rsid w:val="000D3238"/>
    <w:rsid w:val="000D3BED"/>
    <w:rsid w:val="000D4622"/>
    <w:rsid w:val="000D4A8A"/>
    <w:rsid w:val="000D5F95"/>
    <w:rsid w:val="000D67D3"/>
    <w:rsid w:val="000D6AE0"/>
    <w:rsid w:val="000D6B7B"/>
    <w:rsid w:val="000D6F37"/>
    <w:rsid w:val="000E0460"/>
    <w:rsid w:val="000E0620"/>
    <w:rsid w:val="000E0728"/>
    <w:rsid w:val="000E09B0"/>
    <w:rsid w:val="000E1E1D"/>
    <w:rsid w:val="000E2133"/>
    <w:rsid w:val="000E2B98"/>
    <w:rsid w:val="000E3058"/>
    <w:rsid w:val="000E3258"/>
    <w:rsid w:val="000E3299"/>
    <w:rsid w:val="000E4CDE"/>
    <w:rsid w:val="000E6F62"/>
    <w:rsid w:val="000E7DB3"/>
    <w:rsid w:val="000F0315"/>
    <w:rsid w:val="000F0945"/>
    <w:rsid w:val="000F0DC5"/>
    <w:rsid w:val="000F0E1D"/>
    <w:rsid w:val="000F10D1"/>
    <w:rsid w:val="000F1763"/>
    <w:rsid w:val="000F1F97"/>
    <w:rsid w:val="000F21F3"/>
    <w:rsid w:val="000F305F"/>
    <w:rsid w:val="000F33C4"/>
    <w:rsid w:val="000F3EA2"/>
    <w:rsid w:val="000F4338"/>
    <w:rsid w:val="000F4D26"/>
    <w:rsid w:val="000F51AE"/>
    <w:rsid w:val="000F636D"/>
    <w:rsid w:val="000F63A2"/>
    <w:rsid w:val="000F6477"/>
    <w:rsid w:val="000F70E9"/>
    <w:rsid w:val="000F7A2C"/>
    <w:rsid w:val="00100362"/>
    <w:rsid w:val="00100569"/>
    <w:rsid w:val="001005AB"/>
    <w:rsid w:val="00100D6C"/>
    <w:rsid w:val="00101EF3"/>
    <w:rsid w:val="00102DB5"/>
    <w:rsid w:val="00103581"/>
    <w:rsid w:val="00103818"/>
    <w:rsid w:val="00103E11"/>
    <w:rsid w:val="001041DA"/>
    <w:rsid w:val="00104A5F"/>
    <w:rsid w:val="00106987"/>
    <w:rsid w:val="00106CBC"/>
    <w:rsid w:val="00106D4F"/>
    <w:rsid w:val="001071BA"/>
    <w:rsid w:val="00107221"/>
    <w:rsid w:val="00107580"/>
    <w:rsid w:val="00107F11"/>
    <w:rsid w:val="0011029A"/>
    <w:rsid w:val="00110841"/>
    <w:rsid w:val="00110FFA"/>
    <w:rsid w:val="00111103"/>
    <w:rsid w:val="00111BA0"/>
    <w:rsid w:val="00111E05"/>
    <w:rsid w:val="00112012"/>
    <w:rsid w:val="0011285B"/>
    <w:rsid w:val="001133EA"/>
    <w:rsid w:val="0011371D"/>
    <w:rsid w:val="0011388B"/>
    <w:rsid w:val="00113B65"/>
    <w:rsid w:val="001141DD"/>
    <w:rsid w:val="00115D99"/>
    <w:rsid w:val="00116CD6"/>
    <w:rsid w:val="00117455"/>
    <w:rsid w:val="0012037D"/>
    <w:rsid w:val="001203FB"/>
    <w:rsid w:val="00120BEE"/>
    <w:rsid w:val="00120D5E"/>
    <w:rsid w:val="00120ECB"/>
    <w:rsid w:val="00120ED1"/>
    <w:rsid w:val="0012167C"/>
    <w:rsid w:val="00121961"/>
    <w:rsid w:val="00121FA4"/>
    <w:rsid w:val="00122BA3"/>
    <w:rsid w:val="00122CB6"/>
    <w:rsid w:val="00123727"/>
    <w:rsid w:val="00123A6A"/>
    <w:rsid w:val="00123B4D"/>
    <w:rsid w:val="001243B9"/>
    <w:rsid w:val="00124542"/>
    <w:rsid w:val="001254AC"/>
    <w:rsid w:val="00125870"/>
    <w:rsid w:val="001271F7"/>
    <w:rsid w:val="0012742D"/>
    <w:rsid w:val="00127D94"/>
    <w:rsid w:val="00130900"/>
    <w:rsid w:val="00131C21"/>
    <w:rsid w:val="001336B5"/>
    <w:rsid w:val="0013381E"/>
    <w:rsid w:val="001343D2"/>
    <w:rsid w:val="00134712"/>
    <w:rsid w:val="001347CE"/>
    <w:rsid w:val="00134CAB"/>
    <w:rsid w:val="0013509E"/>
    <w:rsid w:val="00135C1C"/>
    <w:rsid w:val="00136572"/>
    <w:rsid w:val="00136B63"/>
    <w:rsid w:val="0013795E"/>
    <w:rsid w:val="00137B72"/>
    <w:rsid w:val="00140457"/>
    <w:rsid w:val="001406B1"/>
    <w:rsid w:val="00142568"/>
    <w:rsid w:val="0014438E"/>
    <w:rsid w:val="00145496"/>
    <w:rsid w:val="00146324"/>
    <w:rsid w:val="00147ABC"/>
    <w:rsid w:val="00147AD9"/>
    <w:rsid w:val="00147F0C"/>
    <w:rsid w:val="001509F8"/>
    <w:rsid w:val="00150D9D"/>
    <w:rsid w:val="00151209"/>
    <w:rsid w:val="00151884"/>
    <w:rsid w:val="00151C6E"/>
    <w:rsid w:val="00152CF2"/>
    <w:rsid w:val="00155020"/>
    <w:rsid w:val="0015512C"/>
    <w:rsid w:val="0015513E"/>
    <w:rsid w:val="001552E8"/>
    <w:rsid w:val="001556FA"/>
    <w:rsid w:val="00155C42"/>
    <w:rsid w:val="00155FDE"/>
    <w:rsid w:val="00157153"/>
    <w:rsid w:val="001571A4"/>
    <w:rsid w:val="001577C5"/>
    <w:rsid w:val="001606CF"/>
    <w:rsid w:val="00160DEC"/>
    <w:rsid w:val="001619BB"/>
    <w:rsid w:val="00161A2B"/>
    <w:rsid w:val="0016397C"/>
    <w:rsid w:val="00164C62"/>
    <w:rsid w:val="00164DBB"/>
    <w:rsid w:val="00164F64"/>
    <w:rsid w:val="001650AE"/>
    <w:rsid w:val="00166B49"/>
    <w:rsid w:val="00166E9A"/>
    <w:rsid w:val="00167820"/>
    <w:rsid w:val="001678CB"/>
    <w:rsid w:val="00167F27"/>
    <w:rsid w:val="001714E8"/>
    <w:rsid w:val="0017194A"/>
    <w:rsid w:val="00171F24"/>
    <w:rsid w:val="001731D6"/>
    <w:rsid w:val="001734B6"/>
    <w:rsid w:val="00173713"/>
    <w:rsid w:val="00173E07"/>
    <w:rsid w:val="0017477A"/>
    <w:rsid w:val="001748F6"/>
    <w:rsid w:val="001749D9"/>
    <w:rsid w:val="00174B80"/>
    <w:rsid w:val="00174D35"/>
    <w:rsid w:val="00174D7C"/>
    <w:rsid w:val="00175E88"/>
    <w:rsid w:val="00176112"/>
    <w:rsid w:val="0017636A"/>
    <w:rsid w:val="00177455"/>
    <w:rsid w:val="00177EBD"/>
    <w:rsid w:val="001803EF"/>
    <w:rsid w:val="00182564"/>
    <w:rsid w:val="00182EBC"/>
    <w:rsid w:val="00183432"/>
    <w:rsid w:val="00183450"/>
    <w:rsid w:val="00183777"/>
    <w:rsid w:val="00183C9E"/>
    <w:rsid w:val="00183CF5"/>
    <w:rsid w:val="00183FF7"/>
    <w:rsid w:val="00184072"/>
    <w:rsid w:val="00184C43"/>
    <w:rsid w:val="00184E74"/>
    <w:rsid w:val="0018542F"/>
    <w:rsid w:val="001863BB"/>
    <w:rsid w:val="00186B8B"/>
    <w:rsid w:val="00186C86"/>
    <w:rsid w:val="00186D6C"/>
    <w:rsid w:val="001875A2"/>
    <w:rsid w:val="00187641"/>
    <w:rsid w:val="00190966"/>
    <w:rsid w:val="00192390"/>
    <w:rsid w:val="00192801"/>
    <w:rsid w:val="00192AA1"/>
    <w:rsid w:val="0019308A"/>
    <w:rsid w:val="00193131"/>
    <w:rsid w:val="0019331F"/>
    <w:rsid w:val="00193D76"/>
    <w:rsid w:val="00195856"/>
    <w:rsid w:val="00195AA4"/>
    <w:rsid w:val="00196026"/>
    <w:rsid w:val="001973AD"/>
    <w:rsid w:val="0019759E"/>
    <w:rsid w:val="00197CDF"/>
    <w:rsid w:val="00197F05"/>
    <w:rsid w:val="001A1436"/>
    <w:rsid w:val="001A15C1"/>
    <w:rsid w:val="001A247B"/>
    <w:rsid w:val="001A2959"/>
    <w:rsid w:val="001A450B"/>
    <w:rsid w:val="001A48F8"/>
    <w:rsid w:val="001A4B2F"/>
    <w:rsid w:val="001A585E"/>
    <w:rsid w:val="001A720C"/>
    <w:rsid w:val="001A7920"/>
    <w:rsid w:val="001B09E0"/>
    <w:rsid w:val="001B0C21"/>
    <w:rsid w:val="001B27B3"/>
    <w:rsid w:val="001B399A"/>
    <w:rsid w:val="001B3E0B"/>
    <w:rsid w:val="001B41FF"/>
    <w:rsid w:val="001B53A0"/>
    <w:rsid w:val="001B641B"/>
    <w:rsid w:val="001B7C31"/>
    <w:rsid w:val="001B7ED7"/>
    <w:rsid w:val="001C114D"/>
    <w:rsid w:val="001C1196"/>
    <w:rsid w:val="001C1B74"/>
    <w:rsid w:val="001C2272"/>
    <w:rsid w:val="001C3074"/>
    <w:rsid w:val="001C4353"/>
    <w:rsid w:val="001C55C0"/>
    <w:rsid w:val="001C5BAF"/>
    <w:rsid w:val="001C5DCE"/>
    <w:rsid w:val="001D13D8"/>
    <w:rsid w:val="001D1B95"/>
    <w:rsid w:val="001D1ED7"/>
    <w:rsid w:val="001D2000"/>
    <w:rsid w:val="001D219C"/>
    <w:rsid w:val="001D2335"/>
    <w:rsid w:val="001D2D39"/>
    <w:rsid w:val="001D377E"/>
    <w:rsid w:val="001D4305"/>
    <w:rsid w:val="001D43C6"/>
    <w:rsid w:val="001D5173"/>
    <w:rsid w:val="001D692F"/>
    <w:rsid w:val="001D6D3D"/>
    <w:rsid w:val="001D6FA6"/>
    <w:rsid w:val="001D7A12"/>
    <w:rsid w:val="001E0E4B"/>
    <w:rsid w:val="001E1069"/>
    <w:rsid w:val="001E2A12"/>
    <w:rsid w:val="001E2BAF"/>
    <w:rsid w:val="001E2E8E"/>
    <w:rsid w:val="001E323D"/>
    <w:rsid w:val="001E3A14"/>
    <w:rsid w:val="001E3EE6"/>
    <w:rsid w:val="001E3FDE"/>
    <w:rsid w:val="001E46F6"/>
    <w:rsid w:val="001E4B6A"/>
    <w:rsid w:val="001E50CC"/>
    <w:rsid w:val="001E5555"/>
    <w:rsid w:val="001E5A7B"/>
    <w:rsid w:val="001E6227"/>
    <w:rsid w:val="001E68AC"/>
    <w:rsid w:val="001E70C3"/>
    <w:rsid w:val="001E7EFC"/>
    <w:rsid w:val="001F0295"/>
    <w:rsid w:val="001F0C25"/>
    <w:rsid w:val="001F1418"/>
    <w:rsid w:val="001F1869"/>
    <w:rsid w:val="001F2873"/>
    <w:rsid w:val="001F2D1F"/>
    <w:rsid w:val="001F3AD9"/>
    <w:rsid w:val="001F3D75"/>
    <w:rsid w:val="001F4E58"/>
    <w:rsid w:val="001F569F"/>
    <w:rsid w:val="001F590F"/>
    <w:rsid w:val="001F59DE"/>
    <w:rsid w:val="001F5C83"/>
    <w:rsid w:val="001F6FB5"/>
    <w:rsid w:val="001F72F1"/>
    <w:rsid w:val="001F7AA7"/>
    <w:rsid w:val="001F7BE7"/>
    <w:rsid w:val="001F7CE1"/>
    <w:rsid w:val="001F7E36"/>
    <w:rsid w:val="001F7F2A"/>
    <w:rsid w:val="0020021E"/>
    <w:rsid w:val="0020025B"/>
    <w:rsid w:val="00200BD5"/>
    <w:rsid w:val="002019BE"/>
    <w:rsid w:val="00201DC2"/>
    <w:rsid w:val="00202470"/>
    <w:rsid w:val="00202C82"/>
    <w:rsid w:val="00203631"/>
    <w:rsid w:val="00203DB9"/>
    <w:rsid w:val="0020422C"/>
    <w:rsid w:val="00205491"/>
    <w:rsid w:val="002059D1"/>
    <w:rsid w:val="00206165"/>
    <w:rsid w:val="0020635D"/>
    <w:rsid w:val="00206C1C"/>
    <w:rsid w:val="00206EB3"/>
    <w:rsid w:val="00207F8E"/>
    <w:rsid w:val="00210497"/>
    <w:rsid w:val="00210B00"/>
    <w:rsid w:val="00210C5A"/>
    <w:rsid w:val="00210C81"/>
    <w:rsid w:val="00211072"/>
    <w:rsid w:val="002110AD"/>
    <w:rsid w:val="002130CA"/>
    <w:rsid w:val="002146A9"/>
    <w:rsid w:val="0021549A"/>
    <w:rsid w:val="0021567C"/>
    <w:rsid w:val="00215719"/>
    <w:rsid w:val="00215CA2"/>
    <w:rsid w:val="0021725D"/>
    <w:rsid w:val="002175E0"/>
    <w:rsid w:val="002179D2"/>
    <w:rsid w:val="00217BAB"/>
    <w:rsid w:val="002200E1"/>
    <w:rsid w:val="0022023B"/>
    <w:rsid w:val="00220E70"/>
    <w:rsid w:val="00220F30"/>
    <w:rsid w:val="002215A7"/>
    <w:rsid w:val="00221B3D"/>
    <w:rsid w:val="00221F77"/>
    <w:rsid w:val="00222888"/>
    <w:rsid w:val="00223E23"/>
    <w:rsid w:val="0022449D"/>
    <w:rsid w:val="00224ADA"/>
    <w:rsid w:val="00224D88"/>
    <w:rsid w:val="00224F61"/>
    <w:rsid w:val="0022590D"/>
    <w:rsid w:val="0022610E"/>
    <w:rsid w:val="00226EAB"/>
    <w:rsid w:val="00227325"/>
    <w:rsid w:val="00230860"/>
    <w:rsid w:val="00230DA6"/>
    <w:rsid w:val="00230E62"/>
    <w:rsid w:val="002312E6"/>
    <w:rsid w:val="00231553"/>
    <w:rsid w:val="0023165A"/>
    <w:rsid w:val="00231F82"/>
    <w:rsid w:val="00232390"/>
    <w:rsid w:val="00232F83"/>
    <w:rsid w:val="002334A5"/>
    <w:rsid w:val="00233984"/>
    <w:rsid w:val="00233BED"/>
    <w:rsid w:val="002342A6"/>
    <w:rsid w:val="00234843"/>
    <w:rsid w:val="00234964"/>
    <w:rsid w:val="00234D0D"/>
    <w:rsid w:val="00234DEB"/>
    <w:rsid w:val="00234ED9"/>
    <w:rsid w:val="00236575"/>
    <w:rsid w:val="00236CCD"/>
    <w:rsid w:val="0023719C"/>
    <w:rsid w:val="00237DB5"/>
    <w:rsid w:val="00240D34"/>
    <w:rsid w:val="00240E49"/>
    <w:rsid w:val="00241AC4"/>
    <w:rsid w:val="0024218A"/>
    <w:rsid w:val="00242EED"/>
    <w:rsid w:val="00244C26"/>
    <w:rsid w:val="00245386"/>
    <w:rsid w:val="00245410"/>
    <w:rsid w:val="002456F9"/>
    <w:rsid w:val="00245B96"/>
    <w:rsid w:val="00246195"/>
    <w:rsid w:val="00246B7A"/>
    <w:rsid w:val="0024751A"/>
    <w:rsid w:val="002478B2"/>
    <w:rsid w:val="002479BE"/>
    <w:rsid w:val="00247D51"/>
    <w:rsid w:val="002502A4"/>
    <w:rsid w:val="00250495"/>
    <w:rsid w:val="00251712"/>
    <w:rsid w:val="00251F66"/>
    <w:rsid w:val="00252B75"/>
    <w:rsid w:val="002530C8"/>
    <w:rsid w:val="002530D5"/>
    <w:rsid w:val="00253677"/>
    <w:rsid w:val="0025443E"/>
    <w:rsid w:val="0025446E"/>
    <w:rsid w:val="00254681"/>
    <w:rsid w:val="00254C96"/>
    <w:rsid w:val="002553B8"/>
    <w:rsid w:val="002553F3"/>
    <w:rsid w:val="002555B1"/>
    <w:rsid w:val="0025572C"/>
    <w:rsid w:val="00255811"/>
    <w:rsid w:val="0025624B"/>
    <w:rsid w:val="002566E2"/>
    <w:rsid w:val="00257CCE"/>
    <w:rsid w:val="00261404"/>
    <w:rsid w:val="00261986"/>
    <w:rsid w:val="00263740"/>
    <w:rsid w:val="00263A32"/>
    <w:rsid w:val="002642E3"/>
    <w:rsid w:val="00264FCD"/>
    <w:rsid w:val="00265624"/>
    <w:rsid w:val="00265CFF"/>
    <w:rsid w:val="00265F70"/>
    <w:rsid w:val="00266843"/>
    <w:rsid w:val="0026772D"/>
    <w:rsid w:val="00267E8C"/>
    <w:rsid w:val="00270178"/>
    <w:rsid w:val="00270EF5"/>
    <w:rsid w:val="002714D4"/>
    <w:rsid w:val="00271D5D"/>
    <w:rsid w:val="00272AB0"/>
    <w:rsid w:val="00272B9C"/>
    <w:rsid w:val="00273324"/>
    <w:rsid w:val="00273662"/>
    <w:rsid w:val="00273E0A"/>
    <w:rsid w:val="0027552C"/>
    <w:rsid w:val="0027575A"/>
    <w:rsid w:val="002759EF"/>
    <w:rsid w:val="00275AF8"/>
    <w:rsid w:val="00276160"/>
    <w:rsid w:val="0027624E"/>
    <w:rsid w:val="0027639D"/>
    <w:rsid w:val="00276889"/>
    <w:rsid w:val="002771F1"/>
    <w:rsid w:val="00280149"/>
    <w:rsid w:val="00280791"/>
    <w:rsid w:val="00281B59"/>
    <w:rsid w:val="00281BF3"/>
    <w:rsid w:val="002831EB"/>
    <w:rsid w:val="00283370"/>
    <w:rsid w:val="002834AC"/>
    <w:rsid w:val="00283908"/>
    <w:rsid w:val="00283E26"/>
    <w:rsid w:val="00284EC8"/>
    <w:rsid w:val="002853AC"/>
    <w:rsid w:val="00285E30"/>
    <w:rsid w:val="00285EE9"/>
    <w:rsid w:val="002867D6"/>
    <w:rsid w:val="00286D8B"/>
    <w:rsid w:val="00287489"/>
    <w:rsid w:val="002874F9"/>
    <w:rsid w:val="00287607"/>
    <w:rsid w:val="00287EE1"/>
    <w:rsid w:val="002900FE"/>
    <w:rsid w:val="002900FF"/>
    <w:rsid w:val="00290EF6"/>
    <w:rsid w:val="002919FF"/>
    <w:rsid w:val="00291C52"/>
    <w:rsid w:val="00291F70"/>
    <w:rsid w:val="00292A8B"/>
    <w:rsid w:val="00293D87"/>
    <w:rsid w:val="00295116"/>
    <w:rsid w:val="00296ED3"/>
    <w:rsid w:val="002971C7"/>
    <w:rsid w:val="00297468"/>
    <w:rsid w:val="002976D2"/>
    <w:rsid w:val="00297C24"/>
    <w:rsid w:val="002A1019"/>
    <w:rsid w:val="002A1F32"/>
    <w:rsid w:val="002A257E"/>
    <w:rsid w:val="002A29DC"/>
    <w:rsid w:val="002A2B34"/>
    <w:rsid w:val="002A2D23"/>
    <w:rsid w:val="002A2FEC"/>
    <w:rsid w:val="002A3D77"/>
    <w:rsid w:val="002A4286"/>
    <w:rsid w:val="002A448C"/>
    <w:rsid w:val="002A449C"/>
    <w:rsid w:val="002A4789"/>
    <w:rsid w:val="002A47D0"/>
    <w:rsid w:val="002A4DCF"/>
    <w:rsid w:val="002A4F2E"/>
    <w:rsid w:val="002A5368"/>
    <w:rsid w:val="002A54F5"/>
    <w:rsid w:val="002A63BF"/>
    <w:rsid w:val="002A74B9"/>
    <w:rsid w:val="002A75CC"/>
    <w:rsid w:val="002A7732"/>
    <w:rsid w:val="002A7D53"/>
    <w:rsid w:val="002A7E33"/>
    <w:rsid w:val="002B2574"/>
    <w:rsid w:val="002B35B7"/>
    <w:rsid w:val="002B3866"/>
    <w:rsid w:val="002B3B65"/>
    <w:rsid w:val="002B458B"/>
    <w:rsid w:val="002B4DCE"/>
    <w:rsid w:val="002B53B1"/>
    <w:rsid w:val="002B54C2"/>
    <w:rsid w:val="002B5EBF"/>
    <w:rsid w:val="002B60AF"/>
    <w:rsid w:val="002B6399"/>
    <w:rsid w:val="002B65CA"/>
    <w:rsid w:val="002B6755"/>
    <w:rsid w:val="002B6FB3"/>
    <w:rsid w:val="002B78E4"/>
    <w:rsid w:val="002B7AE3"/>
    <w:rsid w:val="002B7C50"/>
    <w:rsid w:val="002C04B7"/>
    <w:rsid w:val="002C0A2B"/>
    <w:rsid w:val="002C0D0E"/>
    <w:rsid w:val="002C114B"/>
    <w:rsid w:val="002C2433"/>
    <w:rsid w:val="002C2557"/>
    <w:rsid w:val="002C36C7"/>
    <w:rsid w:val="002C3814"/>
    <w:rsid w:val="002C416F"/>
    <w:rsid w:val="002C4227"/>
    <w:rsid w:val="002C4C3B"/>
    <w:rsid w:val="002C5326"/>
    <w:rsid w:val="002C5652"/>
    <w:rsid w:val="002C58C2"/>
    <w:rsid w:val="002C5A0A"/>
    <w:rsid w:val="002C5D03"/>
    <w:rsid w:val="002C6E93"/>
    <w:rsid w:val="002D012D"/>
    <w:rsid w:val="002D1710"/>
    <w:rsid w:val="002D19A0"/>
    <w:rsid w:val="002D19F4"/>
    <w:rsid w:val="002D2B42"/>
    <w:rsid w:val="002D373D"/>
    <w:rsid w:val="002D3F7F"/>
    <w:rsid w:val="002D476F"/>
    <w:rsid w:val="002D48C9"/>
    <w:rsid w:val="002D4D54"/>
    <w:rsid w:val="002D512D"/>
    <w:rsid w:val="002D650A"/>
    <w:rsid w:val="002D7513"/>
    <w:rsid w:val="002D7519"/>
    <w:rsid w:val="002E0EFD"/>
    <w:rsid w:val="002E161A"/>
    <w:rsid w:val="002E2957"/>
    <w:rsid w:val="002E2C53"/>
    <w:rsid w:val="002E3CDC"/>
    <w:rsid w:val="002E4429"/>
    <w:rsid w:val="002E4933"/>
    <w:rsid w:val="002E4A58"/>
    <w:rsid w:val="002E56F9"/>
    <w:rsid w:val="002E62E0"/>
    <w:rsid w:val="002E70F5"/>
    <w:rsid w:val="002E76FD"/>
    <w:rsid w:val="002E7875"/>
    <w:rsid w:val="002F32FF"/>
    <w:rsid w:val="002F33C8"/>
    <w:rsid w:val="002F35B9"/>
    <w:rsid w:val="002F398D"/>
    <w:rsid w:val="002F49F0"/>
    <w:rsid w:val="002F4A6D"/>
    <w:rsid w:val="002F4BAD"/>
    <w:rsid w:val="002F50A6"/>
    <w:rsid w:val="002F51E4"/>
    <w:rsid w:val="002F5E65"/>
    <w:rsid w:val="002F64F4"/>
    <w:rsid w:val="002F70C8"/>
    <w:rsid w:val="002F7E02"/>
    <w:rsid w:val="0030098A"/>
    <w:rsid w:val="003014F4"/>
    <w:rsid w:val="00301877"/>
    <w:rsid w:val="00302975"/>
    <w:rsid w:val="00303B64"/>
    <w:rsid w:val="00303BC1"/>
    <w:rsid w:val="00303EE6"/>
    <w:rsid w:val="003044DB"/>
    <w:rsid w:val="003052F6"/>
    <w:rsid w:val="00305354"/>
    <w:rsid w:val="00305939"/>
    <w:rsid w:val="00305C44"/>
    <w:rsid w:val="00305EB4"/>
    <w:rsid w:val="00306DBB"/>
    <w:rsid w:val="00310433"/>
    <w:rsid w:val="003112E9"/>
    <w:rsid w:val="00312094"/>
    <w:rsid w:val="003120FE"/>
    <w:rsid w:val="003123F5"/>
    <w:rsid w:val="00314DAE"/>
    <w:rsid w:val="0031520E"/>
    <w:rsid w:val="00315973"/>
    <w:rsid w:val="0031661F"/>
    <w:rsid w:val="003167BD"/>
    <w:rsid w:val="00316ACF"/>
    <w:rsid w:val="00317474"/>
    <w:rsid w:val="003202FB"/>
    <w:rsid w:val="00320C96"/>
    <w:rsid w:val="00323049"/>
    <w:rsid w:val="00325283"/>
    <w:rsid w:val="00325E6E"/>
    <w:rsid w:val="003268F2"/>
    <w:rsid w:val="003269F5"/>
    <w:rsid w:val="00326CCE"/>
    <w:rsid w:val="003272D0"/>
    <w:rsid w:val="00327C42"/>
    <w:rsid w:val="00327CE5"/>
    <w:rsid w:val="00327F50"/>
    <w:rsid w:val="00327F74"/>
    <w:rsid w:val="00331BF9"/>
    <w:rsid w:val="00331C4D"/>
    <w:rsid w:val="003323A4"/>
    <w:rsid w:val="00332A84"/>
    <w:rsid w:val="003335BD"/>
    <w:rsid w:val="003340D2"/>
    <w:rsid w:val="003367F2"/>
    <w:rsid w:val="00337F56"/>
    <w:rsid w:val="0034042E"/>
    <w:rsid w:val="0034084B"/>
    <w:rsid w:val="0034121B"/>
    <w:rsid w:val="00341DBD"/>
    <w:rsid w:val="00341E14"/>
    <w:rsid w:val="00341F4C"/>
    <w:rsid w:val="00342156"/>
    <w:rsid w:val="00343493"/>
    <w:rsid w:val="00343770"/>
    <w:rsid w:val="0034534B"/>
    <w:rsid w:val="003457FA"/>
    <w:rsid w:val="0034625D"/>
    <w:rsid w:val="003474B3"/>
    <w:rsid w:val="00347A31"/>
    <w:rsid w:val="0035145B"/>
    <w:rsid w:val="00351A4C"/>
    <w:rsid w:val="003522BE"/>
    <w:rsid w:val="00352E51"/>
    <w:rsid w:val="0035407C"/>
    <w:rsid w:val="00354F47"/>
    <w:rsid w:val="0035532D"/>
    <w:rsid w:val="0035570A"/>
    <w:rsid w:val="0035579A"/>
    <w:rsid w:val="00355A95"/>
    <w:rsid w:val="00355D72"/>
    <w:rsid w:val="003562DA"/>
    <w:rsid w:val="00356585"/>
    <w:rsid w:val="00357DA9"/>
    <w:rsid w:val="00360694"/>
    <w:rsid w:val="00360B21"/>
    <w:rsid w:val="003612E1"/>
    <w:rsid w:val="00361AFA"/>
    <w:rsid w:val="00361F5F"/>
    <w:rsid w:val="0036203D"/>
    <w:rsid w:val="00362873"/>
    <w:rsid w:val="00362A22"/>
    <w:rsid w:val="00363611"/>
    <w:rsid w:val="00364CD2"/>
    <w:rsid w:val="00365E8E"/>
    <w:rsid w:val="00365E93"/>
    <w:rsid w:val="00366FB7"/>
    <w:rsid w:val="00370978"/>
    <w:rsid w:val="00370C8F"/>
    <w:rsid w:val="003714AD"/>
    <w:rsid w:val="00371B95"/>
    <w:rsid w:val="00372616"/>
    <w:rsid w:val="00372C81"/>
    <w:rsid w:val="003739CC"/>
    <w:rsid w:val="00373B21"/>
    <w:rsid w:val="00373C9F"/>
    <w:rsid w:val="00373E64"/>
    <w:rsid w:val="003748CE"/>
    <w:rsid w:val="00374A38"/>
    <w:rsid w:val="00374E70"/>
    <w:rsid w:val="00375DCF"/>
    <w:rsid w:val="00376D55"/>
    <w:rsid w:val="00376E20"/>
    <w:rsid w:val="00377796"/>
    <w:rsid w:val="00377BF5"/>
    <w:rsid w:val="003800F6"/>
    <w:rsid w:val="003826F2"/>
    <w:rsid w:val="0038345E"/>
    <w:rsid w:val="00383511"/>
    <w:rsid w:val="0038398E"/>
    <w:rsid w:val="003845DA"/>
    <w:rsid w:val="00384A2F"/>
    <w:rsid w:val="00386782"/>
    <w:rsid w:val="00387480"/>
    <w:rsid w:val="0038785A"/>
    <w:rsid w:val="003904EE"/>
    <w:rsid w:val="00390CCC"/>
    <w:rsid w:val="003913BD"/>
    <w:rsid w:val="00392B84"/>
    <w:rsid w:val="00393579"/>
    <w:rsid w:val="00393807"/>
    <w:rsid w:val="00393B31"/>
    <w:rsid w:val="00394056"/>
    <w:rsid w:val="00394242"/>
    <w:rsid w:val="003950C8"/>
    <w:rsid w:val="00395199"/>
    <w:rsid w:val="003953F0"/>
    <w:rsid w:val="0039553E"/>
    <w:rsid w:val="00395592"/>
    <w:rsid w:val="003960B8"/>
    <w:rsid w:val="00396375"/>
    <w:rsid w:val="0039671B"/>
    <w:rsid w:val="0039673A"/>
    <w:rsid w:val="00396A5C"/>
    <w:rsid w:val="00396CA1"/>
    <w:rsid w:val="00397140"/>
    <w:rsid w:val="003A06F9"/>
    <w:rsid w:val="003A0BB4"/>
    <w:rsid w:val="003A28DC"/>
    <w:rsid w:val="003A2988"/>
    <w:rsid w:val="003A2D22"/>
    <w:rsid w:val="003A2E32"/>
    <w:rsid w:val="003A2E5D"/>
    <w:rsid w:val="003A39EE"/>
    <w:rsid w:val="003A47FA"/>
    <w:rsid w:val="003A483F"/>
    <w:rsid w:val="003A498A"/>
    <w:rsid w:val="003A4F1F"/>
    <w:rsid w:val="003A58E9"/>
    <w:rsid w:val="003A7BD9"/>
    <w:rsid w:val="003B01E3"/>
    <w:rsid w:val="003B0AD2"/>
    <w:rsid w:val="003B143A"/>
    <w:rsid w:val="003B1535"/>
    <w:rsid w:val="003B2598"/>
    <w:rsid w:val="003B30A2"/>
    <w:rsid w:val="003B3CCC"/>
    <w:rsid w:val="003B41A5"/>
    <w:rsid w:val="003B50B9"/>
    <w:rsid w:val="003B5436"/>
    <w:rsid w:val="003B59C6"/>
    <w:rsid w:val="003B60DD"/>
    <w:rsid w:val="003B60FC"/>
    <w:rsid w:val="003B656F"/>
    <w:rsid w:val="003B675F"/>
    <w:rsid w:val="003B6CDD"/>
    <w:rsid w:val="003C06F9"/>
    <w:rsid w:val="003C0DE2"/>
    <w:rsid w:val="003C0E92"/>
    <w:rsid w:val="003C1D51"/>
    <w:rsid w:val="003C1F89"/>
    <w:rsid w:val="003C2110"/>
    <w:rsid w:val="003C2F23"/>
    <w:rsid w:val="003C3A01"/>
    <w:rsid w:val="003C3FAA"/>
    <w:rsid w:val="003C6645"/>
    <w:rsid w:val="003C6CF6"/>
    <w:rsid w:val="003C6D29"/>
    <w:rsid w:val="003D0CD2"/>
    <w:rsid w:val="003D0F6E"/>
    <w:rsid w:val="003D150C"/>
    <w:rsid w:val="003D1BC2"/>
    <w:rsid w:val="003D1EB2"/>
    <w:rsid w:val="003D203A"/>
    <w:rsid w:val="003D21D6"/>
    <w:rsid w:val="003D225D"/>
    <w:rsid w:val="003D2B5A"/>
    <w:rsid w:val="003D39F2"/>
    <w:rsid w:val="003D462A"/>
    <w:rsid w:val="003D46AC"/>
    <w:rsid w:val="003D484B"/>
    <w:rsid w:val="003D4949"/>
    <w:rsid w:val="003D5A19"/>
    <w:rsid w:val="003D5BBA"/>
    <w:rsid w:val="003D696B"/>
    <w:rsid w:val="003D76A5"/>
    <w:rsid w:val="003D781A"/>
    <w:rsid w:val="003D7B5D"/>
    <w:rsid w:val="003D7EC3"/>
    <w:rsid w:val="003E0026"/>
    <w:rsid w:val="003E095E"/>
    <w:rsid w:val="003E129C"/>
    <w:rsid w:val="003E174D"/>
    <w:rsid w:val="003E28B0"/>
    <w:rsid w:val="003E3492"/>
    <w:rsid w:val="003E3975"/>
    <w:rsid w:val="003E3F72"/>
    <w:rsid w:val="003E3FC0"/>
    <w:rsid w:val="003E4284"/>
    <w:rsid w:val="003E4413"/>
    <w:rsid w:val="003E54F3"/>
    <w:rsid w:val="003E6117"/>
    <w:rsid w:val="003E794C"/>
    <w:rsid w:val="003F05C8"/>
    <w:rsid w:val="003F094F"/>
    <w:rsid w:val="003F23A7"/>
    <w:rsid w:val="003F2502"/>
    <w:rsid w:val="003F2BD8"/>
    <w:rsid w:val="003F313D"/>
    <w:rsid w:val="003F3379"/>
    <w:rsid w:val="003F39DE"/>
    <w:rsid w:val="003F3D34"/>
    <w:rsid w:val="003F3D57"/>
    <w:rsid w:val="003F4067"/>
    <w:rsid w:val="003F4840"/>
    <w:rsid w:val="003F4B31"/>
    <w:rsid w:val="003F4CF2"/>
    <w:rsid w:val="003F5274"/>
    <w:rsid w:val="003F59C1"/>
    <w:rsid w:val="003F6BDE"/>
    <w:rsid w:val="003F6D32"/>
    <w:rsid w:val="003F766B"/>
    <w:rsid w:val="003F7FF3"/>
    <w:rsid w:val="0040080C"/>
    <w:rsid w:val="00400C3F"/>
    <w:rsid w:val="00400DB8"/>
    <w:rsid w:val="00400DC5"/>
    <w:rsid w:val="00401057"/>
    <w:rsid w:val="00401505"/>
    <w:rsid w:val="00402955"/>
    <w:rsid w:val="004036F9"/>
    <w:rsid w:val="00403773"/>
    <w:rsid w:val="00403775"/>
    <w:rsid w:val="00404434"/>
    <w:rsid w:val="00404CC8"/>
    <w:rsid w:val="0040537C"/>
    <w:rsid w:val="00406540"/>
    <w:rsid w:val="00406FD5"/>
    <w:rsid w:val="00407364"/>
    <w:rsid w:val="004076D4"/>
    <w:rsid w:val="00407A38"/>
    <w:rsid w:val="00410A16"/>
    <w:rsid w:val="00410A78"/>
    <w:rsid w:val="00410C80"/>
    <w:rsid w:val="00410DC1"/>
    <w:rsid w:val="0041145C"/>
    <w:rsid w:val="00411E2C"/>
    <w:rsid w:val="00411F5F"/>
    <w:rsid w:val="00412332"/>
    <w:rsid w:val="004131FD"/>
    <w:rsid w:val="00413697"/>
    <w:rsid w:val="00413DD8"/>
    <w:rsid w:val="004149D3"/>
    <w:rsid w:val="004156F7"/>
    <w:rsid w:val="00415954"/>
    <w:rsid w:val="00416ECC"/>
    <w:rsid w:val="004173D0"/>
    <w:rsid w:val="004176BF"/>
    <w:rsid w:val="00417B6C"/>
    <w:rsid w:val="00417C68"/>
    <w:rsid w:val="00417E96"/>
    <w:rsid w:val="0042026A"/>
    <w:rsid w:val="004203C0"/>
    <w:rsid w:val="00420AC1"/>
    <w:rsid w:val="004210C2"/>
    <w:rsid w:val="00421114"/>
    <w:rsid w:val="00422179"/>
    <w:rsid w:val="00422D07"/>
    <w:rsid w:val="004238B0"/>
    <w:rsid w:val="00423D5C"/>
    <w:rsid w:val="00423FE4"/>
    <w:rsid w:val="0042424C"/>
    <w:rsid w:val="00424274"/>
    <w:rsid w:val="00424A7E"/>
    <w:rsid w:val="0042502E"/>
    <w:rsid w:val="004255B0"/>
    <w:rsid w:val="0042591A"/>
    <w:rsid w:val="00425ADB"/>
    <w:rsid w:val="0042613F"/>
    <w:rsid w:val="0042770D"/>
    <w:rsid w:val="004301D0"/>
    <w:rsid w:val="004302B0"/>
    <w:rsid w:val="0043046A"/>
    <w:rsid w:val="0043115A"/>
    <w:rsid w:val="00431245"/>
    <w:rsid w:val="0043124F"/>
    <w:rsid w:val="00431B3C"/>
    <w:rsid w:val="0043252A"/>
    <w:rsid w:val="004329F8"/>
    <w:rsid w:val="00432C50"/>
    <w:rsid w:val="00433F76"/>
    <w:rsid w:val="00434905"/>
    <w:rsid w:val="004352D3"/>
    <w:rsid w:val="00435608"/>
    <w:rsid w:val="00435C84"/>
    <w:rsid w:val="0043687A"/>
    <w:rsid w:val="004368E7"/>
    <w:rsid w:val="00436A16"/>
    <w:rsid w:val="00436D12"/>
    <w:rsid w:val="00436D4D"/>
    <w:rsid w:val="00437268"/>
    <w:rsid w:val="00437E89"/>
    <w:rsid w:val="00437F60"/>
    <w:rsid w:val="004401AC"/>
    <w:rsid w:val="004402B3"/>
    <w:rsid w:val="00440360"/>
    <w:rsid w:val="004408C9"/>
    <w:rsid w:val="00440EC1"/>
    <w:rsid w:val="004412D9"/>
    <w:rsid w:val="00441C3F"/>
    <w:rsid w:val="00443184"/>
    <w:rsid w:val="00444441"/>
    <w:rsid w:val="004444DB"/>
    <w:rsid w:val="004445DD"/>
    <w:rsid w:val="00444E68"/>
    <w:rsid w:val="004450A3"/>
    <w:rsid w:val="004460F2"/>
    <w:rsid w:val="004468B0"/>
    <w:rsid w:val="00446A4A"/>
    <w:rsid w:val="0044776A"/>
    <w:rsid w:val="00447E8C"/>
    <w:rsid w:val="004508D3"/>
    <w:rsid w:val="00450BB2"/>
    <w:rsid w:val="00450FE6"/>
    <w:rsid w:val="00451BA1"/>
    <w:rsid w:val="00451D7B"/>
    <w:rsid w:val="00451F4E"/>
    <w:rsid w:val="00452142"/>
    <w:rsid w:val="00452895"/>
    <w:rsid w:val="00452970"/>
    <w:rsid w:val="004540ED"/>
    <w:rsid w:val="004541CB"/>
    <w:rsid w:val="004550C3"/>
    <w:rsid w:val="0045665B"/>
    <w:rsid w:val="0045666A"/>
    <w:rsid w:val="00456876"/>
    <w:rsid w:val="0045695C"/>
    <w:rsid w:val="0045773A"/>
    <w:rsid w:val="00461963"/>
    <w:rsid w:val="00461A0B"/>
    <w:rsid w:val="00461CC1"/>
    <w:rsid w:val="00461DCB"/>
    <w:rsid w:val="004627F8"/>
    <w:rsid w:val="00462D07"/>
    <w:rsid w:val="00462D23"/>
    <w:rsid w:val="004630D0"/>
    <w:rsid w:val="00463DFE"/>
    <w:rsid w:val="004658EB"/>
    <w:rsid w:val="00465A5A"/>
    <w:rsid w:val="00465CA5"/>
    <w:rsid w:val="00465CB2"/>
    <w:rsid w:val="0046766B"/>
    <w:rsid w:val="00467EF2"/>
    <w:rsid w:val="00470909"/>
    <w:rsid w:val="00471AFD"/>
    <w:rsid w:val="00472295"/>
    <w:rsid w:val="004728C7"/>
    <w:rsid w:val="004728ED"/>
    <w:rsid w:val="00472BE5"/>
    <w:rsid w:val="00473124"/>
    <w:rsid w:val="00473AD2"/>
    <w:rsid w:val="00475AFD"/>
    <w:rsid w:val="004768B7"/>
    <w:rsid w:val="00476E96"/>
    <w:rsid w:val="00477859"/>
    <w:rsid w:val="00477C7F"/>
    <w:rsid w:val="0048073F"/>
    <w:rsid w:val="00480AE2"/>
    <w:rsid w:val="00481084"/>
    <w:rsid w:val="004812B7"/>
    <w:rsid w:val="00481BAF"/>
    <w:rsid w:val="00482F39"/>
    <w:rsid w:val="00483912"/>
    <w:rsid w:val="00483969"/>
    <w:rsid w:val="00483B6A"/>
    <w:rsid w:val="00483CFB"/>
    <w:rsid w:val="0048437D"/>
    <w:rsid w:val="004845A0"/>
    <w:rsid w:val="00484873"/>
    <w:rsid w:val="00486770"/>
    <w:rsid w:val="004867E3"/>
    <w:rsid w:val="0048681D"/>
    <w:rsid w:val="0048703B"/>
    <w:rsid w:val="00487171"/>
    <w:rsid w:val="004875EF"/>
    <w:rsid w:val="00487723"/>
    <w:rsid w:val="00487B07"/>
    <w:rsid w:val="00487C86"/>
    <w:rsid w:val="00487FE7"/>
    <w:rsid w:val="004906AB"/>
    <w:rsid w:val="004910D1"/>
    <w:rsid w:val="004927E2"/>
    <w:rsid w:val="00492A59"/>
    <w:rsid w:val="00492F5C"/>
    <w:rsid w:val="00494F05"/>
    <w:rsid w:val="00495659"/>
    <w:rsid w:val="004959F6"/>
    <w:rsid w:val="00497947"/>
    <w:rsid w:val="004979F7"/>
    <w:rsid w:val="00497FE9"/>
    <w:rsid w:val="004A0512"/>
    <w:rsid w:val="004A055C"/>
    <w:rsid w:val="004A06ED"/>
    <w:rsid w:val="004A0CA5"/>
    <w:rsid w:val="004A1135"/>
    <w:rsid w:val="004A12BE"/>
    <w:rsid w:val="004A16DC"/>
    <w:rsid w:val="004A1C27"/>
    <w:rsid w:val="004A1FF3"/>
    <w:rsid w:val="004A220E"/>
    <w:rsid w:val="004A23C6"/>
    <w:rsid w:val="004A2A62"/>
    <w:rsid w:val="004A2D00"/>
    <w:rsid w:val="004A3772"/>
    <w:rsid w:val="004A3BAF"/>
    <w:rsid w:val="004A46A4"/>
    <w:rsid w:val="004A4DB6"/>
    <w:rsid w:val="004A4EE9"/>
    <w:rsid w:val="004A55D7"/>
    <w:rsid w:val="004A58FC"/>
    <w:rsid w:val="004A6B16"/>
    <w:rsid w:val="004A7E50"/>
    <w:rsid w:val="004B09D0"/>
    <w:rsid w:val="004B15A2"/>
    <w:rsid w:val="004B1762"/>
    <w:rsid w:val="004B187B"/>
    <w:rsid w:val="004B208D"/>
    <w:rsid w:val="004B27B7"/>
    <w:rsid w:val="004B2FA9"/>
    <w:rsid w:val="004B2FE9"/>
    <w:rsid w:val="004B3395"/>
    <w:rsid w:val="004B36E3"/>
    <w:rsid w:val="004B3CE8"/>
    <w:rsid w:val="004B4425"/>
    <w:rsid w:val="004B454F"/>
    <w:rsid w:val="004B4564"/>
    <w:rsid w:val="004B46BF"/>
    <w:rsid w:val="004B4EB5"/>
    <w:rsid w:val="004B5195"/>
    <w:rsid w:val="004B5536"/>
    <w:rsid w:val="004B61B3"/>
    <w:rsid w:val="004B64E4"/>
    <w:rsid w:val="004B71D3"/>
    <w:rsid w:val="004B7A30"/>
    <w:rsid w:val="004C05A4"/>
    <w:rsid w:val="004C087D"/>
    <w:rsid w:val="004C10AD"/>
    <w:rsid w:val="004C177C"/>
    <w:rsid w:val="004C2B54"/>
    <w:rsid w:val="004C2BA2"/>
    <w:rsid w:val="004C300D"/>
    <w:rsid w:val="004C31BC"/>
    <w:rsid w:val="004C33F0"/>
    <w:rsid w:val="004C4123"/>
    <w:rsid w:val="004C4348"/>
    <w:rsid w:val="004C550E"/>
    <w:rsid w:val="004C5CA2"/>
    <w:rsid w:val="004C5F74"/>
    <w:rsid w:val="004C62E8"/>
    <w:rsid w:val="004C6491"/>
    <w:rsid w:val="004C6C1B"/>
    <w:rsid w:val="004C6D82"/>
    <w:rsid w:val="004C7A9F"/>
    <w:rsid w:val="004D0D5E"/>
    <w:rsid w:val="004D36BF"/>
    <w:rsid w:val="004D38B1"/>
    <w:rsid w:val="004D3B59"/>
    <w:rsid w:val="004D3DF8"/>
    <w:rsid w:val="004D5955"/>
    <w:rsid w:val="004D6EE9"/>
    <w:rsid w:val="004D754A"/>
    <w:rsid w:val="004E014D"/>
    <w:rsid w:val="004E0A9F"/>
    <w:rsid w:val="004E188E"/>
    <w:rsid w:val="004E1C63"/>
    <w:rsid w:val="004E2467"/>
    <w:rsid w:val="004E2A1E"/>
    <w:rsid w:val="004E3462"/>
    <w:rsid w:val="004E368F"/>
    <w:rsid w:val="004E3784"/>
    <w:rsid w:val="004E3A8A"/>
    <w:rsid w:val="004E3F2A"/>
    <w:rsid w:val="004E4069"/>
    <w:rsid w:val="004E5361"/>
    <w:rsid w:val="004E6166"/>
    <w:rsid w:val="004E649C"/>
    <w:rsid w:val="004E6CEC"/>
    <w:rsid w:val="004E6D61"/>
    <w:rsid w:val="004E6FF8"/>
    <w:rsid w:val="004E70C2"/>
    <w:rsid w:val="004E7B99"/>
    <w:rsid w:val="004E7BD2"/>
    <w:rsid w:val="004F1195"/>
    <w:rsid w:val="004F1481"/>
    <w:rsid w:val="004F2269"/>
    <w:rsid w:val="004F25CB"/>
    <w:rsid w:val="004F2AD3"/>
    <w:rsid w:val="004F3080"/>
    <w:rsid w:val="004F4AE0"/>
    <w:rsid w:val="004F5164"/>
    <w:rsid w:val="004F52C6"/>
    <w:rsid w:val="004F5597"/>
    <w:rsid w:val="004F5C9A"/>
    <w:rsid w:val="004F5E15"/>
    <w:rsid w:val="004F5EC5"/>
    <w:rsid w:val="004F666B"/>
    <w:rsid w:val="004F778E"/>
    <w:rsid w:val="004F7D0A"/>
    <w:rsid w:val="005006FB"/>
    <w:rsid w:val="0050149E"/>
    <w:rsid w:val="00501647"/>
    <w:rsid w:val="00501830"/>
    <w:rsid w:val="0050375E"/>
    <w:rsid w:val="0050414F"/>
    <w:rsid w:val="005055EE"/>
    <w:rsid w:val="00505D23"/>
    <w:rsid w:val="005068DB"/>
    <w:rsid w:val="00506A97"/>
    <w:rsid w:val="005075C2"/>
    <w:rsid w:val="005078CD"/>
    <w:rsid w:val="0050790E"/>
    <w:rsid w:val="005100C0"/>
    <w:rsid w:val="0051031F"/>
    <w:rsid w:val="00510358"/>
    <w:rsid w:val="00510366"/>
    <w:rsid w:val="0051056D"/>
    <w:rsid w:val="00510B14"/>
    <w:rsid w:val="0051169C"/>
    <w:rsid w:val="00512194"/>
    <w:rsid w:val="005127C4"/>
    <w:rsid w:val="00512D98"/>
    <w:rsid w:val="005131D5"/>
    <w:rsid w:val="005142A5"/>
    <w:rsid w:val="00514425"/>
    <w:rsid w:val="005145AA"/>
    <w:rsid w:val="00514E19"/>
    <w:rsid w:val="0051537E"/>
    <w:rsid w:val="005154BA"/>
    <w:rsid w:val="00515A8C"/>
    <w:rsid w:val="00515BC3"/>
    <w:rsid w:val="005167D6"/>
    <w:rsid w:val="0051684F"/>
    <w:rsid w:val="00516A75"/>
    <w:rsid w:val="00516AB0"/>
    <w:rsid w:val="00516B81"/>
    <w:rsid w:val="0051767E"/>
    <w:rsid w:val="005201BE"/>
    <w:rsid w:val="00520A35"/>
    <w:rsid w:val="005217A7"/>
    <w:rsid w:val="00521D69"/>
    <w:rsid w:val="00521FFE"/>
    <w:rsid w:val="00522C7D"/>
    <w:rsid w:val="00523C44"/>
    <w:rsid w:val="00523E39"/>
    <w:rsid w:val="005253DC"/>
    <w:rsid w:val="005257AA"/>
    <w:rsid w:val="00525FED"/>
    <w:rsid w:val="00526545"/>
    <w:rsid w:val="00526881"/>
    <w:rsid w:val="005278F3"/>
    <w:rsid w:val="00527C5A"/>
    <w:rsid w:val="005305FF"/>
    <w:rsid w:val="00530CBC"/>
    <w:rsid w:val="00530F32"/>
    <w:rsid w:val="005319EB"/>
    <w:rsid w:val="00531BE6"/>
    <w:rsid w:val="005325E7"/>
    <w:rsid w:val="0053270A"/>
    <w:rsid w:val="005331E4"/>
    <w:rsid w:val="00533A0B"/>
    <w:rsid w:val="00534130"/>
    <w:rsid w:val="00534E5F"/>
    <w:rsid w:val="00535EA8"/>
    <w:rsid w:val="00536288"/>
    <w:rsid w:val="005365A5"/>
    <w:rsid w:val="005371BD"/>
    <w:rsid w:val="00537BB1"/>
    <w:rsid w:val="0054041C"/>
    <w:rsid w:val="005407A8"/>
    <w:rsid w:val="00540B3D"/>
    <w:rsid w:val="00541CB4"/>
    <w:rsid w:val="00542181"/>
    <w:rsid w:val="00542515"/>
    <w:rsid w:val="00542738"/>
    <w:rsid w:val="00542777"/>
    <w:rsid w:val="00542B37"/>
    <w:rsid w:val="0054352F"/>
    <w:rsid w:val="005437EA"/>
    <w:rsid w:val="00544389"/>
    <w:rsid w:val="005453E6"/>
    <w:rsid w:val="00546001"/>
    <w:rsid w:val="00546E1D"/>
    <w:rsid w:val="005473D1"/>
    <w:rsid w:val="005474C7"/>
    <w:rsid w:val="0055008C"/>
    <w:rsid w:val="00550235"/>
    <w:rsid w:val="005509D2"/>
    <w:rsid w:val="00550FA7"/>
    <w:rsid w:val="00551A72"/>
    <w:rsid w:val="00552439"/>
    <w:rsid w:val="00552961"/>
    <w:rsid w:val="00552B89"/>
    <w:rsid w:val="005536B0"/>
    <w:rsid w:val="005537CE"/>
    <w:rsid w:val="00554F84"/>
    <w:rsid w:val="0055536E"/>
    <w:rsid w:val="00555AD0"/>
    <w:rsid w:val="00555DD0"/>
    <w:rsid w:val="0055660D"/>
    <w:rsid w:val="00556D59"/>
    <w:rsid w:val="00557E4F"/>
    <w:rsid w:val="00560046"/>
    <w:rsid w:val="00560294"/>
    <w:rsid w:val="005608C4"/>
    <w:rsid w:val="00560BF6"/>
    <w:rsid w:val="00560C0D"/>
    <w:rsid w:val="00560E56"/>
    <w:rsid w:val="00561108"/>
    <w:rsid w:val="00561211"/>
    <w:rsid w:val="005619A7"/>
    <w:rsid w:val="00561B30"/>
    <w:rsid w:val="00562809"/>
    <w:rsid w:val="00562B8C"/>
    <w:rsid w:val="00563163"/>
    <w:rsid w:val="0056326E"/>
    <w:rsid w:val="00563543"/>
    <w:rsid w:val="00563766"/>
    <w:rsid w:val="0056481D"/>
    <w:rsid w:val="005666B1"/>
    <w:rsid w:val="00566FE9"/>
    <w:rsid w:val="005674C4"/>
    <w:rsid w:val="00567AF7"/>
    <w:rsid w:val="00570DE5"/>
    <w:rsid w:val="00570F35"/>
    <w:rsid w:val="00571B7A"/>
    <w:rsid w:val="00571BA4"/>
    <w:rsid w:val="00572303"/>
    <w:rsid w:val="00575028"/>
    <w:rsid w:val="005754E1"/>
    <w:rsid w:val="00575C66"/>
    <w:rsid w:val="00576655"/>
    <w:rsid w:val="0057732C"/>
    <w:rsid w:val="00577760"/>
    <w:rsid w:val="005802F2"/>
    <w:rsid w:val="00581439"/>
    <w:rsid w:val="00582146"/>
    <w:rsid w:val="005823B8"/>
    <w:rsid w:val="00583E24"/>
    <w:rsid w:val="0058413A"/>
    <w:rsid w:val="00584390"/>
    <w:rsid w:val="005847A9"/>
    <w:rsid w:val="00584CEE"/>
    <w:rsid w:val="00584EAA"/>
    <w:rsid w:val="00585076"/>
    <w:rsid w:val="005851CB"/>
    <w:rsid w:val="005857CC"/>
    <w:rsid w:val="00586485"/>
    <w:rsid w:val="00586805"/>
    <w:rsid w:val="00587105"/>
    <w:rsid w:val="0058748B"/>
    <w:rsid w:val="005879AC"/>
    <w:rsid w:val="00587A3A"/>
    <w:rsid w:val="00587FAF"/>
    <w:rsid w:val="00591753"/>
    <w:rsid w:val="00592A2C"/>
    <w:rsid w:val="00593C70"/>
    <w:rsid w:val="00593D9A"/>
    <w:rsid w:val="00594027"/>
    <w:rsid w:val="005944DD"/>
    <w:rsid w:val="00595FE8"/>
    <w:rsid w:val="005971EA"/>
    <w:rsid w:val="00597EB8"/>
    <w:rsid w:val="005A09DC"/>
    <w:rsid w:val="005A0E66"/>
    <w:rsid w:val="005A108C"/>
    <w:rsid w:val="005A203D"/>
    <w:rsid w:val="005A2817"/>
    <w:rsid w:val="005A2CF0"/>
    <w:rsid w:val="005A2F32"/>
    <w:rsid w:val="005A460D"/>
    <w:rsid w:val="005A474E"/>
    <w:rsid w:val="005A4826"/>
    <w:rsid w:val="005A4A1D"/>
    <w:rsid w:val="005A55D7"/>
    <w:rsid w:val="005A59A5"/>
    <w:rsid w:val="005A6BDF"/>
    <w:rsid w:val="005A7131"/>
    <w:rsid w:val="005A740C"/>
    <w:rsid w:val="005B018B"/>
    <w:rsid w:val="005B0558"/>
    <w:rsid w:val="005B10DB"/>
    <w:rsid w:val="005B130C"/>
    <w:rsid w:val="005B14BC"/>
    <w:rsid w:val="005B1601"/>
    <w:rsid w:val="005B1B63"/>
    <w:rsid w:val="005B203A"/>
    <w:rsid w:val="005B2231"/>
    <w:rsid w:val="005B2974"/>
    <w:rsid w:val="005B37D4"/>
    <w:rsid w:val="005B4065"/>
    <w:rsid w:val="005B51FA"/>
    <w:rsid w:val="005B5ADC"/>
    <w:rsid w:val="005B5D8B"/>
    <w:rsid w:val="005B69FC"/>
    <w:rsid w:val="005B6AE0"/>
    <w:rsid w:val="005B6EEB"/>
    <w:rsid w:val="005B7E53"/>
    <w:rsid w:val="005C05B2"/>
    <w:rsid w:val="005C0931"/>
    <w:rsid w:val="005C18C9"/>
    <w:rsid w:val="005C1CD3"/>
    <w:rsid w:val="005C1DB3"/>
    <w:rsid w:val="005C2FC6"/>
    <w:rsid w:val="005C3300"/>
    <w:rsid w:val="005C3B3C"/>
    <w:rsid w:val="005C40CD"/>
    <w:rsid w:val="005C47EC"/>
    <w:rsid w:val="005C4BCD"/>
    <w:rsid w:val="005C4FC6"/>
    <w:rsid w:val="005C5BA6"/>
    <w:rsid w:val="005C5F33"/>
    <w:rsid w:val="005C7184"/>
    <w:rsid w:val="005C72EB"/>
    <w:rsid w:val="005D027B"/>
    <w:rsid w:val="005D0781"/>
    <w:rsid w:val="005D0F5C"/>
    <w:rsid w:val="005D168C"/>
    <w:rsid w:val="005D1753"/>
    <w:rsid w:val="005D1FF5"/>
    <w:rsid w:val="005D220E"/>
    <w:rsid w:val="005D2315"/>
    <w:rsid w:val="005D2BAC"/>
    <w:rsid w:val="005D43CA"/>
    <w:rsid w:val="005D47A0"/>
    <w:rsid w:val="005D48FD"/>
    <w:rsid w:val="005D5822"/>
    <w:rsid w:val="005D5C32"/>
    <w:rsid w:val="005D6088"/>
    <w:rsid w:val="005D66B0"/>
    <w:rsid w:val="005D6A53"/>
    <w:rsid w:val="005D6B11"/>
    <w:rsid w:val="005D7311"/>
    <w:rsid w:val="005D7C03"/>
    <w:rsid w:val="005E2523"/>
    <w:rsid w:val="005E2906"/>
    <w:rsid w:val="005E2B49"/>
    <w:rsid w:val="005E33CB"/>
    <w:rsid w:val="005E4C1C"/>
    <w:rsid w:val="005E53F5"/>
    <w:rsid w:val="005E55B0"/>
    <w:rsid w:val="005E5E49"/>
    <w:rsid w:val="005F0169"/>
    <w:rsid w:val="005F071D"/>
    <w:rsid w:val="005F0793"/>
    <w:rsid w:val="005F0AA1"/>
    <w:rsid w:val="005F152C"/>
    <w:rsid w:val="005F1FD3"/>
    <w:rsid w:val="005F2C1A"/>
    <w:rsid w:val="005F32DD"/>
    <w:rsid w:val="005F4176"/>
    <w:rsid w:val="005F43D7"/>
    <w:rsid w:val="005F43FE"/>
    <w:rsid w:val="005F4E6F"/>
    <w:rsid w:val="005F5B0D"/>
    <w:rsid w:val="005F5C24"/>
    <w:rsid w:val="005F5F33"/>
    <w:rsid w:val="005F6E3F"/>
    <w:rsid w:val="005F753C"/>
    <w:rsid w:val="005F7CBA"/>
    <w:rsid w:val="005F7F1E"/>
    <w:rsid w:val="006001E7"/>
    <w:rsid w:val="00600967"/>
    <w:rsid w:val="00600B46"/>
    <w:rsid w:val="006016C0"/>
    <w:rsid w:val="00601780"/>
    <w:rsid w:val="00601D33"/>
    <w:rsid w:val="00602437"/>
    <w:rsid w:val="006024A6"/>
    <w:rsid w:val="00602A4D"/>
    <w:rsid w:val="00603341"/>
    <w:rsid w:val="00603F86"/>
    <w:rsid w:val="0060527D"/>
    <w:rsid w:val="00605327"/>
    <w:rsid w:val="00605436"/>
    <w:rsid w:val="00606039"/>
    <w:rsid w:val="00606350"/>
    <w:rsid w:val="006063F2"/>
    <w:rsid w:val="006078B5"/>
    <w:rsid w:val="00607A18"/>
    <w:rsid w:val="006101A1"/>
    <w:rsid w:val="006102B7"/>
    <w:rsid w:val="00610E42"/>
    <w:rsid w:val="00611870"/>
    <w:rsid w:val="00611DBF"/>
    <w:rsid w:val="006125CC"/>
    <w:rsid w:val="006126FD"/>
    <w:rsid w:val="00613623"/>
    <w:rsid w:val="006141F2"/>
    <w:rsid w:val="0061437E"/>
    <w:rsid w:val="0061482A"/>
    <w:rsid w:val="006159FD"/>
    <w:rsid w:val="00615B22"/>
    <w:rsid w:val="00616794"/>
    <w:rsid w:val="00616856"/>
    <w:rsid w:val="00617726"/>
    <w:rsid w:val="00617DAA"/>
    <w:rsid w:val="006209A8"/>
    <w:rsid w:val="00620E25"/>
    <w:rsid w:val="0062252E"/>
    <w:rsid w:val="00622A0B"/>
    <w:rsid w:val="00622FB9"/>
    <w:rsid w:val="00623006"/>
    <w:rsid w:val="00623668"/>
    <w:rsid w:val="00623A4F"/>
    <w:rsid w:val="00623C7A"/>
    <w:rsid w:val="006242BC"/>
    <w:rsid w:val="00624653"/>
    <w:rsid w:val="006248C6"/>
    <w:rsid w:val="006267F1"/>
    <w:rsid w:val="00626E15"/>
    <w:rsid w:val="00626FAC"/>
    <w:rsid w:val="0062733F"/>
    <w:rsid w:val="006274F7"/>
    <w:rsid w:val="006279DE"/>
    <w:rsid w:val="00627AE4"/>
    <w:rsid w:val="006309F9"/>
    <w:rsid w:val="00630D4B"/>
    <w:rsid w:val="00630DAC"/>
    <w:rsid w:val="00631096"/>
    <w:rsid w:val="0063123E"/>
    <w:rsid w:val="00631F40"/>
    <w:rsid w:val="0063432F"/>
    <w:rsid w:val="00635403"/>
    <w:rsid w:val="00635DFF"/>
    <w:rsid w:val="00636585"/>
    <w:rsid w:val="006371B4"/>
    <w:rsid w:val="006405A5"/>
    <w:rsid w:val="0064086D"/>
    <w:rsid w:val="00641458"/>
    <w:rsid w:val="00641509"/>
    <w:rsid w:val="00641844"/>
    <w:rsid w:val="0064208C"/>
    <w:rsid w:val="006425D5"/>
    <w:rsid w:val="006433BA"/>
    <w:rsid w:val="00643586"/>
    <w:rsid w:val="006447CF"/>
    <w:rsid w:val="00644BC6"/>
    <w:rsid w:val="00646DE5"/>
    <w:rsid w:val="00646EC8"/>
    <w:rsid w:val="006478DB"/>
    <w:rsid w:val="00650032"/>
    <w:rsid w:val="00650132"/>
    <w:rsid w:val="0065034E"/>
    <w:rsid w:val="0065084B"/>
    <w:rsid w:val="00650B02"/>
    <w:rsid w:val="006516F3"/>
    <w:rsid w:val="00653995"/>
    <w:rsid w:val="00654118"/>
    <w:rsid w:val="00654A64"/>
    <w:rsid w:val="00654F32"/>
    <w:rsid w:val="00655009"/>
    <w:rsid w:val="006552B3"/>
    <w:rsid w:val="0065683E"/>
    <w:rsid w:val="00656D96"/>
    <w:rsid w:val="00656FBD"/>
    <w:rsid w:val="006571E6"/>
    <w:rsid w:val="006579AC"/>
    <w:rsid w:val="00657CC8"/>
    <w:rsid w:val="006607D2"/>
    <w:rsid w:val="006623BC"/>
    <w:rsid w:val="00662C39"/>
    <w:rsid w:val="00663A9F"/>
    <w:rsid w:val="00663BF3"/>
    <w:rsid w:val="00664085"/>
    <w:rsid w:val="00664A46"/>
    <w:rsid w:val="00664A85"/>
    <w:rsid w:val="00665626"/>
    <w:rsid w:val="006660C0"/>
    <w:rsid w:val="00667533"/>
    <w:rsid w:val="00667AD4"/>
    <w:rsid w:val="00670237"/>
    <w:rsid w:val="00670573"/>
    <w:rsid w:val="00670DC6"/>
    <w:rsid w:val="00670EE4"/>
    <w:rsid w:val="006718CA"/>
    <w:rsid w:val="006718E7"/>
    <w:rsid w:val="00672835"/>
    <w:rsid w:val="006729D3"/>
    <w:rsid w:val="00673BE5"/>
    <w:rsid w:val="00673D55"/>
    <w:rsid w:val="006758F2"/>
    <w:rsid w:val="00676109"/>
    <w:rsid w:val="00676201"/>
    <w:rsid w:val="0067625E"/>
    <w:rsid w:val="00676DD2"/>
    <w:rsid w:val="006822F5"/>
    <w:rsid w:val="00682E50"/>
    <w:rsid w:val="00683250"/>
    <w:rsid w:val="00683366"/>
    <w:rsid w:val="006834C9"/>
    <w:rsid w:val="0068445B"/>
    <w:rsid w:val="00685F86"/>
    <w:rsid w:val="00686F35"/>
    <w:rsid w:val="00690772"/>
    <w:rsid w:val="006909A7"/>
    <w:rsid w:val="006918D1"/>
    <w:rsid w:val="006939A6"/>
    <w:rsid w:val="006944B8"/>
    <w:rsid w:val="006954EA"/>
    <w:rsid w:val="00695822"/>
    <w:rsid w:val="00695C9A"/>
    <w:rsid w:val="006961B2"/>
    <w:rsid w:val="006967CE"/>
    <w:rsid w:val="00696B5C"/>
    <w:rsid w:val="00696DFA"/>
    <w:rsid w:val="006A0238"/>
    <w:rsid w:val="006A03CE"/>
    <w:rsid w:val="006A03D4"/>
    <w:rsid w:val="006A1020"/>
    <w:rsid w:val="006A157D"/>
    <w:rsid w:val="006A1BED"/>
    <w:rsid w:val="006A1C1E"/>
    <w:rsid w:val="006A1CAA"/>
    <w:rsid w:val="006A1DDA"/>
    <w:rsid w:val="006A264F"/>
    <w:rsid w:val="006A428B"/>
    <w:rsid w:val="006A4568"/>
    <w:rsid w:val="006A503A"/>
    <w:rsid w:val="006A5125"/>
    <w:rsid w:val="006A5864"/>
    <w:rsid w:val="006A7326"/>
    <w:rsid w:val="006A74E6"/>
    <w:rsid w:val="006A7A56"/>
    <w:rsid w:val="006B051F"/>
    <w:rsid w:val="006B09D6"/>
    <w:rsid w:val="006B0B34"/>
    <w:rsid w:val="006B1041"/>
    <w:rsid w:val="006B2536"/>
    <w:rsid w:val="006B25CA"/>
    <w:rsid w:val="006B26A1"/>
    <w:rsid w:val="006B2B9B"/>
    <w:rsid w:val="006B322F"/>
    <w:rsid w:val="006B339E"/>
    <w:rsid w:val="006B378C"/>
    <w:rsid w:val="006B4947"/>
    <w:rsid w:val="006B52EC"/>
    <w:rsid w:val="006B59A6"/>
    <w:rsid w:val="006B5DE6"/>
    <w:rsid w:val="006B6333"/>
    <w:rsid w:val="006B6841"/>
    <w:rsid w:val="006B6922"/>
    <w:rsid w:val="006B6C9D"/>
    <w:rsid w:val="006B70AB"/>
    <w:rsid w:val="006B7426"/>
    <w:rsid w:val="006C04C8"/>
    <w:rsid w:val="006C05AC"/>
    <w:rsid w:val="006C20A6"/>
    <w:rsid w:val="006C2168"/>
    <w:rsid w:val="006C2191"/>
    <w:rsid w:val="006C27BC"/>
    <w:rsid w:val="006C2C1D"/>
    <w:rsid w:val="006C3247"/>
    <w:rsid w:val="006C3B9D"/>
    <w:rsid w:val="006C52F6"/>
    <w:rsid w:val="006C582F"/>
    <w:rsid w:val="006C5863"/>
    <w:rsid w:val="006C58CF"/>
    <w:rsid w:val="006C5DA4"/>
    <w:rsid w:val="006C628C"/>
    <w:rsid w:val="006C640D"/>
    <w:rsid w:val="006C6571"/>
    <w:rsid w:val="006C65E7"/>
    <w:rsid w:val="006C799B"/>
    <w:rsid w:val="006C7C6C"/>
    <w:rsid w:val="006D0841"/>
    <w:rsid w:val="006D0D71"/>
    <w:rsid w:val="006D1CCC"/>
    <w:rsid w:val="006D20A9"/>
    <w:rsid w:val="006D2AE3"/>
    <w:rsid w:val="006D2BC8"/>
    <w:rsid w:val="006D2BE8"/>
    <w:rsid w:val="006D2D65"/>
    <w:rsid w:val="006D3093"/>
    <w:rsid w:val="006D309E"/>
    <w:rsid w:val="006D322B"/>
    <w:rsid w:val="006D3CBF"/>
    <w:rsid w:val="006D4F3C"/>
    <w:rsid w:val="006D5A5A"/>
    <w:rsid w:val="006D6437"/>
    <w:rsid w:val="006D691D"/>
    <w:rsid w:val="006D6B73"/>
    <w:rsid w:val="006D6D7D"/>
    <w:rsid w:val="006E1563"/>
    <w:rsid w:val="006E1B52"/>
    <w:rsid w:val="006E1D76"/>
    <w:rsid w:val="006E1F55"/>
    <w:rsid w:val="006E200E"/>
    <w:rsid w:val="006E359B"/>
    <w:rsid w:val="006E49B1"/>
    <w:rsid w:val="006E4BD0"/>
    <w:rsid w:val="006E4F6C"/>
    <w:rsid w:val="006E519A"/>
    <w:rsid w:val="006E545B"/>
    <w:rsid w:val="006E55FD"/>
    <w:rsid w:val="006E60D0"/>
    <w:rsid w:val="006F0507"/>
    <w:rsid w:val="006F070C"/>
    <w:rsid w:val="006F10AA"/>
    <w:rsid w:val="006F1269"/>
    <w:rsid w:val="006F13C0"/>
    <w:rsid w:val="006F26EF"/>
    <w:rsid w:val="006F285B"/>
    <w:rsid w:val="006F37F7"/>
    <w:rsid w:val="006F3DC2"/>
    <w:rsid w:val="006F48B2"/>
    <w:rsid w:val="006F4B93"/>
    <w:rsid w:val="006F4F75"/>
    <w:rsid w:val="006F63E6"/>
    <w:rsid w:val="006F64E0"/>
    <w:rsid w:val="006F6619"/>
    <w:rsid w:val="006F66A4"/>
    <w:rsid w:val="006F7084"/>
    <w:rsid w:val="006F7F0F"/>
    <w:rsid w:val="007001D3"/>
    <w:rsid w:val="00700A95"/>
    <w:rsid w:val="00700E2A"/>
    <w:rsid w:val="00701133"/>
    <w:rsid w:val="00701398"/>
    <w:rsid w:val="0070194B"/>
    <w:rsid w:val="00701F22"/>
    <w:rsid w:val="007021FD"/>
    <w:rsid w:val="00702A0F"/>
    <w:rsid w:val="00702A84"/>
    <w:rsid w:val="0070327B"/>
    <w:rsid w:val="00703418"/>
    <w:rsid w:val="00705021"/>
    <w:rsid w:val="007051A7"/>
    <w:rsid w:val="00705395"/>
    <w:rsid w:val="00705BF2"/>
    <w:rsid w:val="007068F4"/>
    <w:rsid w:val="00706CB0"/>
    <w:rsid w:val="00707460"/>
    <w:rsid w:val="00707DE2"/>
    <w:rsid w:val="00710289"/>
    <w:rsid w:val="00710372"/>
    <w:rsid w:val="007113FB"/>
    <w:rsid w:val="00712BF7"/>
    <w:rsid w:val="0071318E"/>
    <w:rsid w:val="0071395E"/>
    <w:rsid w:val="00713F38"/>
    <w:rsid w:val="007161BF"/>
    <w:rsid w:val="007176A4"/>
    <w:rsid w:val="007176DF"/>
    <w:rsid w:val="00720435"/>
    <w:rsid w:val="00720CFF"/>
    <w:rsid w:val="00720F17"/>
    <w:rsid w:val="00720FF0"/>
    <w:rsid w:val="0072178B"/>
    <w:rsid w:val="00722BF2"/>
    <w:rsid w:val="00722D84"/>
    <w:rsid w:val="00722DBA"/>
    <w:rsid w:val="00722F93"/>
    <w:rsid w:val="00722FFE"/>
    <w:rsid w:val="00723281"/>
    <w:rsid w:val="0072341B"/>
    <w:rsid w:val="007236F1"/>
    <w:rsid w:val="0072370E"/>
    <w:rsid w:val="00723C7D"/>
    <w:rsid w:val="0072433C"/>
    <w:rsid w:val="00727EFF"/>
    <w:rsid w:val="0073058A"/>
    <w:rsid w:val="00730D49"/>
    <w:rsid w:val="007315E6"/>
    <w:rsid w:val="00731DA1"/>
    <w:rsid w:val="00734670"/>
    <w:rsid w:val="00734A47"/>
    <w:rsid w:val="00734CFC"/>
    <w:rsid w:val="00734E50"/>
    <w:rsid w:val="00735A9D"/>
    <w:rsid w:val="00736857"/>
    <w:rsid w:val="00736F4F"/>
    <w:rsid w:val="00737271"/>
    <w:rsid w:val="007377F8"/>
    <w:rsid w:val="0073785C"/>
    <w:rsid w:val="00737FEB"/>
    <w:rsid w:val="00741901"/>
    <w:rsid w:val="0074252F"/>
    <w:rsid w:val="0074276D"/>
    <w:rsid w:val="00742B18"/>
    <w:rsid w:val="00742CD8"/>
    <w:rsid w:val="007431AC"/>
    <w:rsid w:val="0074322F"/>
    <w:rsid w:val="00743A51"/>
    <w:rsid w:val="00743BC5"/>
    <w:rsid w:val="00743F6E"/>
    <w:rsid w:val="007444AA"/>
    <w:rsid w:val="0074487C"/>
    <w:rsid w:val="0074501A"/>
    <w:rsid w:val="007456C6"/>
    <w:rsid w:val="0074611F"/>
    <w:rsid w:val="007469A3"/>
    <w:rsid w:val="00747996"/>
    <w:rsid w:val="00747D2C"/>
    <w:rsid w:val="00750DDF"/>
    <w:rsid w:val="00750EDB"/>
    <w:rsid w:val="0075125F"/>
    <w:rsid w:val="00752EAA"/>
    <w:rsid w:val="00753365"/>
    <w:rsid w:val="007533F6"/>
    <w:rsid w:val="00753ECC"/>
    <w:rsid w:val="00754050"/>
    <w:rsid w:val="007540DA"/>
    <w:rsid w:val="00754B06"/>
    <w:rsid w:val="0075536B"/>
    <w:rsid w:val="00755AB8"/>
    <w:rsid w:val="007563A0"/>
    <w:rsid w:val="00757D9F"/>
    <w:rsid w:val="0076009A"/>
    <w:rsid w:val="00760178"/>
    <w:rsid w:val="0076024B"/>
    <w:rsid w:val="00760F69"/>
    <w:rsid w:val="00761937"/>
    <w:rsid w:val="00761991"/>
    <w:rsid w:val="0076222E"/>
    <w:rsid w:val="00762545"/>
    <w:rsid w:val="007636CD"/>
    <w:rsid w:val="00763F40"/>
    <w:rsid w:val="00764754"/>
    <w:rsid w:val="00764FC4"/>
    <w:rsid w:val="00765274"/>
    <w:rsid w:val="00765F6D"/>
    <w:rsid w:val="00766D14"/>
    <w:rsid w:val="00767146"/>
    <w:rsid w:val="0077000B"/>
    <w:rsid w:val="00770915"/>
    <w:rsid w:val="0077123D"/>
    <w:rsid w:val="007713FB"/>
    <w:rsid w:val="00771596"/>
    <w:rsid w:val="00771C6B"/>
    <w:rsid w:val="00771DB4"/>
    <w:rsid w:val="00771E2A"/>
    <w:rsid w:val="00772EB8"/>
    <w:rsid w:val="007732A7"/>
    <w:rsid w:val="0077390C"/>
    <w:rsid w:val="0077403D"/>
    <w:rsid w:val="00774D05"/>
    <w:rsid w:val="00775C7A"/>
    <w:rsid w:val="00775DB6"/>
    <w:rsid w:val="00775FA9"/>
    <w:rsid w:val="00776532"/>
    <w:rsid w:val="00776F73"/>
    <w:rsid w:val="007779E9"/>
    <w:rsid w:val="00777B62"/>
    <w:rsid w:val="00777B9D"/>
    <w:rsid w:val="00777EE3"/>
    <w:rsid w:val="00780409"/>
    <w:rsid w:val="007806DE"/>
    <w:rsid w:val="00780822"/>
    <w:rsid w:val="00780C07"/>
    <w:rsid w:val="00781022"/>
    <w:rsid w:val="007811EA"/>
    <w:rsid w:val="00781533"/>
    <w:rsid w:val="00781658"/>
    <w:rsid w:val="00782D23"/>
    <w:rsid w:val="00783186"/>
    <w:rsid w:val="007832D6"/>
    <w:rsid w:val="00783B57"/>
    <w:rsid w:val="00783EE7"/>
    <w:rsid w:val="007850BA"/>
    <w:rsid w:val="00785742"/>
    <w:rsid w:val="00785844"/>
    <w:rsid w:val="00785F67"/>
    <w:rsid w:val="00786293"/>
    <w:rsid w:val="0079049C"/>
    <w:rsid w:val="007908B3"/>
    <w:rsid w:val="00791547"/>
    <w:rsid w:val="00791788"/>
    <w:rsid w:val="00791970"/>
    <w:rsid w:val="00793C09"/>
    <w:rsid w:val="0079471E"/>
    <w:rsid w:val="00794EA6"/>
    <w:rsid w:val="0079636E"/>
    <w:rsid w:val="00797969"/>
    <w:rsid w:val="00797E6F"/>
    <w:rsid w:val="007A0B25"/>
    <w:rsid w:val="007A0C3C"/>
    <w:rsid w:val="007A0C6A"/>
    <w:rsid w:val="007A1A54"/>
    <w:rsid w:val="007A29A5"/>
    <w:rsid w:val="007A37D9"/>
    <w:rsid w:val="007A4609"/>
    <w:rsid w:val="007A4A08"/>
    <w:rsid w:val="007A54A7"/>
    <w:rsid w:val="007A609C"/>
    <w:rsid w:val="007A61B8"/>
    <w:rsid w:val="007A6E03"/>
    <w:rsid w:val="007A73C9"/>
    <w:rsid w:val="007A767B"/>
    <w:rsid w:val="007A7DEB"/>
    <w:rsid w:val="007A7E57"/>
    <w:rsid w:val="007B2373"/>
    <w:rsid w:val="007B24A9"/>
    <w:rsid w:val="007B2AEB"/>
    <w:rsid w:val="007B2B37"/>
    <w:rsid w:val="007B3286"/>
    <w:rsid w:val="007B3324"/>
    <w:rsid w:val="007B351B"/>
    <w:rsid w:val="007B45F5"/>
    <w:rsid w:val="007B4CA7"/>
    <w:rsid w:val="007B5074"/>
    <w:rsid w:val="007B5E7B"/>
    <w:rsid w:val="007B6EAA"/>
    <w:rsid w:val="007B6ED8"/>
    <w:rsid w:val="007C041F"/>
    <w:rsid w:val="007C0612"/>
    <w:rsid w:val="007C0EFB"/>
    <w:rsid w:val="007C179E"/>
    <w:rsid w:val="007C1832"/>
    <w:rsid w:val="007C1BD7"/>
    <w:rsid w:val="007C45B8"/>
    <w:rsid w:val="007C4BCA"/>
    <w:rsid w:val="007C539A"/>
    <w:rsid w:val="007C650B"/>
    <w:rsid w:val="007C687A"/>
    <w:rsid w:val="007C6BBD"/>
    <w:rsid w:val="007C7038"/>
    <w:rsid w:val="007C7F81"/>
    <w:rsid w:val="007D079E"/>
    <w:rsid w:val="007D144B"/>
    <w:rsid w:val="007D1D91"/>
    <w:rsid w:val="007D3979"/>
    <w:rsid w:val="007D3D71"/>
    <w:rsid w:val="007D3FC6"/>
    <w:rsid w:val="007D5069"/>
    <w:rsid w:val="007D621A"/>
    <w:rsid w:val="007D64BE"/>
    <w:rsid w:val="007D66D9"/>
    <w:rsid w:val="007D6E50"/>
    <w:rsid w:val="007D72C5"/>
    <w:rsid w:val="007D79AB"/>
    <w:rsid w:val="007D7B88"/>
    <w:rsid w:val="007E0541"/>
    <w:rsid w:val="007E0543"/>
    <w:rsid w:val="007E0AF3"/>
    <w:rsid w:val="007E28BB"/>
    <w:rsid w:val="007E2E2E"/>
    <w:rsid w:val="007E2ECE"/>
    <w:rsid w:val="007E38C1"/>
    <w:rsid w:val="007E38F7"/>
    <w:rsid w:val="007E3943"/>
    <w:rsid w:val="007E3A38"/>
    <w:rsid w:val="007E3F8C"/>
    <w:rsid w:val="007E445A"/>
    <w:rsid w:val="007E5E11"/>
    <w:rsid w:val="007E5F52"/>
    <w:rsid w:val="007E5FEC"/>
    <w:rsid w:val="007E646D"/>
    <w:rsid w:val="007E68EE"/>
    <w:rsid w:val="007E6ED1"/>
    <w:rsid w:val="007E78C8"/>
    <w:rsid w:val="007F0132"/>
    <w:rsid w:val="007F09B8"/>
    <w:rsid w:val="007F0AAD"/>
    <w:rsid w:val="007F183B"/>
    <w:rsid w:val="007F1E44"/>
    <w:rsid w:val="007F41A3"/>
    <w:rsid w:val="007F4A63"/>
    <w:rsid w:val="007F4B16"/>
    <w:rsid w:val="007F52EB"/>
    <w:rsid w:val="007F60B7"/>
    <w:rsid w:val="007F6A98"/>
    <w:rsid w:val="007F6D82"/>
    <w:rsid w:val="007F72EC"/>
    <w:rsid w:val="007F7D71"/>
    <w:rsid w:val="0080049D"/>
    <w:rsid w:val="008004EA"/>
    <w:rsid w:val="0080058B"/>
    <w:rsid w:val="00800715"/>
    <w:rsid w:val="0080097C"/>
    <w:rsid w:val="00801085"/>
    <w:rsid w:val="00801382"/>
    <w:rsid w:val="00801432"/>
    <w:rsid w:val="00801481"/>
    <w:rsid w:val="008024A9"/>
    <w:rsid w:val="0080273A"/>
    <w:rsid w:val="0080296A"/>
    <w:rsid w:val="008029D8"/>
    <w:rsid w:val="00802E15"/>
    <w:rsid w:val="0080323C"/>
    <w:rsid w:val="0080329E"/>
    <w:rsid w:val="00803354"/>
    <w:rsid w:val="00803F27"/>
    <w:rsid w:val="00804DB3"/>
    <w:rsid w:val="008052AC"/>
    <w:rsid w:val="008053E2"/>
    <w:rsid w:val="00805A71"/>
    <w:rsid w:val="00805C29"/>
    <w:rsid w:val="008061FA"/>
    <w:rsid w:val="00807122"/>
    <w:rsid w:val="00807353"/>
    <w:rsid w:val="0080768A"/>
    <w:rsid w:val="00810DA8"/>
    <w:rsid w:val="00811499"/>
    <w:rsid w:val="00811C7E"/>
    <w:rsid w:val="008126B7"/>
    <w:rsid w:val="0081273E"/>
    <w:rsid w:val="0081297A"/>
    <w:rsid w:val="008129D5"/>
    <w:rsid w:val="00813030"/>
    <w:rsid w:val="00813BB9"/>
    <w:rsid w:val="00813D96"/>
    <w:rsid w:val="0081458D"/>
    <w:rsid w:val="00814A21"/>
    <w:rsid w:val="00814C46"/>
    <w:rsid w:val="0081544C"/>
    <w:rsid w:val="008158E5"/>
    <w:rsid w:val="008158FD"/>
    <w:rsid w:val="00815C41"/>
    <w:rsid w:val="00815D98"/>
    <w:rsid w:val="008161B6"/>
    <w:rsid w:val="008171BF"/>
    <w:rsid w:val="00817B94"/>
    <w:rsid w:val="00821648"/>
    <w:rsid w:val="00821C5C"/>
    <w:rsid w:val="00822603"/>
    <w:rsid w:val="008227D6"/>
    <w:rsid w:val="00822FBB"/>
    <w:rsid w:val="008231A8"/>
    <w:rsid w:val="00823B78"/>
    <w:rsid w:val="00823C56"/>
    <w:rsid w:val="0082400D"/>
    <w:rsid w:val="008257F3"/>
    <w:rsid w:val="00826E79"/>
    <w:rsid w:val="00826F1D"/>
    <w:rsid w:val="00826FCB"/>
    <w:rsid w:val="00827FB7"/>
    <w:rsid w:val="0083056E"/>
    <w:rsid w:val="00831232"/>
    <w:rsid w:val="0083174E"/>
    <w:rsid w:val="00831884"/>
    <w:rsid w:val="00832831"/>
    <w:rsid w:val="008329E7"/>
    <w:rsid w:val="00832CC2"/>
    <w:rsid w:val="00833015"/>
    <w:rsid w:val="00833289"/>
    <w:rsid w:val="008333C1"/>
    <w:rsid w:val="00833C2D"/>
    <w:rsid w:val="008345A8"/>
    <w:rsid w:val="00834E61"/>
    <w:rsid w:val="00834EFF"/>
    <w:rsid w:val="00835005"/>
    <w:rsid w:val="00835478"/>
    <w:rsid w:val="00836038"/>
    <w:rsid w:val="0083605E"/>
    <w:rsid w:val="00836189"/>
    <w:rsid w:val="008361C7"/>
    <w:rsid w:val="00836283"/>
    <w:rsid w:val="00836367"/>
    <w:rsid w:val="00836598"/>
    <w:rsid w:val="00836968"/>
    <w:rsid w:val="00836BD5"/>
    <w:rsid w:val="00836E52"/>
    <w:rsid w:val="00837743"/>
    <w:rsid w:val="008378B3"/>
    <w:rsid w:val="00837924"/>
    <w:rsid w:val="00837E8B"/>
    <w:rsid w:val="00840966"/>
    <w:rsid w:val="00840B37"/>
    <w:rsid w:val="00840C54"/>
    <w:rsid w:val="00840FE6"/>
    <w:rsid w:val="008427B3"/>
    <w:rsid w:val="008436B7"/>
    <w:rsid w:val="00843C79"/>
    <w:rsid w:val="00844AD8"/>
    <w:rsid w:val="00845346"/>
    <w:rsid w:val="0084581A"/>
    <w:rsid w:val="0084591B"/>
    <w:rsid w:val="008460F9"/>
    <w:rsid w:val="00846D2D"/>
    <w:rsid w:val="00847332"/>
    <w:rsid w:val="00847CC6"/>
    <w:rsid w:val="00850016"/>
    <w:rsid w:val="00850496"/>
    <w:rsid w:val="008514B5"/>
    <w:rsid w:val="00851C49"/>
    <w:rsid w:val="00852045"/>
    <w:rsid w:val="008520C1"/>
    <w:rsid w:val="0085239B"/>
    <w:rsid w:val="0085263A"/>
    <w:rsid w:val="008526B5"/>
    <w:rsid w:val="00852E54"/>
    <w:rsid w:val="008535B8"/>
    <w:rsid w:val="00853955"/>
    <w:rsid w:val="00853EDB"/>
    <w:rsid w:val="008548FA"/>
    <w:rsid w:val="00854CF3"/>
    <w:rsid w:val="008558E0"/>
    <w:rsid w:val="00856067"/>
    <w:rsid w:val="00856A5D"/>
    <w:rsid w:val="00856B2D"/>
    <w:rsid w:val="00856DE7"/>
    <w:rsid w:val="008572B3"/>
    <w:rsid w:val="0085778E"/>
    <w:rsid w:val="008610EF"/>
    <w:rsid w:val="00862439"/>
    <w:rsid w:val="0086294D"/>
    <w:rsid w:val="0086355E"/>
    <w:rsid w:val="008637AE"/>
    <w:rsid w:val="00863DA9"/>
    <w:rsid w:val="00865DEA"/>
    <w:rsid w:val="00866E1A"/>
    <w:rsid w:val="00867324"/>
    <w:rsid w:val="0086756A"/>
    <w:rsid w:val="00867A51"/>
    <w:rsid w:val="00867D16"/>
    <w:rsid w:val="00870053"/>
    <w:rsid w:val="00870427"/>
    <w:rsid w:val="008707B1"/>
    <w:rsid w:val="0087088B"/>
    <w:rsid w:val="0087126E"/>
    <w:rsid w:val="00871541"/>
    <w:rsid w:val="0087202A"/>
    <w:rsid w:val="00872375"/>
    <w:rsid w:val="00872E59"/>
    <w:rsid w:val="0087397D"/>
    <w:rsid w:val="00873AC7"/>
    <w:rsid w:val="00874D75"/>
    <w:rsid w:val="0087536E"/>
    <w:rsid w:val="008757A2"/>
    <w:rsid w:val="00875B3F"/>
    <w:rsid w:val="00876266"/>
    <w:rsid w:val="008801FA"/>
    <w:rsid w:val="008805D8"/>
    <w:rsid w:val="00880B4D"/>
    <w:rsid w:val="008815EA"/>
    <w:rsid w:val="0088179F"/>
    <w:rsid w:val="00881B82"/>
    <w:rsid w:val="0088241E"/>
    <w:rsid w:val="00883207"/>
    <w:rsid w:val="008833B4"/>
    <w:rsid w:val="0088429B"/>
    <w:rsid w:val="0088437B"/>
    <w:rsid w:val="008843C7"/>
    <w:rsid w:val="00884FF9"/>
    <w:rsid w:val="008853C4"/>
    <w:rsid w:val="00886934"/>
    <w:rsid w:val="00886C8F"/>
    <w:rsid w:val="008870ED"/>
    <w:rsid w:val="00887792"/>
    <w:rsid w:val="00887B3C"/>
    <w:rsid w:val="00890018"/>
    <w:rsid w:val="00890953"/>
    <w:rsid w:val="008910C4"/>
    <w:rsid w:val="0089137A"/>
    <w:rsid w:val="008919CC"/>
    <w:rsid w:val="00892392"/>
    <w:rsid w:val="0089264D"/>
    <w:rsid w:val="008929EB"/>
    <w:rsid w:val="0089313C"/>
    <w:rsid w:val="0089459A"/>
    <w:rsid w:val="00894976"/>
    <w:rsid w:val="00894B57"/>
    <w:rsid w:val="00894E7B"/>
    <w:rsid w:val="00895807"/>
    <w:rsid w:val="0089593E"/>
    <w:rsid w:val="00895EFC"/>
    <w:rsid w:val="008A0266"/>
    <w:rsid w:val="008A0819"/>
    <w:rsid w:val="008A12CB"/>
    <w:rsid w:val="008A1626"/>
    <w:rsid w:val="008A1D34"/>
    <w:rsid w:val="008A22F9"/>
    <w:rsid w:val="008A2889"/>
    <w:rsid w:val="008A3B12"/>
    <w:rsid w:val="008A4148"/>
    <w:rsid w:val="008A4E21"/>
    <w:rsid w:val="008A52A1"/>
    <w:rsid w:val="008A64E2"/>
    <w:rsid w:val="008A6A7E"/>
    <w:rsid w:val="008A73A9"/>
    <w:rsid w:val="008B3130"/>
    <w:rsid w:val="008B3DBF"/>
    <w:rsid w:val="008B45DF"/>
    <w:rsid w:val="008B5740"/>
    <w:rsid w:val="008B5DD4"/>
    <w:rsid w:val="008B5F80"/>
    <w:rsid w:val="008B7984"/>
    <w:rsid w:val="008B7B09"/>
    <w:rsid w:val="008C0127"/>
    <w:rsid w:val="008C1245"/>
    <w:rsid w:val="008C1E1C"/>
    <w:rsid w:val="008C2061"/>
    <w:rsid w:val="008C25F6"/>
    <w:rsid w:val="008C3165"/>
    <w:rsid w:val="008C34BD"/>
    <w:rsid w:val="008C3DCA"/>
    <w:rsid w:val="008C4D44"/>
    <w:rsid w:val="008C50FC"/>
    <w:rsid w:val="008C52E6"/>
    <w:rsid w:val="008C5A3A"/>
    <w:rsid w:val="008C5D4B"/>
    <w:rsid w:val="008C5E91"/>
    <w:rsid w:val="008C6213"/>
    <w:rsid w:val="008C62E5"/>
    <w:rsid w:val="008C7795"/>
    <w:rsid w:val="008C7D08"/>
    <w:rsid w:val="008D04BE"/>
    <w:rsid w:val="008D055D"/>
    <w:rsid w:val="008D1544"/>
    <w:rsid w:val="008D2145"/>
    <w:rsid w:val="008D29D0"/>
    <w:rsid w:val="008D321A"/>
    <w:rsid w:val="008D4497"/>
    <w:rsid w:val="008D5CB8"/>
    <w:rsid w:val="008D6295"/>
    <w:rsid w:val="008D74CA"/>
    <w:rsid w:val="008D77F0"/>
    <w:rsid w:val="008D7D48"/>
    <w:rsid w:val="008E0029"/>
    <w:rsid w:val="008E0478"/>
    <w:rsid w:val="008E0AE1"/>
    <w:rsid w:val="008E0B77"/>
    <w:rsid w:val="008E1B23"/>
    <w:rsid w:val="008E1F0D"/>
    <w:rsid w:val="008E2387"/>
    <w:rsid w:val="008E3498"/>
    <w:rsid w:val="008E3AE4"/>
    <w:rsid w:val="008E441E"/>
    <w:rsid w:val="008E4891"/>
    <w:rsid w:val="008E56D5"/>
    <w:rsid w:val="008E59D1"/>
    <w:rsid w:val="008E63C1"/>
    <w:rsid w:val="008E705C"/>
    <w:rsid w:val="008E77BF"/>
    <w:rsid w:val="008F0214"/>
    <w:rsid w:val="008F0335"/>
    <w:rsid w:val="008F0EC0"/>
    <w:rsid w:val="008F1BA3"/>
    <w:rsid w:val="008F1E87"/>
    <w:rsid w:val="008F3DCC"/>
    <w:rsid w:val="008F408A"/>
    <w:rsid w:val="008F43AC"/>
    <w:rsid w:val="008F4C4E"/>
    <w:rsid w:val="008F55D0"/>
    <w:rsid w:val="008F6703"/>
    <w:rsid w:val="008F698D"/>
    <w:rsid w:val="00901229"/>
    <w:rsid w:val="009015C0"/>
    <w:rsid w:val="0090168F"/>
    <w:rsid w:val="00901B88"/>
    <w:rsid w:val="00901D10"/>
    <w:rsid w:val="009028D9"/>
    <w:rsid w:val="0090379B"/>
    <w:rsid w:val="00903C3B"/>
    <w:rsid w:val="00904971"/>
    <w:rsid w:val="00905081"/>
    <w:rsid w:val="009053DC"/>
    <w:rsid w:val="00905425"/>
    <w:rsid w:val="009077BF"/>
    <w:rsid w:val="0091050C"/>
    <w:rsid w:val="00911B9A"/>
    <w:rsid w:val="00911DAC"/>
    <w:rsid w:val="009121FA"/>
    <w:rsid w:val="00912E70"/>
    <w:rsid w:val="00914124"/>
    <w:rsid w:val="009151B8"/>
    <w:rsid w:val="00915711"/>
    <w:rsid w:val="00915DFE"/>
    <w:rsid w:val="00915FE1"/>
    <w:rsid w:val="009161E2"/>
    <w:rsid w:val="0091639C"/>
    <w:rsid w:val="0091692A"/>
    <w:rsid w:val="0091694B"/>
    <w:rsid w:val="00916EFB"/>
    <w:rsid w:val="00917725"/>
    <w:rsid w:val="00917A58"/>
    <w:rsid w:val="00917FB5"/>
    <w:rsid w:val="0092002D"/>
    <w:rsid w:val="00920770"/>
    <w:rsid w:val="00920D80"/>
    <w:rsid w:val="009211B8"/>
    <w:rsid w:val="00921A0F"/>
    <w:rsid w:val="0092265A"/>
    <w:rsid w:val="00923347"/>
    <w:rsid w:val="009238EC"/>
    <w:rsid w:val="00923E78"/>
    <w:rsid w:val="00924156"/>
    <w:rsid w:val="00924558"/>
    <w:rsid w:val="009245B4"/>
    <w:rsid w:val="00924AEF"/>
    <w:rsid w:val="00924D8D"/>
    <w:rsid w:val="00924FE6"/>
    <w:rsid w:val="00925190"/>
    <w:rsid w:val="009251E7"/>
    <w:rsid w:val="009255F3"/>
    <w:rsid w:val="00925B1E"/>
    <w:rsid w:val="0092674A"/>
    <w:rsid w:val="00926F22"/>
    <w:rsid w:val="00927272"/>
    <w:rsid w:val="00930D94"/>
    <w:rsid w:val="00931043"/>
    <w:rsid w:val="009310D5"/>
    <w:rsid w:val="00931931"/>
    <w:rsid w:val="00931B2F"/>
    <w:rsid w:val="00931C1B"/>
    <w:rsid w:val="009320D3"/>
    <w:rsid w:val="009330EB"/>
    <w:rsid w:val="00934253"/>
    <w:rsid w:val="00934674"/>
    <w:rsid w:val="009360D0"/>
    <w:rsid w:val="009361C7"/>
    <w:rsid w:val="00936A69"/>
    <w:rsid w:val="00936B6D"/>
    <w:rsid w:val="00937C64"/>
    <w:rsid w:val="009400B7"/>
    <w:rsid w:val="009413D6"/>
    <w:rsid w:val="0094170E"/>
    <w:rsid w:val="0094176A"/>
    <w:rsid w:val="009417BE"/>
    <w:rsid w:val="009426E5"/>
    <w:rsid w:val="009427FE"/>
    <w:rsid w:val="00942992"/>
    <w:rsid w:val="009430CA"/>
    <w:rsid w:val="00943824"/>
    <w:rsid w:val="009442FA"/>
    <w:rsid w:val="009449BC"/>
    <w:rsid w:val="009451B2"/>
    <w:rsid w:val="00945256"/>
    <w:rsid w:val="009454CA"/>
    <w:rsid w:val="0094699F"/>
    <w:rsid w:val="009478D6"/>
    <w:rsid w:val="009478DD"/>
    <w:rsid w:val="00950455"/>
    <w:rsid w:val="009508CB"/>
    <w:rsid w:val="00951A8D"/>
    <w:rsid w:val="00951AD1"/>
    <w:rsid w:val="0095240A"/>
    <w:rsid w:val="0095394E"/>
    <w:rsid w:val="00954673"/>
    <w:rsid w:val="00954BF9"/>
    <w:rsid w:val="00954F3E"/>
    <w:rsid w:val="009551A8"/>
    <w:rsid w:val="00955C3E"/>
    <w:rsid w:val="00956A70"/>
    <w:rsid w:val="00956B7C"/>
    <w:rsid w:val="00956CF3"/>
    <w:rsid w:val="0095745B"/>
    <w:rsid w:val="00957ED6"/>
    <w:rsid w:val="0096025D"/>
    <w:rsid w:val="00960BAE"/>
    <w:rsid w:val="0096107B"/>
    <w:rsid w:val="00961AAC"/>
    <w:rsid w:val="00961C72"/>
    <w:rsid w:val="00961F9C"/>
    <w:rsid w:val="009625C5"/>
    <w:rsid w:val="00962A92"/>
    <w:rsid w:val="009630D2"/>
    <w:rsid w:val="00963262"/>
    <w:rsid w:val="009634D7"/>
    <w:rsid w:val="0096470F"/>
    <w:rsid w:val="00964CFC"/>
    <w:rsid w:val="00964F4D"/>
    <w:rsid w:val="009654A2"/>
    <w:rsid w:val="00965598"/>
    <w:rsid w:val="00966101"/>
    <w:rsid w:val="009668E0"/>
    <w:rsid w:val="0097015C"/>
    <w:rsid w:val="0097119A"/>
    <w:rsid w:val="009714E2"/>
    <w:rsid w:val="0097189F"/>
    <w:rsid w:val="00971E43"/>
    <w:rsid w:val="00971FBD"/>
    <w:rsid w:val="0097217A"/>
    <w:rsid w:val="00972BAE"/>
    <w:rsid w:val="00972FF3"/>
    <w:rsid w:val="009730B9"/>
    <w:rsid w:val="00973825"/>
    <w:rsid w:val="00973DC9"/>
    <w:rsid w:val="00973F5C"/>
    <w:rsid w:val="00974169"/>
    <w:rsid w:val="0097436B"/>
    <w:rsid w:val="00974F8B"/>
    <w:rsid w:val="00976D0F"/>
    <w:rsid w:val="0097796B"/>
    <w:rsid w:val="00977A26"/>
    <w:rsid w:val="00977ADF"/>
    <w:rsid w:val="00977FE7"/>
    <w:rsid w:val="009807E9"/>
    <w:rsid w:val="00980D1F"/>
    <w:rsid w:val="00981B0A"/>
    <w:rsid w:val="00982904"/>
    <w:rsid w:val="00982DEB"/>
    <w:rsid w:val="009838F2"/>
    <w:rsid w:val="00983D81"/>
    <w:rsid w:val="00984925"/>
    <w:rsid w:val="00984938"/>
    <w:rsid w:val="00985010"/>
    <w:rsid w:val="00985214"/>
    <w:rsid w:val="00985737"/>
    <w:rsid w:val="00985A02"/>
    <w:rsid w:val="00986D43"/>
    <w:rsid w:val="00986DA6"/>
    <w:rsid w:val="00987A61"/>
    <w:rsid w:val="0099044D"/>
    <w:rsid w:val="00990CA9"/>
    <w:rsid w:val="009921EE"/>
    <w:rsid w:val="0099290B"/>
    <w:rsid w:val="009936E7"/>
    <w:rsid w:val="00994BFB"/>
    <w:rsid w:val="009952D9"/>
    <w:rsid w:val="00996054"/>
    <w:rsid w:val="009961F4"/>
    <w:rsid w:val="00996B1A"/>
    <w:rsid w:val="00996ECE"/>
    <w:rsid w:val="009974CA"/>
    <w:rsid w:val="009A037B"/>
    <w:rsid w:val="009A043F"/>
    <w:rsid w:val="009A0B5B"/>
    <w:rsid w:val="009A1C27"/>
    <w:rsid w:val="009A24E4"/>
    <w:rsid w:val="009A29D8"/>
    <w:rsid w:val="009A54B4"/>
    <w:rsid w:val="009A5AEB"/>
    <w:rsid w:val="009A6823"/>
    <w:rsid w:val="009A6E45"/>
    <w:rsid w:val="009A78ED"/>
    <w:rsid w:val="009A7A35"/>
    <w:rsid w:val="009A7D46"/>
    <w:rsid w:val="009B0BF6"/>
    <w:rsid w:val="009B1F31"/>
    <w:rsid w:val="009B2551"/>
    <w:rsid w:val="009B2D09"/>
    <w:rsid w:val="009B2F99"/>
    <w:rsid w:val="009B36D4"/>
    <w:rsid w:val="009B3A1C"/>
    <w:rsid w:val="009B47EA"/>
    <w:rsid w:val="009B52A3"/>
    <w:rsid w:val="009B58D8"/>
    <w:rsid w:val="009B5F30"/>
    <w:rsid w:val="009B6659"/>
    <w:rsid w:val="009B6875"/>
    <w:rsid w:val="009B75FF"/>
    <w:rsid w:val="009B766E"/>
    <w:rsid w:val="009C019B"/>
    <w:rsid w:val="009C0241"/>
    <w:rsid w:val="009C043A"/>
    <w:rsid w:val="009C0BEB"/>
    <w:rsid w:val="009C0C71"/>
    <w:rsid w:val="009C1C0F"/>
    <w:rsid w:val="009C2C33"/>
    <w:rsid w:val="009C2CCE"/>
    <w:rsid w:val="009C481B"/>
    <w:rsid w:val="009C4A8C"/>
    <w:rsid w:val="009C4D7C"/>
    <w:rsid w:val="009C4E9C"/>
    <w:rsid w:val="009C5814"/>
    <w:rsid w:val="009C6E4A"/>
    <w:rsid w:val="009C6FFE"/>
    <w:rsid w:val="009C78FE"/>
    <w:rsid w:val="009C7BF9"/>
    <w:rsid w:val="009D0343"/>
    <w:rsid w:val="009D0B48"/>
    <w:rsid w:val="009D1B6F"/>
    <w:rsid w:val="009D298F"/>
    <w:rsid w:val="009D2DF3"/>
    <w:rsid w:val="009D4C77"/>
    <w:rsid w:val="009D628E"/>
    <w:rsid w:val="009D63FC"/>
    <w:rsid w:val="009D7394"/>
    <w:rsid w:val="009D73D5"/>
    <w:rsid w:val="009D7A6E"/>
    <w:rsid w:val="009D7FC5"/>
    <w:rsid w:val="009E011D"/>
    <w:rsid w:val="009E03E7"/>
    <w:rsid w:val="009E03EB"/>
    <w:rsid w:val="009E181B"/>
    <w:rsid w:val="009E22E2"/>
    <w:rsid w:val="009E2500"/>
    <w:rsid w:val="009E524C"/>
    <w:rsid w:val="009E5664"/>
    <w:rsid w:val="009E6046"/>
    <w:rsid w:val="009E676F"/>
    <w:rsid w:val="009E6F5D"/>
    <w:rsid w:val="009F03E6"/>
    <w:rsid w:val="009F2494"/>
    <w:rsid w:val="009F2D1B"/>
    <w:rsid w:val="009F3CAE"/>
    <w:rsid w:val="009F3E11"/>
    <w:rsid w:val="009F3E7B"/>
    <w:rsid w:val="009F4020"/>
    <w:rsid w:val="009F4021"/>
    <w:rsid w:val="009F5153"/>
    <w:rsid w:val="009F623C"/>
    <w:rsid w:val="009F6E35"/>
    <w:rsid w:val="00A00640"/>
    <w:rsid w:val="00A0170B"/>
    <w:rsid w:val="00A01911"/>
    <w:rsid w:val="00A01CAD"/>
    <w:rsid w:val="00A036BF"/>
    <w:rsid w:val="00A047A0"/>
    <w:rsid w:val="00A0541B"/>
    <w:rsid w:val="00A0588B"/>
    <w:rsid w:val="00A06782"/>
    <w:rsid w:val="00A0709D"/>
    <w:rsid w:val="00A071D9"/>
    <w:rsid w:val="00A1097E"/>
    <w:rsid w:val="00A113BF"/>
    <w:rsid w:val="00A14159"/>
    <w:rsid w:val="00A143CE"/>
    <w:rsid w:val="00A149F6"/>
    <w:rsid w:val="00A14A8E"/>
    <w:rsid w:val="00A157C8"/>
    <w:rsid w:val="00A15A96"/>
    <w:rsid w:val="00A15F9E"/>
    <w:rsid w:val="00A16303"/>
    <w:rsid w:val="00A16DFC"/>
    <w:rsid w:val="00A17221"/>
    <w:rsid w:val="00A17F92"/>
    <w:rsid w:val="00A21998"/>
    <w:rsid w:val="00A21E6F"/>
    <w:rsid w:val="00A22228"/>
    <w:rsid w:val="00A22C9F"/>
    <w:rsid w:val="00A22D7F"/>
    <w:rsid w:val="00A236CE"/>
    <w:rsid w:val="00A23A20"/>
    <w:rsid w:val="00A23AEB"/>
    <w:rsid w:val="00A2404C"/>
    <w:rsid w:val="00A24938"/>
    <w:rsid w:val="00A25490"/>
    <w:rsid w:val="00A2573A"/>
    <w:rsid w:val="00A25F47"/>
    <w:rsid w:val="00A2690B"/>
    <w:rsid w:val="00A274B8"/>
    <w:rsid w:val="00A27C53"/>
    <w:rsid w:val="00A27D39"/>
    <w:rsid w:val="00A30161"/>
    <w:rsid w:val="00A31044"/>
    <w:rsid w:val="00A32453"/>
    <w:rsid w:val="00A32F9C"/>
    <w:rsid w:val="00A335F7"/>
    <w:rsid w:val="00A33601"/>
    <w:rsid w:val="00A3530B"/>
    <w:rsid w:val="00A35319"/>
    <w:rsid w:val="00A35807"/>
    <w:rsid w:val="00A35A38"/>
    <w:rsid w:val="00A36D81"/>
    <w:rsid w:val="00A36F8E"/>
    <w:rsid w:val="00A37048"/>
    <w:rsid w:val="00A37AA5"/>
    <w:rsid w:val="00A41960"/>
    <w:rsid w:val="00A4196C"/>
    <w:rsid w:val="00A41F06"/>
    <w:rsid w:val="00A4266C"/>
    <w:rsid w:val="00A4295E"/>
    <w:rsid w:val="00A42E65"/>
    <w:rsid w:val="00A43AEF"/>
    <w:rsid w:val="00A44372"/>
    <w:rsid w:val="00A4441C"/>
    <w:rsid w:val="00A448DF"/>
    <w:rsid w:val="00A454EF"/>
    <w:rsid w:val="00A459C1"/>
    <w:rsid w:val="00A46414"/>
    <w:rsid w:val="00A4683D"/>
    <w:rsid w:val="00A470F0"/>
    <w:rsid w:val="00A47157"/>
    <w:rsid w:val="00A47FBE"/>
    <w:rsid w:val="00A51E78"/>
    <w:rsid w:val="00A523A0"/>
    <w:rsid w:val="00A524E5"/>
    <w:rsid w:val="00A5287B"/>
    <w:rsid w:val="00A52953"/>
    <w:rsid w:val="00A52ADA"/>
    <w:rsid w:val="00A5323C"/>
    <w:rsid w:val="00A534C7"/>
    <w:rsid w:val="00A547C0"/>
    <w:rsid w:val="00A54C46"/>
    <w:rsid w:val="00A554AF"/>
    <w:rsid w:val="00A55500"/>
    <w:rsid w:val="00A55D89"/>
    <w:rsid w:val="00A564C4"/>
    <w:rsid w:val="00A56C03"/>
    <w:rsid w:val="00A57080"/>
    <w:rsid w:val="00A572E8"/>
    <w:rsid w:val="00A57673"/>
    <w:rsid w:val="00A576F4"/>
    <w:rsid w:val="00A60C66"/>
    <w:rsid w:val="00A60ED7"/>
    <w:rsid w:val="00A613EF"/>
    <w:rsid w:val="00A61492"/>
    <w:rsid w:val="00A6153E"/>
    <w:rsid w:val="00A61839"/>
    <w:rsid w:val="00A622AA"/>
    <w:rsid w:val="00A62388"/>
    <w:rsid w:val="00A63AA3"/>
    <w:rsid w:val="00A646D7"/>
    <w:rsid w:val="00A64B14"/>
    <w:rsid w:val="00A64B65"/>
    <w:rsid w:val="00A64DA8"/>
    <w:rsid w:val="00A650CE"/>
    <w:rsid w:val="00A65231"/>
    <w:rsid w:val="00A65915"/>
    <w:rsid w:val="00A66320"/>
    <w:rsid w:val="00A66617"/>
    <w:rsid w:val="00A66D43"/>
    <w:rsid w:val="00A67763"/>
    <w:rsid w:val="00A67768"/>
    <w:rsid w:val="00A67874"/>
    <w:rsid w:val="00A67B3E"/>
    <w:rsid w:val="00A67C4F"/>
    <w:rsid w:val="00A70830"/>
    <w:rsid w:val="00A70D3F"/>
    <w:rsid w:val="00A70FC3"/>
    <w:rsid w:val="00A7234A"/>
    <w:rsid w:val="00A72571"/>
    <w:rsid w:val="00A72665"/>
    <w:rsid w:val="00A72750"/>
    <w:rsid w:val="00A72785"/>
    <w:rsid w:val="00A7304C"/>
    <w:rsid w:val="00A74681"/>
    <w:rsid w:val="00A74689"/>
    <w:rsid w:val="00A749D5"/>
    <w:rsid w:val="00A74B79"/>
    <w:rsid w:val="00A7543C"/>
    <w:rsid w:val="00A75469"/>
    <w:rsid w:val="00A754CD"/>
    <w:rsid w:val="00A7792B"/>
    <w:rsid w:val="00A77FCD"/>
    <w:rsid w:val="00A80032"/>
    <w:rsid w:val="00A808E6"/>
    <w:rsid w:val="00A81501"/>
    <w:rsid w:val="00A81EC8"/>
    <w:rsid w:val="00A825D4"/>
    <w:rsid w:val="00A83623"/>
    <w:rsid w:val="00A83878"/>
    <w:rsid w:val="00A84943"/>
    <w:rsid w:val="00A84EA1"/>
    <w:rsid w:val="00A852F0"/>
    <w:rsid w:val="00A854CD"/>
    <w:rsid w:val="00A8652F"/>
    <w:rsid w:val="00A870B3"/>
    <w:rsid w:val="00A91E17"/>
    <w:rsid w:val="00A91F1B"/>
    <w:rsid w:val="00A92016"/>
    <w:rsid w:val="00A9228D"/>
    <w:rsid w:val="00A93197"/>
    <w:rsid w:val="00A9450B"/>
    <w:rsid w:val="00A94B23"/>
    <w:rsid w:val="00A95ECA"/>
    <w:rsid w:val="00A9615B"/>
    <w:rsid w:val="00A964D4"/>
    <w:rsid w:val="00A96F02"/>
    <w:rsid w:val="00A9752C"/>
    <w:rsid w:val="00A9790B"/>
    <w:rsid w:val="00AA00DC"/>
    <w:rsid w:val="00AA0198"/>
    <w:rsid w:val="00AA11F9"/>
    <w:rsid w:val="00AA2094"/>
    <w:rsid w:val="00AA3EE5"/>
    <w:rsid w:val="00AA4109"/>
    <w:rsid w:val="00AA45A5"/>
    <w:rsid w:val="00AA4666"/>
    <w:rsid w:val="00AA5663"/>
    <w:rsid w:val="00AA5711"/>
    <w:rsid w:val="00AA6C26"/>
    <w:rsid w:val="00AA6C97"/>
    <w:rsid w:val="00AA7ECF"/>
    <w:rsid w:val="00AB044F"/>
    <w:rsid w:val="00AB154E"/>
    <w:rsid w:val="00AB1D2C"/>
    <w:rsid w:val="00AB1E94"/>
    <w:rsid w:val="00AB201B"/>
    <w:rsid w:val="00AB421E"/>
    <w:rsid w:val="00AB4625"/>
    <w:rsid w:val="00AB4C30"/>
    <w:rsid w:val="00AB4F6A"/>
    <w:rsid w:val="00AB5B07"/>
    <w:rsid w:val="00AB5DAD"/>
    <w:rsid w:val="00AB5F1A"/>
    <w:rsid w:val="00AB5FDE"/>
    <w:rsid w:val="00AB6D23"/>
    <w:rsid w:val="00AB70A2"/>
    <w:rsid w:val="00AB7A9A"/>
    <w:rsid w:val="00AC02C1"/>
    <w:rsid w:val="00AC0AEE"/>
    <w:rsid w:val="00AC0B27"/>
    <w:rsid w:val="00AC0B92"/>
    <w:rsid w:val="00AC0BCB"/>
    <w:rsid w:val="00AC11E8"/>
    <w:rsid w:val="00AC1415"/>
    <w:rsid w:val="00AC170B"/>
    <w:rsid w:val="00AC1999"/>
    <w:rsid w:val="00AC20B5"/>
    <w:rsid w:val="00AC2924"/>
    <w:rsid w:val="00AC32E4"/>
    <w:rsid w:val="00AC3A38"/>
    <w:rsid w:val="00AC3D9B"/>
    <w:rsid w:val="00AC5402"/>
    <w:rsid w:val="00AC5CA0"/>
    <w:rsid w:val="00AC5CE6"/>
    <w:rsid w:val="00AC6E5C"/>
    <w:rsid w:val="00AC79C8"/>
    <w:rsid w:val="00AC7A10"/>
    <w:rsid w:val="00AC7C31"/>
    <w:rsid w:val="00AC7CA9"/>
    <w:rsid w:val="00AD0B5F"/>
    <w:rsid w:val="00AD0D1C"/>
    <w:rsid w:val="00AD0F4C"/>
    <w:rsid w:val="00AD2008"/>
    <w:rsid w:val="00AD24CE"/>
    <w:rsid w:val="00AD2AE3"/>
    <w:rsid w:val="00AD3357"/>
    <w:rsid w:val="00AD3807"/>
    <w:rsid w:val="00AD4275"/>
    <w:rsid w:val="00AD4DE2"/>
    <w:rsid w:val="00AD4DE7"/>
    <w:rsid w:val="00AD4EC8"/>
    <w:rsid w:val="00AD58F7"/>
    <w:rsid w:val="00AD6694"/>
    <w:rsid w:val="00AD7E52"/>
    <w:rsid w:val="00AD7F46"/>
    <w:rsid w:val="00AE0743"/>
    <w:rsid w:val="00AE0EDD"/>
    <w:rsid w:val="00AE0F81"/>
    <w:rsid w:val="00AE1879"/>
    <w:rsid w:val="00AE241F"/>
    <w:rsid w:val="00AE289E"/>
    <w:rsid w:val="00AE2F4B"/>
    <w:rsid w:val="00AE3033"/>
    <w:rsid w:val="00AE34EF"/>
    <w:rsid w:val="00AE3E61"/>
    <w:rsid w:val="00AE45A8"/>
    <w:rsid w:val="00AE52F6"/>
    <w:rsid w:val="00AE5F5F"/>
    <w:rsid w:val="00AE61EA"/>
    <w:rsid w:val="00AE6653"/>
    <w:rsid w:val="00AE7198"/>
    <w:rsid w:val="00AE7278"/>
    <w:rsid w:val="00AE75B2"/>
    <w:rsid w:val="00AF06A0"/>
    <w:rsid w:val="00AF0A34"/>
    <w:rsid w:val="00AF20F5"/>
    <w:rsid w:val="00AF330D"/>
    <w:rsid w:val="00AF40AA"/>
    <w:rsid w:val="00AF46CC"/>
    <w:rsid w:val="00AF595D"/>
    <w:rsid w:val="00AF59E6"/>
    <w:rsid w:val="00AF5E9B"/>
    <w:rsid w:val="00AF6322"/>
    <w:rsid w:val="00AF6B7B"/>
    <w:rsid w:val="00AF72AA"/>
    <w:rsid w:val="00B00025"/>
    <w:rsid w:val="00B001B7"/>
    <w:rsid w:val="00B009F8"/>
    <w:rsid w:val="00B00C9D"/>
    <w:rsid w:val="00B0135D"/>
    <w:rsid w:val="00B01C36"/>
    <w:rsid w:val="00B0220B"/>
    <w:rsid w:val="00B0326F"/>
    <w:rsid w:val="00B03A7F"/>
    <w:rsid w:val="00B0453B"/>
    <w:rsid w:val="00B04A4B"/>
    <w:rsid w:val="00B04A5C"/>
    <w:rsid w:val="00B07241"/>
    <w:rsid w:val="00B07DAD"/>
    <w:rsid w:val="00B10268"/>
    <w:rsid w:val="00B10A1E"/>
    <w:rsid w:val="00B11571"/>
    <w:rsid w:val="00B117E5"/>
    <w:rsid w:val="00B11CA9"/>
    <w:rsid w:val="00B121C2"/>
    <w:rsid w:val="00B12F72"/>
    <w:rsid w:val="00B15F74"/>
    <w:rsid w:val="00B16C81"/>
    <w:rsid w:val="00B17421"/>
    <w:rsid w:val="00B176FB"/>
    <w:rsid w:val="00B17A75"/>
    <w:rsid w:val="00B17AB4"/>
    <w:rsid w:val="00B17B39"/>
    <w:rsid w:val="00B204FE"/>
    <w:rsid w:val="00B2059D"/>
    <w:rsid w:val="00B218A9"/>
    <w:rsid w:val="00B2216E"/>
    <w:rsid w:val="00B2223A"/>
    <w:rsid w:val="00B2294C"/>
    <w:rsid w:val="00B22D39"/>
    <w:rsid w:val="00B23C0F"/>
    <w:rsid w:val="00B246CE"/>
    <w:rsid w:val="00B25F25"/>
    <w:rsid w:val="00B26A96"/>
    <w:rsid w:val="00B26AB7"/>
    <w:rsid w:val="00B273F8"/>
    <w:rsid w:val="00B27A1C"/>
    <w:rsid w:val="00B27B02"/>
    <w:rsid w:val="00B304B4"/>
    <w:rsid w:val="00B30A72"/>
    <w:rsid w:val="00B30E88"/>
    <w:rsid w:val="00B32AFA"/>
    <w:rsid w:val="00B3302B"/>
    <w:rsid w:val="00B338B8"/>
    <w:rsid w:val="00B33FB3"/>
    <w:rsid w:val="00B34133"/>
    <w:rsid w:val="00B345CE"/>
    <w:rsid w:val="00B36306"/>
    <w:rsid w:val="00B370AD"/>
    <w:rsid w:val="00B3720B"/>
    <w:rsid w:val="00B37574"/>
    <w:rsid w:val="00B42D1D"/>
    <w:rsid w:val="00B42F43"/>
    <w:rsid w:val="00B4424E"/>
    <w:rsid w:val="00B44E06"/>
    <w:rsid w:val="00B44E5D"/>
    <w:rsid w:val="00B45E8D"/>
    <w:rsid w:val="00B46708"/>
    <w:rsid w:val="00B46B25"/>
    <w:rsid w:val="00B4770F"/>
    <w:rsid w:val="00B478C2"/>
    <w:rsid w:val="00B50525"/>
    <w:rsid w:val="00B50FD3"/>
    <w:rsid w:val="00B51B47"/>
    <w:rsid w:val="00B51F1F"/>
    <w:rsid w:val="00B51FBD"/>
    <w:rsid w:val="00B52264"/>
    <w:rsid w:val="00B5298A"/>
    <w:rsid w:val="00B5366E"/>
    <w:rsid w:val="00B53FD7"/>
    <w:rsid w:val="00B54224"/>
    <w:rsid w:val="00B54398"/>
    <w:rsid w:val="00B54523"/>
    <w:rsid w:val="00B5565E"/>
    <w:rsid w:val="00B55875"/>
    <w:rsid w:val="00B55CEF"/>
    <w:rsid w:val="00B56EA8"/>
    <w:rsid w:val="00B5704C"/>
    <w:rsid w:val="00B57EA6"/>
    <w:rsid w:val="00B6091C"/>
    <w:rsid w:val="00B60B4D"/>
    <w:rsid w:val="00B626B7"/>
    <w:rsid w:val="00B627AE"/>
    <w:rsid w:val="00B631FF"/>
    <w:rsid w:val="00B63313"/>
    <w:rsid w:val="00B639E8"/>
    <w:rsid w:val="00B63C9E"/>
    <w:rsid w:val="00B642B1"/>
    <w:rsid w:val="00B646C7"/>
    <w:rsid w:val="00B66736"/>
    <w:rsid w:val="00B6702E"/>
    <w:rsid w:val="00B6778E"/>
    <w:rsid w:val="00B677C0"/>
    <w:rsid w:val="00B67D1D"/>
    <w:rsid w:val="00B7088F"/>
    <w:rsid w:val="00B7126C"/>
    <w:rsid w:val="00B71BA8"/>
    <w:rsid w:val="00B71C5A"/>
    <w:rsid w:val="00B72099"/>
    <w:rsid w:val="00B723AF"/>
    <w:rsid w:val="00B726E5"/>
    <w:rsid w:val="00B74BE1"/>
    <w:rsid w:val="00B750B0"/>
    <w:rsid w:val="00B7582D"/>
    <w:rsid w:val="00B760BB"/>
    <w:rsid w:val="00B76583"/>
    <w:rsid w:val="00B76963"/>
    <w:rsid w:val="00B76FEE"/>
    <w:rsid w:val="00B7748D"/>
    <w:rsid w:val="00B77648"/>
    <w:rsid w:val="00B777B9"/>
    <w:rsid w:val="00B77C40"/>
    <w:rsid w:val="00B77FAD"/>
    <w:rsid w:val="00B803E2"/>
    <w:rsid w:val="00B805B8"/>
    <w:rsid w:val="00B805F8"/>
    <w:rsid w:val="00B80653"/>
    <w:rsid w:val="00B80B8A"/>
    <w:rsid w:val="00B80DDB"/>
    <w:rsid w:val="00B8133B"/>
    <w:rsid w:val="00B815D7"/>
    <w:rsid w:val="00B81828"/>
    <w:rsid w:val="00B81B1F"/>
    <w:rsid w:val="00B81E89"/>
    <w:rsid w:val="00B824B1"/>
    <w:rsid w:val="00B8271D"/>
    <w:rsid w:val="00B8292F"/>
    <w:rsid w:val="00B86472"/>
    <w:rsid w:val="00B8665A"/>
    <w:rsid w:val="00B86990"/>
    <w:rsid w:val="00B87299"/>
    <w:rsid w:val="00B918AF"/>
    <w:rsid w:val="00B923F6"/>
    <w:rsid w:val="00B92703"/>
    <w:rsid w:val="00B930BE"/>
    <w:rsid w:val="00B9368E"/>
    <w:rsid w:val="00B937A1"/>
    <w:rsid w:val="00B93DF8"/>
    <w:rsid w:val="00B944AE"/>
    <w:rsid w:val="00B9499C"/>
    <w:rsid w:val="00B94B4A"/>
    <w:rsid w:val="00B94FFE"/>
    <w:rsid w:val="00B950CF"/>
    <w:rsid w:val="00B9606D"/>
    <w:rsid w:val="00B961ED"/>
    <w:rsid w:val="00B962D5"/>
    <w:rsid w:val="00B96310"/>
    <w:rsid w:val="00B974B3"/>
    <w:rsid w:val="00BA0CAF"/>
    <w:rsid w:val="00BA0F06"/>
    <w:rsid w:val="00BA24AE"/>
    <w:rsid w:val="00BA25CE"/>
    <w:rsid w:val="00BA51C6"/>
    <w:rsid w:val="00BA5243"/>
    <w:rsid w:val="00BA56FE"/>
    <w:rsid w:val="00BA5F88"/>
    <w:rsid w:val="00BA626E"/>
    <w:rsid w:val="00BA6B8D"/>
    <w:rsid w:val="00BA703A"/>
    <w:rsid w:val="00BA715C"/>
    <w:rsid w:val="00BA7833"/>
    <w:rsid w:val="00BA7C3E"/>
    <w:rsid w:val="00BB03DD"/>
    <w:rsid w:val="00BB04AE"/>
    <w:rsid w:val="00BB0F0C"/>
    <w:rsid w:val="00BB11ED"/>
    <w:rsid w:val="00BB124C"/>
    <w:rsid w:val="00BB1BF4"/>
    <w:rsid w:val="00BB21A2"/>
    <w:rsid w:val="00BB3A30"/>
    <w:rsid w:val="00BB3CB2"/>
    <w:rsid w:val="00BB4969"/>
    <w:rsid w:val="00BB579F"/>
    <w:rsid w:val="00BB6969"/>
    <w:rsid w:val="00BB6B1D"/>
    <w:rsid w:val="00BB7E2B"/>
    <w:rsid w:val="00BC14AC"/>
    <w:rsid w:val="00BC17DE"/>
    <w:rsid w:val="00BC18BA"/>
    <w:rsid w:val="00BC3DC8"/>
    <w:rsid w:val="00BC406C"/>
    <w:rsid w:val="00BC4DC5"/>
    <w:rsid w:val="00BC6364"/>
    <w:rsid w:val="00BC6CE4"/>
    <w:rsid w:val="00BC7252"/>
    <w:rsid w:val="00BC77F1"/>
    <w:rsid w:val="00BC786A"/>
    <w:rsid w:val="00BC7A40"/>
    <w:rsid w:val="00BC7F2F"/>
    <w:rsid w:val="00BD01C0"/>
    <w:rsid w:val="00BD0953"/>
    <w:rsid w:val="00BD09F0"/>
    <w:rsid w:val="00BD156D"/>
    <w:rsid w:val="00BD25E4"/>
    <w:rsid w:val="00BD27F4"/>
    <w:rsid w:val="00BD327D"/>
    <w:rsid w:val="00BD479F"/>
    <w:rsid w:val="00BD51E4"/>
    <w:rsid w:val="00BD729D"/>
    <w:rsid w:val="00BE03EC"/>
    <w:rsid w:val="00BE1B81"/>
    <w:rsid w:val="00BE21D2"/>
    <w:rsid w:val="00BE2339"/>
    <w:rsid w:val="00BE2B78"/>
    <w:rsid w:val="00BE42BD"/>
    <w:rsid w:val="00BE43D8"/>
    <w:rsid w:val="00BE5215"/>
    <w:rsid w:val="00BE5913"/>
    <w:rsid w:val="00BE7948"/>
    <w:rsid w:val="00BE7B80"/>
    <w:rsid w:val="00BE7FD2"/>
    <w:rsid w:val="00BF0B67"/>
    <w:rsid w:val="00BF1C96"/>
    <w:rsid w:val="00BF3343"/>
    <w:rsid w:val="00BF3C9A"/>
    <w:rsid w:val="00BF3F4B"/>
    <w:rsid w:val="00BF40D0"/>
    <w:rsid w:val="00BF57CC"/>
    <w:rsid w:val="00BF5E3D"/>
    <w:rsid w:val="00BF6A5C"/>
    <w:rsid w:val="00BF73C6"/>
    <w:rsid w:val="00C00555"/>
    <w:rsid w:val="00C02014"/>
    <w:rsid w:val="00C023E5"/>
    <w:rsid w:val="00C02B4C"/>
    <w:rsid w:val="00C0316E"/>
    <w:rsid w:val="00C0335C"/>
    <w:rsid w:val="00C03842"/>
    <w:rsid w:val="00C04467"/>
    <w:rsid w:val="00C04C66"/>
    <w:rsid w:val="00C050A9"/>
    <w:rsid w:val="00C051BB"/>
    <w:rsid w:val="00C059A2"/>
    <w:rsid w:val="00C0641A"/>
    <w:rsid w:val="00C06A7F"/>
    <w:rsid w:val="00C0758B"/>
    <w:rsid w:val="00C07716"/>
    <w:rsid w:val="00C07CB6"/>
    <w:rsid w:val="00C1036E"/>
    <w:rsid w:val="00C114B8"/>
    <w:rsid w:val="00C11598"/>
    <w:rsid w:val="00C11B28"/>
    <w:rsid w:val="00C13299"/>
    <w:rsid w:val="00C13D15"/>
    <w:rsid w:val="00C14553"/>
    <w:rsid w:val="00C14892"/>
    <w:rsid w:val="00C14B67"/>
    <w:rsid w:val="00C14D09"/>
    <w:rsid w:val="00C157E6"/>
    <w:rsid w:val="00C16D05"/>
    <w:rsid w:val="00C17541"/>
    <w:rsid w:val="00C203FA"/>
    <w:rsid w:val="00C21CD2"/>
    <w:rsid w:val="00C21DDC"/>
    <w:rsid w:val="00C21F02"/>
    <w:rsid w:val="00C222E4"/>
    <w:rsid w:val="00C2259B"/>
    <w:rsid w:val="00C22C51"/>
    <w:rsid w:val="00C231A0"/>
    <w:rsid w:val="00C24042"/>
    <w:rsid w:val="00C241BE"/>
    <w:rsid w:val="00C2427F"/>
    <w:rsid w:val="00C2484E"/>
    <w:rsid w:val="00C258D4"/>
    <w:rsid w:val="00C25C01"/>
    <w:rsid w:val="00C25CD2"/>
    <w:rsid w:val="00C25EFF"/>
    <w:rsid w:val="00C2622A"/>
    <w:rsid w:val="00C26A41"/>
    <w:rsid w:val="00C26C1B"/>
    <w:rsid w:val="00C26C98"/>
    <w:rsid w:val="00C26CAB"/>
    <w:rsid w:val="00C26F64"/>
    <w:rsid w:val="00C272D7"/>
    <w:rsid w:val="00C27BC8"/>
    <w:rsid w:val="00C27E0B"/>
    <w:rsid w:val="00C27F53"/>
    <w:rsid w:val="00C3045C"/>
    <w:rsid w:val="00C30681"/>
    <w:rsid w:val="00C30D2A"/>
    <w:rsid w:val="00C30DFE"/>
    <w:rsid w:val="00C31029"/>
    <w:rsid w:val="00C32DB6"/>
    <w:rsid w:val="00C33352"/>
    <w:rsid w:val="00C336FC"/>
    <w:rsid w:val="00C33BCE"/>
    <w:rsid w:val="00C33FFA"/>
    <w:rsid w:val="00C34013"/>
    <w:rsid w:val="00C340F5"/>
    <w:rsid w:val="00C34A90"/>
    <w:rsid w:val="00C35C95"/>
    <w:rsid w:val="00C3638B"/>
    <w:rsid w:val="00C3668B"/>
    <w:rsid w:val="00C36A21"/>
    <w:rsid w:val="00C36BC9"/>
    <w:rsid w:val="00C37FA7"/>
    <w:rsid w:val="00C40BDE"/>
    <w:rsid w:val="00C41181"/>
    <w:rsid w:val="00C41881"/>
    <w:rsid w:val="00C42CAF"/>
    <w:rsid w:val="00C452A0"/>
    <w:rsid w:val="00C45612"/>
    <w:rsid w:val="00C45AA3"/>
    <w:rsid w:val="00C4669B"/>
    <w:rsid w:val="00C505A4"/>
    <w:rsid w:val="00C50776"/>
    <w:rsid w:val="00C51077"/>
    <w:rsid w:val="00C519FF"/>
    <w:rsid w:val="00C5241E"/>
    <w:rsid w:val="00C53292"/>
    <w:rsid w:val="00C535AB"/>
    <w:rsid w:val="00C535F6"/>
    <w:rsid w:val="00C537E1"/>
    <w:rsid w:val="00C53F83"/>
    <w:rsid w:val="00C548FC"/>
    <w:rsid w:val="00C54B1D"/>
    <w:rsid w:val="00C55525"/>
    <w:rsid w:val="00C555AA"/>
    <w:rsid w:val="00C55707"/>
    <w:rsid w:val="00C55A50"/>
    <w:rsid w:val="00C56CF3"/>
    <w:rsid w:val="00C56DAC"/>
    <w:rsid w:val="00C57760"/>
    <w:rsid w:val="00C57FE0"/>
    <w:rsid w:val="00C6127B"/>
    <w:rsid w:val="00C62337"/>
    <w:rsid w:val="00C63307"/>
    <w:rsid w:val="00C6388F"/>
    <w:rsid w:val="00C64384"/>
    <w:rsid w:val="00C64389"/>
    <w:rsid w:val="00C64F56"/>
    <w:rsid w:val="00C65396"/>
    <w:rsid w:val="00C6574A"/>
    <w:rsid w:val="00C65E2A"/>
    <w:rsid w:val="00C6632E"/>
    <w:rsid w:val="00C66404"/>
    <w:rsid w:val="00C67A40"/>
    <w:rsid w:val="00C67DF1"/>
    <w:rsid w:val="00C71961"/>
    <w:rsid w:val="00C726B9"/>
    <w:rsid w:val="00C72A0F"/>
    <w:rsid w:val="00C72CEF"/>
    <w:rsid w:val="00C744E1"/>
    <w:rsid w:val="00C748D6"/>
    <w:rsid w:val="00C74B70"/>
    <w:rsid w:val="00C75DAC"/>
    <w:rsid w:val="00C76153"/>
    <w:rsid w:val="00C76E23"/>
    <w:rsid w:val="00C7713E"/>
    <w:rsid w:val="00C77E0E"/>
    <w:rsid w:val="00C80049"/>
    <w:rsid w:val="00C8041B"/>
    <w:rsid w:val="00C80DA5"/>
    <w:rsid w:val="00C8106A"/>
    <w:rsid w:val="00C822C6"/>
    <w:rsid w:val="00C82993"/>
    <w:rsid w:val="00C82FCE"/>
    <w:rsid w:val="00C83552"/>
    <w:rsid w:val="00C835B1"/>
    <w:rsid w:val="00C83888"/>
    <w:rsid w:val="00C83F30"/>
    <w:rsid w:val="00C83FBC"/>
    <w:rsid w:val="00C844E4"/>
    <w:rsid w:val="00C848C1"/>
    <w:rsid w:val="00C8546C"/>
    <w:rsid w:val="00C85F26"/>
    <w:rsid w:val="00C86E2D"/>
    <w:rsid w:val="00C8751F"/>
    <w:rsid w:val="00C87DE8"/>
    <w:rsid w:val="00C90072"/>
    <w:rsid w:val="00C9030C"/>
    <w:rsid w:val="00C905B6"/>
    <w:rsid w:val="00C908AA"/>
    <w:rsid w:val="00C90B1A"/>
    <w:rsid w:val="00C90E3E"/>
    <w:rsid w:val="00C90E61"/>
    <w:rsid w:val="00C90F3B"/>
    <w:rsid w:val="00C91C68"/>
    <w:rsid w:val="00C922EB"/>
    <w:rsid w:val="00C92734"/>
    <w:rsid w:val="00C9421A"/>
    <w:rsid w:val="00C94D7D"/>
    <w:rsid w:val="00C952E5"/>
    <w:rsid w:val="00C95485"/>
    <w:rsid w:val="00C955EA"/>
    <w:rsid w:val="00C95715"/>
    <w:rsid w:val="00C960AD"/>
    <w:rsid w:val="00C9681D"/>
    <w:rsid w:val="00C96A88"/>
    <w:rsid w:val="00C9723C"/>
    <w:rsid w:val="00C97D36"/>
    <w:rsid w:val="00CA029C"/>
    <w:rsid w:val="00CA0756"/>
    <w:rsid w:val="00CA1E2F"/>
    <w:rsid w:val="00CA1EB0"/>
    <w:rsid w:val="00CA23B2"/>
    <w:rsid w:val="00CA2A29"/>
    <w:rsid w:val="00CA3B9C"/>
    <w:rsid w:val="00CA3C58"/>
    <w:rsid w:val="00CA3D7C"/>
    <w:rsid w:val="00CA3DF6"/>
    <w:rsid w:val="00CA48CB"/>
    <w:rsid w:val="00CA5AC6"/>
    <w:rsid w:val="00CA609A"/>
    <w:rsid w:val="00CA698E"/>
    <w:rsid w:val="00CA6EF0"/>
    <w:rsid w:val="00CA770D"/>
    <w:rsid w:val="00CB0C6D"/>
    <w:rsid w:val="00CB0DC3"/>
    <w:rsid w:val="00CB10C4"/>
    <w:rsid w:val="00CB2080"/>
    <w:rsid w:val="00CB269B"/>
    <w:rsid w:val="00CB2904"/>
    <w:rsid w:val="00CB32EE"/>
    <w:rsid w:val="00CB39A1"/>
    <w:rsid w:val="00CB4049"/>
    <w:rsid w:val="00CB5C7B"/>
    <w:rsid w:val="00CB5CF5"/>
    <w:rsid w:val="00CB6211"/>
    <w:rsid w:val="00CB78A5"/>
    <w:rsid w:val="00CB7CD8"/>
    <w:rsid w:val="00CC152E"/>
    <w:rsid w:val="00CC1688"/>
    <w:rsid w:val="00CC1726"/>
    <w:rsid w:val="00CC1E89"/>
    <w:rsid w:val="00CC2CB9"/>
    <w:rsid w:val="00CC334B"/>
    <w:rsid w:val="00CC344B"/>
    <w:rsid w:val="00CC52C4"/>
    <w:rsid w:val="00CC564C"/>
    <w:rsid w:val="00CC5ADC"/>
    <w:rsid w:val="00CC5BD0"/>
    <w:rsid w:val="00CC7223"/>
    <w:rsid w:val="00CC73C5"/>
    <w:rsid w:val="00CC7B72"/>
    <w:rsid w:val="00CC7DB4"/>
    <w:rsid w:val="00CD0399"/>
    <w:rsid w:val="00CD0E60"/>
    <w:rsid w:val="00CD15C2"/>
    <w:rsid w:val="00CD2681"/>
    <w:rsid w:val="00CD2CCF"/>
    <w:rsid w:val="00CD2D8E"/>
    <w:rsid w:val="00CD33CF"/>
    <w:rsid w:val="00CD35BA"/>
    <w:rsid w:val="00CD39B7"/>
    <w:rsid w:val="00CD40E9"/>
    <w:rsid w:val="00CD4315"/>
    <w:rsid w:val="00CD51E4"/>
    <w:rsid w:val="00CD5234"/>
    <w:rsid w:val="00CD5720"/>
    <w:rsid w:val="00CD676B"/>
    <w:rsid w:val="00CD6CA7"/>
    <w:rsid w:val="00CD7631"/>
    <w:rsid w:val="00CD78B6"/>
    <w:rsid w:val="00CE033F"/>
    <w:rsid w:val="00CE07C4"/>
    <w:rsid w:val="00CE11A3"/>
    <w:rsid w:val="00CE122F"/>
    <w:rsid w:val="00CE15C5"/>
    <w:rsid w:val="00CE18C0"/>
    <w:rsid w:val="00CE25BD"/>
    <w:rsid w:val="00CE29F2"/>
    <w:rsid w:val="00CE2BAD"/>
    <w:rsid w:val="00CE33C3"/>
    <w:rsid w:val="00CE3AE5"/>
    <w:rsid w:val="00CE3F57"/>
    <w:rsid w:val="00CE43A5"/>
    <w:rsid w:val="00CE4728"/>
    <w:rsid w:val="00CE55AF"/>
    <w:rsid w:val="00CE673B"/>
    <w:rsid w:val="00CE674A"/>
    <w:rsid w:val="00CE6E6B"/>
    <w:rsid w:val="00CE6EAD"/>
    <w:rsid w:val="00CE7D5B"/>
    <w:rsid w:val="00CE7F4F"/>
    <w:rsid w:val="00CF0326"/>
    <w:rsid w:val="00CF0C1A"/>
    <w:rsid w:val="00CF0F99"/>
    <w:rsid w:val="00CF1D8D"/>
    <w:rsid w:val="00CF222E"/>
    <w:rsid w:val="00CF225F"/>
    <w:rsid w:val="00CF24BC"/>
    <w:rsid w:val="00CF278C"/>
    <w:rsid w:val="00CF3078"/>
    <w:rsid w:val="00CF329A"/>
    <w:rsid w:val="00CF3DCB"/>
    <w:rsid w:val="00CF4516"/>
    <w:rsid w:val="00CF4765"/>
    <w:rsid w:val="00CF4C04"/>
    <w:rsid w:val="00CF4E64"/>
    <w:rsid w:val="00CF6338"/>
    <w:rsid w:val="00CF63F8"/>
    <w:rsid w:val="00CF6689"/>
    <w:rsid w:val="00CF79A8"/>
    <w:rsid w:val="00CF7AAB"/>
    <w:rsid w:val="00D0029E"/>
    <w:rsid w:val="00D00DD8"/>
    <w:rsid w:val="00D013E6"/>
    <w:rsid w:val="00D019F9"/>
    <w:rsid w:val="00D01DE1"/>
    <w:rsid w:val="00D020F0"/>
    <w:rsid w:val="00D02B25"/>
    <w:rsid w:val="00D0399E"/>
    <w:rsid w:val="00D03B2F"/>
    <w:rsid w:val="00D053FF"/>
    <w:rsid w:val="00D07081"/>
    <w:rsid w:val="00D07342"/>
    <w:rsid w:val="00D0734E"/>
    <w:rsid w:val="00D07861"/>
    <w:rsid w:val="00D10EA0"/>
    <w:rsid w:val="00D11361"/>
    <w:rsid w:val="00D11DE5"/>
    <w:rsid w:val="00D125F0"/>
    <w:rsid w:val="00D152EA"/>
    <w:rsid w:val="00D16549"/>
    <w:rsid w:val="00D16A77"/>
    <w:rsid w:val="00D16FB3"/>
    <w:rsid w:val="00D1763B"/>
    <w:rsid w:val="00D17B4A"/>
    <w:rsid w:val="00D21181"/>
    <w:rsid w:val="00D21B89"/>
    <w:rsid w:val="00D21F86"/>
    <w:rsid w:val="00D220F7"/>
    <w:rsid w:val="00D22317"/>
    <w:rsid w:val="00D22EF9"/>
    <w:rsid w:val="00D22F9B"/>
    <w:rsid w:val="00D23008"/>
    <w:rsid w:val="00D2323B"/>
    <w:rsid w:val="00D2377B"/>
    <w:rsid w:val="00D24B05"/>
    <w:rsid w:val="00D24DC3"/>
    <w:rsid w:val="00D24FBE"/>
    <w:rsid w:val="00D25599"/>
    <w:rsid w:val="00D257D2"/>
    <w:rsid w:val="00D25B81"/>
    <w:rsid w:val="00D25BAD"/>
    <w:rsid w:val="00D25BAE"/>
    <w:rsid w:val="00D262B3"/>
    <w:rsid w:val="00D263FF"/>
    <w:rsid w:val="00D2648F"/>
    <w:rsid w:val="00D266DE"/>
    <w:rsid w:val="00D268B7"/>
    <w:rsid w:val="00D2711D"/>
    <w:rsid w:val="00D3083D"/>
    <w:rsid w:val="00D31B85"/>
    <w:rsid w:val="00D327DD"/>
    <w:rsid w:val="00D32D35"/>
    <w:rsid w:val="00D32E99"/>
    <w:rsid w:val="00D335A2"/>
    <w:rsid w:val="00D33CFE"/>
    <w:rsid w:val="00D346BB"/>
    <w:rsid w:val="00D34878"/>
    <w:rsid w:val="00D34FD6"/>
    <w:rsid w:val="00D3510C"/>
    <w:rsid w:val="00D3547E"/>
    <w:rsid w:val="00D36BAD"/>
    <w:rsid w:val="00D37790"/>
    <w:rsid w:val="00D37F8E"/>
    <w:rsid w:val="00D4011D"/>
    <w:rsid w:val="00D40413"/>
    <w:rsid w:val="00D415B5"/>
    <w:rsid w:val="00D41A0B"/>
    <w:rsid w:val="00D41B6E"/>
    <w:rsid w:val="00D426C8"/>
    <w:rsid w:val="00D46575"/>
    <w:rsid w:val="00D476C6"/>
    <w:rsid w:val="00D47A11"/>
    <w:rsid w:val="00D47CD0"/>
    <w:rsid w:val="00D47D50"/>
    <w:rsid w:val="00D508A9"/>
    <w:rsid w:val="00D50AF2"/>
    <w:rsid w:val="00D50CD5"/>
    <w:rsid w:val="00D519CF"/>
    <w:rsid w:val="00D539BC"/>
    <w:rsid w:val="00D540BB"/>
    <w:rsid w:val="00D541AB"/>
    <w:rsid w:val="00D55095"/>
    <w:rsid w:val="00D56A22"/>
    <w:rsid w:val="00D56AF4"/>
    <w:rsid w:val="00D5703F"/>
    <w:rsid w:val="00D57467"/>
    <w:rsid w:val="00D57558"/>
    <w:rsid w:val="00D57742"/>
    <w:rsid w:val="00D60AF0"/>
    <w:rsid w:val="00D62987"/>
    <w:rsid w:val="00D629B1"/>
    <w:rsid w:val="00D62C41"/>
    <w:rsid w:val="00D63149"/>
    <w:rsid w:val="00D63220"/>
    <w:rsid w:val="00D63AFE"/>
    <w:rsid w:val="00D6653D"/>
    <w:rsid w:val="00D66BCF"/>
    <w:rsid w:val="00D67521"/>
    <w:rsid w:val="00D6770E"/>
    <w:rsid w:val="00D709F2"/>
    <w:rsid w:val="00D70D56"/>
    <w:rsid w:val="00D70FCC"/>
    <w:rsid w:val="00D7191C"/>
    <w:rsid w:val="00D71EC3"/>
    <w:rsid w:val="00D71F35"/>
    <w:rsid w:val="00D74189"/>
    <w:rsid w:val="00D748B8"/>
    <w:rsid w:val="00D74B12"/>
    <w:rsid w:val="00D7539D"/>
    <w:rsid w:val="00D75CED"/>
    <w:rsid w:val="00D75D76"/>
    <w:rsid w:val="00D764D9"/>
    <w:rsid w:val="00D765ED"/>
    <w:rsid w:val="00D767AE"/>
    <w:rsid w:val="00D777A1"/>
    <w:rsid w:val="00D81B1F"/>
    <w:rsid w:val="00D8281B"/>
    <w:rsid w:val="00D82B2D"/>
    <w:rsid w:val="00D830CA"/>
    <w:rsid w:val="00D834C0"/>
    <w:rsid w:val="00D83886"/>
    <w:rsid w:val="00D84A0B"/>
    <w:rsid w:val="00D84E05"/>
    <w:rsid w:val="00D84FE6"/>
    <w:rsid w:val="00D85512"/>
    <w:rsid w:val="00D85DB6"/>
    <w:rsid w:val="00D863A6"/>
    <w:rsid w:val="00D86C87"/>
    <w:rsid w:val="00D8730A"/>
    <w:rsid w:val="00D906A8"/>
    <w:rsid w:val="00D90EEA"/>
    <w:rsid w:val="00D9184D"/>
    <w:rsid w:val="00D91D67"/>
    <w:rsid w:val="00D91F59"/>
    <w:rsid w:val="00D930C9"/>
    <w:rsid w:val="00D93606"/>
    <w:rsid w:val="00D93687"/>
    <w:rsid w:val="00D937A2"/>
    <w:rsid w:val="00D937D5"/>
    <w:rsid w:val="00D9414D"/>
    <w:rsid w:val="00D945DA"/>
    <w:rsid w:val="00D94758"/>
    <w:rsid w:val="00D94A4B"/>
    <w:rsid w:val="00D94D5D"/>
    <w:rsid w:val="00D9500E"/>
    <w:rsid w:val="00D95868"/>
    <w:rsid w:val="00D95E93"/>
    <w:rsid w:val="00D96206"/>
    <w:rsid w:val="00D96685"/>
    <w:rsid w:val="00D968CB"/>
    <w:rsid w:val="00DA03FD"/>
    <w:rsid w:val="00DA05E6"/>
    <w:rsid w:val="00DA1DFC"/>
    <w:rsid w:val="00DA2304"/>
    <w:rsid w:val="00DA257E"/>
    <w:rsid w:val="00DA3234"/>
    <w:rsid w:val="00DA327E"/>
    <w:rsid w:val="00DA33BC"/>
    <w:rsid w:val="00DA4AE8"/>
    <w:rsid w:val="00DA4E8B"/>
    <w:rsid w:val="00DA5665"/>
    <w:rsid w:val="00DA5B77"/>
    <w:rsid w:val="00DA65A9"/>
    <w:rsid w:val="00DA7370"/>
    <w:rsid w:val="00DA78DD"/>
    <w:rsid w:val="00DA7E98"/>
    <w:rsid w:val="00DA7F86"/>
    <w:rsid w:val="00DB0449"/>
    <w:rsid w:val="00DB04B5"/>
    <w:rsid w:val="00DB129F"/>
    <w:rsid w:val="00DB22A2"/>
    <w:rsid w:val="00DB299F"/>
    <w:rsid w:val="00DB3510"/>
    <w:rsid w:val="00DB368F"/>
    <w:rsid w:val="00DB3A12"/>
    <w:rsid w:val="00DB48E6"/>
    <w:rsid w:val="00DB50BE"/>
    <w:rsid w:val="00DB5C7E"/>
    <w:rsid w:val="00DB60D9"/>
    <w:rsid w:val="00DB700C"/>
    <w:rsid w:val="00DB7A4A"/>
    <w:rsid w:val="00DC116E"/>
    <w:rsid w:val="00DC1B8F"/>
    <w:rsid w:val="00DC1CBB"/>
    <w:rsid w:val="00DC26CE"/>
    <w:rsid w:val="00DC292C"/>
    <w:rsid w:val="00DC299A"/>
    <w:rsid w:val="00DC2F3C"/>
    <w:rsid w:val="00DC3057"/>
    <w:rsid w:val="00DC3796"/>
    <w:rsid w:val="00DC3A3F"/>
    <w:rsid w:val="00DC4607"/>
    <w:rsid w:val="00DC4F4C"/>
    <w:rsid w:val="00DC5761"/>
    <w:rsid w:val="00DC7315"/>
    <w:rsid w:val="00DC78D1"/>
    <w:rsid w:val="00DD0DD4"/>
    <w:rsid w:val="00DD129E"/>
    <w:rsid w:val="00DD1BB8"/>
    <w:rsid w:val="00DD2B38"/>
    <w:rsid w:val="00DD2D57"/>
    <w:rsid w:val="00DD34ED"/>
    <w:rsid w:val="00DD3F8A"/>
    <w:rsid w:val="00DD48D7"/>
    <w:rsid w:val="00DD4F46"/>
    <w:rsid w:val="00DD5425"/>
    <w:rsid w:val="00DD59B4"/>
    <w:rsid w:val="00DD5D3E"/>
    <w:rsid w:val="00DD600A"/>
    <w:rsid w:val="00DD61C7"/>
    <w:rsid w:val="00DD6789"/>
    <w:rsid w:val="00DD6FF0"/>
    <w:rsid w:val="00DD755A"/>
    <w:rsid w:val="00DD77B9"/>
    <w:rsid w:val="00DD7F8B"/>
    <w:rsid w:val="00DE038B"/>
    <w:rsid w:val="00DE0EEA"/>
    <w:rsid w:val="00DE0F96"/>
    <w:rsid w:val="00DE386E"/>
    <w:rsid w:val="00DE4343"/>
    <w:rsid w:val="00DE4914"/>
    <w:rsid w:val="00DE709D"/>
    <w:rsid w:val="00DE7CF0"/>
    <w:rsid w:val="00DF008A"/>
    <w:rsid w:val="00DF05D8"/>
    <w:rsid w:val="00DF0A14"/>
    <w:rsid w:val="00DF0B15"/>
    <w:rsid w:val="00DF130F"/>
    <w:rsid w:val="00DF234D"/>
    <w:rsid w:val="00DF4A92"/>
    <w:rsid w:val="00DF4EC2"/>
    <w:rsid w:val="00DF5B53"/>
    <w:rsid w:val="00DF5EAD"/>
    <w:rsid w:val="00DF64F4"/>
    <w:rsid w:val="00DF65F9"/>
    <w:rsid w:val="00DF7824"/>
    <w:rsid w:val="00E002D6"/>
    <w:rsid w:val="00E00638"/>
    <w:rsid w:val="00E0080D"/>
    <w:rsid w:val="00E00D16"/>
    <w:rsid w:val="00E01A47"/>
    <w:rsid w:val="00E01AD6"/>
    <w:rsid w:val="00E02401"/>
    <w:rsid w:val="00E03BD1"/>
    <w:rsid w:val="00E04B8C"/>
    <w:rsid w:val="00E05AE9"/>
    <w:rsid w:val="00E06B16"/>
    <w:rsid w:val="00E06EB1"/>
    <w:rsid w:val="00E074EA"/>
    <w:rsid w:val="00E10482"/>
    <w:rsid w:val="00E108B9"/>
    <w:rsid w:val="00E1091B"/>
    <w:rsid w:val="00E11754"/>
    <w:rsid w:val="00E11825"/>
    <w:rsid w:val="00E11E02"/>
    <w:rsid w:val="00E12EED"/>
    <w:rsid w:val="00E13B23"/>
    <w:rsid w:val="00E13E1A"/>
    <w:rsid w:val="00E14662"/>
    <w:rsid w:val="00E14B07"/>
    <w:rsid w:val="00E14F70"/>
    <w:rsid w:val="00E15077"/>
    <w:rsid w:val="00E15629"/>
    <w:rsid w:val="00E159D4"/>
    <w:rsid w:val="00E15B37"/>
    <w:rsid w:val="00E16994"/>
    <w:rsid w:val="00E170D6"/>
    <w:rsid w:val="00E1735A"/>
    <w:rsid w:val="00E1798B"/>
    <w:rsid w:val="00E17A3C"/>
    <w:rsid w:val="00E203BD"/>
    <w:rsid w:val="00E209C0"/>
    <w:rsid w:val="00E2161F"/>
    <w:rsid w:val="00E22BEB"/>
    <w:rsid w:val="00E2366C"/>
    <w:rsid w:val="00E23A64"/>
    <w:rsid w:val="00E23EF0"/>
    <w:rsid w:val="00E245A0"/>
    <w:rsid w:val="00E25170"/>
    <w:rsid w:val="00E25794"/>
    <w:rsid w:val="00E260AF"/>
    <w:rsid w:val="00E27979"/>
    <w:rsid w:val="00E30A60"/>
    <w:rsid w:val="00E31D36"/>
    <w:rsid w:val="00E3203D"/>
    <w:rsid w:val="00E3206B"/>
    <w:rsid w:val="00E32C40"/>
    <w:rsid w:val="00E330B4"/>
    <w:rsid w:val="00E33677"/>
    <w:rsid w:val="00E33A42"/>
    <w:rsid w:val="00E33B1B"/>
    <w:rsid w:val="00E33ED5"/>
    <w:rsid w:val="00E3446A"/>
    <w:rsid w:val="00E352FC"/>
    <w:rsid w:val="00E359CE"/>
    <w:rsid w:val="00E35F76"/>
    <w:rsid w:val="00E36035"/>
    <w:rsid w:val="00E36380"/>
    <w:rsid w:val="00E40CA1"/>
    <w:rsid w:val="00E40D80"/>
    <w:rsid w:val="00E41F93"/>
    <w:rsid w:val="00E429AB"/>
    <w:rsid w:val="00E42A0E"/>
    <w:rsid w:val="00E43626"/>
    <w:rsid w:val="00E436A0"/>
    <w:rsid w:val="00E43E04"/>
    <w:rsid w:val="00E4563E"/>
    <w:rsid w:val="00E45C26"/>
    <w:rsid w:val="00E45E70"/>
    <w:rsid w:val="00E46247"/>
    <w:rsid w:val="00E471FF"/>
    <w:rsid w:val="00E50325"/>
    <w:rsid w:val="00E503A5"/>
    <w:rsid w:val="00E50A5F"/>
    <w:rsid w:val="00E50DF3"/>
    <w:rsid w:val="00E51011"/>
    <w:rsid w:val="00E51087"/>
    <w:rsid w:val="00E525A3"/>
    <w:rsid w:val="00E52722"/>
    <w:rsid w:val="00E5308D"/>
    <w:rsid w:val="00E53949"/>
    <w:rsid w:val="00E540B4"/>
    <w:rsid w:val="00E543E8"/>
    <w:rsid w:val="00E544D8"/>
    <w:rsid w:val="00E54B5C"/>
    <w:rsid w:val="00E54E2D"/>
    <w:rsid w:val="00E55D9A"/>
    <w:rsid w:val="00E55F9C"/>
    <w:rsid w:val="00E565AE"/>
    <w:rsid w:val="00E57213"/>
    <w:rsid w:val="00E6016E"/>
    <w:rsid w:val="00E6031C"/>
    <w:rsid w:val="00E61618"/>
    <w:rsid w:val="00E62DFC"/>
    <w:rsid w:val="00E63671"/>
    <w:rsid w:val="00E63FFB"/>
    <w:rsid w:val="00E64B8C"/>
    <w:rsid w:val="00E66D2F"/>
    <w:rsid w:val="00E66FBB"/>
    <w:rsid w:val="00E671E6"/>
    <w:rsid w:val="00E6726A"/>
    <w:rsid w:val="00E67E8E"/>
    <w:rsid w:val="00E70569"/>
    <w:rsid w:val="00E706D8"/>
    <w:rsid w:val="00E71741"/>
    <w:rsid w:val="00E71CAD"/>
    <w:rsid w:val="00E71F8A"/>
    <w:rsid w:val="00E72552"/>
    <w:rsid w:val="00E72CC2"/>
    <w:rsid w:val="00E749C6"/>
    <w:rsid w:val="00E7575A"/>
    <w:rsid w:val="00E75B66"/>
    <w:rsid w:val="00E761A2"/>
    <w:rsid w:val="00E763ED"/>
    <w:rsid w:val="00E76D33"/>
    <w:rsid w:val="00E77136"/>
    <w:rsid w:val="00E8092D"/>
    <w:rsid w:val="00E80EE7"/>
    <w:rsid w:val="00E81063"/>
    <w:rsid w:val="00E81749"/>
    <w:rsid w:val="00E8199E"/>
    <w:rsid w:val="00E81B81"/>
    <w:rsid w:val="00E81F12"/>
    <w:rsid w:val="00E82BC2"/>
    <w:rsid w:val="00E82BE6"/>
    <w:rsid w:val="00E85294"/>
    <w:rsid w:val="00E85AB7"/>
    <w:rsid w:val="00E85C81"/>
    <w:rsid w:val="00E86041"/>
    <w:rsid w:val="00E873E8"/>
    <w:rsid w:val="00E8781F"/>
    <w:rsid w:val="00E87C22"/>
    <w:rsid w:val="00E87E99"/>
    <w:rsid w:val="00E91121"/>
    <w:rsid w:val="00E91BAB"/>
    <w:rsid w:val="00E92042"/>
    <w:rsid w:val="00E92D15"/>
    <w:rsid w:val="00E92D6E"/>
    <w:rsid w:val="00E92FA9"/>
    <w:rsid w:val="00E936D9"/>
    <w:rsid w:val="00E93F5F"/>
    <w:rsid w:val="00E94DB2"/>
    <w:rsid w:val="00E94E1E"/>
    <w:rsid w:val="00E955EA"/>
    <w:rsid w:val="00E959BF"/>
    <w:rsid w:val="00E96602"/>
    <w:rsid w:val="00E97E0E"/>
    <w:rsid w:val="00EA0A3F"/>
    <w:rsid w:val="00EA2B5F"/>
    <w:rsid w:val="00EA2CA4"/>
    <w:rsid w:val="00EA3049"/>
    <w:rsid w:val="00EA335B"/>
    <w:rsid w:val="00EA378C"/>
    <w:rsid w:val="00EA4437"/>
    <w:rsid w:val="00EA47C5"/>
    <w:rsid w:val="00EA7082"/>
    <w:rsid w:val="00EB0245"/>
    <w:rsid w:val="00EB17B6"/>
    <w:rsid w:val="00EB1FC1"/>
    <w:rsid w:val="00EB2800"/>
    <w:rsid w:val="00EB2CE0"/>
    <w:rsid w:val="00EB3542"/>
    <w:rsid w:val="00EB3BC1"/>
    <w:rsid w:val="00EB5154"/>
    <w:rsid w:val="00EB5975"/>
    <w:rsid w:val="00EB61F5"/>
    <w:rsid w:val="00EB6272"/>
    <w:rsid w:val="00EB6478"/>
    <w:rsid w:val="00EB6FD6"/>
    <w:rsid w:val="00EB7E70"/>
    <w:rsid w:val="00EC0248"/>
    <w:rsid w:val="00EC0320"/>
    <w:rsid w:val="00EC082C"/>
    <w:rsid w:val="00EC0CF2"/>
    <w:rsid w:val="00EC109E"/>
    <w:rsid w:val="00EC241E"/>
    <w:rsid w:val="00EC2941"/>
    <w:rsid w:val="00EC2B31"/>
    <w:rsid w:val="00EC32DB"/>
    <w:rsid w:val="00EC3744"/>
    <w:rsid w:val="00EC39FE"/>
    <w:rsid w:val="00EC3A04"/>
    <w:rsid w:val="00EC3D96"/>
    <w:rsid w:val="00EC45EE"/>
    <w:rsid w:val="00EC50BA"/>
    <w:rsid w:val="00EC5C09"/>
    <w:rsid w:val="00EC5CF1"/>
    <w:rsid w:val="00EC6476"/>
    <w:rsid w:val="00EC6A37"/>
    <w:rsid w:val="00EC6A8D"/>
    <w:rsid w:val="00EC6D0D"/>
    <w:rsid w:val="00EC7F56"/>
    <w:rsid w:val="00EC7FA0"/>
    <w:rsid w:val="00ED000F"/>
    <w:rsid w:val="00ED03C6"/>
    <w:rsid w:val="00ED07DC"/>
    <w:rsid w:val="00ED0F7E"/>
    <w:rsid w:val="00ED107D"/>
    <w:rsid w:val="00ED179D"/>
    <w:rsid w:val="00ED1913"/>
    <w:rsid w:val="00ED29BF"/>
    <w:rsid w:val="00ED38CA"/>
    <w:rsid w:val="00ED398A"/>
    <w:rsid w:val="00ED40FB"/>
    <w:rsid w:val="00ED4355"/>
    <w:rsid w:val="00ED5132"/>
    <w:rsid w:val="00ED6A2F"/>
    <w:rsid w:val="00ED73C6"/>
    <w:rsid w:val="00ED7473"/>
    <w:rsid w:val="00ED7DA9"/>
    <w:rsid w:val="00EE0F26"/>
    <w:rsid w:val="00EE13DC"/>
    <w:rsid w:val="00EE162A"/>
    <w:rsid w:val="00EE1789"/>
    <w:rsid w:val="00EE1A90"/>
    <w:rsid w:val="00EE1AC4"/>
    <w:rsid w:val="00EE210D"/>
    <w:rsid w:val="00EE2D53"/>
    <w:rsid w:val="00EE2FEB"/>
    <w:rsid w:val="00EE3503"/>
    <w:rsid w:val="00EE3574"/>
    <w:rsid w:val="00EE366F"/>
    <w:rsid w:val="00EE3ADD"/>
    <w:rsid w:val="00EE3C0C"/>
    <w:rsid w:val="00EE42B6"/>
    <w:rsid w:val="00EE46AD"/>
    <w:rsid w:val="00EE4922"/>
    <w:rsid w:val="00EE5E7B"/>
    <w:rsid w:val="00EE6331"/>
    <w:rsid w:val="00EE7275"/>
    <w:rsid w:val="00EE7CEB"/>
    <w:rsid w:val="00EF04CD"/>
    <w:rsid w:val="00EF0878"/>
    <w:rsid w:val="00EF0B12"/>
    <w:rsid w:val="00EF0B3D"/>
    <w:rsid w:val="00EF1725"/>
    <w:rsid w:val="00EF1889"/>
    <w:rsid w:val="00EF190B"/>
    <w:rsid w:val="00EF2058"/>
    <w:rsid w:val="00EF2CDC"/>
    <w:rsid w:val="00EF2EA0"/>
    <w:rsid w:val="00EF2F9C"/>
    <w:rsid w:val="00EF408D"/>
    <w:rsid w:val="00EF415E"/>
    <w:rsid w:val="00EF449A"/>
    <w:rsid w:val="00EF4777"/>
    <w:rsid w:val="00EF4B81"/>
    <w:rsid w:val="00EF4DB4"/>
    <w:rsid w:val="00EF7B46"/>
    <w:rsid w:val="00F00285"/>
    <w:rsid w:val="00F0046C"/>
    <w:rsid w:val="00F00829"/>
    <w:rsid w:val="00F00D3D"/>
    <w:rsid w:val="00F01EA2"/>
    <w:rsid w:val="00F01F21"/>
    <w:rsid w:val="00F028C5"/>
    <w:rsid w:val="00F03879"/>
    <w:rsid w:val="00F03E35"/>
    <w:rsid w:val="00F041AF"/>
    <w:rsid w:val="00F052AB"/>
    <w:rsid w:val="00F05655"/>
    <w:rsid w:val="00F0687E"/>
    <w:rsid w:val="00F06CD9"/>
    <w:rsid w:val="00F06D8C"/>
    <w:rsid w:val="00F07AD8"/>
    <w:rsid w:val="00F10308"/>
    <w:rsid w:val="00F10490"/>
    <w:rsid w:val="00F10979"/>
    <w:rsid w:val="00F12459"/>
    <w:rsid w:val="00F12BD6"/>
    <w:rsid w:val="00F13876"/>
    <w:rsid w:val="00F13A0A"/>
    <w:rsid w:val="00F14082"/>
    <w:rsid w:val="00F14AD1"/>
    <w:rsid w:val="00F14B7B"/>
    <w:rsid w:val="00F14F50"/>
    <w:rsid w:val="00F14F89"/>
    <w:rsid w:val="00F15357"/>
    <w:rsid w:val="00F15748"/>
    <w:rsid w:val="00F157A2"/>
    <w:rsid w:val="00F163BB"/>
    <w:rsid w:val="00F17485"/>
    <w:rsid w:val="00F177BC"/>
    <w:rsid w:val="00F17D54"/>
    <w:rsid w:val="00F17F9F"/>
    <w:rsid w:val="00F215D1"/>
    <w:rsid w:val="00F2168F"/>
    <w:rsid w:val="00F21F24"/>
    <w:rsid w:val="00F221DE"/>
    <w:rsid w:val="00F2375C"/>
    <w:rsid w:val="00F23796"/>
    <w:rsid w:val="00F238C0"/>
    <w:rsid w:val="00F23AD0"/>
    <w:rsid w:val="00F24C69"/>
    <w:rsid w:val="00F25BD4"/>
    <w:rsid w:val="00F27259"/>
    <w:rsid w:val="00F273B6"/>
    <w:rsid w:val="00F2760A"/>
    <w:rsid w:val="00F30BFD"/>
    <w:rsid w:val="00F316A2"/>
    <w:rsid w:val="00F31F94"/>
    <w:rsid w:val="00F32132"/>
    <w:rsid w:val="00F33483"/>
    <w:rsid w:val="00F335D0"/>
    <w:rsid w:val="00F34C50"/>
    <w:rsid w:val="00F36A5F"/>
    <w:rsid w:val="00F36D56"/>
    <w:rsid w:val="00F36ECF"/>
    <w:rsid w:val="00F3773D"/>
    <w:rsid w:val="00F37EC7"/>
    <w:rsid w:val="00F404FD"/>
    <w:rsid w:val="00F40933"/>
    <w:rsid w:val="00F40967"/>
    <w:rsid w:val="00F40AA6"/>
    <w:rsid w:val="00F40C5C"/>
    <w:rsid w:val="00F41100"/>
    <w:rsid w:val="00F4157F"/>
    <w:rsid w:val="00F41731"/>
    <w:rsid w:val="00F41787"/>
    <w:rsid w:val="00F41BEB"/>
    <w:rsid w:val="00F41F28"/>
    <w:rsid w:val="00F4375C"/>
    <w:rsid w:val="00F44F64"/>
    <w:rsid w:val="00F45B71"/>
    <w:rsid w:val="00F45C72"/>
    <w:rsid w:val="00F46105"/>
    <w:rsid w:val="00F46BFD"/>
    <w:rsid w:val="00F471D9"/>
    <w:rsid w:val="00F472E6"/>
    <w:rsid w:val="00F47514"/>
    <w:rsid w:val="00F47EE4"/>
    <w:rsid w:val="00F50016"/>
    <w:rsid w:val="00F505C5"/>
    <w:rsid w:val="00F50796"/>
    <w:rsid w:val="00F5095B"/>
    <w:rsid w:val="00F51AE6"/>
    <w:rsid w:val="00F51E62"/>
    <w:rsid w:val="00F52904"/>
    <w:rsid w:val="00F52FEA"/>
    <w:rsid w:val="00F52FF5"/>
    <w:rsid w:val="00F530AE"/>
    <w:rsid w:val="00F5331C"/>
    <w:rsid w:val="00F53D22"/>
    <w:rsid w:val="00F54DC0"/>
    <w:rsid w:val="00F54E54"/>
    <w:rsid w:val="00F5577E"/>
    <w:rsid w:val="00F55FA9"/>
    <w:rsid w:val="00F56059"/>
    <w:rsid w:val="00F563DF"/>
    <w:rsid w:val="00F564D1"/>
    <w:rsid w:val="00F56C80"/>
    <w:rsid w:val="00F56D27"/>
    <w:rsid w:val="00F571FF"/>
    <w:rsid w:val="00F576B6"/>
    <w:rsid w:val="00F60572"/>
    <w:rsid w:val="00F612DD"/>
    <w:rsid w:val="00F62B61"/>
    <w:rsid w:val="00F64B19"/>
    <w:rsid w:val="00F65728"/>
    <w:rsid w:val="00F674B6"/>
    <w:rsid w:val="00F67ACE"/>
    <w:rsid w:val="00F67D5E"/>
    <w:rsid w:val="00F67DE1"/>
    <w:rsid w:val="00F70ED9"/>
    <w:rsid w:val="00F7209B"/>
    <w:rsid w:val="00F723C4"/>
    <w:rsid w:val="00F73794"/>
    <w:rsid w:val="00F73C18"/>
    <w:rsid w:val="00F73C98"/>
    <w:rsid w:val="00F73CF2"/>
    <w:rsid w:val="00F74366"/>
    <w:rsid w:val="00F74666"/>
    <w:rsid w:val="00F76058"/>
    <w:rsid w:val="00F7665C"/>
    <w:rsid w:val="00F76715"/>
    <w:rsid w:val="00F76902"/>
    <w:rsid w:val="00F76AC8"/>
    <w:rsid w:val="00F77750"/>
    <w:rsid w:val="00F808E5"/>
    <w:rsid w:val="00F811BA"/>
    <w:rsid w:val="00F81782"/>
    <w:rsid w:val="00F81A62"/>
    <w:rsid w:val="00F82313"/>
    <w:rsid w:val="00F82C33"/>
    <w:rsid w:val="00F83646"/>
    <w:rsid w:val="00F840A6"/>
    <w:rsid w:val="00F845A4"/>
    <w:rsid w:val="00F850CC"/>
    <w:rsid w:val="00F85113"/>
    <w:rsid w:val="00F85E52"/>
    <w:rsid w:val="00F8761E"/>
    <w:rsid w:val="00F87817"/>
    <w:rsid w:val="00F91C95"/>
    <w:rsid w:val="00F92DEC"/>
    <w:rsid w:val="00F93AE6"/>
    <w:rsid w:val="00F94469"/>
    <w:rsid w:val="00F944D1"/>
    <w:rsid w:val="00F9461F"/>
    <w:rsid w:val="00F95B54"/>
    <w:rsid w:val="00F96B42"/>
    <w:rsid w:val="00F96D3E"/>
    <w:rsid w:val="00F979BB"/>
    <w:rsid w:val="00F97DB4"/>
    <w:rsid w:val="00F97F65"/>
    <w:rsid w:val="00FA0091"/>
    <w:rsid w:val="00FA210C"/>
    <w:rsid w:val="00FA26E4"/>
    <w:rsid w:val="00FA2834"/>
    <w:rsid w:val="00FA2F9E"/>
    <w:rsid w:val="00FA363E"/>
    <w:rsid w:val="00FA3AC7"/>
    <w:rsid w:val="00FA3C11"/>
    <w:rsid w:val="00FA3ED8"/>
    <w:rsid w:val="00FA5AAE"/>
    <w:rsid w:val="00FA631E"/>
    <w:rsid w:val="00FA7399"/>
    <w:rsid w:val="00FA752D"/>
    <w:rsid w:val="00FA7725"/>
    <w:rsid w:val="00FB0058"/>
    <w:rsid w:val="00FB0C98"/>
    <w:rsid w:val="00FB281E"/>
    <w:rsid w:val="00FB31A8"/>
    <w:rsid w:val="00FB4FB8"/>
    <w:rsid w:val="00FB52E2"/>
    <w:rsid w:val="00FB55E1"/>
    <w:rsid w:val="00FB5837"/>
    <w:rsid w:val="00FB5A46"/>
    <w:rsid w:val="00FB5E41"/>
    <w:rsid w:val="00FB6B41"/>
    <w:rsid w:val="00FB6B77"/>
    <w:rsid w:val="00FB6BB5"/>
    <w:rsid w:val="00FB7A3F"/>
    <w:rsid w:val="00FB7FF2"/>
    <w:rsid w:val="00FC0087"/>
    <w:rsid w:val="00FC1570"/>
    <w:rsid w:val="00FC1C93"/>
    <w:rsid w:val="00FC2B30"/>
    <w:rsid w:val="00FC2CE0"/>
    <w:rsid w:val="00FC2F30"/>
    <w:rsid w:val="00FC3536"/>
    <w:rsid w:val="00FC3668"/>
    <w:rsid w:val="00FC374B"/>
    <w:rsid w:val="00FC4497"/>
    <w:rsid w:val="00FC4662"/>
    <w:rsid w:val="00FC4673"/>
    <w:rsid w:val="00FC5148"/>
    <w:rsid w:val="00FC600D"/>
    <w:rsid w:val="00FC6262"/>
    <w:rsid w:val="00FC78B5"/>
    <w:rsid w:val="00FD045E"/>
    <w:rsid w:val="00FD05AD"/>
    <w:rsid w:val="00FD0DF6"/>
    <w:rsid w:val="00FD164D"/>
    <w:rsid w:val="00FD16E1"/>
    <w:rsid w:val="00FD1708"/>
    <w:rsid w:val="00FD233B"/>
    <w:rsid w:val="00FD278E"/>
    <w:rsid w:val="00FD2D1E"/>
    <w:rsid w:val="00FD2D20"/>
    <w:rsid w:val="00FD312F"/>
    <w:rsid w:val="00FD3601"/>
    <w:rsid w:val="00FD442B"/>
    <w:rsid w:val="00FD458F"/>
    <w:rsid w:val="00FD529A"/>
    <w:rsid w:val="00FD5940"/>
    <w:rsid w:val="00FD5CAE"/>
    <w:rsid w:val="00FD6447"/>
    <w:rsid w:val="00FD7217"/>
    <w:rsid w:val="00FD7A1D"/>
    <w:rsid w:val="00FE0360"/>
    <w:rsid w:val="00FE040A"/>
    <w:rsid w:val="00FE08EB"/>
    <w:rsid w:val="00FE0C3F"/>
    <w:rsid w:val="00FE0E3B"/>
    <w:rsid w:val="00FE1058"/>
    <w:rsid w:val="00FE140A"/>
    <w:rsid w:val="00FE21B3"/>
    <w:rsid w:val="00FE22DD"/>
    <w:rsid w:val="00FE265E"/>
    <w:rsid w:val="00FE32F0"/>
    <w:rsid w:val="00FE34CB"/>
    <w:rsid w:val="00FE392C"/>
    <w:rsid w:val="00FE3CA6"/>
    <w:rsid w:val="00FE4A09"/>
    <w:rsid w:val="00FE4A14"/>
    <w:rsid w:val="00FE4EA2"/>
    <w:rsid w:val="00FE584C"/>
    <w:rsid w:val="00FE59F3"/>
    <w:rsid w:val="00FE635D"/>
    <w:rsid w:val="00FE7CA8"/>
    <w:rsid w:val="00FF02E3"/>
    <w:rsid w:val="00FF057A"/>
    <w:rsid w:val="00FF0662"/>
    <w:rsid w:val="00FF07C8"/>
    <w:rsid w:val="00FF1FD0"/>
    <w:rsid w:val="00FF21D9"/>
    <w:rsid w:val="00FF277B"/>
    <w:rsid w:val="00FF28E3"/>
    <w:rsid w:val="00FF29FD"/>
    <w:rsid w:val="00FF2CB5"/>
    <w:rsid w:val="00FF3DE6"/>
    <w:rsid w:val="00FF42EF"/>
    <w:rsid w:val="00FF4A19"/>
    <w:rsid w:val="00FF4D20"/>
    <w:rsid w:val="00FF5257"/>
    <w:rsid w:val="00FF52E2"/>
    <w:rsid w:val="00FF57E7"/>
    <w:rsid w:val="00FF6792"/>
    <w:rsid w:val="00FF6B28"/>
    <w:rsid w:val="00FF6EC5"/>
    <w:rsid w:val="00FF777E"/>
    <w:rsid w:val="00FF788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l-SI"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2F5260"/>
  <w15:docId w15:val="{57C0AA71-4D66-4279-9C17-DA26B20B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rial"/>
        <w:lang w:val="sl-SI" w:eastAsia="sl-SI"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1145C"/>
    <w:pPr>
      <w:widowControl w:val="0"/>
      <w:jc w:val="both"/>
    </w:pPr>
    <w:rPr>
      <w:sz w:val="24"/>
      <w:lang w:eastAsia="en-US"/>
    </w:rPr>
  </w:style>
  <w:style w:type="paragraph" w:styleId="Naslov1">
    <w:name w:val="heading 1"/>
    <w:basedOn w:val="Navaden"/>
    <w:next w:val="Navaden"/>
    <w:link w:val="Naslov1Znak"/>
    <w:uiPriority w:val="99"/>
    <w:qFormat/>
    <w:rsid w:val="00653995"/>
    <w:pPr>
      <w:keepNext/>
      <w:pBdr>
        <w:top w:val="single" w:sz="4" w:space="1" w:color="auto"/>
        <w:bottom w:val="single" w:sz="4" w:space="1" w:color="auto"/>
      </w:pBdr>
      <w:shd w:val="pct20" w:color="auto" w:fill="FFFFFF"/>
      <w:tabs>
        <w:tab w:val="num" w:pos="432"/>
      </w:tabs>
      <w:spacing w:before="240" w:after="60"/>
      <w:ind w:left="432" w:hanging="432"/>
      <w:outlineLvl w:val="0"/>
    </w:pPr>
    <w:rPr>
      <w:b/>
      <w:kern w:val="28"/>
      <w:sz w:val="28"/>
    </w:rPr>
  </w:style>
  <w:style w:type="paragraph" w:styleId="Naslov2">
    <w:name w:val="heading 2"/>
    <w:basedOn w:val="Navaden"/>
    <w:next w:val="Navaden"/>
    <w:link w:val="Naslov2Znak"/>
    <w:autoRedefine/>
    <w:uiPriority w:val="99"/>
    <w:qFormat/>
    <w:rsid w:val="004E7BD2"/>
    <w:pPr>
      <w:keepNext/>
      <w:numPr>
        <w:ilvl w:val="1"/>
        <w:numId w:val="6"/>
      </w:numPr>
      <w:pBdr>
        <w:top w:val="single" w:sz="4" w:space="1" w:color="auto"/>
        <w:bottom w:val="single" w:sz="4" w:space="1" w:color="auto"/>
      </w:pBdr>
      <w:tabs>
        <w:tab w:val="left" w:pos="720"/>
      </w:tabs>
      <w:spacing w:line="276" w:lineRule="auto"/>
      <w:outlineLvl w:val="1"/>
    </w:pPr>
    <w:rPr>
      <w:rFonts w:ascii="Arial" w:hAnsi="Arial"/>
      <w:bCs/>
      <w:iCs/>
      <w:sz w:val="20"/>
    </w:rPr>
  </w:style>
  <w:style w:type="paragraph" w:styleId="Naslov3">
    <w:name w:val="heading 3"/>
    <w:basedOn w:val="Navaden"/>
    <w:next w:val="Navaden"/>
    <w:link w:val="Naslov3Znak"/>
    <w:autoRedefine/>
    <w:qFormat/>
    <w:rsid w:val="006D5A5A"/>
    <w:pPr>
      <w:keepNext/>
      <w:spacing w:before="240" w:after="60"/>
      <w:ind w:left="567" w:hanging="567"/>
      <w:outlineLvl w:val="2"/>
    </w:pPr>
    <w:rPr>
      <w:rFonts w:ascii="Arial" w:hAnsi="Arial"/>
      <w:i/>
      <w:iCs/>
      <w:sz w:val="20"/>
    </w:rPr>
  </w:style>
  <w:style w:type="paragraph" w:styleId="Naslov4">
    <w:name w:val="heading 4"/>
    <w:basedOn w:val="Navaden"/>
    <w:next w:val="Navaden"/>
    <w:link w:val="Naslov4Znak"/>
    <w:autoRedefine/>
    <w:uiPriority w:val="99"/>
    <w:qFormat/>
    <w:rsid w:val="004C05A4"/>
    <w:pPr>
      <w:keepNext/>
      <w:ind w:right="-23"/>
      <w:outlineLvl w:val="3"/>
    </w:pPr>
    <w:rPr>
      <w:rFonts w:ascii="Arial" w:hAnsi="Arial"/>
      <w:i/>
      <w:sz w:val="20"/>
    </w:rPr>
  </w:style>
  <w:style w:type="paragraph" w:styleId="Naslov5">
    <w:name w:val="heading 5"/>
    <w:basedOn w:val="Navaden"/>
    <w:next w:val="Navaden"/>
    <w:link w:val="Naslov5Znak"/>
    <w:uiPriority w:val="99"/>
    <w:qFormat/>
    <w:rsid w:val="00653995"/>
    <w:pPr>
      <w:numPr>
        <w:ilvl w:val="4"/>
        <w:numId w:val="1"/>
      </w:numPr>
      <w:tabs>
        <w:tab w:val="clear" w:pos="360"/>
        <w:tab w:val="num" w:pos="1008"/>
      </w:tabs>
      <w:spacing w:before="240" w:after="60"/>
      <w:ind w:left="1008" w:hanging="1008"/>
      <w:outlineLvl w:val="4"/>
    </w:pPr>
    <w:rPr>
      <w:sz w:val="22"/>
    </w:rPr>
  </w:style>
  <w:style w:type="paragraph" w:styleId="Naslov6">
    <w:name w:val="heading 6"/>
    <w:basedOn w:val="Navaden"/>
    <w:next w:val="Navaden"/>
    <w:link w:val="Naslov6Znak"/>
    <w:qFormat/>
    <w:rsid w:val="00653995"/>
    <w:pPr>
      <w:numPr>
        <w:ilvl w:val="5"/>
        <w:numId w:val="1"/>
      </w:numPr>
      <w:tabs>
        <w:tab w:val="clear" w:pos="360"/>
        <w:tab w:val="num" w:pos="1152"/>
      </w:tabs>
      <w:spacing w:before="240" w:after="60"/>
      <w:ind w:left="1152" w:hanging="1152"/>
      <w:outlineLvl w:val="5"/>
    </w:pPr>
    <w:rPr>
      <w:i/>
      <w:sz w:val="22"/>
    </w:rPr>
  </w:style>
  <w:style w:type="paragraph" w:styleId="Naslov7">
    <w:name w:val="heading 7"/>
    <w:basedOn w:val="Navaden"/>
    <w:next w:val="Navaden"/>
    <w:link w:val="Naslov7Znak"/>
    <w:qFormat/>
    <w:rsid w:val="00653995"/>
    <w:pPr>
      <w:numPr>
        <w:ilvl w:val="6"/>
        <w:numId w:val="1"/>
      </w:numPr>
      <w:tabs>
        <w:tab w:val="clear" w:pos="360"/>
        <w:tab w:val="num" w:pos="1296"/>
      </w:tabs>
      <w:spacing w:before="240" w:after="60"/>
      <w:ind w:left="1296" w:hanging="1296"/>
      <w:outlineLvl w:val="6"/>
    </w:pPr>
    <w:rPr>
      <w:rFonts w:ascii="Arial" w:hAnsi="Arial"/>
      <w:sz w:val="20"/>
    </w:rPr>
  </w:style>
  <w:style w:type="paragraph" w:styleId="Naslov8">
    <w:name w:val="heading 8"/>
    <w:basedOn w:val="Navaden"/>
    <w:next w:val="Navaden"/>
    <w:link w:val="Naslov8Znak"/>
    <w:qFormat/>
    <w:rsid w:val="00653995"/>
    <w:pPr>
      <w:numPr>
        <w:ilvl w:val="7"/>
        <w:numId w:val="4"/>
      </w:numPr>
      <w:tabs>
        <w:tab w:val="clear" w:pos="643"/>
        <w:tab w:val="num" w:pos="1440"/>
      </w:tabs>
      <w:spacing w:before="240" w:after="60"/>
      <w:ind w:left="1440" w:hanging="1440"/>
      <w:outlineLvl w:val="7"/>
    </w:pPr>
    <w:rPr>
      <w:rFonts w:ascii="Arial" w:hAnsi="Arial"/>
      <w:i/>
      <w:sz w:val="20"/>
    </w:rPr>
  </w:style>
  <w:style w:type="paragraph" w:styleId="Naslov9">
    <w:name w:val="heading 9"/>
    <w:basedOn w:val="Navaden"/>
    <w:next w:val="Navaden"/>
    <w:link w:val="Naslov9Znak"/>
    <w:qFormat/>
    <w:rsid w:val="00653995"/>
    <w:pPr>
      <w:numPr>
        <w:ilvl w:val="8"/>
        <w:numId w:val="3"/>
      </w:numPr>
      <w:tabs>
        <w:tab w:val="clear" w:pos="360"/>
        <w:tab w:val="num" w:pos="1584"/>
      </w:tabs>
      <w:spacing w:before="240" w:after="60"/>
      <w:ind w:left="1584" w:hanging="1584"/>
      <w:outlineLvl w:val="8"/>
    </w:pPr>
    <w:rPr>
      <w:rFonts w:ascii="Arial" w:hAnsi="Arial"/>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E66FBB"/>
    <w:rPr>
      <w:rFonts w:cs="Times New Roman"/>
      <w:b/>
      <w:kern w:val="28"/>
      <w:sz w:val="20"/>
      <w:szCs w:val="20"/>
      <w:shd w:val="pct20" w:color="auto" w:fill="FFFFFF"/>
      <w:lang w:val="en-US" w:eastAsia="en-US"/>
    </w:rPr>
  </w:style>
  <w:style w:type="character" w:customStyle="1" w:styleId="Naslov2Znak">
    <w:name w:val="Naslov 2 Znak"/>
    <w:basedOn w:val="Privzetapisavaodstavka"/>
    <w:link w:val="Naslov2"/>
    <w:uiPriority w:val="99"/>
    <w:locked/>
    <w:rsid w:val="004E7BD2"/>
    <w:rPr>
      <w:rFonts w:ascii="Arial" w:hAnsi="Arial"/>
      <w:bCs/>
      <w:iCs/>
      <w:lang w:eastAsia="en-US"/>
    </w:rPr>
  </w:style>
  <w:style w:type="character" w:customStyle="1" w:styleId="Naslov3Znak">
    <w:name w:val="Naslov 3 Znak"/>
    <w:basedOn w:val="Privzetapisavaodstavka"/>
    <w:link w:val="Naslov3"/>
    <w:locked/>
    <w:rsid w:val="006D5A5A"/>
    <w:rPr>
      <w:rFonts w:ascii="Arial" w:hAnsi="Arial"/>
      <w:i/>
      <w:iCs/>
      <w:lang w:eastAsia="en-US"/>
    </w:rPr>
  </w:style>
  <w:style w:type="character" w:customStyle="1" w:styleId="Naslov4Znak">
    <w:name w:val="Naslov 4 Znak"/>
    <w:basedOn w:val="Privzetapisavaodstavka"/>
    <w:link w:val="Naslov4"/>
    <w:uiPriority w:val="99"/>
    <w:locked/>
    <w:rsid w:val="004C05A4"/>
    <w:rPr>
      <w:rFonts w:ascii="Arial" w:hAnsi="Arial" w:cs="Times New Roman"/>
      <w:i/>
      <w:sz w:val="20"/>
      <w:szCs w:val="20"/>
      <w:lang w:eastAsia="en-US"/>
    </w:rPr>
  </w:style>
  <w:style w:type="character" w:customStyle="1" w:styleId="Naslov5Znak">
    <w:name w:val="Naslov 5 Znak"/>
    <w:basedOn w:val="Privzetapisavaodstavka"/>
    <w:link w:val="Naslov5"/>
    <w:uiPriority w:val="99"/>
    <w:locked/>
    <w:rsid w:val="00E66FBB"/>
    <w:rPr>
      <w:sz w:val="22"/>
      <w:lang w:eastAsia="en-US"/>
    </w:rPr>
  </w:style>
  <w:style w:type="character" w:customStyle="1" w:styleId="Naslov6Znak">
    <w:name w:val="Naslov 6 Znak"/>
    <w:basedOn w:val="Privzetapisavaodstavka"/>
    <w:link w:val="Naslov6"/>
    <w:locked/>
    <w:rsid w:val="00E66FBB"/>
    <w:rPr>
      <w:i/>
      <w:sz w:val="22"/>
      <w:lang w:val="en-US" w:eastAsia="en-US"/>
    </w:rPr>
  </w:style>
  <w:style w:type="character" w:customStyle="1" w:styleId="Naslov7Znak">
    <w:name w:val="Naslov 7 Znak"/>
    <w:basedOn w:val="Privzetapisavaodstavka"/>
    <w:link w:val="Naslov7"/>
    <w:locked/>
    <w:rsid w:val="00E66FBB"/>
    <w:rPr>
      <w:rFonts w:ascii="Arial" w:hAnsi="Arial"/>
      <w:lang w:val="en-US" w:eastAsia="en-US"/>
    </w:rPr>
  </w:style>
  <w:style w:type="character" w:customStyle="1" w:styleId="Naslov8Znak">
    <w:name w:val="Naslov 8 Znak"/>
    <w:basedOn w:val="Privzetapisavaodstavka"/>
    <w:link w:val="Naslov8"/>
    <w:locked/>
    <w:rsid w:val="00E66FBB"/>
    <w:rPr>
      <w:rFonts w:ascii="Arial" w:hAnsi="Arial"/>
      <w:i/>
      <w:lang w:val="en-US" w:eastAsia="en-US"/>
    </w:rPr>
  </w:style>
  <w:style w:type="character" w:customStyle="1" w:styleId="Naslov9Znak">
    <w:name w:val="Naslov 9 Znak"/>
    <w:basedOn w:val="Privzetapisavaodstavka"/>
    <w:link w:val="Naslov9"/>
    <w:locked/>
    <w:rsid w:val="00E66FBB"/>
    <w:rPr>
      <w:rFonts w:ascii="Arial" w:hAnsi="Arial"/>
      <w:b/>
      <w:i/>
      <w:sz w:val="18"/>
      <w:lang w:val="en-US" w:eastAsia="en-US"/>
    </w:rPr>
  </w:style>
  <w:style w:type="paragraph" w:styleId="Besedilooblaka">
    <w:name w:val="Balloon Text"/>
    <w:basedOn w:val="Navaden"/>
    <w:link w:val="BesedilooblakaZnak"/>
    <w:uiPriority w:val="99"/>
    <w:rsid w:val="00653995"/>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E66FBB"/>
    <w:rPr>
      <w:rFonts w:cs="Times New Roman"/>
      <w:sz w:val="2"/>
      <w:lang w:val="en-US" w:eastAsia="en-US"/>
    </w:rPr>
  </w:style>
  <w:style w:type="character" w:styleId="Sprotnaopomba-sklic">
    <w:name w:val="footnote reference"/>
    <w:basedOn w:val="Privzetapisavaodstavka"/>
    <w:semiHidden/>
    <w:rsid w:val="00653995"/>
    <w:rPr>
      <w:rFonts w:cs="Times New Roman"/>
      <w:vertAlign w:val="superscript"/>
    </w:rPr>
  </w:style>
  <w:style w:type="paragraph" w:styleId="Glava">
    <w:name w:val="header"/>
    <w:basedOn w:val="Navaden"/>
    <w:link w:val="GlavaZnak"/>
    <w:rsid w:val="00653995"/>
    <w:pPr>
      <w:tabs>
        <w:tab w:val="center" w:pos="4153"/>
        <w:tab w:val="right" w:pos="8306"/>
      </w:tabs>
    </w:pPr>
  </w:style>
  <w:style w:type="character" w:customStyle="1" w:styleId="GlavaZnak">
    <w:name w:val="Glava Znak"/>
    <w:basedOn w:val="Privzetapisavaodstavka"/>
    <w:link w:val="Glava"/>
    <w:uiPriority w:val="99"/>
    <w:locked/>
    <w:rsid w:val="00001F86"/>
    <w:rPr>
      <w:rFonts w:cs="Times New Roman"/>
      <w:sz w:val="24"/>
      <w:lang w:val="en-US" w:eastAsia="en-US"/>
    </w:rPr>
  </w:style>
  <w:style w:type="paragraph" w:styleId="Noga">
    <w:name w:val="footer"/>
    <w:basedOn w:val="Navaden"/>
    <w:link w:val="NogaZnak"/>
    <w:uiPriority w:val="99"/>
    <w:rsid w:val="00653995"/>
    <w:pPr>
      <w:tabs>
        <w:tab w:val="center" w:pos="4153"/>
        <w:tab w:val="right" w:pos="8306"/>
      </w:tabs>
      <w:ind w:firstLine="851"/>
    </w:pPr>
    <w:rPr>
      <w:sz w:val="20"/>
    </w:rPr>
  </w:style>
  <w:style w:type="character" w:customStyle="1" w:styleId="NogaZnak">
    <w:name w:val="Noga Znak"/>
    <w:basedOn w:val="Privzetapisavaodstavka"/>
    <w:link w:val="Noga"/>
    <w:uiPriority w:val="99"/>
    <w:locked/>
    <w:rsid w:val="00E66FBB"/>
    <w:rPr>
      <w:rFonts w:cs="Times New Roman"/>
      <w:sz w:val="20"/>
      <w:szCs w:val="20"/>
      <w:lang w:val="en-US" w:eastAsia="en-US"/>
    </w:rPr>
  </w:style>
  <w:style w:type="paragraph" w:styleId="Kazalovsebine1">
    <w:name w:val="toc 1"/>
    <w:basedOn w:val="Navaden"/>
    <w:next w:val="Navaden"/>
    <w:autoRedefine/>
    <w:uiPriority w:val="39"/>
    <w:rsid w:val="004F1481"/>
    <w:pPr>
      <w:tabs>
        <w:tab w:val="left" w:pos="510"/>
        <w:tab w:val="right" w:leader="dot" w:pos="9040"/>
      </w:tabs>
      <w:spacing w:before="120" w:after="120"/>
      <w:ind w:left="510" w:hanging="510"/>
      <w:jc w:val="left"/>
    </w:pPr>
    <w:rPr>
      <w:rFonts w:ascii="Arial" w:hAnsi="Arial"/>
      <w:b/>
      <w:bCs/>
      <w:caps/>
      <w:noProof/>
      <w:szCs w:val="24"/>
    </w:rPr>
  </w:style>
  <w:style w:type="paragraph" w:styleId="Kazalovsebine2">
    <w:name w:val="toc 2"/>
    <w:basedOn w:val="Navaden"/>
    <w:next w:val="Navaden"/>
    <w:autoRedefine/>
    <w:uiPriority w:val="39"/>
    <w:rsid w:val="00D83886"/>
    <w:pPr>
      <w:tabs>
        <w:tab w:val="left" w:pos="1417"/>
        <w:tab w:val="right" w:leader="dot" w:pos="9040"/>
      </w:tabs>
      <w:ind w:left="1429" w:hanging="1191"/>
      <w:jc w:val="left"/>
    </w:pPr>
    <w:rPr>
      <w:smallCaps/>
      <w:szCs w:val="24"/>
    </w:rPr>
  </w:style>
  <w:style w:type="paragraph" w:styleId="Kazalovsebine3">
    <w:name w:val="toc 3"/>
    <w:basedOn w:val="Navaden"/>
    <w:next w:val="Navaden"/>
    <w:autoRedefine/>
    <w:uiPriority w:val="39"/>
    <w:rsid w:val="004728ED"/>
    <w:pPr>
      <w:tabs>
        <w:tab w:val="right" w:leader="dot" w:pos="9040"/>
      </w:tabs>
      <w:ind w:left="567"/>
      <w:jc w:val="left"/>
    </w:pPr>
    <w:rPr>
      <w:i/>
      <w:iCs/>
      <w:szCs w:val="24"/>
    </w:rPr>
  </w:style>
  <w:style w:type="paragraph" w:styleId="Kazalovsebine4">
    <w:name w:val="toc 4"/>
    <w:basedOn w:val="Navaden"/>
    <w:next w:val="Navaden"/>
    <w:autoRedefine/>
    <w:uiPriority w:val="39"/>
    <w:rsid w:val="00653995"/>
    <w:pPr>
      <w:tabs>
        <w:tab w:val="left" w:pos="1680"/>
        <w:tab w:val="right" w:leader="dot" w:pos="9040"/>
      </w:tabs>
      <w:ind w:left="1684" w:hanging="964"/>
      <w:jc w:val="left"/>
    </w:pPr>
    <w:rPr>
      <w:szCs w:val="21"/>
    </w:rPr>
  </w:style>
  <w:style w:type="paragraph" w:styleId="Kazalovsebine5">
    <w:name w:val="toc 5"/>
    <w:basedOn w:val="Navaden"/>
    <w:next w:val="Navaden"/>
    <w:autoRedefine/>
    <w:uiPriority w:val="39"/>
    <w:rsid w:val="00653995"/>
    <w:pPr>
      <w:ind w:left="960"/>
      <w:jc w:val="left"/>
    </w:pPr>
    <w:rPr>
      <w:szCs w:val="21"/>
    </w:rPr>
  </w:style>
  <w:style w:type="paragraph" w:styleId="Kazalovsebine6">
    <w:name w:val="toc 6"/>
    <w:basedOn w:val="Navaden"/>
    <w:next w:val="Navaden"/>
    <w:autoRedefine/>
    <w:uiPriority w:val="39"/>
    <w:rsid w:val="00653995"/>
    <w:pPr>
      <w:ind w:left="1200"/>
      <w:jc w:val="left"/>
    </w:pPr>
    <w:rPr>
      <w:szCs w:val="21"/>
    </w:rPr>
  </w:style>
  <w:style w:type="paragraph" w:styleId="Kazalovsebine7">
    <w:name w:val="toc 7"/>
    <w:basedOn w:val="Navaden"/>
    <w:next w:val="Navaden"/>
    <w:autoRedefine/>
    <w:uiPriority w:val="39"/>
    <w:rsid w:val="00653995"/>
    <w:pPr>
      <w:ind w:left="1440"/>
      <w:jc w:val="left"/>
    </w:pPr>
    <w:rPr>
      <w:szCs w:val="21"/>
    </w:rPr>
  </w:style>
  <w:style w:type="paragraph" w:styleId="Kazalovsebine8">
    <w:name w:val="toc 8"/>
    <w:basedOn w:val="Navaden"/>
    <w:next w:val="Navaden"/>
    <w:autoRedefine/>
    <w:uiPriority w:val="39"/>
    <w:rsid w:val="00653995"/>
    <w:pPr>
      <w:ind w:left="1680"/>
      <w:jc w:val="left"/>
    </w:pPr>
    <w:rPr>
      <w:szCs w:val="21"/>
    </w:rPr>
  </w:style>
  <w:style w:type="paragraph" w:styleId="Kazalovsebine9">
    <w:name w:val="toc 9"/>
    <w:basedOn w:val="Navaden"/>
    <w:next w:val="Navaden"/>
    <w:autoRedefine/>
    <w:uiPriority w:val="39"/>
    <w:rsid w:val="00653995"/>
    <w:pPr>
      <w:ind w:left="1920"/>
      <w:jc w:val="left"/>
    </w:pPr>
    <w:rPr>
      <w:szCs w:val="21"/>
    </w:rPr>
  </w:style>
  <w:style w:type="character" w:styleId="tevilkastrani">
    <w:name w:val="page number"/>
    <w:basedOn w:val="Privzetapisavaodstavka"/>
    <w:uiPriority w:val="99"/>
    <w:rsid w:val="00653995"/>
    <w:rPr>
      <w:rFonts w:cs="Times New Roman"/>
    </w:rPr>
  </w:style>
  <w:style w:type="paragraph" w:styleId="Napis">
    <w:name w:val="caption"/>
    <w:basedOn w:val="Navaden"/>
    <w:next w:val="Navaden"/>
    <w:uiPriority w:val="99"/>
    <w:qFormat/>
    <w:rsid w:val="00653995"/>
    <w:pPr>
      <w:spacing w:before="60" w:after="120"/>
    </w:pPr>
    <w:rPr>
      <w:b/>
      <w:i/>
    </w:rPr>
  </w:style>
  <w:style w:type="paragraph" w:styleId="Kazaloslik">
    <w:name w:val="table of figures"/>
    <w:basedOn w:val="Navaden"/>
    <w:next w:val="Navaden"/>
    <w:uiPriority w:val="99"/>
    <w:semiHidden/>
    <w:rsid w:val="00653995"/>
    <w:pPr>
      <w:tabs>
        <w:tab w:val="right" w:leader="dot" w:pos="9006"/>
      </w:tabs>
    </w:pPr>
    <w:rPr>
      <w:b/>
      <w:i/>
      <w:noProof/>
      <w:szCs w:val="24"/>
    </w:rPr>
  </w:style>
  <w:style w:type="paragraph" w:styleId="Sprotnaopomba-besedilo">
    <w:name w:val="footnote text"/>
    <w:basedOn w:val="Navaden"/>
    <w:link w:val="Sprotnaopomba-besediloZnak"/>
    <w:semiHidden/>
    <w:rsid w:val="00653995"/>
    <w:pPr>
      <w:ind w:firstLine="720"/>
    </w:pPr>
    <w:rPr>
      <w:sz w:val="20"/>
    </w:rPr>
  </w:style>
  <w:style w:type="character" w:customStyle="1" w:styleId="Sprotnaopomba-besediloZnak">
    <w:name w:val="Sprotna opomba - besedilo Znak"/>
    <w:basedOn w:val="Privzetapisavaodstavka"/>
    <w:link w:val="Sprotnaopomba-besedilo"/>
    <w:semiHidden/>
    <w:locked/>
    <w:rsid w:val="00D268B7"/>
    <w:rPr>
      <w:rFonts w:cs="Times New Roman"/>
      <w:sz w:val="20"/>
      <w:lang w:val="en-US" w:eastAsia="en-US"/>
    </w:rPr>
  </w:style>
  <w:style w:type="paragraph" w:styleId="Telobesedila">
    <w:name w:val="Body Text"/>
    <w:basedOn w:val="Navaden"/>
    <w:link w:val="TelobesedilaZnak"/>
    <w:uiPriority w:val="99"/>
    <w:rsid w:val="00653995"/>
    <w:pPr>
      <w:widowControl/>
      <w:ind w:right="-766"/>
    </w:pPr>
  </w:style>
  <w:style w:type="character" w:customStyle="1" w:styleId="TelobesedilaZnak">
    <w:name w:val="Telo besedila Znak"/>
    <w:basedOn w:val="Privzetapisavaodstavka"/>
    <w:link w:val="Telobesedila"/>
    <w:uiPriority w:val="99"/>
    <w:locked/>
    <w:rsid w:val="00E66FBB"/>
    <w:rPr>
      <w:rFonts w:cs="Times New Roman"/>
      <w:sz w:val="20"/>
      <w:szCs w:val="20"/>
      <w:lang w:val="en-US" w:eastAsia="en-US"/>
    </w:rPr>
  </w:style>
  <w:style w:type="paragraph" w:styleId="Telobesedila2">
    <w:name w:val="Body Text 2"/>
    <w:basedOn w:val="Navaden"/>
    <w:link w:val="Telobesedila2Znak"/>
    <w:uiPriority w:val="99"/>
    <w:rsid w:val="00653995"/>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 w:val="left" w:pos="9391"/>
        <w:tab w:val="left" w:pos="10111"/>
        <w:tab w:val="left" w:pos="10831"/>
        <w:tab w:val="left" w:pos="11551"/>
      </w:tabs>
    </w:pPr>
  </w:style>
  <w:style w:type="character" w:customStyle="1" w:styleId="Telobesedila2Znak">
    <w:name w:val="Telo besedila 2 Znak"/>
    <w:basedOn w:val="Privzetapisavaodstavka"/>
    <w:link w:val="Telobesedila2"/>
    <w:uiPriority w:val="99"/>
    <w:locked/>
    <w:rsid w:val="00E66FBB"/>
    <w:rPr>
      <w:rFonts w:cs="Times New Roman"/>
      <w:sz w:val="20"/>
      <w:szCs w:val="20"/>
      <w:lang w:val="en-US" w:eastAsia="en-US"/>
    </w:rPr>
  </w:style>
  <w:style w:type="paragraph" w:styleId="Telobesedila3">
    <w:name w:val="Body Text 3"/>
    <w:basedOn w:val="Navaden"/>
    <w:link w:val="Telobesedila3Znak"/>
    <w:uiPriority w:val="99"/>
    <w:rsid w:val="00653995"/>
    <w:pPr>
      <w:ind w:right="-765"/>
    </w:pPr>
  </w:style>
  <w:style w:type="character" w:customStyle="1" w:styleId="Telobesedila3Znak">
    <w:name w:val="Telo besedila 3 Znak"/>
    <w:basedOn w:val="Privzetapisavaodstavka"/>
    <w:link w:val="Telobesedila3"/>
    <w:uiPriority w:val="99"/>
    <w:semiHidden/>
    <w:locked/>
    <w:rsid w:val="00E66FBB"/>
    <w:rPr>
      <w:rFonts w:cs="Times New Roman"/>
      <w:sz w:val="16"/>
      <w:szCs w:val="16"/>
      <w:lang w:val="en-US" w:eastAsia="en-US"/>
    </w:rPr>
  </w:style>
  <w:style w:type="paragraph" w:styleId="Telobesedila-zamik">
    <w:name w:val="Body Text Indent"/>
    <w:basedOn w:val="Navaden"/>
    <w:link w:val="Telobesedila-zamikZnak"/>
    <w:uiPriority w:val="99"/>
    <w:rsid w:val="00653995"/>
    <w:pPr>
      <w:tabs>
        <w:tab w:val="left" w:pos="-1057"/>
        <w:tab w:val="left" w:pos="-787"/>
        <w:tab w:val="left" w:pos="142"/>
        <w:tab w:val="left" w:pos="720"/>
        <w:tab w:val="left" w:pos="1440"/>
        <w:tab w:val="left" w:pos="2160"/>
        <w:tab w:val="left" w:pos="2880"/>
        <w:tab w:val="left" w:pos="3600"/>
        <w:tab w:val="left" w:pos="4320"/>
        <w:tab w:val="left" w:pos="4500"/>
      </w:tabs>
      <w:ind w:left="-142"/>
    </w:pPr>
  </w:style>
  <w:style w:type="character" w:customStyle="1" w:styleId="Telobesedila-zamikZnak">
    <w:name w:val="Telo besedila - zamik Znak"/>
    <w:basedOn w:val="Privzetapisavaodstavka"/>
    <w:link w:val="Telobesedila-zamik"/>
    <w:uiPriority w:val="99"/>
    <w:semiHidden/>
    <w:locked/>
    <w:rsid w:val="00E66FBB"/>
    <w:rPr>
      <w:rFonts w:cs="Times New Roman"/>
      <w:sz w:val="20"/>
      <w:szCs w:val="20"/>
      <w:lang w:val="en-US" w:eastAsia="en-US"/>
    </w:rPr>
  </w:style>
  <w:style w:type="paragraph" w:styleId="Telobesedila-zamik2">
    <w:name w:val="Body Text Indent 2"/>
    <w:basedOn w:val="Navaden"/>
    <w:link w:val="Telobesedila-zamik2Znak"/>
    <w:uiPriority w:val="99"/>
    <w:rsid w:val="00653995"/>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ind w:left="31"/>
    </w:pPr>
  </w:style>
  <w:style w:type="character" w:customStyle="1" w:styleId="Telobesedila-zamik2Znak">
    <w:name w:val="Telo besedila - zamik 2 Znak"/>
    <w:basedOn w:val="Privzetapisavaodstavka"/>
    <w:link w:val="Telobesedila-zamik2"/>
    <w:uiPriority w:val="99"/>
    <w:locked/>
    <w:rsid w:val="00E66FBB"/>
    <w:rPr>
      <w:rFonts w:cs="Times New Roman"/>
      <w:sz w:val="20"/>
      <w:szCs w:val="20"/>
      <w:lang w:val="en-US" w:eastAsia="en-US"/>
    </w:rPr>
  </w:style>
  <w:style w:type="character" w:styleId="Hiperpovezava">
    <w:name w:val="Hyperlink"/>
    <w:basedOn w:val="Privzetapisavaodstavka"/>
    <w:uiPriority w:val="99"/>
    <w:rsid w:val="00653995"/>
    <w:rPr>
      <w:rFonts w:cs="Times New Roman"/>
      <w:color w:val="0000FF"/>
      <w:u w:val="single"/>
    </w:rPr>
  </w:style>
  <w:style w:type="paragraph" w:styleId="Telobesedila-zamik3">
    <w:name w:val="Body Text Indent 3"/>
    <w:basedOn w:val="Navaden"/>
    <w:link w:val="Telobesedila-zamik3Znak"/>
    <w:uiPriority w:val="99"/>
    <w:rsid w:val="00653995"/>
    <w:pPr>
      <w:tabs>
        <w:tab w:val="left" w:pos="-1049"/>
        <w:tab w:val="left" w:pos="-689"/>
        <w:tab w:val="left" w:pos="709"/>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ind w:left="709"/>
    </w:pPr>
  </w:style>
  <w:style w:type="character" w:customStyle="1" w:styleId="Telobesedila-zamik3Znak">
    <w:name w:val="Telo besedila - zamik 3 Znak"/>
    <w:basedOn w:val="Privzetapisavaodstavka"/>
    <w:link w:val="Telobesedila-zamik3"/>
    <w:uiPriority w:val="99"/>
    <w:semiHidden/>
    <w:locked/>
    <w:rsid w:val="00E66FBB"/>
    <w:rPr>
      <w:rFonts w:cs="Times New Roman"/>
      <w:sz w:val="16"/>
      <w:szCs w:val="16"/>
      <w:lang w:val="en-US" w:eastAsia="en-US"/>
    </w:rPr>
  </w:style>
  <w:style w:type="character" w:styleId="SledenaHiperpovezava">
    <w:name w:val="FollowedHyperlink"/>
    <w:basedOn w:val="Privzetapisavaodstavka"/>
    <w:uiPriority w:val="99"/>
    <w:rsid w:val="00653995"/>
    <w:rPr>
      <w:rFonts w:cs="Times New Roman"/>
      <w:color w:val="800080"/>
      <w:u w:val="single"/>
    </w:rPr>
  </w:style>
  <w:style w:type="paragraph" w:styleId="Blokbesedila">
    <w:name w:val="Block Text"/>
    <w:basedOn w:val="Navaden"/>
    <w:uiPriority w:val="99"/>
    <w:rsid w:val="00653995"/>
    <w:pPr>
      <w:tabs>
        <w:tab w:val="left" w:pos="-1049"/>
        <w:tab w:val="left" w:pos="-689"/>
        <w:tab w:val="left" w:pos="31"/>
        <w:tab w:val="left" w:pos="751"/>
        <w:tab w:val="left" w:pos="1471"/>
        <w:tab w:val="left" w:pos="2191"/>
        <w:tab w:val="left" w:pos="2911"/>
        <w:tab w:val="left" w:pos="3631"/>
        <w:tab w:val="left" w:pos="4351"/>
        <w:tab w:val="left" w:pos="4531"/>
        <w:tab w:val="left" w:pos="5071"/>
        <w:tab w:val="left" w:pos="5791"/>
        <w:tab w:val="left" w:pos="6511"/>
        <w:tab w:val="left" w:pos="7231"/>
        <w:tab w:val="left" w:pos="7951"/>
        <w:tab w:val="left" w:pos="9072"/>
      </w:tabs>
      <w:ind w:left="31" w:right="-283"/>
    </w:pPr>
    <w:rPr>
      <w:i/>
      <w:iCs/>
      <w:noProof/>
    </w:rPr>
  </w:style>
  <w:style w:type="paragraph" w:styleId="Golobesedilo">
    <w:name w:val="Plain Text"/>
    <w:basedOn w:val="Navaden"/>
    <w:link w:val="GolobesediloZnak"/>
    <w:uiPriority w:val="99"/>
    <w:rsid w:val="00653995"/>
    <w:pPr>
      <w:widowControl/>
    </w:pPr>
    <w:rPr>
      <w:rFonts w:ascii="Courier New" w:hAnsi="Courier New"/>
      <w:sz w:val="20"/>
      <w:lang w:val="en-AU"/>
    </w:rPr>
  </w:style>
  <w:style w:type="character" w:customStyle="1" w:styleId="GolobesediloZnak">
    <w:name w:val="Golo besedilo Znak"/>
    <w:basedOn w:val="Privzetapisavaodstavka"/>
    <w:link w:val="Golobesedilo"/>
    <w:uiPriority w:val="99"/>
    <w:semiHidden/>
    <w:locked/>
    <w:rsid w:val="00E66FBB"/>
    <w:rPr>
      <w:rFonts w:ascii="Courier New" w:hAnsi="Courier New" w:cs="Courier New"/>
      <w:sz w:val="20"/>
      <w:szCs w:val="20"/>
      <w:lang w:val="en-US" w:eastAsia="en-US"/>
    </w:rPr>
  </w:style>
  <w:style w:type="paragraph" w:styleId="Naslov">
    <w:name w:val="Title"/>
    <w:basedOn w:val="Navaden"/>
    <w:link w:val="NaslovZnak"/>
    <w:uiPriority w:val="99"/>
    <w:qFormat/>
    <w:rsid w:val="00653995"/>
    <w:pPr>
      <w:widowControl/>
      <w:jc w:val="center"/>
    </w:pPr>
    <w:rPr>
      <w:b/>
      <w:bCs/>
      <w:sz w:val="28"/>
      <w:lang w:val="en-GB"/>
    </w:rPr>
  </w:style>
  <w:style w:type="character" w:customStyle="1" w:styleId="NaslovZnak">
    <w:name w:val="Naslov Znak"/>
    <w:basedOn w:val="Privzetapisavaodstavka"/>
    <w:link w:val="Naslov"/>
    <w:uiPriority w:val="99"/>
    <w:locked/>
    <w:rsid w:val="00E66FBB"/>
    <w:rPr>
      <w:rFonts w:ascii="Cambria" w:hAnsi="Cambria" w:cs="Times New Roman"/>
      <w:b/>
      <w:bCs/>
      <w:kern w:val="28"/>
      <w:sz w:val="32"/>
      <w:szCs w:val="32"/>
      <w:lang w:val="en-US" w:eastAsia="en-US"/>
    </w:rPr>
  </w:style>
  <w:style w:type="paragraph" w:customStyle="1" w:styleId="ParagraphNumbering">
    <w:name w:val="Paragraph Numbering"/>
    <w:basedOn w:val="Navaden"/>
    <w:rsid w:val="00653995"/>
    <w:pPr>
      <w:widowControl/>
      <w:tabs>
        <w:tab w:val="left" w:pos="851"/>
      </w:tabs>
      <w:spacing w:after="240"/>
    </w:pPr>
    <w:rPr>
      <w:sz w:val="22"/>
    </w:rPr>
  </w:style>
  <w:style w:type="paragraph" w:styleId="Oznaenseznam">
    <w:name w:val="List Bullet"/>
    <w:basedOn w:val="Navaden"/>
    <w:autoRedefine/>
    <w:uiPriority w:val="99"/>
    <w:rsid w:val="00653995"/>
    <w:pPr>
      <w:numPr>
        <w:numId w:val="7"/>
      </w:numPr>
    </w:pPr>
  </w:style>
  <w:style w:type="paragraph" w:styleId="Navadensplet">
    <w:name w:val="Normal (Web)"/>
    <w:basedOn w:val="Navaden"/>
    <w:uiPriority w:val="99"/>
    <w:rsid w:val="00653995"/>
    <w:pPr>
      <w:widowControl/>
      <w:spacing w:before="100" w:beforeAutospacing="1" w:after="100" w:afterAutospacing="1"/>
      <w:jc w:val="left"/>
    </w:pPr>
    <w:rPr>
      <w:szCs w:val="24"/>
      <w:lang w:eastAsia="sl-SI"/>
    </w:rPr>
  </w:style>
  <w:style w:type="character" w:styleId="Poudarek">
    <w:name w:val="Emphasis"/>
    <w:basedOn w:val="Privzetapisavaodstavka"/>
    <w:uiPriority w:val="99"/>
    <w:qFormat/>
    <w:rsid w:val="00653995"/>
    <w:rPr>
      <w:rFonts w:cs="Times New Roman"/>
      <w:i/>
      <w:iCs/>
    </w:rPr>
  </w:style>
  <w:style w:type="paragraph" w:styleId="Seznam">
    <w:name w:val="List"/>
    <w:basedOn w:val="Navaden"/>
    <w:uiPriority w:val="99"/>
    <w:rsid w:val="00653995"/>
    <w:pPr>
      <w:ind w:left="283" w:hanging="283"/>
    </w:pPr>
  </w:style>
  <w:style w:type="paragraph" w:styleId="Seznam2">
    <w:name w:val="List 2"/>
    <w:basedOn w:val="Navaden"/>
    <w:uiPriority w:val="99"/>
    <w:rsid w:val="00653995"/>
    <w:pPr>
      <w:ind w:left="566" w:hanging="283"/>
    </w:pPr>
  </w:style>
  <w:style w:type="paragraph" w:styleId="Seznam3">
    <w:name w:val="List 3"/>
    <w:basedOn w:val="Navaden"/>
    <w:uiPriority w:val="99"/>
    <w:rsid w:val="00653995"/>
    <w:pPr>
      <w:ind w:left="849" w:hanging="283"/>
    </w:pPr>
  </w:style>
  <w:style w:type="paragraph" w:styleId="Uvodnipozdrav">
    <w:name w:val="Salutation"/>
    <w:basedOn w:val="Navaden"/>
    <w:next w:val="Navaden"/>
    <w:link w:val="UvodnipozdravZnak"/>
    <w:uiPriority w:val="99"/>
    <w:rsid w:val="00653995"/>
  </w:style>
  <w:style w:type="character" w:customStyle="1" w:styleId="UvodnipozdravZnak">
    <w:name w:val="Uvodni pozdrav Znak"/>
    <w:basedOn w:val="Privzetapisavaodstavka"/>
    <w:link w:val="Uvodnipozdrav"/>
    <w:uiPriority w:val="99"/>
    <w:semiHidden/>
    <w:locked/>
    <w:rsid w:val="00E66FBB"/>
    <w:rPr>
      <w:rFonts w:cs="Times New Roman"/>
      <w:sz w:val="20"/>
      <w:szCs w:val="20"/>
      <w:lang w:val="en-US" w:eastAsia="en-US"/>
    </w:rPr>
  </w:style>
  <w:style w:type="paragraph" w:styleId="Oznaenseznam2">
    <w:name w:val="List Bullet 2"/>
    <w:basedOn w:val="Navaden"/>
    <w:autoRedefine/>
    <w:uiPriority w:val="99"/>
    <w:rsid w:val="00D63149"/>
    <w:pPr>
      <w:spacing w:line="276" w:lineRule="auto"/>
      <w:ind w:right="-22"/>
    </w:pPr>
    <w:rPr>
      <w:rFonts w:ascii="Arial" w:hAnsi="Arial"/>
      <w:iCs/>
      <w:sz w:val="20"/>
    </w:rPr>
  </w:style>
  <w:style w:type="paragraph" w:styleId="Seznam-nadaljevanje">
    <w:name w:val="List Continue"/>
    <w:basedOn w:val="Navaden"/>
    <w:uiPriority w:val="99"/>
    <w:rsid w:val="00653995"/>
    <w:pPr>
      <w:spacing w:after="120"/>
      <w:ind w:left="283"/>
    </w:pPr>
  </w:style>
  <w:style w:type="paragraph" w:styleId="Seznam-nadaljevanje2">
    <w:name w:val="List Continue 2"/>
    <w:basedOn w:val="Navaden"/>
    <w:uiPriority w:val="99"/>
    <w:rsid w:val="00653995"/>
    <w:pPr>
      <w:spacing w:after="120"/>
      <w:ind w:left="566"/>
    </w:pPr>
  </w:style>
  <w:style w:type="character" w:customStyle="1" w:styleId="CharChar">
    <w:name w:val="Char Char"/>
    <w:basedOn w:val="Privzetapisavaodstavka"/>
    <w:uiPriority w:val="99"/>
    <w:rsid w:val="00653995"/>
    <w:rPr>
      <w:rFonts w:cs="Times New Roman"/>
      <w:bCs/>
      <w:i/>
      <w:iCs/>
      <w:snapToGrid w:val="0"/>
      <w:sz w:val="24"/>
      <w:lang w:val="sl-SI" w:eastAsia="en-US" w:bidi="ar-SA"/>
    </w:rPr>
  </w:style>
  <w:style w:type="character" w:styleId="Krepko">
    <w:name w:val="Strong"/>
    <w:basedOn w:val="Privzetapisavaodstavka"/>
    <w:uiPriority w:val="99"/>
    <w:qFormat/>
    <w:rsid w:val="00653995"/>
    <w:rPr>
      <w:rFonts w:cs="Times New Roman"/>
      <w:b/>
      <w:bCs/>
    </w:rPr>
  </w:style>
  <w:style w:type="table" w:styleId="Tabelamrea">
    <w:name w:val="Table Grid"/>
    <w:basedOn w:val="Navadnatabela"/>
    <w:uiPriority w:val="99"/>
    <w:rsid w:val="007A4A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naopomba-besedilo">
    <w:name w:val="endnote text"/>
    <w:basedOn w:val="Navaden"/>
    <w:link w:val="Konnaopomba-besediloZnak"/>
    <w:uiPriority w:val="99"/>
    <w:semiHidden/>
    <w:rsid w:val="007A4A08"/>
    <w:rPr>
      <w:sz w:val="20"/>
    </w:rPr>
  </w:style>
  <w:style w:type="character" w:customStyle="1" w:styleId="Konnaopomba-besediloZnak">
    <w:name w:val="Končna opomba - besedilo Znak"/>
    <w:basedOn w:val="Privzetapisavaodstavka"/>
    <w:link w:val="Konnaopomba-besedilo"/>
    <w:uiPriority w:val="99"/>
    <w:semiHidden/>
    <w:locked/>
    <w:rsid w:val="00E66FBB"/>
    <w:rPr>
      <w:rFonts w:cs="Times New Roman"/>
      <w:sz w:val="20"/>
      <w:szCs w:val="20"/>
      <w:lang w:val="en-US" w:eastAsia="en-US"/>
    </w:rPr>
  </w:style>
  <w:style w:type="paragraph" w:styleId="Odstavekseznama">
    <w:name w:val="List Paragraph"/>
    <w:basedOn w:val="Navaden"/>
    <w:uiPriority w:val="34"/>
    <w:qFormat/>
    <w:rsid w:val="00001F86"/>
    <w:pPr>
      <w:widowControl/>
      <w:ind w:left="720"/>
      <w:contextualSpacing/>
      <w:jc w:val="left"/>
    </w:pPr>
    <w:rPr>
      <w:rFonts w:cs="Times New Roman"/>
      <w:szCs w:val="24"/>
      <w:lang w:val="en-GB"/>
    </w:rPr>
  </w:style>
  <w:style w:type="character" w:styleId="Konnaopomba-sklic">
    <w:name w:val="endnote reference"/>
    <w:basedOn w:val="Privzetapisavaodstavka"/>
    <w:uiPriority w:val="99"/>
    <w:semiHidden/>
    <w:rsid w:val="008061FA"/>
    <w:rPr>
      <w:rFonts w:cs="Times New Roman"/>
      <w:vertAlign w:val="superscript"/>
    </w:rPr>
  </w:style>
  <w:style w:type="paragraph" w:customStyle="1" w:styleId="xl65">
    <w:name w:val="xl65"/>
    <w:basedOn w:val="Navaden"/>
    <w:rsid w:val="0088241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lang w:eastAsia="sl-SI"/>
    </w:rPr>
  </w:style>
  <w:style w:type="paragraph" w:customStyle="1" w:styleId="xl66">
    <w:name w:val="xl66"/>
    <w:basedOn w:val="Navaden"/>
    <w:rsid w:val="0088241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lang w:eastAsia="sl-SI"/>
    </w:rPr>
  </w:style>
  <w:style w:type="paragraph" w:customStyle="1" w:styleId="xl67">
    <w:name w:val="xl67"/>
    <w:basedOn w:val="Navaden"/>
    <w:rsid w:val="0088241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16"/>
      <w:szCs w:val="16"/>
      <w:lang w:eastAsia="sl-SI"/>
    </w:rPr>
  </w:style>
  <w:style w:type="paragraph" w:customStyle="1" w:styleId="xl68">
    <w:name w:val="xl68"/>
    <w:basedOn w:val="Navaden"/>
    <w:rsid w:val="0088241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lang w:eastAsia="sl-SI"/>
    </w:rPr>
  </w:style>
  <w:style w:type="paragraph" w:customStyle="1" w:styleId="xl69">
    <w:name w:val="xl69"/>
    <w:basedOn w:val="Navaden"/>
    <w:rsid w:val="008824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16"/>
      <w:szCs w:val="16"/>
      <w:lang w:eastAsia="sl-SI"/>
    </w:rPr>
  </w:style>
  <w:style w:type="paragraph" w:customStyle="1" w:styleId="xl70">
    <w:name w:val="xl70"/>
    <w:basedOn w:val="Navaden"/>
    <w:rsid w:val="0088241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lang w:eastAsia="sl-SI"/>
    </w:rPr>
  </w:style>
  <w:style w:type="paragraph" w:customStyle="1" w:styleId="xl71">
    <w:name w:val="xl71"/>
    <w:basedOn w:val="Navaden"/>
    <w:rsid w:val="0088241E"/>
    <w:pPr>
      <w:widowControl/>
      <w:spacing w:before="100" w:beforeAutospacing="1" w:after="100" w:afterAutospacing="1"/>
      <w:jc w:val="left"/>
    </w:pPr>
    <w:rPr>
      <w:rFonts w:ascii="Arial" w:hAnsi="Arial"/>
      <w:b/>
      <w:bCs/>
      <w:sz w:val="16"/>
      <w:szCs w:val="16"/>
      <w:lang w:eastAsia="sl-SI"/>
    </w:rPr>
  </w:style>
  <w:style w:type="paragraph" w:customStyle="1" w:styleId="xl72">
    <w:name w:val="xl72"/>
    <w:basedOn w:val="Navaden"/>
    <w:rsid w:val="0088241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16"/>
      <w:szCs w:val="16"/>
      <w:lang w:eastAsia="sl-SI"/>
    </w:rPr>
  </w:style>
  <w:style w:type="paragraph" w:customStyle="1" w:styleId="xl73">
    <w:name w:val="xl73"/>
    <w:basedOn w:val="Navaden"/>
    <w:rsid w:val="008824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6"/>
      <w:szCs w:val="16"/>
      <w:lang w:eastAsia="sl-SI"/>
    </w:rPr>
  </w:style>
  <w:style w:type="paragraph" w:customStyle="1" w:styleId="xl74">
    <w:name w:val="xl74"/>
    <w:basedOn w:val="Navaden"/>
    <w:rsid w:val="0088241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16"/>
      <w:szCs w:val="16"/>
      <w:lang w:eastAsia="sl-SI"/>
    </w:rPr>
  </w:style>
  <w:style w:type="paragraph" w:customStyle="1" w:styleId="xl75">
    <w:name w:val="xl75"/>
    <w:basedOn w:val="Navaden"/>
    <w:rsid w:val="0088241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lang w:eastAsia="sl-SI"/>
    </w:rPr>
  </w:style>
  <w:style w:type="paragraph" w:customStyle="1" w:styleId="xl76">
    <w:name w:val="xl76"/>
    <w:basedOn w:val="Navaden"/>
    <w:rsid w:val="008824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sz w:val="16"/>
      <w:szCs w:val="16"/>
      <w:lang w:eastAsia="sl-SI"/>
    </w:rPr>
  </w:style>
  <w:style w:type="paragraph" w:customStyle="1" w:styleId="xl77">
    <w:name w:val="xl77"/>
    <w:basedOn w:val="Navaden"/>
    <w:rsid w:val="0088241E"/>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left"/>
    </w:pPr>
    <w:rPr>
      <w:rFonts w:ascii="Arial" w:hAnsi="Arial"/>
      <w:sz w:val="16"/>
      <w:szCs w:val="16"/>
      <w:lang w:eastAsia="sl-SI"/>
    </w:rPr>
  </w:style>
  <w:style w:type="paragraph" w:customStyle="1" w:styleId="xl78">
    <w:name w:val="xl78"/>
    <w:basedOn w:val="Navaden"/>
    <w:rsid w:val="0088241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lang w:eastAsia="sl-SI"/>
    </w:rPr>
  </w:style>
  <w:style w:type="paragraph" w:customStyle="1" w:styleId="xl79">
    <w:name w:val="xl79"/>
    <w:basedOn w:val="Navaden"/>
    <w:rsid w:val="0088241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lang w:eastAsia="sl-SI"/>
    </w:rPr>
  </w:style>
  <w:style w:type="paragraph" w:customStyle="1" w:styleId="xl80">
    <w:name w:val="xl80"/>
    <w:basedOn w:val="Navaden"/>
    <w:rsid w:val="008824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b/>
      <w:bCs/>
      <w:sz w:val="20"/>
      <w:lang w:eastAsia="sl-SI"/>
    </w:rPr>
  </w:style>
  <w:style w:type="paragraph" w:customStyle="1" w:styleId="xl81">
    <w:name w:val="xl81"/>
    <w:basedOn w:val="Navaden"/>
    <w:rsid w:val="0088241E"/>
    <w:pPr>
      <w:widowControl/>
      <w:spacing w:before="100" w:beforeAutospacing="1" w:after="100" w:afterAutospacing="1"/>
      <w:jc w:val="left"/>
    </w:pPr>
    <w:rPr>
      <w:rFonts w:cs="Times New Roman"/>
      <w:szCs w:val="24"/>
      <w:lang w:eastAsia="sl-SI"/>
    </w:rPr>
  </w:style>
  <w:style w:type="paragraph" w:customStyle="1" w:styleId="xl82">
    <w:name w:val="xl82"/>
    <w:basedOn w:val="Navaden"/>
    <w:rsid w:val="008824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b/>
      <w:bCs/>
      <w:sz w:val="20"/>
      <w:lang w:eastAsia="sl-SI"/>
    </w:rPr>
  </w:style>
  <w:style w:type="paragraph" w:customStyle="1" w:styleId="xl83">
    <w:name w:val="xl83"/>
    <w:basedOn w:val="Navaden"/>
    <w:rsid w:val="0088241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Times New Roman"/>
      <w:b/>
      <w:bCs/>
      <w:sz w:val="20"/>
      <w:lang w:eastAsia="sl-SI"/>
    </w:rPr>
  </w:style>
  <w:style w:type="paragraph" w:customStyle="1" w:styleId="xl84">
    <w:name w:val="xl84"/>
    <w:basedOn w:val="Navaden"/>
    <w:rsid w:val="0088241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b/>
      <w:bCs/>
      <w:sz w:val="20"/>
      <w:lang w:eastAsia="sl-SI"/>
    </w:rPr>
  </w:style>
  <w:style w:type="paragraph" w:customStyle="1" w:styleId="xl85">
    <w:name w:val="xl85"/>
    <w:basedOn w:val="Navaden"/>
    <w:rsid w:val="0088241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20"/>
      <w:lang w:eastAsia="sl-SI"/>
    </w:rPr>
  </w:style>
  <w:style w:type="paragraph" w:customStyle="1" w:styleId="xl64">
    <w:name w:val="xl64"/>
    <w:basedOn w:val="Navaden"/>
    <w:rsid w:val="0006011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lang w:eastAsia="sl-SI"/>
    </w:rPr>
  </w:style>
  <w:style w:type="paragraph" w:customStyle="1" w:styleId="xl86">
    <w:name w:val="xl86"/>
    <w:basedOn w:val="Navaden"/>
    <w:rsid w:val="0006011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18"/>
      <w:szCs w:val="18"/>
      <w:lang w:eastAsia="sl-SI"/>
    </w:rPr>
  </w:style>
  <w:style w:type="paragraph" w:customStyle="1" w:styleId="xl87">
    <w:name w:val="xl87"/>
    <w:basedOn w:val="Navaden"/>
    <w:rsid w:val="0006011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8"/>
      <w:szCs w:val="18"/>
      <w:lang w:eastAsia="sl-SI"/>
    </w:rPr>
  </w:style>
  <w:style w:type="paragraph" w:customStyle="1" w:styleId="xl88">
    <w:name w:val="xl88"/>
    <w:basedOn w:val="Navaden"/>
    <w:rsid w:val="00060110"/>
    <w:pPr>
      <w:widowControl/>
      <w:spacing w:before="100" w:beforeAutospacing="1" w:after="100" w:afterAutospacing="1"/>
      <w:jc w:val="left"/>
    </w:pPr>
    <w:rPr>
      <w:rFonts w:ascii="Arial" w:hAnsi="Arial"/>
      <w:color w:val="FF0000"/>
      <w:sz w:val="16"/>
      <w:szCs w:val="16"/>
      <w:lang w:eastAsia="sl-SI"/>
    </w:rPr>
  </w:style>
  <w:style w:type="paragraph" w:customStyle="1" w:styleId="xl89">
    <w:name w:val="xl89"/>
    <w:basedOn w:val="Navaden"/>
    <w:rsid w:val="00060110"/>
    <w:pPr>
      <w:widowControl/>
      <w:spacing w:before="100" w:beforeAutospacing="1" w:after="100" w:afterAutospacing="1"/>
      <w:jc w:val="left"/>
    </w:pPr>
    <w:rPr>
      <w:rFonts w:ascii="Arial" w:hAnsi="Arial"/>
      <w:color w:val="800080"/>
      <w:sz w:val="16"/>
      <w:szCs w:val="16"/>
      <w:lang w:eastAsia="sl-SI"/>
    </w:rPr>
  </w:style>
  <w:style w:type="paragraph" w:customStyle="1" w:styleId="xl90">
    <w:name w:val="xl90"/>
    <w:basedOn w:val="Navaden"/>
    <w:rsid w:val="0006011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8"/>
      <w:szCs w:val="18"/>
      <w:lang w:eastAsia="sl-SI"/>
    </w:rPr>
  </w:style>
  <w:style w:type="paragraph" w:customStyle="1" w:styleId="xl91">
    <w:name w:val="xl91"/>
    <w:basedOn w:val="Navaden"/>
    <w:rsid w:val="0006011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18"/>
      <w:szCs w:val="18"/>
      <w:lang w:eastAsia="sl-SI"/>
    </w:rPr>
  </w:style>
  <w:style w:type="paragraph" w:customStyle="1" w:styleId="xl92">
    <w:name w:val="xl92"/>
    <w:basedOn w:val="Navaden"/>
    <w:rsid w:val="0006011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18"/>
      <w:szCs w:val="18"/>
      <w:lang w:eastAsia="sl-SI"/>
    </w:rPr>
  </w:style>
  <w:style w:type="paragraph" w:customStyle="1" w:styleId="xl93">
    <w:name w:val="xl93"/>
    <w:basedOn w:val="Navaden"/>
    <w:rsid w:val="0006011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18"/>
      <w:szCs w:val="18"/>
      <w:lang w:eastAsia="sl-SI"/>
    </w:rPr>
  </w:style>
  <w:style w:type="paragraph" w:customStyle="1" w:styleId="xl94">
    <w:name w:val="xl94"/>
    <w:basedOn w:val="Navaden"/>
    <w:rsid w:val="0006011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18"/>
      <w:szCs w:val="18"/>
      <w:lang w:eastAsia="sl-SI"/>
    </w:rPr>
  </w:style>
  <w:style w:type="paragraph" w:customStyle="1" w:styleId="xl95">
    <w:name w:val="xl95"/>
    <w:basedOn w:val="Navaden"/>
    <w:rsid w:val="00060110"/>
    <w:pPr>
      <w:widowControl/>
      <w:spacing w:before="100" w:beforeAutospacing="1" w:after="100" w:afterAutospacing="1"/>
      <w:jc w:val="right"/>
    </w:pPr>
    <w:rPr>
      <w:rFonts w:cs="Times New Roman"/>
      <w:szCs w:val="24"/>
      <w:lang w:eastAsia="sl-SI"/>
    </w:rPr>
  </w:style>
  <w:style w:type="paragraph" w:customStyle="1" w:styleId="xl96">
    <w:name w:val="xl96"/>
    <w:basedOn w:val="Navaden"/>
    <w:rsid w:val="00060110"/>
    <w:pPr>
      <w:widowControl/>
      <w:spacing w:before="100" w:beforeAutospacing="1" w:after="100" w:afterAutospacing="1"/>
      <w:jc w:val="left"/>
    </w:pPr>
    <w:rPr>
      <w:rFonts w:ascii="Arial" w:hAnsi="Arial"/>
      <w:sz w:val="16"/>
      <w:szCs w:val="16"/>
      <w:lang w:eastAsia="sl-SI"/>
    </w:rPr>
  </w:style>
  <w:style w:type="paragraph" w:customStyle="1" w:styleId="xl97">
    <w:name w:val="xl97"/>
    <w:basedOn w:val="Navaden"/>
    <w:rsid w:val="00060110"/>
    <w:pPr>
      <w:widowControl/>
      <w:spacing w:before="100" w:beforeAutospacing="1" w:after="100" w:afterAutospacing="1"/>
      <w:jc w:val="left"/>
    </w:pPr>
    <w:rPr>
      <w:rFonts w:ascii="Arial CE" w:hAnsi="Arial CE" w:cs="Times New Roman"/>
      <w:sz w:val="16"/>
      <w:szCs w:val="16"/>
      <w:lang w:eastAsia="sl-SI"/>
    </w:rPr>
  </w:style>
  <w:style w:type="paragraph" w:customStyle="1" w:styleId="xl98">
    <w:name w:val="xl98"/>
    <w:basedOn w:val="Navaden"/>
    <w:rsid w:val="00060110"/>
    <w:pPr>
      <w:widowControl/>
      <w:spacing w:before="100" w:beforeAutospacing="1" w:after="100" w:afterAutospacing="1"/>
      <w:jc w:val="left"/>
    </w:pPr>
    <w:rPr>
      <w:rFonts w:ascii="Arial" w:hAnsi="Arial"/>
      <w:sz w:val="16"/>
      <w:szCs w:val="16"/>
      <w:lang w:eastAsia="sl-SI"/>
    </w:rPr>
  </w:style>
  <w:style w:type="paragraph" w:customStyle="1" w:styleId="xl99">
    <w:name w:val="xl99"/>
    <w:basedOn w:val="Navaden"/>
    <w:rsid w:val="00060110"/>
    <w:pPr>
      <w:widowControl/>
      <w:spacing w:before="100" w:beforeAutospacing="1" w:after="100" w:afterAutospacing="1"/>
      <w:jc w:val="center"/>
    </w:pPr>
    <w:rPr>
      <w:rFonts w:ascii="Arial" w:hAnsi="Arial"/>
      <w:sz w:val="16"/>
      <w:szCs w:val="16"/>
      <w:lang w:eastAsia="sl-SI"/>
    </w:rPr>
  </w:style>
  <w:style w:type="paragraph" w:customStyle="1" w:styleId="xl100">
    <w:name w:val="xl100"/>
    <w:basedOn w:val="Navaden"/>
    <w:rsid w:val="00060110"/>
    <w:pPr>
      <w:widowControl/>
      <w:spacing w:before="100" w:beforeAutospacing="1" w:after="100" w:afterAutospacing="1"/>
      <w:jc w:val="left"/>
    </w:pPr>
    <w:rPr>
      <w:rFonts w:ascii="Arial" w:hAnsi="Arial"/>
      <w:sz w:val="16"/>
      <w:szCs w:val="16"/>
      <w:lang w:eastAsia="sl-SI"/>
    </w:rPr>
  </w:style>
  <w:style w:type="paragraph" w:customStyle="1" w:styleId="xl101">
    <w:name w:val="xl101"/>
    <w:basedOn w:val="Navaden"/>
    <w:rsid w:val="00060110"/>
    <w:pPr>
      <w:widowControl/>
      <w:spacing w:before="100" w:beforeAutospacing="1" w:after="100" w:afterAutospacing="1"/>
      <w:jc w:val="left"/>
    </w:pPr>
    <w:rPr>
      <w:rFonts w:ascii="Arial" w:hAnsi="Arial"/>
      <w:sz w:val="16"/>
      <w:szCs w:val="16"/>
      <w:lang w:eastAsia="sl-SI"/>
    </w:rPr>
  </w:style>
  <w:style w:type="paragraph" w:customStyle="1" w:styleId="xl102">
    <w:name w:val="xl102"/>
    <w:basedOn w:val="Navaden"/>
    <w:rsid w:val="00060110"/>
    <w:pPr>
      <w:widowControl/>
      <w:spacing w:before="100" w:beforeAutospacing="1" w:after="100" w:afterAutospacing="1"/>
      <w:jc w:val="left"/>
    </w:pPr>
    <w:rPr>
      <w:rFonts w:ascii="Arial" w:hAnsi="Arial"/>
      <w:sz w:val="18"/>
      <w:szCs w:val="18"/>
      <w:lang w:eastAsia="sl-SI"/>
    </w:rPr>
  </w:style>
  <w:style w:type="paragraph" w:customStyle="1" w:styleId="xl103">
    <w:name w:val="xl103"/>
    <w:basedOn w:val="Navaden"/>
    <w:rsid w:val="0006011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sz w:val="18"/>
      <w:szCs w:val="18"/>
      <w:lang w:eastAsia="sl-SI"/>
    </w:rPr>
  </w:style>
  <w:style w:type="paragraph" w:customStyle="1" w:styleId="xl104">
    <w:name w:val="xl104"/>
    <w:basedOn w:val="Navaden"/>
    <w:rsid w:val="00060110"/>
    <w:pPr>
      <w:widowControl/>
      <w:spacing w:before="100" w:beforeAutospacing="1" w:after="100" w:afterAutospacing="1"/>
      <w:jc w:val="center"/>
    </w:pPr>
    <w:rPr>
      <w:rFonts w:ascii="Arial" w:hAnsi="Arial"/>
      <w:b/>
      <w:bCs/>
      <w:sz w:val="16"/>
      <w:szCs w:val="16"/>
      <w:lang w:eastAsia="sl-SI"/>
    </w:rPr>
  </w:style>
  <w:style w:type="paragraph" w:customStyle="1" w:styleId="xl105">
    <w:name w:val="xl105"/>
    <w:basedOn w:val="Navaden"/>
    <w:rsid w:val="000601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cs="Times New Roman"/>
      <w:b/>
      <w:bCs/>
      <w:sz w:val="16"/>
      <w:szCs w:val="16"/>
      <w:lang w:eastAsia="sl-SI"/>
    </w:rPr>
  </w:style>
  <w:style w:type="paragraph" w:customStyle="1" w:styleId="xl106">
    <w:name w:val="xl106"/>
    <w:basedOn w:val="Navaden"/>
    <w:rsid w:val="0006011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E" w:hAnsi="Arial CE" w:cs="Times New Roman"/>
      <w:b/>
      <w:bCs/>
      <w:sz w:val="16"/>
      <w:szCs w:val="16"/>
      <w:lang w:eastAsia="sl-SI"/>
    </w:rPr>
  </w:style>
  <w:style w:type="paragraph" w:customStyle="1" w:styleId="xl107">
    <w:name w:val="xl107"/>
    <w:basedOn w:val="Navaden"/>
    <w:rsid w:val="000601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16"/>
      <w:szCs w:val="16"/>
      <w:lang w:eastAsia="sl-SI"/>
    </w:rPr>
  </w:style>
  <w:style w:type="paragraph" w:customStyle="1" w:styleId="xl108">
    <w:name w:val="xl108"/>
    <w:basedOn w:val="Navaden"/>
    <w:rsid w:val="000601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16"/>
      <w:szCs w:val="16"/>
      <w:lang w:eastAsia="sl-SI"/>
    </w:rPr>
  </w:style>
  <w:style w:type="paragraph" w:customStyle="1" w:styleId="xl109">
    <w:name w:val="xl109"/>
    <w:basedOn w:val="Navaden"/>
    <w:rsid w:val="000601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cs="Times New Roman"/>
      <w:b/>
      <w:bCs/>
      <w:sz w:val="16"/>
      <w:szCs w:val="16"/>
      <w:lang w:eastAsia="sl-SI"/>
    </w:rPr>
  </w:style>
  <w:style w:type="paragraph" w:customStyle="1" w:styleId="xl110">
    <w:name w:val="xl110"/>
    <w:basedOn w:val="Navaden"/>
    <w:rsid w:val="000601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16"/>
      <w:szCs w:val="16"/>
      <w:lang w:eastAsia="sl-SI"/>
    </w:rPr>
  </w:style>
  <w:style w:type="paragraph" w:customStyle="1" w:styleId="xl111">
    <w:name w:val="xl111"/>
    <w:basedOn w:val="Navaden"/>
    <w:rsid w:val="000601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16"/>
      <w:szCs w:val="16"/>
      <w:lang w:eastAsia="sl-SI"/>
    </w:rPr>
  </w:style>
  <w:style w:type="paragraph" w:customStyle="1" w:styleId="xl112">
    <w:name w:val="xl112"/>
    <w:basedOn w:val="Navaden"/>
    <w:rsid w:val="000601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16"/>
      <w:szCs w:val="16"/>
      <w:lang w:eastAsia="sl-SI"/>
    </w:rPr>
  </w:style>
  <w:style w:type="paragraph" w:customStyle="1" w:styleId="xl113">
    <w:name w:val="xl113"/>
    <w:basedOn w:val="Navaden"/>
    <w:rsid w:val="000601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16"/>
      <w:szCs w:val="16"/>
      <w:lang w:eastAsia="sl-SI"/>
    </w:rPr>
  </w:style>
  <w:style w:type="paragraph" w:customStyle="1" w:styleId="xl114">
    <w:name w:val="xl114"/>
    <w:basedOn w:val="Navaden"/>
    <w:rsid w:val="0006011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b/>
      <w:bCs/>
      <w:sz w:val="18"/>
      <w:szCs w:val="18"/>
      <w:lang w:eastAsia="sl-SI"/>
    </w:rPr>
  </w:style>
  <w:style w:type="paragraph" w:customStyle="1" w:styleId="xl115">
    <w:name w:val="xl115"/>
    <w:basedOn w:val="Navaden"/>
    <w:rsid w:val="0006011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b/>
      <w:bCs/>
      <w:sz w:val="18"/>
      <w:szCs w:val="18"/>
      <w:lang w:eastAsia="sl-SI"/>
    </w:rPr>
  </w:style>
  <w:style w:type="paragraph" w:customStyle="1" w:styleId="xl116">
    <w:name w:val="xl116"/>
    <w:basedOn w:val="Navaden"/>
    <w:rsid w:val="0006011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b/>
      <w:bCs/>
      <w:sz w:val="18"/>
      <w:szCs w:val="18"/>
      <w:lang w:eastAsia="sl-SI"/>
    </w:rPr>
  </w:style>
  <w:style w:type="paragraph" w:customStyle="1" w:styleId="xl117">
    <w:name w:val="xl117"/>
    <w:basedOn w:val="Navaden"/>
    <w:rsid w:val="0006011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16"/>
      <w:szCs w:val="16"/>
      <w:lang w:eastAsia="sl-SI"/>
    </w:rPr>
  </w:style>
  <w:style w:type="paragraph" w:customStyle="1" w:styleId="space">
    <w:name w:val="space"/>
    <w:basedOn w:val="Navaden"/>
    <w:rsid w:val="006E1563"/>
    <w:pPr>
      <w:widowControl/>
      <w:spacing w:after="210"/>
      <w:jc w:val="left"/>
    </w:pPr>
    <w:rPr>
      <w:rFonts w:cs="Times New Roman"/>
      <w:color w:val="333333"/>
      <w:sz w:val="18"/>
      <w:szCs w:val="18"/>
      <w:lang w:eastAsia="sl-SI"/>
    </w:rPr>
  </w:style>
  <w:style w:type="paragraph" w:customStyle="1" w:styleId="Naslovnadlenom">
    <w:name w:val="Naslov nad členom"/>
    <w:basedOn w:val="Navaden"/>
    <w:link w:val="NaslovnadlenomZnak"/>
    <w:qFormat/>
    <w:rsid w:val="00E92FA9"/>
    <w:pPr>
      <w:widowControl/>
      <w:tabs>
        <w:tab w:val="left" w:pos="540"/>
        <w:tab w:val="left" w:pos="900"/>
      </w:tabs>
      <w:overflowPunct w:val="0"/>
      <w:autoSpaceDE w:val="0"/>
      <w:autoSpaceDN w:val="0"/>
      <w:adjustRightInd w:val="0"/>
      <w:spacing w:before="480"/>
      <w:jc w:val="center"/>
      <w:textAlignment w:val="baseline"/>
    </w:pPr>
    <w:rPr>
      <w:rFonts w:ascii="Arial" w:hAnsi="Arial" w:cs="Times New Roman"/>
      <w:b/>
      <w:sz w:val="22"/>
      <w:szCs w:val="22"/>
    </w:rPr>
  </w:style>
  <w:style w:type="character" w:customStyle="1" w:styleId="NaslovnadlenomZnak">
    <w:name w:val="Naslov nad členom Znak"/>
    <w:link w:val="Naslovnadlenom"/>
    <w:rsid w:val="00E92FA9"/>
    <w:rPr>
      <w:rFonts w:ascii="Arial" w:hAnsi="Arial" w:cs="Times New Roman"/>
      <w:b/>
      <w:sz w:val="22"/>
      <w:szCs w:val="22"/>
    </w:rPr>
  </w:style>
  <w:style w:type="paragraph" w:customStyle="1" w:styleId="eventsback">
    <w:name w:val="events_back"/>
    <w:basedOn w:val="Navaden"/>
    <w:rsid w:val="009B5F30"/>
    <w:pPr>
      <w:widowControl/>
      <w:spacing w:after="210"/>
      <w:jc w:val="left"/>
    </w:pPr>
    <w:rPr>
      <w:rFonts w:ascii="Arial" w:hAnsi="Arial"/>
      <w:color w:val="333333"/>
      <w:sz w:val="29"/>
      <w:szCs w:val="29"/>
      <w:lang w:eastAsia="sl-SI"/>
    </w:rPr>
  </w:style>
  <w:style w:type="character" w:styleId="Pripombasklic">
    <w:name w:val="annotation reference"/>
    <w:basedOn w:val="Privzetapisavaodstavka"/>
    <w:uiPriority w:val="99"/>
    <w:semiHidden/>
    <w:unhideWhenUsed/>
    <w:locked/>
    <w:rsid w:val="003D2B5A"/>
    <w:rPr>
      <w:sz w:val="16"/>
      <w:szCs w:val="16"/>
    </w:rPr>
  </w:style>
  <w:style w:type="paragraph" w:styleId="Pripombabesedilo">
    <w:name w:val="annotation text"/>
    <w:basedOn w:val="Navaden"/>
    <w:link w:val="PripombabesediloZnak"/>
    <w:uiPriority w:val="99"/>
    <w:semiHidden/>
    <w:unhideWhenUsed/>
    <w:locked/>
    <w:rsid w:val="003D2B5A"/>
    <w:rPr>
      <w:sz w:val="20"/>
    </w:rPr>
  </w:style>
  <w:style w:type="character" w:customStyle="1" w:styleId="PripombabesediloZnak">
    <w:name w:val="Pripomba – besedilo Znak"/>
    <w:basedOn w:val="Privzetapisavaodstavka"/>
    <w:link w:val="Pripombabesedilo"/>
    <w:uiPriority w:val="99"/>
    <w:semiHidden/>
    <w:rsid w:val="003D2B5A"/>
    <w:rPr>
      <w:lang w:val="en-US" w:eastAsia="en-US"/>
    </w:rPr>
  </w:style>
  <w:style w:type="paragraph" w:styleId="Zadevapripombe">
    <w:name w:val="annotation subject"/>
    <w:basedOn w:val="Pripombabesedilo"/>
    <w:next w:val="Pripombabesedilo"/>
    <w:link w:val="ZadevapripombeZnak"/>
    <w:uiPriority w:val="99"/>
    <w:semiHidden/>
    <w:unhideWhenUsed/>
    <w:locked/>
    <w:rsid w:val="003D2B5A"/>
    <w:rPr>
      <w:b/>
      <w:bCs/>
    </w:rPr>
  </w:style>
  <w:style w:type="character" w:customStyle="1" w:styleId="ZadevapripombeZnak">
    <w:name w:val="Zadeva pripombe Znak"/>
    <w:basedOn w:val="PripombabesediloZnak"/>
    <w:link w:val="Zadevapripombe"/>
    <w:uiPriority w:val="99"/>
    <w:semiHidden/>
    <w:rsid w:val="003D2B5A"/>
    <w:rPr>
      <w:b/>
      <w:bCs/>
      <w:lang w:val="en-US" w:eastAsia="en-US"/>
    </w:rPr>
  </w:style>
  <w:style w:type="character" w:customStyle="1" w:styleId="Nerazreenaomemba1">
    <w:name w:val="Nerazrešena omemba1"/>
    <w:basedOn w:val="Privzetapisavaodstavka"/>
    <w:uiPriority w:val="99"/>
    <w:semiHidden/>
    <w:unhideWhenUsed/>
    <w:rsid w:val="00D262B3"/>
    <w:rPr>
      <w:color w:val="605E5C"/>
      <w:shd w:val="clear" w:color="auto" w:fill="E1DFDD"/>
    </w:rPr>
  </w:style>
  <w:style w:type="paragraph" w:styleId="Revizija">
    <w:name w:val="Revision"/>
    <w:hidden/>
    <w:uiPriority w:val="99"/>
    <w:semiHidden/>
    <w:rsid w:val="00873AC7"/>
    <w:rPr>
      <w:sz w:val="24"/>
      <w:lang w:eastAsia="en-US"/>
    </w:rPr>
  </w:style>
  <w:style w:type="character" w:styleId="Nerazreenaomemba">
    <w:name w:val="Unresolved Mention"/>
    <w:basedOn w:val="Privzetapisavaodstavka"/>
    <w:uiPriority w:val="99"/>
    <w:semiHidden/>
    <w:unhideWhenUsed/>
    <w:rsid w:val="00EF2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68">
      <w:bodyDiv w:val="1"/>
      <w:marLeft w:val="0"/>
      <w:marRight w:val="0"/>
      <w:marTop w:val="0"/>
      <w:marBottom w:val="0"/>
      <w:divBdr>
        <w:top w:val="none" w:sz="0" w:space="0" w:color="auto"/>
        <w:left w:val="none" w:sz="0" w:space="0" w:color="auto"/>
        <w:bottom w:val="none" w:sz="0" w:space="0" w:color="auto"/>
        <w:right w:val="none" w:sz="0" w:space="0" w:color="auto"/>
      </w:divBdr>
    </w:div>
    <w:div w:id="1664652">
      <w:bodyDiv w:val="1"/>
      <w:marLeft w:val="0"/>
      <w:marRight w:val="0"/>
      <w:marTop w:val="0"/>
      <w:marBottom w:val="0"/>
      <w:divBdr>
        <w:top w:val="none" w:sz="0" w:space="0" w:color="auto"/>
        <w:left w:val="none" w:sz="0" w:space="0" w:color="auto"/>
        <w:bottom w:val="none" w:sz="0" w:space="0" w:color="auto"/>
        <w:right w:val="none" w:sz="0" w:space="0" w:color="auto"/>
      </w:divBdr>
    </w:div>
    <w:div w:id="13265673">
      <w:marLeft w:val="0"/>
      <w:marRight w:val="0"/>
      <w:marTop w:val="0"/>
      <w:marBottom w:val="0"/>
      <w:divBdr>
        <w:top w:val="none" w:sz="0" w:space="0" w:color="auto"/>
        <w:left w:val="none" w:sz="0" w:space="0" w:color="auto"/>
        <w:bottom w:val="none" w:sz="0" w:space="0" w:color="auto"/>
        <w:right w:val="none" w:sz="0" w:space="0" w:color="auto"/>
      </w:divBdr>
    </w:div>
    <w:div w:id="13265674">
      <w:marLeft w:val="0"/>
      <w:marRight w:val="0"/>
      <w:marTop w:val="0"/>
      <w:marBottom w:val="0"/>
      <w:divBdr>
        <w:top w:val="none" w:sz="0" w:space="0" w:color="auto"/>
        <w:left w:val="none" w:sz="0" w:space="0" w:color="auto"/>
        <w:bottom w:val="none" w:sz="0" w:space="0" w:color="auto"/>
        <w:right w:val="none" w:sz="0" w:space="0" w:color="auto"/>
      </w:divBdr>
    </w:div>
    <w:div w:id="13265675">
      <w:marLeft w:val="0"/>
      <w:marRight w:val="0"/>
      <w:marTop w:val="0"/>
      <w:marBottom w:val="0"/>
      <w:divBdr>
        <w:top w:val="none" w:sz="0" w:space="0" w:color="auto"/>
        <w:left w:val="none" w:sz="0" w:space="0" w:color="auto"/>
        <w:bottom w:val="none" w:sz="0" w:space="0" w:color="auto"/>
        <w:right w:val="none" w:sz="0" w:space="0" w:color="auto"/>
      </w:divBdr>
    </w:div>
    <w:div w:id="13265676">
      <w:marLeft w:val="0"/>
      <w:marRight w:val="0"/>
      <w:marTop w:val="0"/>
      <w:marBottom w:val="0"/>
      <w:divBdr>
        <w:top w:val="none" w:sz="0" w:space="0" w:color="auto"/>
        <w:left w:val="none" w:sz="0" w:space="0" w:color="auto"/>
        <w:bottom w:val="none" w:sz="0" w:space="0" w:color="auto"/>
        <w:right w:val="none" w:sz="0" w:space="0" w:color="auto"/>
      </w:divBdr>
    </w:div>
    <w:div w:id="13265677">
      <w:marLeft w:val="0"/>
      <w:marRight w:val="0"/>
      <w:marTop w:val="0"/>
      <w:marBottom w:val="0"/>
      <w:divBdr>
        <w:top w:val="none" w:sz="0" w:space="0" w:color="auto"/>
        <w:left w:val="none" w:sz="0" w:space="0" w:color="auto"/>
        <w:bottom w:val="none" w:sz="0" w:space="0" w:color="auto"/>
        <w:right w:val="none" w:sz="0" w:space="0" w:color="auto"/>
      </w:divBdr>
    </w:div>
    <w:div w:id="13265678">
      <w:marLeft w:val="0"/>
      <w:marRight w:val="0"/>
      <w:marTop w:val="0"/>
      <w:marBottom w:val="0"/>
      <w:divBdr>
        <w:top w:val="none" w:sz="0" w:space="0" w:color="auto"/>
        <w:left w:val="none" w:sz="0" w:space="0" w:color="auto"/>
        <w:bottom w:val="none" w:sz="0" w:space="0" w:color="auto"/>
        <w:right w:val="none" w:sz="0" w:space="0" w:color="auto"/>
      </w:divBdr>
    </w:div>
    <w:div w:id="13265679">
      <w:marLeft w:val="0"/>
      <w:marRight w:val="0"/>
      <w:marTop w:val="0"/>
      <w:marBottom w:val="0"/>
      <w:divBdr>
        <w:top w:val="none" w:sz="0" w:space="0" w:color="auto"/>
        <w:left w:val="none" w:sz="0" w:space="0" w:color="auto"/>
        <w:bottom w:val="none" w:sz="0" w:space="0" w:color="auto"/>
        <w:right w:val="none" w:sz="0" w:space="0" w:color="auto"/>
      </w:divBdr>
    </w:div>
    <w:div w:id="13265680">
      <w:marLeft w:val="0"/>
      <w:marRight w:val="0"/>
      <w:marTop w:val="0"/>
      <w:marBottom w:val="0"/>
      <w:divBdr>
        <w:top w:val="none" w:sz="0" w:space="0" w:color="auto"/>
        <w:left w:val="none" w:sz="0" w:space="0" w:color="auto"/>
        <w:bottom w:val="none" w:sz="0" w:space="0" w:color="auto"/>
        <w:right w:val="none" w:sz="0" w:space="0" w:color="auto"/>
      </w:divBdr>
    </w:div>
    <w:div w:id="13265681">
      <w:marLeft w:val="0"/>
      <w:marRight w:val="0"/>
      <w:marTop w:val="0"/>
      <w:marBottom w:val="0"/>
      <w:divBdr>
        <w:top w:val="none" w:sz="0" w:space="0" w:color="auto"/>
        <w:left w:val="none" w:sz="0" w:space="0" w:color="auto"/>
        <w:bottom w:val="none" w:sz="0" w:space="0" w:color="auto"/>
        <w:right w:val="none" w:sz="0" w:space="0" w:color="auto"/>
      </w:divBdr>
    </w:div>
    <w:div w:id="13265682">
      <w:marLeft w:val="0"/>
      <w:marRight w:val="0"/>
      <w:marTop w:val="0"/>
      <w:marBottom w:val="0"/>
      <w:divBdr>
        <w:top w:val="none" w:sz="0" w:space="0" w:color="auto"/>
        <w:left w:val="none" w:sz="0" w:space="0" w:color="auto"/>
        <w:bottom w:val="none" w:sz="0" w:space="0" w:color="auto"/>
        <w:right w:val="none" w:sz="0" w:space="0" w:color="auto"/>
      </w:divBdr>
    </w:div>
    <w:div w:id="13265683">
      <w:marLeft w:val="0"/>
      <w:marRight w:val="0"/>
      <w:marTop w:val="0"/>
      <w:marBottom w:val="0"/>
      <w:divBdr>
        <w:top w:val="none" w:sz="0" w:space="0" w:color="auto"/>
        <w:left w:val="none" w:sz="0" w:space="0" w:color="auto"/>
        <w:bottom w:val="none" w:sz="0" w:space="0" w:color="auto"/>
        <w:right w:val="none" w:sz="0" w:space="0" w:color="auto"/>
      </w:divBdr>
    </w:div>
    <w:div w:id="13265684">
      <w:marLeft w:val="0"/>
      <w:marRight w:val="0"/>
      <w:marTop w:val="0"/>
      <w:marBottom w:val="0"/>
      <w:divBdr>
        <w:top w:val="none" w:sz="0" w:space="0" w:color="auto"/>
        <w:left w:val="none" w:sz="0" w:space="0" w:color="auto"/>
        <w:bottom w:val="none" w:sz="0" w:space="0" w:color="auto"/>
        <w:right w:val="none" w:sz="0" w:space="0" w:color="auto"/>
      </w:divBdr>
    </w:div>
    <w:div w:id="13265685">
      <w:marLeft w:val="0"/>
      <w:marRight w:val="0"/>
      <w:marTop w:val="0"/>
      <w:marBottom w:val="0"/>
      <w:divBdr>
        <w:top w:val="none" w:sz="0" w:space="0" w:color="auto"/>
        <w:left w:val="none" w:sz="0" w:space="0" w:color="auto"/>
        <w:bottom w:val="none" w:sz="0" w:space="0" w:color="auto"/>
        <w:right w:val="none" w:sz="0" w:space="0" w:color="auto"/>
      </w:divBdr>
    </w:div>
    <w:div w:id="13265686">
      <w:marLeft w:val="0"/>
      <w:marRight w:val="0"/>
      <w:marTop w:val="0"/>
      <w:marBottom w:val="0"/>
      <w:divBdr>
        <w:top w:val="none" w:sz="0" w:space="0" w:color="auto"/>
        <w:left w:val="none" w:sz="0" w:space="0" w:color="auto"/>
        <w:bottom w:val="none" w:sz="0" w:space="0" w:color="auto"/>
        <w:right w:val="none" w:sz="0" w:space="0" w:color="auto"/>
      </w:divBdr>
    </w:div>
    <w:div w:id="13265687">
      <w:marLeft w:val="0"/>
      <w:marRight w:val="0"/>
      <w:marTop w:val="0"/>
      <w:marBottom w:val="0"/>
      <w:divBdr>
        <w:top w:val="none" w:sz="0" w:space="0" w:color="auto"/>
        <w:left w:val="none" w:sz="0" w:space="0" w:color="auto"/>
        <w:bottom w:val="none" w:sz="0" w:space="0" w:color="auto"/>
        <w:right w:val="none" w:sz="0" w:space="0" w:color="auto"/>
      </w:divBdr>
    </w:div>
    <w:div w:id="13265688">
      <w:marLeft w:val="0"/>
      <w:marRight w:val="0"/>
      <w:marTop w:val="0"/>
      <w:marBottom w:val="0"/>
      <w:divBdr>
        <w:top w:val="none" w:sz="0" w:space="0" w:color="auto"/>
        <w:left w:val="none" w:sz="0" w:space="0" w:color="auto"/>
        <w:bottom w:val="none" w:sz="0" w:space="0" w:color="auto"/>
        <w:right w:val="none" w:sz="0" w:space="0" w:color="auto"/>
      </w:divBdr>
    </w:div>
    <w:div w:id="13265689">
      <w:marLeft w:val="0"/>
      <w:marRight w:val="0"/>
      <w:marTop w:val="0"/>
      <w:marBottom w:val="0"/>
      <w:divBdr>
        <w:top w:val="none" w:sz="0" w:space="0" w:color="auto"/>
        <w:left w:val="none" w:sz="0" w:space="0" w:color="auto"/>
        <w:bottom w:val="none" w:sz="0" w:space="0" w:color="auto"/>
        <w:right w:val="none" w:sz="0" w:space="0" w:color="auto"/>
      </w:divBdr>
    </w:div>
    <w:div w:id="13265690">
      <w:marLeft w:val="0"/>
      <w:marRight w:val="0"/>
      <w:marTop w:val="0"/>
      <w:marBottom w:val="0"/>
      <w:divBdr>
        <w:top w:val="none" w:sz="0" w:space="0" w:color="auto"/>
        <w:left w:val="none" w:sz="0" w:space="0" w:color="auto"/>
        <w:bottom w:val="none" w:sz="0" w:space="0" w:color="auto"/>
        <w:right w:val="none" w:sz="0" w:space="0" w:color="auto"/>
      </w:divBdr>
    </w:div>
    <w:div w:id="13265691">
      <w:marLeft w:val="0"/>
      <w:marRight w:val="0"/>
      <w:marTop w:val="0"/>
      <w:marBottom w:val="0"/>
      <w:divBdr>
        <w:top w:val="none" w:sz="0" w:space="0" w:color="auto"/>
        <w:left w:val="none" w:sz="0" w:space="0" w:color="auto"/>
        <w:bottom w:val="none" w:sz="0" w:space="0" w:color="auto"/>
        <w:right w:val="none" w:sz="0" w:space="0" w:color="auto"/>
      </w:divBdr>
    </w:div>
    <w:div w:id="13265692">
      <w:marLeft w:val="0"/>
      <w:marRight w:val="0"/>
      <w:marTop w:val="0"/>
      <w:marBottom w:val="0"/>
      <w:divBdr>
        <w:top w:val="none" w:sz="0" w:space="0" w:color="auto"/>
        <w:left w:val="none" w:sz="0" w:space="0" w:color="auto"/>
        <w:bottom w:val="none" w:sz="0" w:space="0" w:color="auto"/>
        <w:right w:val="none" w:sz="0" w:space="0" w:color="auto"/>
      </w:divBdr>
    </w:div>
    <w:div w:id="13265693">
      <w:marLeft w:val="0"/>
      <w:marRight w:val="0"/>
      <w:marTop w:val="0"/>
      <w:marBottom w:val="0"/>
      <w:divBdr>
        <w:top w:val="none" w:sz="0" w:space="0" w:color="auto"/>
        <w:left w:val="none" w:sz="0" w:space="0" w:color="auto"/>
        <w:bottom w:val="none" w:sz="0" w:space="0" w:color="auto"/>
        <w:right w:val="none" w:sz="0" w:space="0" w:color="auto"/>
      </w:divBdr>
    </w:div>
    <w:div w:id="13265694">
      <w:marLeft w:val="0"/>
      <w:marRight w:val="0"/>
      <w:marTop w:val="0"/>
      <w:marBottom w:val="0"/>
      <w:divBdr>
        <w:top w:val="none" w:sz="0" w:space="0" w:color="auto"/>
        <w:left w:val="none" w:sz="0" w:space="0" w:color="auto"/>
        <w:bottom w:val="none" w:sz="0" w:space="0" w:color="auto"/>
        <w:right w:val="none" w:sz="0" w:space="0" w:color="auto"/>
      </w:divBdr>
    </w:div>
    <w:div w:id="13265695">
      <w:marLeft w:val="0"/>
      <w:marRight w:val="0"/>
      <w:marTop w:val="0"/>
      <w:marBottom w:val="0"/>
      <w:divBdr>
        <w:top w:val="none" w:sz="0" w:space="0" w:color="auto"/>
        <w:left w:val="none" w:sz="0" w:space="0" w:color="auto"/>
        <w:bottom w:val="none" w:sz="0" w:space="0" w:color="auto"/>
        <w:right w:val="none" w:sz="0" w:space="0" w:color="auto"/>
      </w:divBdr>
    </w:div>
    <w:div w:id="13265696">
      <w:marLeft w:val="0"/>
      <w:marRight w:val="0"/>
      <w:marTop w:val="0"/>
      <w:marBottom w:val="0"/>
      <w:divBdr>
        <w:top w:val="none" w:sz="0" w:space="0" w:color="auto"/>
        <w:left w:val="none" w:sz="0" w:space="0" w:color="auto"/>
        <w:bottom w:val="none" w:sz="0" w:space="0" w:color="auto"/>
        <w:right w:val="none" w:sz="0" w:space="0" w:color="auto"/>
      </w:divBdr>
    </w:div>
    <w:div w:id="13265697">
      <w:marLeft w:val="0"/>
      <w:marRight w:val="0"/>
      <w:marTop w:val="0"/>
      <w:marBottom w:val="0"/>
      <w:divBdr>
        <w:top w:val="none" w:sz="0" w:space="0" w:color="auto"/>
        <w:left w:val="none" w:sz="0" w:space="0" w:color="auto"/>
        <w:bottom w:val="none" w:sz="0" w:space="0" w:color="auto"/>
        <w:right w:val="none" w:sz="0" w:space="0" w:color="auto"/>
      </w:divBdr>
    </w:div>
    <w:div w:id="13265698">
      <w:marLeft w:val="0"/>
      <w:marRight w:val="0"/>
      <w:marTop w:val="0"/>
      <w:marBottom w:val="0"/>
      <w:divBdr>
        <w:top w:val="none" w:sz="0" w:space="0" w:color="auto"/>
        <w:left w:val="none" w:sz="0" w:space="0" w:color="auto"/>
        <w:bottom w:val="none" w:sz="0" w:space="0" w:color="auto"/>
        <w:right w:val="none" w:sz="0" w:space="0" w:color="auto"/>
      </w:divBdr>
    </w:div>
    <w:div w:id="13265699">
      <w:marLeft w:val="0"/>
      <w:marRight w:val="0"/>
      <w:marTop w:val="0"/>
      <w:marBottom w:val="0"/>
      <w:divBdr>
        <w:top w:val="none" w:sz="0" w:space="0" w:color="auto"/>
        <w:left w:val="none" w:sz="0" w:space="0" w:color="auto"/>
        <w:bottom w:val="none" w:sz="0" w:space="0" w:color="auto"/>
        <w:right w:val="none" w:sz="0" w:space="0" w:color="auto"/>
      </w:divBdr>
    </w:div>
    <w:div w:id="13265700">
      <w:marLeft w:val="0"/>
      <w:marRight w:val="0"/>
      <w:marTop w:val="0"/>
      <w:marBottom w:val="0"/>
      <w:divBdr>
        <w:top w:val="none" w:sz="0" w:space="0" w:color="auto"/>
        <w:left w:val="none" w:sz="0" w:space="0" w:color="auto"/>
        <w:bottom w:val="none" w:sz="0" w:space="0" w:color="auto"/>
        <w:right w:val="none" w:sz="0" w:space="0" w:color="auto"/>
      </w:divBdr>
    </w:div>
    <w:div w:id="13265701">
      <w:marLeft w:val="0"/>
      <w:marRight w:val="0"/>
      <w:marTop w:val="0"/>
      <w:marBottom w:val="0"/>
      <w:divBdr>
        <w:top w:val="none" w:sz="0" w:space="0" w:color="auto"/>
        <w:left w:val="none" w:sz="0" w:space="0" w:color="auto"/>
        <w:bottom w:val="none" w:sz="0" w:space="0" w:color="auto"/>
        <w:right w:val="none" w:sz="0" w:space="0" w:color="auto"/>
      </w:divBdr>
    </w:div>
    <w:div w:id="13265702">
      <w:marLeft w:val="0"/>
      <w:marRight w:val="0"/>
      <w:marTop w:val="0"/>
      <w:marBottom w:val="0"/>
      <w:divBdr>
        <w:top w:val="none" w:sz="0" w:space="0" w:color="auto"/>
        <w:left w:val="none" w:sz="0" w:space="0" w:color="auto"/>
        <w:bottom w:val="none" w:sz="0" w:space="0" w:color="auto"/>
        <w:right w:val="none" w:sz="0" w:space="0" w:color="auto"/>
      </w:divBdr>
    </w:div>
    <w:div w:id="13265703">
      <w:marLeft w:val="0"/>
      <w:marRight w:val="0"/>
      <w:marTop w:val="0"/>
      <w:marBottom w:val="0"/>
      <w:divBdr>
        <w:top w:val="none" w:sz="0" w:space="0" w:color="auto"/>
        <w:left w:val="none" w:sz="0" w:space="0" w:color="auto"/>
        <w:bottom w:val="none" w:sz="0" w:space="0" w:color="auto"/>
        <w:right w:val="none" w:sz="0" w:space="0" w:color="auto"/>
      </w:divBdr>
    </w:div>
    <w:div w:id="13265704">
      <w:marLeft w:val="0"/>
      <w:marRight w:val="0"/>
      <w:marTop w:val="0"/>
      <w:marBottom w:val="0"/>
      <w:divBdr>
        <w:top w:val="none" w:sz="0" w:space="0" w:color="auto"/>
        <w:left w:val="none" w:sz="0" w:space="0" w:color="auto"/>
        <w:bottom w:val="none" w:sz="0" w:space="0" w:color="auto"/>
        <w:right w:val="none" w:sz="0" w:space="0" w:color="auto"/>
      </w:divBdr>
    </w:div>
    <w:div w:id="13265705">
      <w:marLeft w:val="0"/>
      <w:marRight w:val="0"/>
      <w:marTop w:val="0"/>
      <w:marBottom w:val="0"/>
      <w:divBdr>
        <w:top w:val="none" w:sz="0" w:space="0" w:color="auto"/>
        <w:left w:val="none" w:sz="0" w:space="0" w:color="auto"/>
        <w:bottom w:val="none" w:sz="0" w:space="0" w:color="auto"/>
        <w:right w:val="none" w:sz="0" w:space="0" w:color="auto"/>
      </w:divBdr>
    </w:div>
    <w:div w:id="13265706">
      <w:marLeft w:val="0"/>
      <w:marRight w:val="0"/>
      <w:marTop w:val="0"/>
      <w:marBottom w:val="0"/>
      <w:divBdr>
        <w:top w:val="none" w:sz="0" w:space="0" w:color="auto"/>
        <w:left w:val="none" w:sz="0" w:space="0" w:color="auto"/>
        <w:bottom w:val="none" w:sz="0" w:space="0" w:color="auto"/>
        <w:right w:val="none" w:sz="0" w:space="0" w:color="auto"/>
      </w:divBdr>
    </w:div>
    <w:div w:id="13265707">
      <w:marLeft w:val="0"/>
      <w:marRight w:val="0"/>
      <w:marTop w:val="0"/>
      <w:marBottom w:val="0"/>
      <w:divBdr>
        <w:top w:val="none" w:sz="0" w:space="0" w:color="auto"/>
        <w:left w:val="none" w:sz="0" w:space="0" w:color="auto"/>
        <w:bottom w:val="none" w:sz="0" w:space="0" w:color="auto"/>
        <w:right w:val="none" w:sz="0" w:space="0" w:color="auto"/>
      </w:divBdr>
    </w:div>
    <w:div w:id="13265708">
      <w:marLeft w:val="0"/>
      <w:marRight w:val="0"/>
      <w:marTop w:val="0"/>
      <w:marBottom w:val="0"/>
      <w:divBdr>
        <w:top w:val="none" w:sz="0" w:space="0" w:color="auto"/>
        <w:left w:val="none" w:sz="0" w:space="0" w:color="auto"/>
        <w:bottom w:val="none" w:sz="0" w:space="0" w:color="auto"/>
        <w:right w:val="none" w:sz="0" w:space="0" w:color="auto"/>
      </w:divBdr>
    </w:div>
    <w:div w:id="13265709">
      <w:marLeft w:val="0"/>
      <w:marRight w:val="0"/>
      <w:marTop w:val="0"/>
      <w:marBottom w:val="0"/>
      <w:divBdr>
        <w:top w:val="none" w:sz="0" w:space="0" w:color="auto"/>
        <w:left w:val="none" w:sz="0" w:space="0" w:color="auto"/>
        <w:bottom w:val="none" w:sz="0" w:space="0" w:color="auto"/>
        <w:right w:val="none" w:sz="0" w:space="0" w:color="auto"/>
      </w:divBdr>
    </w:div>
    <w:div w:id="13265710">
      <w:marLeft w:val="0"/>
      <w:marRight w:val="0"/>
      <w:marTop w:val="0"/>
      <w:marBottom w:val="0"/>
      <w:divBdr>
        <w:top w:val="none" w:sz="0" w:space="0" w:color="auto"/>
        <w:left w:val="none" w:sz="0" w:space="0" w:color="auto"/>
        <w:bottom w:val="none" w:sz="0" w:space="0" w:color="auto"/>
        <w:right w:val="none" w:sz="0" w:space="0" w:color="auto"/>
      </w:divBdr>
    </w:div>
    <w:div w:id="13265711">
      <w:marLeft w:val="0"/>
      <w:marRight w:val="0"/>
      <w:marTop w:val="0"/>
      <w:marBottom w:val="0"/>
      <w:divBdr>
        <w:top w:val="none" w:sz="0" w:space="0" w:color="auto"/>
        <w:left w:val="none" w:sz="0" w:space="0" w:color="auto"/>
        <w:bottom w:val="none" w:sz="0" w:space="0" w:color="auto"/>
        <w:right w:val="none" w:sz="0" w:space="0" w:color="auto"/>
      </w:divBdr>
    </w:div>
    <w:div w:id="13265712">
      <w:marLeft w:val="0"/>
      <w:marRight w:val="0"/>
      <w:marTop w:val="0"/>
      <w:marBottom w:val="0"/>
      <w:divBdr>
        <w:top w:val="none" w:sz="0" w:space="0" w:color="auto"/>
        <w:left w:val="none" w:sz="0" w:space="0" w:color="auto"/>
        <w:bottom w:val="none" w:sz="0" w:space="0" w:color="auto"/>
        <w:right w:val="none" w:sz="0" w:space="0" w:color="auto"/>
      </w:divBdr>
    </w:div>
    <w:div w:id="13265713">
      <w:marLeft w:val="0"/>
      <w:marRight w:val="0"/>
      <w:marTop w:val="0"/>
      <w:marBottom w:val="0"/>
      <w:divBdr>
        <w:top w:val="none" w:sz="0" w:space="0" w:color="auto"/>
        <w:left w:val="none" w:sz="0" w:space="0" w:color="auto"/>
        <w:bottom w:val="none" w:sz="0" w:space="0" w:color="auto"/>
        <w:right w:val="none" w:sz="0" w:space="0" w:color="auto"/>
      </w:divBdr>
    </w:div>
    <w:div w:id="13265714">
      <w:marLeft w:val="0"/>
      <w:marRight w:val="0"/>
      <w:marTop w:val="0"/>
      <w:marBottom w:val="0"/>
      <w:divBdr>
        <w:top w:val="none" w:sz="0" w:space="0" w:color="auto"/>
        <w:left w:val="none" w:sz="0" w:space="0" w:color="auto"/>
        <w:bottom w:val="none" w:sz="0" w:space="0" w:color="auto"/>
        <w:right w:val="none" w:sz="0" w:space="0" w:color="auto"/>
      </w:divBdr>
    </w:div>
    <w:div w:id="13265715">
      <w:marLeft w:val="0"/>
      <w:marRight w:val="0"/>
      <w:marTop w:val="0"/>
      <w:marBottom w:val="0"/>
      <w:divBdr>
        <w:top w:val="none" w:sz="0" w:space="0" w:color="auto"/>
        <w:left w:val="none" w:sz="0" w:space="0" w:color="auto"/>
        <w:bottom w:val="none" w:sz="0" w:space="0" w:color="auto"/>
        <w:right w:val="none" w:sz="0" w:space="0" w:color="auto"/>
      </w:divBdr>
    </w:div>
    <w:div w:id="13265716">
      <w:marLeft w:val="0"/>
      <w:marRight w:val="0"/>
      <w:marTop w:val="0"/>
      <w:marBottom w:val="0"/>
      <w:divBdr>
        <w:top w:val="none" w:sz="0" w:space="0" w:color="auto"/>
        <w:left w:val="none" w:sz="0" w:space="0" w:color="auto"/>
        <w:bottom w:val="none" w:sz="0" w:space="0" w:color="auto"/>
        <w:right w:val="none" w:sz="0" w:space="0" w:color="auto"/>
      </w:divBdr>
    </w:div>
    <w:div w:id="13265717">
      <w:marLeft w:val="0"/>
      <w:marRight w:val="0"/>
      <w:marTop w:val="0"/>
      <w:marBottom w:val="0"/>
      <w:divBdr>
        <w:top w:val="none" w:sz="0" w:space="0" w:color="auto"/>
        <w:left w:val="none" w:sz="0" w:space="0" w:color="auto"/>
        <w:bottom w:val="none" w:sz="0" w:space="0" w:color="auto"/>
        <w:right w:val="none" w:sz="0" w:space="0" w:color="auto"/>
      </w:divBdr>
    </w:div>
    <w:div w:id="13265718">
      <w:marLeft w:val="0"/>
      <w:marRight w:val="0"/>
      <w:marTop w:val="0"/>
      <w:marBottom w:val="0"/>
      <w:divBdr>
        <w:top w:val="none" w:sz="0" w:space="0" w:color="auto"/>
        <w:left w:val="none" w:sz="0" w:space="0" w:color="auto"/>
        <w:bottom w:val="none" w:sz="0" w:space="0" w:color="auto"/>
        <w:right w:val="none" w:sz="0" w:space="0" w:color="auto"/>
      </w:divBdr>
    </w:div>
    <w:div w:id="13265719">
      <w:marLeft w:val="0"/>
      <w:marRight w:val="0"/>
      <w:marTop w:val="0"/>
      <w:marBottom w:val="0"/>
      <w:divBdr>
        <w:top w:val="none" w:sz="0" w:space="0" w:color="auto"/>
        <w:left w:val="none" w:sz="0" w:space="0" w:color="auto"/>
        <w:bottom w:val="none" w:sz="0" w:space="0" w:color="auto"/>
        <w:right w:val="none" w:sz="0" w:space="0" w:color="auto"/>
      </w:divBdr>
    </w:div>
    <w:div w:id="13265720">
      <w:marLeft w:val="0"/>
      <w:marRight w:val="0"/>
      <w:marTop w:val="0"/>
      <w:marBottom w:val="0"/>
      <w:divBdr>
        <w:top w:val="none" w:sz="0" w:space="0" w:color="auto"/>
        <w:left w:val="none" w:sz="0" w:space="0" w:color="auto"/>
        <w:bottom w:val="none" w:sz="0" w:space="0" w:color="auto"/>
        <w:right w:val="none" w:sz="0" w:space="0" w:color="auto"/>
      </w:divBdr>
    </w:div>
    <w:div w:id="13265721">
      <w:marLeft w:val="0"/>
      <w:marRight w:val="0"/>
      <w:marTop w:val="0"/>
      <w:marBottom w:val="0"/>
      <w:divBdr>
        <w:top w:val="none" w:sz="0" w:space="0" w:color="auto"/>
        <w:left w:val="none" w:sz="0" w:space="0" w:color="auto"/>
        <w:bottom w:val="none" w:sz="0" w:space="0" w:color="auto"/>
        <w:right w:val="none" w:sz="0" w:space="0" w:color="auto"/>
      </w:divBdr>
    </w:div>
    <w:div w:id="13265722">
      <w:marLeft w:val="0"/>
      <w:marRight w:val="0"/>
      <w:marTop w:val="0"/>
      <w:marBottom w:val="0"/>
      <w:divBdr>
        <w:top w:val="none" w:sz="0" w:space="0" w:color="auto"/>
        <w:left w:val="none" w:sz="0" w:space="0" w:color="auto"/>
        <w:bottom w:val="none" w:sz="0" w:space="0" w:color="auto"/>
        <w:right w:val="none" w:sz="0" w:space="0" w:color="auto"/>
      </w:divBdr>
    </w:div>
    <w:div w:id="13265723">
      <w:marLeft w:val="0"/>
      <w:marRight w:val="0"/>
      <w:marTop w:val="0"/>
      <w:marBottom w:val="0"/>
      <w:divBdr>
        <w:top w:val="none" w:sz="0" w:space="0" w:color="auto"/>
        <w:left w:val="none" w:sz="0" w:space="0" w:color="auto"/>
        <w:bottom w:val="none" w:sz="0" w:space="0" w:color="auto"/>
        <w:right w:val="none" w:sz="0" w:space="0" w:color="auto"/>
      </w:divBdr>
    </w:div>
    <w:div w:id="13265724">
      <w:marLeft w:val="0"/>
      <w:marRight w:val="0"/>
      <w:marTop w:val="0"/>
      <w:marBottom w:val="0"/>
      <w:divBdr>
        <w:top w:val="none" w:sz="0" w:space="0" w:color="auto"/>
        <w:left w:val="none" w:sz="0" w:space="0" w:color="auto"/>
        <w:bottom w:val="none" w:sz="0" w:space="0" w:color="auto"/>
        <w:right w:val="none" w:sz="0" w:space="0" w:color="auto"/>
      </w:divBdr>
    </w:div>
    <w:div w:id="13265725">
      <w:marLeft w:val="0"/>
      <w:marRight w:val="0"/>
      <w:marTop w:val="0"/>
      <w:marBottom w:val="0"/>
      <w:divBdr>
        <w:top w:val="none" w:sz="0" w:space="0" w:color="auto"/>
        <w:left w:val="none" w:sz="0" w:space="0" w:color="auto"/>
        <w:bottom w:val="none" w:sz="0" w:space="0" w:color="auto"/>
        <w:right w:val="none" w:sz="0" w:space="0" w:color="auto"/>
      </w:divBdr>
    </w:div>
    <w:div w:id="13265726">
      <w:marLeft w:val="0"/>
      <w:marRight w:val="0"/>
      <w:marTop w:val="0"/>
      <w:marBottom w:val="0"/>
      <w:divBdr>
        <w:top w:val="none" w:sz="0" w:space="0" w:color="auto"/>
        <w:left w:val="none" w:sz="0" w:space="0" w:color="auto"/>
        <w:bottom w:val="none" w:sz="0" w:space="0" w:color="auto"/>
        <w:right w:val="none" w:sz="0" w:space="0" w:color="auto"/>
      </w:divBdr>
    </w:div>
    <w:div w:id="13265727">
      <w:marLeft w:val="0"/>
      <w:marRight w:val="0"/>
      <w:marTop w:val="0"/>
      <w:marBottom w:val="0"/>
      <w:divBdr>
        <w:top w:val="none" w:sz="0" w:space="0" w:color="auto"/>
        <w:left w:val="none" w:sz="0" w:space="0" w:color="auto"/>
        <w:bottom w:val="none" w:sz="0" w:space="0" w:color="auto"/>
        <w:right w:val="none" w:sz="0" w:space="0" w:color="auto"/>
      </w:divBdr>
    </w:div>
    <w:div w:id="13265728">
      <w:marLeft w:val="0"/>
      <w:marRight w:val="0"/>
      <w:marTop w:val="0"/>
      <w:marBottom w:val="0"/>
      <w:divBdr>
        <w:top w:val="none" w:sz="0" w:space="0" w:color="auto"/>
        <w:left w:val="none" w:sz="0" w:space="0" w:color="auto"/>
        <w:bottom w:val="none" w:sz="0" w:space="0" w:color="auto"/>
        <w:right w:val="none" w:sz="0" w:space="0" w:color="auto"/>
      </w:divBdr>
    </w:div>
    <w:div w:id="13265729">
      <w:marLeft w:val="0"/>
      <w:marRight w:val="0"/>
      <w:marTop w:val="0"/>
      <w:marBottom w:val="0"/>
      <w:divBdr>
        <w:top w:val="none" w:sz="0" w:space="0" w:color="auto"/>
        <w:left w:val="none" w:sz="0" w:space="0" w:color="auto"/>
        <w:bottom w:val="none" w:sz="0" w:space="0" w:color="auto"/>
        <w:right w:val="none" w:sz="0" w:space="0" w:color="auto"/>
      </w:divBdr>
    </w:div>
    <w:div w:id="13265730">
      <w:marLeft w:val="0"/>
      <w:marRight w:val="0"/>
      <w:marTop w:val="0"/>
      <w:marBottom w:val="0"/>
      <w:divBdr>
        <w:top w:val="none" w:sz="0" w:space="0" w:color="auto"/>
        <w:left w:val="none" w:sz="0" w:space="0" w:color="auto"/>
        <w:bottom w:val="none" w:sz="0" w:space="0" w:color="auto"/>
        <w:right w:val="none" w:sz="0" w:space="0" w:color="auto"/>
      </w:divBdr>
    </w:div>
    <w:div w:id="13265731">
      <w:marLeft w:val="0"/>
      <w:marRight w:val="0"/>
      <w:marTop w:val="0"/>
      <w:marBottom w:val="0"/>
      <w:divBdr>
        <w:top w:val="none" w:sz="0" w:space="0" w:color="auto"/>
        <w:left w:val="none" w:sz="0" w:space="0" w:color="auto"/>
        <w:bottom w:val="none" w:sz="0" w:space="0" w:color="auto"/>
        <w:right w:val="none" w:sz="0" w:space="0" w:color="auto"/>
      </w:divBdr>
    </w:div>
    <w:div w:id="13265732">
      <w:marLeft w:val="0"/>
      <w:marRight w:val="0"/>
      <w:marTop w:val="0"/>
      <w:marBottom w:val="0"/>
      <w:divBdr>
        <w:top w:val="none" w:sz="0" w:space="0" w:color="auto"/>
        <w:left w:val="none" w:sz="0" w:space="0" w:color="auto"/>
        <w:bottom w:val="none" w:sz="0" w:space="0" w:color="auto"/>
        <w:right w:val="none" w:sz="0" w:space="0" w:color="auto"/>
      </w:divBdr>
    </w:div>
    <w:div w:id="13265733">
      <w:marLeft w:val="0"/>
      <w:marRight w:val="0"/>
      <w:marTop w:val="0"/>
      <w:marBottom w:val="0"/>
      <w:divBdr>
        <w:top w:val="none" w:sz="0" w:space="0" w:color="auto"/>
        <w:left w:val="none" w:sz="0" w:space="0" w:color="auto"/>
        <w:bottom w:val="none" w:sz="0" w:space="0" w:color="auto"/>
        <w:right w:val="none" w:sz="0" w:space="0" w:color="auto"/>
      </w:divBdr>
    </w:div>
    <w:div w:id="13265734">
      <w:marLeft w:val="0"/>
      <w:marRight w:val="0"/>
      <w:marTop w:val="0"/>
      <w:marBottom w:val="0"/>
      <w:divBdr>
        <w:top w:val="none" w:sz="0" w:space="0" w:color="auto"/>
        <w:left w:val="none" w:sz="0" w:space="0" w:color="auto"/>
        <w:bottom w:val="none" w:sz="0" w:space="0" w:color="auto"/>
        <w:right w:val="none" w:sz="0" w:space="0" w:color="auto"/>
      </w:divBdr>
    </w:div>
    <w:div w:id="13265735">
      <w:marLeft w:val="0"/>
      <w:marRight w:val="0"/>
      <w:marTop w:val="0"/>
      <w:marBottom w:val="0"/>
      <w:divBdr>
        <w:top w:val="none" w:sz="0" w:space="0" w:color="auto"/>
        <w:left w:val="none" w:sz="0" w:space="0" w:color="auto"/>
        <w:bottom w:val="none" w:sz="0" w:space="0" w:color="auto"/>
        <w:right w:val="none" w:sz="0" w:space="0" w:color="auto"/>
      </w:divBdr>
    </w:div>
    <w:div w:id="13265736">
      <w:marLeft w:val="0"/>
      <w:marRight w:val="0"/>
      <w:marTop w:val="0"/>
      <w:marBottom w:val="0"/>
      <w:divBdr>
        <w:top w:val="none" w:sz="0" w:space="0" w:color="auto"/>
        <w:left w:val="none" w:sz="0" w:space="0" w:color="auto"/>
        <w:bottom w:val="none" w:sz="0" w:space="0" w:color="auto"/>
        <w:right w:val="none" w:sz="0" w:space="0" w:color="auto"/>
      </w:divBdr>
    </w:div>
    <w:div w:id="13265737">
      <w:marLeft w:val="0"/>
      <w:marRight w:val="0"/>
      <w:marTop w:val="0"/>
      <w:marBottom w:val="0"/>
      <w:divBdr>
        <w:top w:val="none" w:sz="0" w:space="0" w:color="auto"/>
        <w:left w:val="none" w:sz="0" w:space="0" w:color="auto"/>
        <w:bottom w:val="none" w:sz="0" w:space="0" w:color="auto"/>
        <w:right w:val="none" w:sz="0" w:space="0" w:color="auto"/>
      </w:divBdr>
    </w:div>
    <w:div w:id="13265738">
      <w:marLeft w:val="0"/>
      <w:marRight w:val="0"/>
      <w:marTop w:val="0"/>
      <w:marBottom w:val="0"/>
      <w:divBdr>
        <w:top w:val="none" w:sz="0" w:space="0" w:color="auto"/>
        <w:left w:val="none" w:sz="0" w:space="0" w:color="auto"/>
        <w:bottom w:val="none" w:sz="0" w:space="0" w:color="auto"/>
        <w:right w:val="none" w:sz="0" w:space="0" w:color="auto"/>
      </w:divBdr>
    </w:div>
    <w:div w:id="13265739">
      <w:marLeft w:val="0"/>
      <w:marRight w:val="0"/>
      <w:marTop w:val="0"/>
      <w:marBottom w:val="0"/>
      <w:divBdr>
        <w:top w:val="none" w:sz="0" w:space="0" w:color="auto"/>
        <w:left w:val="none" w:sz="0" w:space="0" w:color="auto"/>
        <w:bottom w:val="none" w:sz="0" w:space="0" w:color="auto"/>
        <w:right w:val="none" w:sz="0" w:space="0" w:color="auto"/>
      </w:divBdr>
    </w:div>
    <w:div w:id="13265740">
      <w:marLeft w:val="0"/>
      <w:marRight w:val="0"/>
      <w:marTop w:val="0"/>
      <w:marBottom w:val="0"/>
      <w:divBdr>
        <w:top w:val="none" w:sz="0" w:space="0" w:color="auto"/>
        <w:left w:val="none" w:sz="0" w:space="0" w:color="auto"/>
        <w:bottom w:val="none" w:sz="0" w:space="0" w:color="auto"/>
        <w:right w:val="none" w:sz="0" w:space="0" w:color="auto"/>
      </w:divBdr>
    </w:div>
    <w:div w:id="13265741">
      <w:marLeft w:val="0"/>
      <w:marRight w:val="0"/>
      <w:marTop w:val="0"/>
      <w:marBottom w:val="0"/>
      <w:divBdr>
        <w:top w:val="none" w:sz="0" w:space="0" w:color="auto"/>
        <w:left w:val="none" w:sz="0" w:space="0" w:color="auto"/>
        <w:bottom w:val="none" w:sz="0" w:space="0" w:color="auto"/>
        <w:right w:val="none" w:sz="0" w:space="0" w:color="auto"/>
      </w:divBdr>
    </w:div>
    <w:div w:id="13265742">
      <w:marLeft w:val="0"/>
      <w:marRight w:val="0"/>
      <w:marTop w:val="0"/>
      <w:marBottom w:val="0"/>
      <w:divBdr>
        <w:top w:val="none" w:sz="0" w:space="0" w:color="auto"/>
        <w:left w:val="none" w:sz="0" w:space="0" w:color="auto"/>
        <w:bottom w:val="none" w:sz="0" w:space="0" w:color="auto"/>
        <w:right w:val="none" w:sz="0" w:space="0" w:color="auto"/>
      </w:divBdr>
    </w:div>
    <w:div w:id="13265743">
      <w:marLeft w:val="0"/>
      <w:marRight w:val="0"/>
      <w:marTop w:val="0"/>
      <w:marBottom w:val="0"/>
      <w:divBdr>
        <w:top w:val="none" w:sz="0" w:space="0" w:color="auto"/>
        <w:left w:val="none" w:sz="0" w:space="0" w:color="auto"/>
        <w:bottom w:val="none" w:sz="0" w:space="0" w:color="auto"/>
        <w:right w:val="none" w:sz="0" w:space="0" w:color="auto"/>
      </w:divBdr>
    </w:div>
    <w:div w:id="13265744">
      <w:marLeft w:val="0"/>
      <w:marRight w:val="0"/>
      <w:marTop w:val="0"/>
      <w:marBottom w:val="0"/>
      <w:divBdr>
        <w:top w:val="none" w:sz="0" w:space="0" w:color="auto"/>
        <w:left w:val="none" w:sz="0" w:space="0" w:color="auto"/>
        <w:bottom w:val="none" w:sz="0" w:space="0" w:color="auto"/>
        <w:right w:val="none" w:sz="0" w:space="0" w:color="auto"/>
      </w:divBdr>
    </w:div>
    <w:div w:id="13265745">
      <w:marLeft w:val="0"/>
      <w:marRight w:val="0"/>
      <w:marTop w:val="0"/>
      <w:marBottom w:val="0"/>
      <w:divBdr>
        <w:top w:val="none" w:sz="0" w:space="0" w:color="auto"/>
        <w:left w:val="none" w:sz="0" w:space="0" w:color="auto"/>
        <w:bottom w:val="none" w:sz="0" w:space="0" w:color="auto"/>
        <w:right w:val="none" w:sz="0" w:space="0" w:color="auto"/>
      </w:divBdr>
    </w:div>
    <w:div w:id="13265746">
      <w:marLeft w:val="0"/>
      <w:marRight w:val="0"/>
      <w:marTop w:val="0"/>
      <w:marBottom w:val="0"/>
      <w:divBdr>
        <w:top w:val="none" w:sz="0" w:space="0" w:color="auto"/>
        <w:left w:val="none" w:sz="0" w:space="0" w:color="auto"/>
        <w:bottom w:val="none" w:sz="0" w:space="0" w:color="auto"/>
        <w:right w:val="none" w:sz="0" w:space="0" w:color="auto"/>
      </w:divBdr>
    </w:div>
    <w:div w:id="13265747">
      <w:marLeft w:val="0"/>
      <w:marRight w:val="0"/>
      <w:marTop w:val="0"/>
      <w:marBottom w:val="0"/>
      <w:divBdr>
        <w:top w:val="none" w:sz="0" w:space="0" w:color="auto"/>
        <w:left w:val="none" w:sz="0" w:space="0" w:color="auto"/>
        <w:bottom w:val="none" w:sz="0" w:space="0" w:color="auto"/>
        <w:right w:val="none" w:sz="0" w:space="0" w:color="auto"/>
      </w:divBdr>
    </w:div>
    <w:div w:id="13265748">
      <w:marLeft w:val="0"/>
      <w:marRight w:val="0"/>
      <w:marTop w:val="0"/>
      <w:marBottom w:val="0"/>
      <w:divBdr>
        <w:top w:val="none" w:sz="0" w:space="0" w:color="auto"/>
        <w:left w:val="none" w:sz="0" w:space="0" w:color="auto"/>
        <w:bottom w:val="none" w:sz="0" w:space="0" w:color="auto"/>
        <w:right w:val="none" w:sz="0" w:space="0" w:color="auto"/>
      </w:divBdr>
    </w:div>
    <w:div w:id="13265749">
      <w:marLeft w:val="0"/>
      <w:marRight w:val="0"/>
      <w:marTop w:val="0"/>
      <w:marBottom w:val="0"/>
      <w:divBdr>
        <w:top w:val="none" w:sz="0" w:space="0" w:color="auto"/>
        <w:left w:val="none" w:sz="0" w:space="0" w:color="auto"/>
        <w:bottom w:val="none" w:sz="0" w:space="0" w:color="auto"/>
        <w:right w:val="none" w:sz="0" w:space="0" w:color="auto"/>
      </w:divBdr>
    </w:div>
    <w:div w:id="13265750">
      <w:marLeft w:val="0"/>
      <w:marRight w:val="0"/>
      <w:marTop w:val="0"/>
      <w:marBottom w:val="0"/>
      <w:divBdr>
        <w:top w:val="none" w:sz="0" w:space="0" w:color="auto"/>
        <w:left w:val="none" w:sz="0" w:space="0" w:color="auto"/>
        <w:bottom w:val="none" w:sz="0" w:space="0" w:color="auto"/>
        <w:right w:val="none" w:sz="0" w:space="0" w:color="auto"/>
      </w:divBdr>
    </w:div>
    <w:div w:id="13265751">
      <w:marLeft w:val="0"/>
      <w:marRight w:val="0"/>
      <w:marTop w:val="0"/>
      <w:marBottom w:val="0"/>
      <w:divBdr>
        <w:top w:val="none" w:sz="0" w:space="0" w:color="auto"/>
        <w:left w:val="none" w:sz="0" w:space="0" w:color="auto"/>
        <w:bottom w:val="none" w:sz="0" w:space="0" w:color="auto"/>
        <w:right w:val="none" w:sz="0" w:space="0" w:color="auto"/>
      </w:divBdr>
    </w:div>
    <w:div w:id="13265752">
      <w:marLeft w:val="0"/>
      <w:marRight w:val="0"/>
      <w:marTop w:val="0"/>
      <w:marBottom w:val="0"/>
      <w:divBdr>
        <w:top w:val="none" w:sz="0" w:space="0" w:color="auto"/>
        <w:left w:val="none" w:sz="0" w:space="0" w:color="auto"/>
        <w:bottom w:val="none" w:sz="0" w:space="0" w:color="auto"/>
        <w:right w:val="none" w:sz="0" w:space="0" w:color="auto"/>
      </w:divBdr>
    </w:div>
    <w:div w:id="13265753">
      <w:marLeft w:val="0"/>
      <w:marRight w:val="0"/>
      <w:marTop w:val="0"/>
      <w:marBottom w:val="0"/>
      <w:divBdr>
        <w:top w:val="none" w:sz="0" w:space="0" w:color="auto"/>
        <w:left w:val="none" w:sz="0" w:space="0" w:color="auto"/>
        <w:bottom w:val="none" w:sz="0" w:space="0" w:color="auto"/>
        <w:right w:val="none" w:sz="0" w:space="0" w:color="auto"/>
      </w:divBdr>
    </w:div>
    <w:div w:id="13265754">
      <w:marLeft w:val="0"/>
      <w:marRight w:val="0"/>
      <w:marTop w:val="0"/>
      <w:marBottom w:val="0"/>
      <w:divBdr>
        <w:top w:val="none" w:sz="0" w:space="0" w:color="auto"/>
        <w:left w:val="none" w:sz="0" w:space="0" w:color="auto"/>
        <w:bottom w:val="none" w:sz="0" w:space="0" w:color="auto"/>
        <w:right w:val="none" w:sz="0" w:space="0" w:color="auto"/>
      </w:divBdr>
    </w:div>
    <w:div w:id="13265755">
      <w:marLeft w:val="0"/>
      <w:marRight w:val="0"/>
      <w:marTop w:val="0"/>
      <w:marBottom w:val="0"/>
      <w:divBdr>
        <w:top w:val="none" w:sz="0" w:space="0" w:color="auto"/>
        <w:left w:val="none" w:sz="0" w:space="0" w:color="auto"/>
        <w:bottom w:val="none" w:sz="0" w:space="0" w:color="auto"/>
        <w:right w:val="none" w:sz="0" w:space="0" w:color="auto"/>
      </w:divBdr>
    </w:div>
    <w:div w:id="13265756">
      <w:marLeft w:val="0"/>
      <w:marRight w:val="0"/>
      <w:marTop w:val="0"/>
      <w:marBottom w:val="0"/>
      <w:divBdr>
        <w:top w:val="none" w:sz="0" w:space="0" w:color="auto"/>
        <w:left w:val="none" w:sz="0" w:space="0" w:color="auto"/>
        <w:bottom w:val="none" w:sz="0" w:space="0" w:color="auto"/>
        <w:right w:val="none" w:sz="0" w:space="0" w:color="auto"/>
      </w:divBdr>
    </w:div>
    <w:div w:id="13265757">
      <w:marLeft w:val="0"/>
      <w:marRight w:val="0"/>
      <w:marTop w:val="0"/>
      <w:marBottom w:val="0"/>
      <w:divBdr>
        <w:top w:val="none" w:sz="0" w:space="0" w:color="auto"/>
        <w:left w:val="none" w:sz="0" w:space="0" w:color="auto"/>
        <w:bottom w:val="none" w:sz="0" w:space="0" w:color="auto"/>
        <w:right w:val="none" w:sz="0" w:space="0" w:color="auto"/>
      </w:divBdr>
    </w:div>
    <w:div w:id="13265758">
      <w:marLeft w:val="0"/>
      <w:marRight w:val="0"/>
      <w:marTop w:val="0"/>
      <w:marBottom w:val="0"/>
      <w:divBdr>
        <w:top w:val="none" w:sz="0" w:space="0" w:color="auto"/>
        <w:left w:val="none" w:sz="0" w:space="0" w:color="auto"/>
        <w:bottom w:val="none" w:sz="0" w:space="0" w:color="auto"/>
        <w:right w:val="none" w:sz="0" w:space="0" w:color="auto"/>
      </w:divBdr>
    </w:div>
    <w:div w:id="13265759">
      <w:marLeft w:val="0"/>
      <w:marRight w:val="0"/>
      <w:marTop w:val="0"/>
      <w:marBottom w:val="0"/>
      <w:divBdr>
        <w:top w:val="none" w:sz="0" w:space="0" w:color="auto"/>
        <w:left w:val="none" w:sz="0" w:space="0" w:color="auto"/>
        <w:bottom w:val="none" w:sz="0" w:space="0" w:color="auto"/>
        <w:right w:val="none" w:sz="0" w:space="0" w:color="auto"/>
      </w:divBdr>
    </w:div>
    <w:div w:id="13265760">
      <w:marLeft w:val="0"/>
      <w:marRight w:val="0"/>
      <w:marTop w:val="0"/>
      <w:marBottom w:val="0"/>
      <w:divBdr>
        <w:top w:val="none" w:sz="0" w:space="0" w:color="auto"/>
        <w:left w:val="none" w:sz="0" w:space="0" w:color="auto"/>
        <w:bottom w:val="none" w:sz="0" w:space="0" w:color="auto"/>
        <w:right w:val="none" w:sz="0" w:space="0" w:color="auto"/>
      </w:divBdr>
    </w:div>
    <w:div w:id="13265761">
      <w:marLeft w:val="0"/>
      <w:marRight w:val="0"/>
      <w:marTop w:val="0"/>
      <w:marBottom w:val="0"/>
      <w:divBdr>
        <w:top w:val="none" w:sz="0" w:space="0" w:color="auto"/>
        <w:left w:val="none" w:sz="0" w:space="0" w:color="auto"/>
        <w:bottom w:val="none" w:sz="0" w:space="0" w:color="auto"/>
        <w:right w:val="none" w:sz="0" w:space="0" w:color="auto"/>
      </w:divBdr>
    </w:div>
    <w:div w:id="13265762">
      <w:marLeft w:val="0"/>
      <w:marRight w:val="0"/>
      <w:marTop w:val="0"/>
      <w:marBottom w:val="0"/>
      <w:divBdr>
        <w:top w:val="none" w:sz="0" w:space="0" w:color="auto"/>
        <w:left w:val="none" w:sz="0" w:space="0" w:color="auto"/>
        <w:bottom w:val="none" w:sz="0" w:space="0" w:color="auto"/>
        <w:right w:val="none" w:sz="0" w:space="0" w:color="auto"/>
      </w:divBdr>
    </w:div>
    <w:div w:id="13265763">
      <w:marLeft w:val="0"/>
      <w:marRight w:val="0"/>
      <w:marTop w:val="0"/>
      <w:marBottom w:val="0"/>
      <w:divBdr>
        <w:top w:val="none" w:sz="0" w:space="0" w:color="auto"/>
        <w:left w:val="none" w:sz="0" w:space="0" w:color="auto"/>
        <w:bottom w:val="none" w:sz="0" w:space="0" w:color="auto"/>
        <w:right w:val="none" w:sz="0" w:space="0" w:color="auto"/>
      </w:divBdr>
    </w:div>
    <w:div w:id="13265764">
      <w:marLeft w:val="0"/>
      <w:marRight w:val="0"/>
      <w:marTop w:val="0"/>
      <w:marBottom w:val="0"/>
      <w:divBdr>
        <w:top w:val="none" w:sz="0" w:space="0" w:color="auto"/>
        <w:left w:val="none" w:sz="0" w:space="0" w:color="auto"/>
        <w:bottom w:val="none" w:sz="0" w:space="0" w:color="auto"/>
        <w:right w:val="none" w:sz="0" w:space="0" w:color="auto"/>
      </w:divBdr>
    </w:div>
    <w:div w:id="13265765">
      <w:marLeft w:val="0"/>
      <w:marRight w:val="0"/>
      <w:marTop w:val="0"/>
      <w:marBottom w:val="0"/>
      <w:divBdr>
        <w:top w:val="none" w:sz="0" w:space="0" w:color="auto"/>
        <w:left w:val="none" w:sz="0" w:space="0" w:color="auto"/>
        <w:bottom w:val="none" w:sz="0" w:space="0" w:color="auto"/>
        <w:right w:val="none" w:sz="0" w:space="0" w:color="auto"/>
      </w:divBdr>
    </w:div>
    <w:div w:id="13265766">
      <w:marLeft w:val="0"/>
      <w:marRight w:val="0"/>
      <w:marTop w:val="0"/>
      <w:marBottom w:val="0"/>
      <w:divBdr>
        <w:top w:val="none" w:sz="0" w:space="0" w:color="auto"/>
        <w:left w:val="none" w:sz="0" w:space="0" w:color="auto"/>
        <w:bottom w:val="none" w:sz="0" w:space="0" w:color="auto"/>
        <w:right w:val="none" w:sz="0" w:space="0" w:color="auto"/>
      </w:divBdr>
    </w:div>
    <w:div w:id="13265767">
      <w:marLeft w:val="0"/>
      <w:marRight w:val="0"/>
      <w:marTop w:val="0"/>
      <w:marBottom w:val="0"/>
      <w:divBdr>
        <w:top w:val="none" w:sz="0" w:space="0" w:color="auto"/>
        <w:left w:val="none" w:sz="0" w:space="0" w:color="auto"/>
        <w:bottom w:val="none" w:sz="0" w:space="0" w:color="auto"/>
        <w:right w:val="none" w:sz="0" w:space="0" w:color="auto"/>
      </w:divBdr>
    </w:div>
    <w:div w:id="13265768">
      <w:marLeft w:val="0"/>
      <w:marRight w:val="0"/>
      <w:marTop w:val="0"/>
      <w:marBottom w:val="0"/>
      <w:divBdr>
        <w:top w:val="none" w:sz="0" w:space="0" w:color="auto"/>
        <w:left w:val="none" w:sz="0" w:space="0" w:color="auto"/>
        <w:bottom w:val="none" w:sz="0" w:space="0" w:color="auto"/>
        <w:right w:val="none" w:sz="0" w:space="0" w:color="auto"/>
      </w:divBdr>
    </w:div>
    <w:div w:id="13265769">
      <w:marLeft w:val="0"/>
      <w:marRight w:val="0"/>
      <w:marTop w:val="0"/>
      <w:marBottom w:val="0"/>
      <w:divBdr>
        <w:top w:val="none" w:sz="0" w:space="0" w:color="auto"/>
        <w:left w:val="none" w:sz="0" w:space="0" w:color="auto"/>
        <w:bottom w:val="none" w:sz="0" w:space="0" w:color="auto"/>
        <w:right w:val="none" w:sz="0" w:space="0" w:color="auto"/>
      </w:divBdr>
    </w:div>
    <w:div w:id="13265770">
      <w:marLeft w:val="0"/>
      <w:marRight w:val="0"/>
      <w:marTop w:val="0"/>
      <w:marBottom w:val="0"/>
      <w:divBdr>
        <w:top w:val="none" w:sz="0" w:space="0" w:color="auto"/>
        <w:left w:val="none" w:sz="0" w:space="0" w:color="auto"/>
        <w:bottom w:val="none" w:sz="0" w:space="0" w:color="auto"/>
        <w:right w:val="none" w:sz="0" w:space="0" w:color="auto"/>
      </w:divBdr>
    </w:div>
    <w:div w:id="13265771">
      <w:marLeft w:val="0"/>
      <w:marRight w:val="0"/>
      <w:marTop w:val="0"/>
      <w:marBottom w:val="0"/>
      <w:divBdr>
        <w:top w:val="none" w:sz="0" w:space="0" w:color="auto"/>
        <w:left w:val="none" w:sz="0" w:space="0" w:color="auto"/>
        <w:bottom w:val="none" w:sz="0" w:space="0" w:color="auto"/>
        <w:right w:val="none" w:sz="0" w:space="0" w:color="auto"/>
      </w:divBdr>
    </w:div>
    <w:div w:id="13265772">
      <w:marLeft w:val="0"/>
      <w:marRight w:val="0"/>
      <w:marTop w:val="0"/>
      <w:marBottom w:val="0"/>
      <w:divBdr>
        <w:top w:val="none" w:sz="0" w:space="0" w:color="auto"/>
        <w:left w:val="none" w:sz="0" w:space="0" w:color="auto"/>
        <w:bottom w:val="none" w:sz="0" w:space="0" w:color="auto"/>
        <w:right w:val="none" w:sz="0" w:space="0" w:color="auto"/>
      </w:divBdr>
    </w:div>
    <w:div w:id="13265773">
      <w:marLeft w:val="0"/>
      <w:marRight w:val="0"/>
      <w:marTop w:val="0"/>
      <w:marBottom w:val="0"/>
      <w:divBdr>
        <w:top w:val="none" w:sz="0" w:space="0" w:color="auto"/>
        <w:left w:val="none" w:sz="0" w:space="0" w:color="auto"/>
        <w:bottom w:val="none" w:sz="0" w:space="0" w:color="auto"/>
        <w:right w:val="none" w:sz="0" w:space="0" w:color="auto"/>
      </w:divBdr>
    </w:div>
    <w:div w:id="13265774">
      <w:marLeft w:val="0"/>
      <w:marRight w:val="0"/>
      <w:marTop w:val="0"/>
      <w:marBottom w:val="0"/>
      <w:divBdr>
        <w:top w:val="none" w:sz="0" w:space="0" w:color="auto"/>
        <w:left w:val="none" w:sz="0" w:space="0" w:color="auto"/>
        <w:bottom w:val="none" w:sz="0" w:space="0" w:color="auto"/>
        <w:right w:val="none" w:sz="0" w:space="0" w:color="auto"/>
      </w:divBdr>
    </w:div>
    <w:div w:id="13265775">
      <w:marLeft w:val="0"/>
      <w:marRight w:val="0"/>
      <w:marTop w:val="0"/>
      <w:marBottom w:val="0"/>
      <w:divBdr>
        <w:top w:val="none" w:sz="0" w:space="0" w:color="auto"/>
        <w:left w:val="none" w:sz="0" w:space="0" w:color="auto"/>
        <w:bottom w:val="none" w:sz="0" w:space="0" w:color="auto"/>
        <w:right w:val="none" w:sz="0" w:space="0" w:color="auto"/>
      </w:divBdr>
    </w:div>
    <w:div w:id="13265776">
      <w:marLeft w:val="0"/>
      <w:marRight w:val="0"/>
      <w:marTop w:val="0"/>
      <w:marBottom w:val="0"/>
      <w:divBdr>
        <w:top w:val="none" w:sz="0" w:space="0" w:color="auto"/>
        <w:left w:val="none" w:sz="0" w:space="0" w:color="auto"/>
        <w:bottom w:val="none" w:sz="0" w:space="0" w:color="auto"/>
        <w:right w:val="none" w:sz="0" w:space="0" w:color="auto"/>
      </w:divBdr>
    </w:div>
    <w:div w:id="13265777">
      <w:marLeft w:val="0"/>
      <w:marRight w:val="0"/>
      <w:marTop w:val="0"/>
      <w:marBottom w:val="0"/>
      <w:divBdr>
        <w:top w:val="none" w:sz="0" w:space="0" w:color="auto"/>
        <w:left w:val="none" w:sz="0" w:space="0" w:color="auto"/>
        <w:bottom w:val="none" w:sz="0" w:space="0" w:color="auto"/>
        <w:right w:val="none" w:sz="0" w:space="0" w:color="auto"/>
      </w:divBdr>
    </w:div>
    <w:div w:id="13265778">
      <w:marLeft w:val="0"/>
      <w:marRight w:val="0"/>
      <w:marTop w:val="0"/>
      <w:marBottom w:val="0"/>
      <w:divBdr>
        <w:top w:val="none" w:sz="0" w:space="0" w:color="auto"/>
        <w:left w:val="none" w:sz="0" w:space="0" w:color="auto"/>
        <w:bottom w:val="none" w:sz="0" w:space="0" w:color="auto"/>
        <w:right w:val="none" w:sz="0" w:space="0" w:color="auto"/>
      </w:divBdr>
    </w:div>
    <w:div w:id="13265779">
      <w:marLeft w:val="0"/>
      <w:marRight w:val="0"/>
      <w:marTop w:val="0"/>
      <w:marBottom w:val="0"/>
      <w:divBdr>
        <w:top w:val="none" w:sz="0" w:space="0" w:color="auto"/>
        <w:left w:val="none" w:sz="0" w:space="0" w:color="auto"/>
        <w:bottom w:val="none" w:sz="0" w:space="0" w:color="auto"/>
        <w:right w:val="none" w:sz="0" w:space="0" w:color="auto"/>
      </w:divBdr>
    </w:div>
    <w:div w:id="13265780">
      <w:marLeft w:val="0"/>
      <w:marRight w:val="0"/>
      <w:marTop w:val="0"/>
      <w:marBottom w:val="0"/>
      <w:divBdr>
        <w:top w:val="none" w:sz="0" w:space="0" w:color="auto"/>
        <w:left w:val="none" w:sz="0" w:space="0" w:color="auto"/>
        <w:bottom w:val="none" w:sz="0" w:space="0" w:color="auto"/>
        <w:right w:val="none" w:sz="0" w:space="0" w:color="auto"/>
      </w:divBdr>
    </w:div>
    <w:div w:id="13265781">
      <w:marLeft w:val="0"/>
      <w:marRight w:val="0"/>
      <w:marTop w:val="0"/>
      <w:marBottom w:val="0"/>
      <w:divBdr>
        <w:top w:val="none" w:sz="0" w:space="0" w:color="auto"/>
        <w:left w:val="none" w:sz="0" w:space="0" w:color="auto"/>
        <w:bottom w:val="none" w:sz="0" w:space="0" w:color="auto"/>
        <w:right w:val="none" w:sz="0" w:space="0" w:color="auto"/>
      </w:divBdr>
    </w:div>
    <w:div w:id="13265782">
      <w:marLeft w:val="0"/>
      <w:marRight w:val="0"/>
      <w:marTop w:val="0"/>
      <w:marBottom w:val="0"/>
      <w:divBdr>
        <w:top w:val="none" w:sz="0" w:space="0" w:color="auto"/>
        <w:left w:val="none" w:sz="0" w:space="0" w:color="auto"/>
        <w:bottom w:val="none" w:sz="0" w:space="0" w:color="auto"/>
        <w:right w:val="none" w:sz="0" w:space="0" w:color="auto"/>
      </w:divBdr>
    </w:div>
    <w:div w:id="13265783">
      <w:marLeft w:val="0"/>
      <w:marRight w:val="0"/>
      <w:marTop w:val="0"/>
      <w:marBottom w:val="0"/>
      <w:divBdr>
        <w:top w:val="none" w:sz="0" w:space="0" w:color="auto"/>
        <w:left w:val="none" w:sz="0" w:space="0" w:color="auto"/>
        <w:bottom w:val="none" w:sz="0" w:space="0" w:color="auto"/>
        <w:right w:val="none" w:sz="0" w:space="0" w:color="auto"/>
      </w:divBdr>
    </w:div>
    <w:div w:id="13265784">
      <w:marLeft w:val="0"/>
      <w:marRight w:val="0"/>
      <w:marTop w:val="0"/>
      <w:marBottom w:val="0"/>
      <w:divBdr>
        <w:top w:val="none" w:sz="0" w:space="0" w:color="auto"/>
        <w:left w:val="none" w:sz="0" w:space="0" w:color="auto"/>
        <w:bottom w:val="none" w:sz="0" w:space="0" w:color="auto"/>
        <w:right w:val="none" w:sz="0" w:space="0" w:color="auto"/>
      </w:divBdr>
    </w:div>
    <w:div w:id="13265785">
      <w:marLeft w:val="0"/>
      <w:marRight w:val="0"/>
      <w:marTop w:val="0"/>
      <w:marBottom w:val="0"/>
      <w:divBdr>
        <w:top w:val="none" w:sz="0" w:space="0" w:color="auto"/>
        <w:left w:val="none" w:sz="0" w:space="0" w:color="auto"/>
        <w:bottom w:val="none" w:sz="0" w:space="0" w:color="auto"/>
        <w:right w:val="none" w:sz="0" w:space="0" w:color="auto"/>
      </w:divBdr>
    </w:div>
    <w:div w:id="13265786">
      <w:marLeft w:val="0"/>
      <w:marRight w:val="0"/>
      <w:marTop w:val="0"/>
      <w:marBottom w:val="0"/>
      <w:divBdr>
        <w:top w:val="none" w:sz="0" w:space="0" w:color="auto"/>
        <w:left w:val="none" w:sz="0" w:space="0" w:color="auto"/>
        <w:bottom w:val="none" w:sz="0" w:space="0" w:color="auto"/>
        <w:right w:val="none" w:sz="0" w:space="0" w:color="auto"/>
      </w:divBdr>
    </w:div>
    <w:div w:id="13265787">
      <w:marLeft w:val="0"/>
      <w:marRight w:val="0"/>
      <w:marTop w:val="0"/>
      <w:marBottom w:val="0"/>
      <w:divBdr>
        <w:top w:val="none" w:sz="0" w:space="0" w:color="auto"/>
        <w:left w:val="none" w:sz="0" w:space="0" w:color="auto"/>
        <w:bottom w:val="none" w:sz="0" w:space="0" w:color="auto"/>
        <w:right w:val="none" w:sz="0" w:space="0" w:color="auto"/>
      </w:divBdr>
    </w:div>
    <w:div w:id="13265788">
      <w:marLeft w:val="0"/>
      <w:marRight w:val="0"/>
      <w:marTop w:val="0"/>
      <w:marBottom w:val="0"/>
      <w:divBdr>
        <w:top w:val="none" w:sz="0" w:space="0" w:color="auto"/>
        <w:left w:val="none" w:sz="0" w:space="0" w:color="auto"/>
        <w:bottom w:val="none" w:sz="0" w:space="0" w:color="auto"/>
        <w:right w:val="none" w:sz="0" w:space="0" w:color="auto"/>
      </w:divBdr>
    </w:div>
    <w:div w:id="13265789">
      <w:marLeft w:val="0"/>
      <w:marRight w:val="0"/>
      <w:marTop w:val="0"/>
      <w:marBottom w:val="0"/>
      <w:divBdr>
        <w:top w:val="none" w:sz="0" w:space="0" w:color="auto"/>
        <w:left w:val="none" w:sz="0" w:space="0" w:color="auto"/>
        <w:bottom w:val="none" w:sz="0" w:space="0" w:color="auto"/>
        <w:right w:val="none" w:sz="0" w:space="0" w:color="auto"/>
      </w:divBdr>
    </w:div>
    <w:div w:id="13265790">
      <w:marLeft w:val="0"/>
      <w:marRight w:val="0"/>
      <w:marTop w:val="0"/>
      <w:marBottom w:val="0"/>
      <w:divBdr>
        <w:top w:val="none" w:sz="0" w:space="0" w:color="auto"/>
        <w:left w:val="none" w:sz="0" w:space="0" w:color="auto"/>
        <w:bottom w:val="none" w:sz="0" w:space="0" w:color="auto"/>
        <w:right w:val="none" w:sz="0" w:space="0" w:color="auto"/>
      </w:divBdr>
    </w:div>
    <w:div w:id="13265791">
      <w:marLeft w:val="0"/>
      <w:marRight w:val="0"/>
      <w:marTop w:val="0"/>
      <w:marBottom w:val="0"/>
      <w:divBdr>
        <w:top w:val="none" w:sz="0" w:space="0" w:color="auto"/>
        <w:left w:val="none" w:sz="0" w:space="0" w:color="auto"/>
        <w:bottom w:val="none" w:sz="0" w:space="0" w:color="auto"/>
        <w:right w:val="none" w:sz="0" w:space="0" w:color="auto"/>
      </w:divBdr>
    </w:div>
    <w:div w:id="13265792">
      <w:marLeft w:val="0"/>
      <w:marRight w:val="0"/>
      <w:marTop w:val="0"/>
      <w:marBottom w:val="0"/>
      <w:divBdr>
        <w:top w:val="none" w:sz="0" w:space="0" w:color="auto"/>
        <w:left w:val="none" w:sz="0" w:space="0" w:color="auto"/>
        <w:bottom w:val="none" w:sz="0" w:space="0" w:color="auto"/>
        <w:right w:val="none" w:sz="0" w:space="0" w:color="auto"/>
      </w:divBdr>
    </w:div>
    <w:div w:id="13265793">
      <w:marLeft w:val="0"/>
      <w:marRight w:val="0"/>
      <w:marTop w:val="0"/>
      <w:marBottom w:val="0"/>
      <w:divBdr>
        <w:top w:val="none" w:sz="0" w:space="0" w:color="auto"/>
        <w:left w:val="none" w:sz="0" w:space="0" w:color="auto"/>
        <w:bottom w:val="none" w:sz="0" w:space="0" w:color="auto"/>
        <w:right w:val="none" w:sz="0" w:space="0" w:color="auto"/>
      </w:divBdr>
    </w:div>
    <w:div w:id="13265794">
      <w:marLeft w:val="0"/>
      <w:marRight w:val="0"/>
      <w:marTop w:val="0"/>
      <w:marBottom w:val="0"/>
      <w:divBdr>
        <w:top w:val="none" w:sz="0" w:space="0" w:color="auto"/>
        <w:left w:val="none" w:sz="0" w:space="0" w:color="auto"/>
        <w:bottom w:val="none" w:sz="0" w:space="0" w:color="auto"/>
        <w:right w:val="none" w:sz="0" w:space="0" w:color="auto"/>
      </w:divBdr>
    </w:div>
    <w:div w:id="13265795">
      <w:marLeft w:val="0"/>
      <w:marRight w:val="0"/>
      <w:marTop w:val="0"/>
      <w:marBottom w:val="0"/>
      <w:divBdr>
        <w:top w:val="none" w:sz="0" w:space="0" w:color="auto"/>
        <w:left w:val="none" w:sz="0" w:space="0" w:color="auto"/>
        <w:bottom w:val="none" w:sz="0" w:space="0" w:color="auto"/>
        <w:right w:val="none" w:sz="0" w:space="0" w:color="auto"/>
      </w:divBdr>
    </w:div>
    <w:div w:id="13265796">
      <w:marLeft w:val="0"/>
      <w:marRight w:val="0"/>
      <w:marTop w:val="0"/>
      <w:marBottom w:val="0"/>
      <w:divBdr>
        <w:top w:val="none" w:sz="0" w:space="0" w:color="auto"/>
        <w:left w:val="none" w:sz="0" w:space="0" w:color="auto"/>
        <w:bottom w:val="none" w:sz="0" w:space="0" w:color="auto"/>
        <w:right w:val="none" w:sz="0" w:space="0" w:color="auto"/>
      </w:divBdr>
    </w:div>
    <w:div w:id="13265797">
      <w:marLeft w:val="0"/>
      <w:marRight w:val="0"/>
      <w:marTop w:val="0"/>
      <w:marBottom w:val="0"/>
      <w:divBdr>
        <w:top w:val="none" w:sz="0" w:space="0" w:color="auto"/>
        <w:left w:val="none" w:sz="0" w:space="0" w:color="auto"/>
        <w:bottom w:val="none" w:sz="0" w:space="0" w:color="auto"/>
        <w:right w:val="none" w:sz="0" w:space="0" w:color="auto"/>
      </w:divBdr>
    </w:div>
    <w:div w:id="13265798">
      <w:marLeft w:val="0"/>
      <w:marRight w:val="0"/>
      <w:marTop w:val="0"/>
      <w:marBottom w:val="0"/>
      <w:divBdr>
        <w:top w:val="none" w:sz="0" w:space="0" w:color="auto"/>
        <w:left w:val="none" w:sz="0" w:space="0" w:color="auto"/>
        <w:bottom w:val="none" w:sz="0" w:space="0" w:color="auto"/>
        <w:right w:val="none" w:sz="0" w:space="0" w:color="auto"/>
      </w:divBdr>
    </w:div>
    <w:div w:id="44069954">
      <w:bodyDiv w:val="1"/>
      <w:marLeft w:val="0"/>
      <w:marRight w:val="0"/>
      <w:marTop w:val="0"/>
      <w:marBottom w:val="0"/>
      <w:divBdr>
        <w:top w:val="none" w:sz="0" w:space="0" w:color="auto"/>
        <w:left w:val="none" w:sz="0" w:space="0" w:color="auto"/>
        <w:bottom w:val="none" w:sz="0" w:space="0" w:color="auto"/>
        <w:right w:val="none" w:sz="0" w:space="0" w:color="auto"/>
      </w:divBdr>
    </w:div>
    <w:div w:id="47801947">
      <w:bodyDiv w:val="1"/>
      <w:marLeft w:val="0"/>
      <w:marRight w:val="0"/>
      <w:marTop w:val="0"/>
      <w:marBottom w:val="0"/>
      <w:divBdr>
        <w:top w:val="none" w:sz="0" w:space="0" w:color="auto"/>
        <w:left w:val="none" w:sz="0" w:space="0" w:color="auto"/>
        <w:bottom w:val="none" w:sz="0" w:space="0" w:color="auto"/>
        <w:right w:val="none" w:sz="0" w:space="0" w:color="auto"/>
      </w:divBdr>
    </w:div>
    <w:div w:id="50734849">
      <w:bodyDiv w:val="1"/>
      <w:marLeft w:val="0"/>
      <w:marRight w:val="0"/>
      <w:marTop w:val="0"/>
      <w:marBottom w:val="0"/>
      <w:divBdr>
        <w:top w:val="none" w:sz="0" w:space="0" w:color="auto"/>
        <w:left w:val="none" w:sz="0" w:space="0" w:color="auto"/>
        <w:bottom w:val="none" w:sz="0" w:space="0" w:color="auto"/>
        <w:right w:val="none" w:sz="0" w:space="0" w:color="auto"/>
      </w:divBdr>
    </w:div>
    <w:div w:id="66268756">
      <w:bodyDiv w:val="1"/>
      <w:marLeft w:val="0"/>
      <w:marRight w:val="0"/>
      <w:marTop w:val="0"/>
      <w:marBottom w:val="0"/>
      <w:divBdr>
        <w:top w:val="none" w:sz="0" w:space="0" w:color="auto"/>
        <w:left w:val="none" w:sz="0" w:space="0" w:color="auto"/>
        <w:bottom w:val="none" w:sz="0" w:space="0" w:color="auto"/>
        <w:right w:val="none" w:sz="0" w:space="0" w:color="auto"/>
      </w:divBdr>
    </w:div>
    <w:div w:id="99030383">
      <w:bodyDiv w:val="1"/>
      <w:marLeft w:val="0"/>
      <w:marRight w:val="0"/>
      <w:marTop w:val="0"/>
      <w:marBottom w:val="0"/>
      <w:divBdr>
        <w:top w:val="none" w:sz="0" w:space="0" w:color="auto"/>
        <w:left w:val="none" w:sz="0" w:space="0" w:color="auto"/>
        <w:bottom w:val="none" w:sz="0" w:space="0" w:color="auto"/>
        <w:right w:val="none" w:sz="0" w:space="0" w:color="auto"/>
      </w:divBdr>
    </w:div>
    <w:div w:id="100536372">
      <w:bodyDiv w:val="1"/>
      <w:marLeft w:val="0"/>
      <w:marRight w:val="0"/>
      <w:marTop w:val="0"/>
      <w:marBottom w:val="0"/>
      <w:divBdr>
        <w:top w:val="none" w:sz="0" w:space="0" w:color="auto"/>
        <w:left w:val="none" w:sz="0" w:space="0" w:color="auto"/>
        <w:bottom w:val="none" w:sz="0" w:space="0" w:color="auto"/>
        <w:right w:val="none" w:sz="0" w:space="0" w:color="auto"/>
      </w:divBdr>
    </w:div>
    <w:div w:id="105931856">
      <w:bodyDiv w:val="1"/>
      <w:marLeft w:val="0"/>
      <w:marRight w:val="0"/>
      <w:marTop w:val="0"/>
      <w:marBottom w:val="0"/>
      <w:divBdr>
        <w:top w:val="none" w:sz="0" w:space="0" w:color="auto"/>
        <w:left w:val="none" w:sz="0" w:space="0" w:color="auto"/>
        <w:bottom w:val="none" w:sz="0" w:space="0" w:color="auto"/>
        <w:right w:val="none" w:sz="0" w:space="0" w:color="auto"/>
      </w:divBdr>
    </w:div>
    <w:div w:id="111439194">
      <w:bodyDiv w:val="1"/>
      <w:marLeft w:val="0"/>
      <w:marRight w:val="0"/>
      <w:marTop w:val="0"/>
      <w:marBottom w:val="0"/>
      <w:divBdr>
        <w:top w:val="none" w:sz="0" w:space="0" w:color="auto"/>
        <w:left w:val="none" w:sz="0" w:space="0" w:color="auto"/>
        <w:bottom w:val="none" w:sz="0" w:space="0" w:color="auto"/>
        <w:right w:val="none" w:sz="0" w:space="0" w:color="auto"/>
      </w:divBdr>
    </w:div>
    <w:div w:id="126752245">
      <w:bodyDiv w:val="1"/>
      <w:marLeft w:val="0"/>
      <w:marRight w:val="0"/>
      <w:marTop w:val="0"/>
      <w:marBottom w:val="0"/>
      <w:divBdr>
        <w:top w:val="none" w:sz="0" w:space="0" w:color="auto"/>
        <w:left w:val="none" w:sz="0" w:space="0" w:color="auto"/>
        <w:bottom w:val="none" w:sz="0" w:space="0" w:color="auto"/>
        <w:right w:val="none" w:sz="0" w:space="0" w:color="auto"/>
      </w:divBdr>
    </w:div>
    <w:div w:id="127016254">
      <w:bodyDiv w:val="1"/>
      <w:marLeft w:val="0"/>
      <w:marRight w:val="0"/>
      <w:marTop w:val="0"/>
      <w:marBottom w:val="0"/>
      <w:divBdr>
        <w:top w:val="none" w:sz="0" w:space="0" w:color="auto"/>
        <w:left w:val="none" w:sz="0" w:space="0" w:color="auto"/>
        <w:bottom w:val="none" w:sz="0" w:space="0" w:color="auto"/>
        <w:right w:val="none" w:sz="0" w:space="0" w:color="auto"/>
      </w:divBdr>
    </w:div>
    <w:div w:id="132674478">
      <w:bodyDiv w:val="1"/>
      <w:marLeft w:val="0"/>
      <w:marRight w:val="0"/>
      <w:marTop w:val="0"/>
      <w:marBottom w:val="0"/>
      <w:divBdr>
        <w:top w:val="none" w:sz="0" w:space="0" w:color="auto"/>
        <w:left w:val="none" w:sz="0" w:space="0" w:color="auto"/>
        <w:bottom w:val="none" w:sz="0" w:space="0" w:color="auto"/>
        <w:right w:val="none" w:sz="0" w:space="0" w:color="auto"/>
      </w:divBdr>
    </w:div>
    <w:div w:id="137040630">
      <w:bodyDiv w:val="1"/>
      <w:marLeft w:val="0"/>
      <w:marRight w:val="0"/>
      <w:marTop w:val="0"/>
      <w:marBottom w:val="0"/>
      <w:divBdr>
        <w:top w:val="none" w:sz="0" w:space="0" w:color="auto"/>
        <w:left w:val="none" w:sz="0" w:space="0" w:color="auto"/>
        <w:bottom w:val="none" w:sz="0" w:space="0" w:color="auto"/>
        <w:right w:val="none" w:sz="0" w:space="0" w:color="auto"/>
      </w:divBdr>
    </w:div>
    <w:div w:id="162864899">
      <w:bodyDiv w:val="1"/>
      <w:marLeft w:val="0"/>
      <w:marRight w:val="0"/>
      <w:marTop w:val="0"/>
      <w:marBottom w:val="0"/>
      <w:divBdr>
        <w:top w:val="none" w:sz="0" w:space="0" w:color="auto"/>
        <w:left w:val="none" w:sz="0" w:space="0" w:color="auto"/>
        <w:bottom w:val="none" w:sz="0" w:space="0" w:color="auto"/>
        <w:right w:val="none" w:sz="0" w:space="0" w:color="auto"/>
      </w:divBdr>
    </w:div>
    <w:div w:id="171454269">
      <w:bodyDiv w:val="1"/>
      <w:marLeft w:val="0"/>
      <w:marRight w:val="0"/>
      <w:marTop w:val="0"/>
      <w:marBottom w:val="0"/>
      <w:divBdr>
        <w:top w:val="none" w:sz="0" w:space="0" w:color="auto"/>
        <w:left w:val="none" w:sz="0" w:space="0" w:color="auto"/>
        <w:bottom w:val="none" w:sz="0" w:space="0" w:color="auto"/>
        <w:right w:val="none" w:sz="0" w:space="0" w:color="auto"/>
      </w:divBdr>
    </w:div>
    <w:div w:id="180123361">
      <w:bodyDiv w:val="1"/>
      <w:marLeft w:val="0"/>
      <w:marRight w:val="0"/>
      <w:marTop w:val="0"/>
      <w:marBottom w:val="0"/>
      <w:divBdr>
        <w:top w:val="none" w:sz="0" w:space="0" w:color="auto"/>
        <w:left w:val="none" w:sz="0" w:space="0" w:color="auto"/>
        <w:bottom w:val="none" w:sz="0" w:space="0" w:color="auto"/>
        <w:right w:val="none" w:sz="0" w:space="0" w:color="auto"/>
      </w:divBdr>
    </w:div>
    <w:div w:id="186795608">
      <w:bodyDiv w:val="1"/>
      <w:marLeft w:val="0"/>
      <w:marRight w:val="0"/>
      <w:marTop w:val="0"/>
      <w:marBottom w:val="0"/>
      <w:divBdr>
        <w:top w:val="none" w:sz="0" w:space="0" w:color="auto"/>
        <w:left w:val="none" w:sz="0" w:space="0" w:color="auto"/>
        <w:bottom w:val="none" w:sz="0" w:space="0" w:color="auto"/>
        <w:right w:val="none" w:sz="0" w:space="0" w:color="auto"/>
      </w:divBdr>
    </w:div>
    <w:div w:id="186990874">
      <w:bodyDiv w:val="1"/>
      <w:marLeft w:val="0"/>
      <w:marRight w:val="0"/>
      <w:marTop w:val="0"/>
      <w:marBottom w:val="0"/>
      <w:divBdr>
        <w:top w:val="none" w:sz="0" w:space="0" w:color="auto"/>
        <w:left w:val="none" w:sz="0" w:space="0" w:color="auto"/>
        <w:bottom w:val="none" w:sz="0" w:space="0" w:color="auto"/>
        <w:right w:val="none" w:sz="0" w:space="0" w:color="auto"/>
      </w:divBdr>
    </w:div>
    <w:div w:id="201985354">
      <w:bodyDiv w:val="1"/>
      <w:marLeft w:val="0"/>
      <w:marRight w:val="0"/>
      <w:marTop w:val="0"/>
      <w:marBottom w:val="0"/>
      <w:divBdr>
        <w:top w:val="none" w:sz="0" w:space="0" w:color="auto"/>
        <w:left w:val="none" w:sz="0" w:space="0" w:color="auto"/>
        <w:bottom w:val="none" w:sz="0" w:space="0" w:color="auto"/>
        <w:right w:val="none" w:sz="0" w:space="0" w:color="auto"/>
      </w:divBdr>
    </w:div>
    <w:div w:id="216203278">
      <w:bodyDiv w:val="1"/>
      <w:marLeft w:val="0"/>
      <w:marRight w:val="0"/>
      <w:marTop w:val="0"/>
      <w:marBottom w:val="0"/>
      <w:divBdr>
        <w:top w:val="none" w:sz="0" w:space="0" w:color="auto"/>
        <w:left w:val="none" w:sz="0" w:space="0" w:color="auto"/>
        <w:bottom w:val="none" w:sz="0" w:space="0" w:color="auto"/>
        <w:right w:val="none" w:sz="0" w:space="0" w:color="auto"/>
      </w:divBdr>
    </w:div>
    <w:div w:id="235290373">
      <w:bodyDiv w:val="1"/>
      <w:marLeft w:val="0"/>
      <w:marRight w:val="0"/>
      <w:marTop w:val="0"/>
      <w:marBottom w:val="0"/>
      <w:divBdr>
        <w:top w:val="none" w:sz="0" w:space="0" w:color="auto"/>
        <w:left w:val="none" w:sz="0" w:space="0" w:color="auto"/>
        <w:bottom w:val="none" w:sz="0" w:space="0" w:color="auto"/>
        <w:right w:val="none" w:sz="0" w:space="0" w:color="auto"/>
      </w:divBdr>
    </w:div>
    <w:div w:id="241305039">
      <w:bodyDiv w:val="1"/>
      <w:marLeft w:val="0"/>
      <w:marRight w:val="0"/>
      <w:marTop w:val="0"/>
      <w:marBottom w:val="0"/>
      <w:divBdr>
        <w:top w:val="none" w:sz="0" w:space="0" w:color="auto"/>
        <w:left w:val="none" w:sz="0" w:space="0" w:color="auto"/>
        <w:bottom w:val="none" w:sz="0" w:space="0" w:color="auto"/>
        <w:right w:val="none" w:sz="0" w:space="0" w:color="auto"/>
      </w:divBdr>
    </w:div>
    <w:div w:id="271254698">
      <w:bodyDiv w:val="1"/>
      <w:marLeft w:val="0"/>
      <w:marRight w:val="0"/>
      <w:marTop w:val="0"/>
      <w:marBottom w:val="0"/>
      <w:divBdr>
        <w:top w:val="none" w:sz="0" w:space="0" w:color="auto"/>
        <w:left w:val="none" w:sz="0" w:space="0" w:color="auto"/>
        <w:bottom w:val="none" w:sz="0" w:space="0" w:color="auto"/>
        <w:right w:val="none" w:sz="0" w:space="0" w:color="auto"/>
      </w:divBdr>
    </w:div>
    <w:div w:id="281960289">
      <w:bodyDiv w:val="1"/>
      <w:marLeft w:val="0"/>
      <w:marRight w:val="0"/>
      <w:marTop w:val="0"/>
      <w:marBottom w:val="0"/>
      <w:divBdr>
        <w:top w:val="none" w:sz="0" w:space="0" w:color="auto"/>
        <w:left w:val="none" w:sz="0" w:space="0" w:color="auto"/>
        <w:bottom w:val="none" w:sz="0" w:space="0" w:color="auto"/>
        <w:right w:val="none" w:sz="0" w:space="0" w:color="auto"/>
      </w:divBdr>
    </w:div>
    <w:div w:id="292954458">
      <w:bodyDiv w:val="1"/>
      <w:marLeft w:val="0"/>
      <w:marRight w:val="0"/>
      <w:marTop w:val="0"/>
      <w:marBottom w:val="0"/>
      <w:divBdr>
        <w:top w:val="none" w:sz="0" w:space="0" w:color="auto"/>
        <w:left w:val="none" w:sz="0" w:space="0" w:color="auto"/>
        <w:bottom w:val="none" w:sz="0" w:space="0" w:color="auto"/>
        <w:right w:val="none" w:sz="0" w:space="0" w:color="auto"/>
      </w:divBdr>
    </w:div>
    <w:div w:id="293827568">
      <w:bodyDiv w:val="1"/>
      <w:marLeft w:val="0"/>
      <w:marRight w:val="0"/>
      <w:marTop w:val="0"/>
      <w:marBottom w:val="0"/>
      <w:divBdr>
        <w:top w:val="none" w:sz="0" w:space="0" w:color="auto"/>
        <w:left w:val="none" w:sz="0" w:space="0" w:color="auto"/>
        <w:bottom w:val="none" w:sz="0" w:space="0" w:color="auto"/>
        <w:right w:val="none" w:sz="0" w:space="0" w:color="auto"/>
      </w:divBdr>
    </w:div>
    <w:div w:id="297761837">
      <w:bodyDiv w:val="1"/>
      <w:marLeft w:val="0"/>
      <w:marRight w:val="0"/>
      <w:marTop w:val="0"/>
      <w:marBottom w:val="0"/>
      <w:divBdr>
        <w:top w:val="none" w:sz="0" w:space="0" w:color="auto"/>
        <w:left w:val="none" w:sz="0" w:space="0" w:color="auto"/>
        <w:bottom w:val="none" w:sz="0" w:space="0" w:color="auto"/>
        <w:right w:val="none" w:sz="0" w:space="0" w:color="auto"/>
      </w:divBdr>
    </w:div>
    <w:div w:id="311300637">
      <w:bodyDiv w:val="1"/>
      <w:marLeft w:val="0"/>
      <w:marRight w:val="0"/>
      <w:marTop w:val="0"/>
      <w:marBottom w:val="0"/>
      <w:divBdr>
        <w:top w:val="none" w:sz="0" w:space="0" w:color="auto"/>
        <w:left w:val="none" w:sz="0" w:space="0" w:color="auto"/>
        <w:bottom w:val="none" w:sz="0" w:space="0" w:color="auto"/>
        <w:right w:val="none" w:sz="0" w:space="0" w:color="auto"/>
      </w:divBdr>
    </w:div>
    <w:div w:id="323095625">
      <w:bodyDiv w:val="1"/>
      <w:marLeft w:val="0"/>
      <w:marRight w:val="0"/>
      <w:marTop w:val="0"/>
      <w:marBottom w:val="0"/>
      <w:divBdr>
        <w:top w:val="none" w:sz="0" w:space="0" w:color="auto"/>
        <w:left w:val="none" w:sz="0" w:space="0" w:color="auto"/>
        <w:bottom w:val="none" w:sz="0" w:space="0" w:color="auto"/>
        <w:right w:val="none" w:sz="0" w:space="0" w:color="auto"/>
      </w:divBdr>
    </w:div>
    <w:div w:id="341931604">
      <w:bodyDiv w:val="1"/>
      <w:marLeft w:val="0"/>
      <w:marRight w:val="0"/>
      <w:marTop w:val="0"/>
      <w:marBottom w:val="0"/>
      <w:divBdr>
        <w:top w:val="none" w:sz="0" w:space="0" w:color="auto"/>
        <w:left w:val="none" w:sz="0" w:space="0" w:color="auto"/>
        <w:bottom w:val="none" w:sz="0" w:space="0" w:color="auto"/>
        <w:right w:val="none" w:sz="0" w:space="0" w:color="auto"/>
      </w:divBdr>
    </w:div>
    <w:div w:id="349188532">
      <w:bodyDiv w:val="1"/>
      <w:marLeft w:val="0"/>
      <w:marRight w:val="0"/>
      <w:marTop w:val="0"/>
      <w:marBottom w:val="0"/>
      <w:divBdr>
        <w:top w:val="none" w:sz="0" w:space="0" w:color="auto"/>
        <w:left w:val="none" w:sz="0" w:space="0" w:color="auto"/>
        <w:bottom w:val="none" w:sz="0" w:space="0" w:color="auto"/>
        <w:right w:val="none" w:sz="0" w:space="0" w:color="auto"/>
      </w:divBdr>
    </w:div>
    <w:div w:id="353387719">
      <w:bodyDiv w:val="1"/>
      <w:marLeft w:val="0"/>
      <w:marRight w:val="0"/>
      <w:marTop w:val="0"/>
      <w:marBottom w:val="0"/>
      <w:divBdr>
        <w:top w:val="none" w:sz="0" w:space="0" w:color="auto"/>
        <w:left w:val="none" w:sz="0" w:space="0" w:color="auto"/>
        <w:bottom w:val="none" w:sz="0" w:space="0" w:color="auto"/>
        <w:right w:val="none" w:sz="0" w:space="0" w:color="auto"/>
      </w:divBdr>
    </w:div>
    <w:div w:id="355085051">
      <w:bodyDiv w:val="1"/>
      <w:marLeft w:val="0"/>
      <w:marRight w:val="0"/>
      <w:marTop w:val="0"/>
      <w:marBottom w:val="0"/>
      <w:divBdr>
        <w:top w:val="none" w:sz="0" w:space="0" w:color="auto"/>
        <w:left w:val="none" w:sz="0" w:space="0" w:color="auto"/>
        <w:bottom w:val="none" w:sz="0" w:space="0" w:color="auto"/>
        <w:right w:val="none" w:sz="0" w:space="0" w:color="auto"/>
      </w:divBdr>
    </w:div>
    <w:div w:id="373044108">
      <w:bodyDiv w:val="1"/>
      <w:marLeft w:val="0"/>
      <w:marRight w:val="0"/>
      <w:marTop w:val="0"/>
      <w:marBottom w:val="0"/>
      <w:divBdr>
        <w:top w:val="none" w:sz="0" w:space="0" w:color="auto"/>
        <w:left w:val="none" w:sz="0" w:space="0" w:color="auto"/>
        <w:bottom w:val="none" w:sz="0" w:space="0" w:color="auto"/>
        <w:right w:val="none" w:sz="0" w:space="0" w:color="auto"/>
      </w:divBdr>
    </w:div>
    <w:div w:id="386614091">
      <w:bodyDiv w:val="1"/>
      <w:marLeft w:val="0"/>
      <w:marRight w:val="0"/>
      <w:marTop w:val="0"/>
      <w:marBottom w:val="0"/>
      <w:divBdr>
        <w:top w:val="none" w:sz="0" w:space="0" w:color="auto"/>
        <w:left w:val="none" w:sz="0" w:space="0" w:color="auto"/>
        <w:bottom w:val="none" w:sz="0" w:space="0" w:color="auto"/>
        <w:right w:val="none" w:sz="0" w:space="0" w:color="auto"/>
      </w:divBdr>
    </w:div>
    <w:div w:id="389695697">
      <w:bodyDiv w:val="1"/>
      <w:marLeft w:val="0"/>
      <w:marRight w:val="0"/>
      <w:marTop w:val="0"/>
      <w:marBottom w:val="0"/>
      <w:divBdr>
        <w:top w:val="none" w:sz="0" w:space="0" w:color="auto"/>
        <w:left w:val="none" w:sz="0" w:space="0" w:color="auto"/>
        <w:bottom w:val="none" w:sz="0" w:space="0" w:color="auto"/>
        <w:right w:val="none" w:sz="0" w:space="0" w:color="auto"/>
      </w:divBdr>
    </w:div>
    <w:div w:id="390617153">
      <w:bodyDiv w:val="1"/>
      <w:marLeft w:val="0"/>
      <w:marRight w:val="0"/>
      <w:marTop w:val="0"/>
      <w:marBottom w:val="0"/>
      <w:divBdr>
        <w:top w:val="none" w:sz="0" w:space="0" w:color="auto"/>
        <w:left w:val="none" w:sz="0" w:space="0" w:color="auto"/>
        <w:bottom w:val="none" w:sz="0" w:space="0" w:color="auto"/>
        <w:right w:val="none" w:sz="0" w:space="0" w:color="auto"/>
      </w:divBdr>
    </w:div>
    <w:div w:id="397048371">
      <w:bodyDiv w:val="1"/>
      <w:marLeft w:val="0"/>
      <w:marRight w:val="0"/>
      <w:marTop w:val="0"/>
      <w:marBottom w:val="0"/>
      <w:divBdr>
        <w:top w:val="none" w:sz="0" w:space="0" w:color="auto"/>
        <w:left w:val="none" w:sz="0" w:space="0" w:color="auto"/>
        <w:bottom w:val="none" w:sz="0" w:space="0" w:color="auto"/>
        <w:right w:val="none" w:sz="0" w:space="0" w:color="auto"/>
      </w:divBdr>
    </w:div>
    <w:div w:id="405567464">
      <w:bodyDiv w:val="1"/>
      <w:marLeft w:val="0"/>
      <w:marRight w:val="0"/>
      <w:marTop w:val="0"/>
      <w:marBottom w:val="0"/>
      <w:divBdr>
        <w:top w:val="none" w:sz="0" w:space="0" w:color="auto"/>
        <w:left w:val="none" w:sz="0" w:space="0" w:color="auto"/>
        <w:bottom w:val="none" w:sz="0" w:space="0" w:color="auto"/>
        <w:right w:val="none" w:sz="0" w:space="0" w:color="auto"/>
      </w:divBdr>
    </w:div>
    <w:div w:id="446659797">
      <w:bodyDiv w:val="1"/>
      <w:marLeft w:val="0"/>
      <w:marRight w:val="0"/>
      <w:marTop w:val="0"/>
      <w:marBottom w:val="0"/>
      <w:divBdr>
        <w:top w:val="none" w:sz="0" w:space="0" w:color="auto"/>
        <w:left w:val="none" w:sz="0" w:space="0" w:color="auto"/>
        <w:bottom w:val="none" w:sz="0" w:space="0" w:color="auto"/>
        <w:right w:val="none" w:sz="0" w:space="0" w:color="auto"/>
      </w:divBdr>
    </w:div>
    <w:div w:id="446702515">
      <w:bodyDiv w:val="1"/>
      <w:marLeft w:val="0"/>
      <w:marRight w:val="0"/>
      <w:marTop w:val="0"/>
      <w:marBottom w:val="0"/>
      <w:divBdr>
        <w:top w:val="none" w:sz="0" w:space="0" w:color="auto"/>
        <w:left w:val="none" w:sz="0" w:space="0" w:color="auto"/>
        <w:bottom w:val="none" w:sz="0" w:space="0" w:color="auto"/>
        <w:right w:val="none" w:sz="0" w:space="0" w:color="auto"/>
      </w:divBdr>
    </w:div>
    <w:div w:id="460465724">
      <w:bodyDiv w:val="1"/>
      <w:marLeft w:val="0"/>
      <w:marRight w:val="0"/>
      <w:marTop w:val="0"/>
      <w:marBottom w:val="0"/>
      <w:divBdr>
        <w:top w:val="none" w:sz="0" w:space="0" w:color="auto"/>
        <w:left w:val="none" w:sz="0" w:space="0" w:color="auto"/>
        <w:bottom w:val="none" w:sz="0" w:space="0" w:color="auto"/>
        <w:right w:val="none" w:sz="0" w:space="0" w:color="auto"/>
      </w:divBdr>
    </w:div>
    <w:div w:id="466123131">
      <w:bodyDiv w:val="1"/>
      <w:marLeft w:val="0"/>
      <w:marRight w:val="0"/>
      <w:marTop w:val="0"/>
      <w:marBottom w:val="0"/>
      <w:divBdr>
        <w:top w:val="none" w:sz="0" w:space="0" w:color="auto"/>
        <w:left w:val="none" w:sz="0" w:space="0" w:color="auto"/>
        <w:bottom w:val="none" w:sz="0" w:space="0" w:color="auto"/>
        <w:right w:val="none" w:sz="0" w:space="0" w:color="auto"/>
      </w:divBdr>
    </w:div>
    <w:div w:id="469518108">
      <w:bodyDiv w:val="1"/>
      <w:marLeft w:val="0"/>
      <w:marRight w:val="0"/>
      <w:marTop w:val="0"/>
      <w:marBottom w:val="0"/>
      <w:divBdr>
        <w:top w:val="none" w:sz="0" w:space="0" w:color="auto"/>
        <w:left w:val="none" w:sz="0" w:space="0" w:color="auto"/>
        <w:bottom w:val="none" w:sz="0" w:space="0" w:color="auto"/>
        <w:right w:val="none" w:sz="0" w:space="0" w:color="auto"/>
      </w:divBdr>
    </w:div>
    <w:div w:id="476724299">
      <w:bodyDiv w:val="1"/>
      <w:marLeft w:val="0"/>
      <w:marRight w:val="0"/>
      <w:marTop w:val="0"/>
      <w:marBottom w:val="0"/>
      <w:divBdr>
        <w:top w:val="none" w:sz="0" w:space="0" w:color="auto"/>
        <w:left w:val="none" w:sz="0" w:space="0" w:color="auto"/>
        <w:bottom w:val="none" w:sz="0" w:space="0" w:color="auto"/>
        <w:right w:val="none" w:sz="0" w:space="0" w:color="auto"/>
      </w:divBdr>
    </w:div>
    <w:div w:id="476996855">
      <w:bodyDiv w:val="1"/>
      <w:marLeft w:val="0"/>
      <w:marRight w:val="0"/>
      <w:marTop w:val="0"/>
      <w:marBottom w:val="0"/>
      <w:divBdr>
        <w:top w:val="none" w:sz="0" w:space="0" w:color="auto"/>
        <w:left w:val="none" w:sz="0" w:space="0" w:color="auto"/>
        <w:bottom w:val="none" w:sz="0" w:space="0" w:color="auto"/>
        <w:right w:val="none" w:sz="0" w:space="0" w:color="auto"/>
      </w:divBdr>
    </w:div>
    <w:div w:id="489634812">
      <w:bodyDiv w:val="1"/>
      <w:marLeft w:val="0"/>
      <w:marRight w:val="0"/>
      <w:marTop w:val="0"/>
      <w:marBottom w:val="0"/>
      <w:divBdr>
        <w:top w:val="none" w:sz="0" w:space="0" w:color="auto"/>
        <w:left w:val="none" w:sz="0" w:space="0" w:color="auto"/>
        <w:bottom w:val="none" w:sz="0" w:space="0" w:color="auto"/>
        <w:right w:val="none" w:sz="0" w:space="0" w:color="auto"/>
      </w:divBdr>
    </w:div>
    <w:div w:id="490412588">
      <w:bodyDiv w:val="1"/>
      <w:marLeft w:val="0"/>
      <w:marRight w:val="0"/>
      <w:marTop w:val="0"/>
      <w:marBottom w:val="0"/>
      <w:divBdr>
        <w:top w:val="none" w:sz="0" w:space="0" w:color="auto"/>
        <w:left w:val="none" w:sz="0" w:space="0" w:color="auto"/>
        <w:bottom w:val="none" w:sz="0" w:space="0" w:color="auto"/>
        <w:right w:val="none" w:sz="0" w:space="0" w:color="auto"/>
      </w:divBdr>
    </w:div>
    <w:div w:id="505168267">
      <w:bodyDiv w:val="1"/>
      <w:marLeft w:val="0"/>
      <w:marRight w:val="0"/>
      <w:marTop w:val="0"/>
      <w:marBottom w:val="0"/>
      <w:divBdr>
        <w:top w:val="none" w:sz="0" w:space="0" w:color="auto"/>
        <w:left w:val="none" w:sz="0" w:space="0" w:color="auto"/>
        <w:bottom w:val="none" w:sz="0" w:space="0" w:color="auto"/>
        <w:right w:val="none" w:sz="0" w:space="0" w:color="auto"/>
      </w:divBdr>
    </w:div>
    <w:div w:id="523633569">
      <w:bodyDiv w:val="1"/>
      <w:marLeft w:val="0"/>
      <w:marRight w:val="0"/>
      <w:marTop w:val="0"/>
      <w:marBottom w:val="0"/>
      <w:divBdr>
        <w:top w:val="none" w:sz="0" w:space="0" w:color="auto"/>
        <w:left w:val="none" w:sz="0" w:space="0" w:color="auto"/>
        <w:bottom w:val="none" w:sz="0" w:space="0" w:color="auto"/>
        <w:right w:val="none" w:sz="0" w:space="0" w:color="auto"/>
      </w:divBdr>
    </w:div>
    <w:div w:id="539437565">
      <w:bodyDiv w:val="1"/>
      <w:marLeft w:val="0"/>
      <w:marRight w:val="0"/>
      <w:marTop w:val="0"/>
      <w:marBottom w:val="0"/>
      <w:divBdr>
        <w:top w:val="none" w:sz="0" w:space="0" w:color="auto"/>
        <w:left w:val="none" w:sz="0" w:space="0" w:color="auto"/>
        <w:bottom w:val="none" w:sz="0" w:space="0" w:color="auto"/>
        <w:right w:val="none" w:sz="0" w:space="0" w:color="auto"/>
      </w:divBdr>
    </w:div>
    <w:div w:id="546647095">
      <w:bodyDiv w:val="1"/>
      <w:marLeft w:val="0"/>
      <w:marRight w:val="0"/>
      <w:marTop w:val="0"/>
      <w:marBottom w:val="0"/>
      <w:divBdr>
        <w:top w:val="none" w:sz="0" w:space="0" w:color="auto"/>
        <w:left w:val="none" w:sz="0" w:space="0" w:color="auto"/>
        <w:bottom w:val="none" w:sz="0" w:space="0" w:color="auto"/>
        <w:right w:val="none" w:sz="0" w:space="0" w:color="auto"/>
      </w:divBdr>
    </w:div>
    <w:div w:id="557597995">
      <w:bodyDiv w:val="1"/>
      <w:marLeft w:val="0"/>
      <w:marRight w:val="0"/>
      <w:marTop w:val="0"/>
      <w:marBottom w:val="0"/>
      <w:divBdr>
        <w:top w:val="none" w:sz="0" w:space="0" w:color="auto"/>
        <w:left w:val="none" w:sz="0" w:space="0" w:color="auto"/>
        <w:bottom w:val="none" w:sz="0" w:space="0" w:color="auto"/>
        <w:right w:val="none" w:sz="0" w:space="0" w:color="auto"/>
      </w:divBdr>
    </w:div>
    <w:div w:id="578710267">
      <w:bodyDiv w:val="1"/>
      <w:marLeft w:val="0"/>
      <w:marRight w:val="0"/>
      <w:marTop w:val="0"/>
      <w:marBottom w:val="0"/>
      <w:divBdr>
        <w:top w:val="none" w:sz="0" w:space="0" w:color="auto"/>
        <w:left w:val="none" w:sz="0" w:space="0" w:color="auto"/>
        <w:bottom w:val="none" w:sz="0" w:space="0" w:color="auto"/>
        <w:right w:val="none" w:sz="0" w:space="0" w:color="auto"/>
      </w:divBdr>
    </w:div>
    <w:div w:id="585765298">
      <w:bodyDiv w:val="1"/>
      <w:marLeft w:val="0"/>
      <w:marRight w:val="0"/>
      <w:marTop w:val="0"/>
      <w:marBottom w:val="0"/>
      <w:divBdr>
        <w:top w:val="none" w:sz="0" w:space="0" w:color="auto"/>
        <w:left w:val="none" w:sz="0" w:space="0" w:color="auto"/>
        <w:bottom w:val="none" w:sz="0" w:space="0" w:color="auto"/>
        <w:right w:val="none" w:sz="0" w:space="0" w:color="auto"/>
      </w:divBdr>
    </w:div>
    <w:div w:id="588586880">
      <w:bodyDiv w:val="1"/>
      <w:marLeft w:val="0"/>
      <w:marRight w:val="0"/>
      <w:marTop w:val="0"/>
      <w:marBottom w:val="0"/>
      <w:divBdr>
        <w:top w:val="none" w:sz="0" w:space="0" w:color="auto"/>
        <w:left w:val="none" w:sz="0" w:space="0" w:color="auto"/>
        <w:bottom w:val="none" w:sz="0" w:space="0" w:color="auto"/>
        <w:right w:val="none" w:sz="0" w:space="0" w:color="auto"/>
      </w:divBdr>
    </w:div>
    <w:div w:id="597636670">
      <w:bodyDiv w:val="1"/>
      <w:marLeft w:val="0"/>
      <w:marRight w:val="0"/>
      <w:marTop w:val="0"/>
      <w:marBottom w:val="0"/>
      <w:divBdr>
        <w:top w:val="none" w:sz="0" w:space="0" w:color="auto"/>
        <w:left w:val="none" w:sz="0" w:space="0" w:color="auto"/>
        <w:bottom w:val="none" w:sz="0" w:space="0" w:color="auto"/>
        <w:right w:val="none" w:sz="0" w:space="0" w:color="auto"/>
      </w:divBdr>
    </w:div>
    <w:div w:id="600143624">
      <w:bodyDiv w:val="1"/>
      <w:marLeft w:val="0"/>
      <w:marRight w:val="0"/>
      <w:marTop w:val="0"/>
      <w:marBottom w:val="0"/>
      <w:divBdr>
        <w:top w:val="none" w:sz="0" w:space="0" w:color="auto"/>
        <w:left w:val="none" w:sz="0" w:space="0" w:color="auto"/>
        <w:bottom w:val="none" w:sz="0" w:space="0" w:color="auto"/>
        <w:right w:val="none" w:sz="0" w:space="0" w:color="auto"/>
      </w:divBdr>
    </w:div>
    <w:div w:id="605625868">
      <w:bodyDiv w:val="1"/>
      <w:marLeft w:val="0"/>
      <w:marRight w:val="0"/>
      <w:marTop w:val="0"/>
      <w:marBottom w:val="0"/>
      <w:divBdr>
        <w:top w:val="none" w:sz="0" w:space="0" w:color="auto"/>
        <w:left w:val="none" w:sz="0" w:space="0" w:color="auto"/>
        <w:bottom w:val="none" w:sz="0" w:space="0" w:color="auto"/>
        <w:right w:val="none" w:sz="0" w:space="0" w:color="auto"/>
      </w:divBdr>
    </w:div>
    <w:div w:id="618877418">
      <w:bodyDiv w:val="1"/>
      <w:marLeft w:val="0"/>
      <w:marRight w:val="0"/>
      <w:marTop w:val="0"/>
      <w:marBottom w:val="0"/>
      <w:divBdr>
        <w:top w:val="none" w:sz="0" w:space="0" w:color="auto"/>
        <w:left w:val="none" w:sz="0" w:space="0" w:color="auto"/>
        <w:bottom w:val="none" w:sz="0" w:space="0" w:color="auto"/>
        <w:right w:val="none" w:sz="0" w:space="0" w:color="auto"/>
      </w:divBdr>
    </w:div>
    <w:div w:id="620495741">
      <w:bodyDiv w:val="1"/>
      <w:marLeft w:val="0"/>
      <w:marRight w:val="0"/>
      <w:marTop w:val="0"/>
      <w:marBottom w:val="0"/>
      <w:divBdr>
        <w:top w:val="none" w:sz="0" w:space="0" w:color="auto"/>
        <w:left w:val="none" w:sz="0" w:space="0" w:color="auto"/>
        <w:bottom w:val="none" w:sz="0" w:space="0" w:color="auto"/>
        <w:right w:val="none" w:sz="0" w:space="0" w:color="auto"/>
      </w:divBdr>
    </w:div>
    <w:div w:id="623779618">
      <w:bodyDiv w:val="1"/>
      <w:marLeft w:val="0"/>
      <w:marRight w:val="0"/>
      <w:marTop w:val="0"/>
      <w:marBottom w:val="0"/>
      <w:divBdr>
        <w:top w:val="none" w:sz="0" w:space="0" w:color="auto"/>
        <w:left w:val="none" w:sz="0" w:space="0" w:color="auto"/>
        <w:bottom w:val="none" w:sz="0" w:space="0" w:color="auto"/>
        <w:right w:val="none" w:sz="0" w:space="0" w:color="auto"/>
      </w:divBdr>
    </w:div>
    <w:div w:id="624192182">
      <w:bodyDiv w:val="1"/>
      <w:marLeft w:val="0"/>
      <w:marRight w:val="0"/>
      <w:marTop w:val="0"/>
      <w:marBottom w:val="0"/>
      <w:divBdr>
        <w:top w:val="none" w:sz="0" w:space="0" w:color="auto"/>
        <w:left w:val="none" w:sz="0" w:space="0" w:color="auto"/>
        <w:bottom w:val="none" w:sz="0" w:space="0" w:color="auto"/>
        <w:right w:val="none" w:sz="0" w:space="0" w:color="auto"/>
      </w:divBdr>
    </w:div>
    <w:div w:id="625550252">
      <w:bodyDiv w:val="1"/>
      <w:marLeft w:val="0"/>
      <w:marRight w:val="0"/>
      <w:marTop w:val="0"/>
      <w:marBottom w:val="0"/>
      <w:divBdr>
        <w:top w:val="none" w:sz="0" w:space="0" w:color="auto"/>
        <w:left w:val="none" w:sz="0" w:space="0" w:color="auto"/>
        <w:bottom w:val="none" w:sz="0" w:space="0" w:color="auto"/>
        <w:right w:val="none" w:sz="0" w:space="0" w:color="auto"/>
      </w:divBdr>
    </w:div>
    <w:div w:id="642274210">
      <w:bodyDiv w:val="1"/>
      <w:marLeft w:val="0"/>
      <w:marRight w:val="0"/>
      <w:marTop w:val="0"/>
      <w:marBottom w:val="0"/>
      <w:divBdr>
        <w:top w:val="none" w:sz="0" w:space="0" w:color="auto"/>
        <w:left w:val="none" w:sz="0" w:space="0" w:color="auto"/>
        <w:bottom w:val="none" w:sz="0" w:space="0" w:color="auto"/>
        <w:right w:val="none" w:sz="0" w:space="0" w:color="auto"/>
      </w:divBdr>
    </w:div>
    <w:div w:id="645821801">
      <w:bodyDiv w:val="1"/>
      <w:marLeft w:val="0"/>
      <w:marRight w:val="0"/>
      <w:marTop w:val="0"/>
      <w:marBottom w:val="0"/>
      <w:divBdr>
        <w:top w:val="none" w:sz="0" w:space="0" w:color="auto"/>
        <w:left w:val="none" w:sz="0" w:space="0" w:color="auto"/>
        <w:bottom w:val="none" w:sz="0" w:space="0" w:color="auto"/>
        <w:right w:val="none" w:sz="0" w:space="0" w:color="auto"/>
      </w:divBdr>
    </w:div>
    <w:div w:id="647366546">
      <w:bodyDiv w:val="1"/>
      <w:marLeft w:val="0"/>
      <w:marRight w:val="0"/>
      <w:marTop w:val="0"/>
      <w:marBottom w:val="0"/>
      <w:divBdr>
        <w:top w:val="none" w:sz="0" w:space="0" w:color="auto"/>
        <w:left w:val="none" w:sz="0" w:space="0" w:color="auto"/>
        <w:bottom w:val="none" w:sz="0" w:space="0" w:color="auto"/>
        <w:right w:val="none" w:sz="0" w:space="0" w:color="auto"/>
      </w:divBdr>
    </w:div>
    <w:div w:id="664557537">
      <w:bodyDiv w:val="1"/>
      <w:marLeft w:val="0"/>
      <w:marRight w:val="0"/>
      <w:marTop w:val="0"/>
      <w:marBottom w:val="0"/>
      <w:divBdr>
        <w:top w:val="none" w:sz="0" w:space="0" w:color="auto"/>
        <w:left w:val="none" w:sz="0" w:space="0" w:color="auto"/>
        <w:bottom w:val="none" w:sz="0" w:space="0" w:color="auto"/>
        <w:right w:val="none" w:sz="0" w:space="0" w:color="auto"/>
      </w:divBdr>
    </w:div>
    <w:div w:id="694308166">
      <w:bodyDiv w:val="1"/>
      <w:marLeft w:val="0"/>
      <w:marRight w:val="0"/>
      <w:marTop w:val="0"/>
      <w:marBottom w:val="0"/>
      <w:divBdr>
        <w:top w:val="none" w:sz="0" w:space="0" w:color="auto"/>
        <w:left w:val="none" w:sz="0" w:space="0" w:color="auto"/>
        <w:bottom w:val="none" w:sz="0" w:space="0" w:color="auto"/>
        <w:right w:val="none" w:sz="0" w:space="0" w:color="auto"/>
      </w:divBdr>
    </w:div>
    <w:div w:id="716396042">
      <w:bodyDiv w:val="1"/>
      <w:marLeft w:val="0"/>
      <w:marRight w:val="0"/>
      <w:marTop w:val="0"/>
      <w:marBottom w:val="0"/>
      <w:divBdr>
        <w:top w:val="none" w:sz="0" w:space="0" w:color="auto"/>
        <w:left w:val="none" w:sz="0" w:space="0" w:color="auto"/>
        <w:bottom w:val="none" w:sz="0" w:space="0" w:color="auto"/>
        <w:right w:val="none" w:sz="0" w:space="0" w:color="auto"/>
      </w:divBdr>
    </w:div>
    <w:div w:id="719018931">
      <w:bodyDiv w:val="1"/>
      <w:marLeft w:val="0"/>
      <w:marRight w:val="0"/>
      <w:marTop w:val="0"/>
      <w:marBottom w:val="0"/>
      <w:divBdr>
        <w:top w:val="none" w:sz="0" w:space="0" w:color="auto"/>
        <w:left w:val="none" w:sz="0" w:space="0" w:color="auto"/>
        <w:bottom w:val="none" w:sz="0" w:space="0" w:color="auto"/>
        <w:right w:val="none" w:sz="0" w:space="0" w:color="auto"/>
      </w:divBdr>
    </w:div>
    <w:div w:id="727609413">
      <w:bodyDiv w:val="1"/>
      <w:marLeft w:val="0"/>
      <w:marRight w:val="0"/>
      <w:marTop w:val="0"/>
      <w:marBottom w:val="0"/>
      <w:divBdr>
        <w:top w:val="none" w:sz="0" w:space="0" w:color="auto"/>
        <w:left w:val="none" w:sz="0" w:space="0" w:color="auto"/>
        <w:bottom w:val="none" w:sz="0" w:space="0" w:color="auto"/>
        <w:right w:val="none" w:sz="0" w:space="0" w:color="auto"/>
      </w:divBdr>
    </w:div>
    <w:div w:id="746149325">
      <w:bodyDiv w:val="1"/>
      <w:marLeft w:val="0"/>
      <w:marRight w:val="0"/>
      <w:marTop w:val="0"/>
      <w:marBottom w:val="0"/>
      <w:divBdr>
        <w:top w:val="none" w:sz="0" w:space="0" w:color="auto"/>
        <w:left w:val="none" w:sz="0" w:space="0" w:color="auto"/>
        <w:bottom w:val="none" w:sz="0" w:space="0" w:color="auto"/>
        <w:right w:val="none" w:sz="0" w:space="0" w:color="auto"/>
      </w:divBdr>
    </w:div>
    <w:div w:id="749740012">
      <w:bodyDiv w:val="1"/>
      <w:marLeft w:val="0"/>
      <w:marRight w:val="0"/>
      <w:marTop w:val="0"/>
      <w:marBottom w:val="0"/>
      <w:divBdr>
        <w:top w:val="none" w:sz="0" w:space="0" w:color="auto"/>
        <w:left w:val="none" w:sz="0" w:space="0" w:color="auto"/>
        <w:bottom w:val="none" w:sz="0" w:space="0" w:color="auto"/>
        <w:right w:val="none" w:sz="0" w:space="0" w:color="auto"/>
      </w:divBdr>
    </w:div>
    <w:div w:id="761611283">
      <w:bodyDiv w:val="1"/>
      <w:marLeft w:val="0"/>
      <w:marRight w:val="0"/>
      <w:marTop w:val="0"/>
      <w:marBottom w:val="0"/>
      <w:divBdr>
        <w:top w:val="none" w:sz="0" w:space="0" w:color="auto"/>
        <w:left w:val="none" w:sz="0" w:space="0" w:color="auto"/>
        <w:bottom w:val="none" w:sz="0" w:space="0" w:color="auto"/>
        <w:right w:val="none" w:sz="0" w:space="0" w:color="auto"/>
      </w:divBdr>
    </w:div>
    <w:div w:id="788280924">
      <w:bodyDiv w:val="1"/>
      <w:marLeft w:val="0"/>
      <w:marRight w:val="0"/>
      <w:marTop w:val="0"/>
      <w:marBottom w:val="0"/>
      <w:divBdr>
        <w:top w:val="none" w:sz="0" w:space="0" w:color="auto"/>
        <w:left w:val="none" w:sz="0" w:space="0" w:color="auto"/>
        <w:bottom w:val="none" w:sz="0" w:space="0" w:color="auto"/>
        <w:right w:val="none" w:sz="0" w:space="0" w:color="auto"/>
      </w:divBdr>
    </w:div>
    <w:div w:id="794327084">
      <w:bodyDiv w:val="1"/>
      <w:marLeft w:val="0"/>
      <w:marRight w:val="0"/>
      <w:marTop w:val="0"/>
      <w:marBottom w:val="0"/>
      <w:divBdr>
        <w:top w:val="none" w:sz="0" w:space="0" w:color="auto"/>
        <w:left w:val="none" w:sz="0" w:space="0" w:color="auto"/>
        <w:bottom w:val="none" w:sz="0" w:space="0" w:color="auto"/>
        <w:right w:val="none" w:sz="0" w:space="0" w:color="auto"/>
      </w:divBdr>
    </w:div>
    <w:div w:id="796029951">
      <w:bodyDiv w:val="1"/>
      <w:marLeft w:val="0"/>
      <w:marRight w:val="0"/>
      <w:marTop w:val="0"/>
      <w:marBottom w:val="0"/>
      <w:divBdr>
        <w:top w:val="none" w:sz="0" w:space="0" w:color="auto"/>
        <w:left w:val="none" w:sz="0" w:space="0" w:color="auto"/>
        <w:bottom w:val="none" w:sz="0" w:space="0" w:color="auto"/>
        <w:right w:val="none" w:sz="0" w:space="0" w:color="auto"/>
      </w:divBdr>
    </w:div>
    <w:div w:id="796870450">
      <w:bodyDiv w:val="1"/>
      <w:marLeft w:val="0"/>
      <w:marRight w:val="0"/>
      <w:marTop w:val="0"/>
      <w:marBottom w:val="0"/>
      <w:divBdr>
        <w:top w:val="none" w:sz="0" w:space="0" w:color="auto"/>
        <w:left w:val="none" w:sz="0" w:space="0" w:color="auto"/>
        <w:bottom w:val="none" w:sz="0" w:space="0" w:color="auto"/>
        <w:right w:val="none" w:sz="0" w:space="0" w:color="auto"/>
      </w:divBdr>
    </w:div>
    <w:div w:id="803931294">
      <w:bodyDiv w:val="1"/>
      <w:marLeft w:val="0"/>
      <w:marRight w:val="0"/>
      <w:marTop w:val="0"/>
      <w:marBottom w:val="0"/>
      <w:divBdr>
        <w:top w:val="none" w:sz="0" w:space="0" w:color="auto"/>
        <w:left w:val="none" w:sz="0" w:space="0" w:color="auto"/>
        <w:bottom w:val="none" w:sz="0" w:space="0" w:color="auto"/>
        <w:right w:val="none" w:sz="0" w:space="0" w:color="auto"/>
      </w:divBdr>
    </w:div>
    <w:div w:id="816650692">
      <w:bodyDiv w:val="1"/>
      <w:marLeft w:val="0"/>
      <w:marRight w:val="0"/>
      <w:marTop w:val="0"/>
      <w:marBottom w:val="0"/>
      <w:divBdr>
        <w:top w:val="none" w:sz="0" w:space="0" w:color="auto"/>
        <w:left w:val="none" w:sz="0" w:space="0" w:color="auto"/>
        <w:bottom w:val="none" w:sz="0" w:space="0" w:color="auto"/>
        <w:right w:val="none" w:sz="0" w:space="0" w:color="auto"/>
      </w:divBdr>
    </w:div>
    <w:div w:id="824004749">
      <w:bodyDiv w:val="1"/>
      <w:marLeft w:val="0"/>
      <w:marRight w:val="0"/>
      <w:marTop w:val="0"/>
      <w:marBottom w:val="0"/>
      <w:divBdr>
        <w:top w:val="none" w:sz="0" w:space="0" w:color="auto"/>
        <w:left w:val="none" w:sz="0" w:space="0" w:color="auto"/>
        <w:bottom w:val="none" w:sz="0" w:space="0" w:color="auto"/>
        <w:right w:val="none" w:sz="0" w:space="0" w:color="auto"/>
      </w:divBdr>
    </w:div>
    <w:div w:id="830099973">
      <w:bodyDiv w:val="1"/>
      <w:marLeft w:val="0"/>
      <w:marRight w:val="0"/>
      <w:marTop w:val="0"/>
      <w:marBottom w:val="0"/>
      <w:divBdr>
        <w:top w:val="none" w:sz="0" w:space="0" w:color="auto"/>
        <w:left w:val="none" w:sz="0" w:space="0" w:color="auto"/>
        <w:bottom w:val="none" w:sz="0" w:space="0" w:color="auto"/>
        <w:right w:val="none" w:sz="0" w:space="0" w:color="auto"/>
      </w:divBdr>
    </w:div>
    <w:div w:id="835073349">
      <w:bodyDiv w:val="1"/>
      <w:marLeft w:val="0"/>
      <w:marRight w:val="0"/>
      <w:marTop w:val="0"/>
      <w:marBottom w:val="0"/>
      <w:divBdr>
        <w:top w:val="none" w:sz="0" w:space="0" w:color="auto"/>
        <w:left w:val="none" w:sz="0" w:space="0" w:color="auto"/>
        <w:bottom w:val="none" w:sz="0" w:space="0" w:color="auto"/>
        <w:right w:val="none" w:sz="0" w:space="0" w:color="auto"/>
      </w:divBdr>
    </w:div>
    <w:div w:id="842821956">
      <w:bodyDiv w:val="1"/>
      <w:marLeft w:val="0"/>
      <w:marRight w:val="0"/>
      <w:marTop w:val="0"/>
      <w:marBottom w:val="0"/>
      <w:divBdr>
        <w:top w:val="none" w:sz="0" w:space="0" w:color="auto"/>
        <w:left w:val="none" w:sz="0" w:space="0" w:color="auto"/>
        <w:bottom w:val="none" w:sz="0" w:space="0" w:color="auto"/>
        <w:right w:val="none" w:sz="0" w:space="0" w:color="auto"/>
      </w:divBdr>
    </w:div>
    <w:div w:id="851147146">
      <w:bodyDiv w:val="1"/>
      <w:marLeft w:val="0"/>
      <w:marRight w:val="0"/>
      <w:marTop w:val="0"/>
      <w:marBottom w:val="0"/>
      <w:divBdr>
        <w:top w:val="none" w:sz="0" w:space="0" w:color="auto"/>
        <w:left w:val="none" w:sz="0" w:space="0" w:color="auto"/>
        <w:bottom w:val="none" w:sz="0" w:space="0" w:color="auto"/>
        <w:right w:val="none" w:sz="0" w:space="0" w:color="auto"/>
      </w:divBdr>
    </w:div>
    <w:div w:id="854728840">
      <w:bodyDiv w:val="1"/>
      <w:marLeft w:val="0"/>
      <w:marRight w:val="0"/>
      <w:marTop w:val="0"/>
      <w:marBottom w:val="0"/>
      <w:divBdr>
        <w:top w:val="none" w:sz="0" w:space="0" w:color="auto"/>
        <w:left w:val="none" w:sz="0" w:space="0" w:color="auto"/>
        <w:bottom w:val="none" w:sz="0" w:space="0" w:color="auto"/>
        <w:right w:val="none" w:sz="0" w:space="0" w:color="auto"/>
      </w:divBdr>
    </w:div>
    <w:div w:id="864103490">
      <w:bodyDiv w:val="1"/>
      <w:marLeft w:val="0"/>
      <w:marRight w:val="0"/>
      <w:marTop w:val="0"/>
      <w:marBottom w:val="0"/>
      <w:divBdr>
        <w:top w:val="none" w:sz="0" w:space="0" w:color="auto"/>
        <w:left w:val="none" w:sz="0" w:space="0" w:color="auto"/>
        <w:bottom w:val="none" w:sz="0" w:space="0" w:color="auto"/>
        <w:right w:val="none" w:sz="0" w:space="0" w:color="auto"/>
      </w:divBdr>
    </w:div>
    <w:div w:id="874077451">
      <w:bodyDiv w:val="1"/>
      <w:marLeft w:val="0"/>
      <w:marRight w:val="0"/>
      <w:marTop w:val="0"/>
      <w:marBottom w:val="0"/>
      <w:divBdr>
        <w:top w:val="none" w:sz="0" w:space="0" w:color="auto"/>
        <w:left w:val="none" w:sz="0" w:space="0" w:color="auto"/>
        <w:bottom w:val="none" w:sz="0" w:space="0" w:color="auto"/>
        <w:right w:val="none" w:sz="0" w:space="0" w:color="auto"/>
      </w:divBdr>
    </w:div>
    <w:div w:id="879050997">
      <w:bodyDiv w:val="1"/>
      <w:marLeft w:val="0"/>
      <w:marRight w:val="0"/>
      <w:marTop w:val="0"/>
      <w:marBottom w:val="0"/>
      <w:divBdr>
        <w:top w:val="none" w:sz="0" w:space="0" w:color="auto"/>
        <w:left w:val="none" w:sz="0" w:space="0" w:color="auto"/>
        <w:bottom w:val="none" w:sz="0" w:space="0" w:color="auto"/>
        <w:right w:val="none" w:sz="0" w:space="0" w:color="auto"/>
      </w:divBdr>
    </w:div>
    <w:div w:id="885288962">
      <w:bodyDiv w:val="1"/>
      <w:marLeft w:val="0"/>
      <w:marRight w:val="0"/>
      <w:marTop w:val="0"/>
      <w:marBottom w:val="0"/>
      <w:divBdr>
        <w:top w:val="none" w:sz="0" w:space="0" w:color="auto"/>
        <w:left w:val="none" w:sz="0" w:space="0" w:color="auto"/>
        <w:bottom w:val="none" w:sz="0" w:space="0" w:color="auto"/>
        <w:right w:val="none" w:sz="0" w:space="0" w:color="auto"/>
      </w:divBdr>
    </w:div>
    <w:div w:id="900094318">
      <w:bodyDiv w:val="1"/>
      <w:marLeft w:val="0"/>
      <w:marRight w:val="0"/>
      <w:marTop w:val="0"/>
      <w:marBottom w:val="0"/>
      <w:divBdr>
        <w:top w:val="none" w:sz="0" w:space="0" w:color="auto"/>
        <w:left w:val="none" w:sz="0" w:space="0" w:color="auto"/>
        <w:bottom w:val="none" w:sz="0" w:space="0" w:color="auto"/>
        <w:right w:val="none" w:sz="0" w:space="0" w:color="auto"/>
      </w:divBdr>
    </w:div>
    <w:div w:id="900746610">
      <w:bodyDiv w:val="1"/>
      <w:marLeft w:val="0"/>
      <w:marRight w:val="0"/>
      <w:marTop w:val="0"/>
      <w:marBottom w:val="0"/>
      <w:divBdr>
        <w:top w:val="none" w:sz="0" w:space="0" w:color="auto"/>
        <w:left w:val="none" w:sz="0" w:space="0" w:color="auto"/>
        <w:bottom w:val="none" w:sz="0" w:space="0" w:color="auto"/>
        <w:right w:val="none" w:sz="0" w:space="0" w:color="auto"/>
      </w:divBdr>
    </w:div>
    <w:div w:id="905920330">
      <w:bodyDiv w:val="1"/>
      <w:marLeft w:val="0"/>
      <w:marRight w:val="0"/>
      <w:marTop w:val="0"/>
      <w:marBottom w:val="0"/>
      <w:divBdr>
        <w:top w:val="none" w:sz="0" w:space="0" w:color="auto"/>
        <w:left w:val="none" w:sz="0" w:space="0" w:color="auto"/>
        <w:bottom w:val="none" w:sz="0" w:space="0" w:color="auto"/>
        <w:right w:val="none" w:sz="0" w:space="0" w:color="auto"/>
      </w:divBdr>
    </w:div>
    <w:div w:id="937754914">
      <w:bodyDiv w:val="1"/>
      <w:marLeft w:val="0"/>
      <w:marRight w:val="0"/>
      <w:marTop w:val="0"/>
      <w:marBottom w:val="0"/>
      <w:divBdr>
        <w:top w:val="none" w:sz="0" w:space="0" w:color="auto"/>
        <w:left w:val="none" w:sz="0" w:space="0" w:color="auto"/>
        <w:bottom w:val="none" w:sz="0" w:space="0" w:color="auto"/>
        <w:right w:val="none" w:sz="0" w:space="0" w:color="auto"/>
      </w:divBdr>
    </w:div>
    <w:div w:id="937983098">
      <w:bodyDiv w:val="1"/>
      <w:marLeft w:val="0"/>
      <w:marRight w:val="0"/>
      <w:marTop w:val="0"/>
      <w:marBottom w:val="0"/>
      <w:divBdr>
        <w:top w:val="none" w:sz="0" w:space="0" w:color="auto"/>
        <w:left w:val="none" w:sz="0" w:space="0" w:color="auto"/>
        <w:bottom w:val="none" w:sz="0" w:space="0" w:color="auto"/>
        <w:right w:val="none" w:sz="0" w:space="0" w:color="auto"/>
      </w:divBdr>
    </w:div>
    <w:div w:id="938945291">
      <w:bodyDiv w:val="1"/>
      <w:marLeft w:val="0"/>
      <w:marRight w:val="0"/>
      <w:marTop w:val="0"/>
      <w:marBottom w:val="0"/>
      <w:divBdr>
        <w:top w:val="none" w:sz="0" w:space="0" w:color="auto"/>
        <w:left w:val="none" w:sz="0" w:space="0" w:color="auto"/>
        <w:bottom w:val="none" w:sz="0" w:space="0" w:color="auto"/>
        <w:right w:val="none" w:sz="0" w:space="0" w:color="auto"/>
      </w:divBdr>
    </w:div>
    <w:div w:id="941376650">
      <w:bodyDiv w:val="1"/>
      <w:marLeft w:val="0"/>
      <w:marRight w:val="0"/>
      <w:marTop w:val="0"/>
      <w:marBottom w:val="0"/>
      <w:divBdr>
        <w:top w:val="none" w:sz="0" w:space="0" w:color="auto"/>
        <w:left w:val="none" w:sz="0" w:space="0" w:color="auto"/>
        <w:bottom w:val="none" w:sz="0" w:space="0" w:color="auto"/>
        <w:right w:val="none" w:sz="0" w:space="0" w:color="auto"/>
      </w:divBdr>
    </w:div>
    <w:div w:id="963736947">
      <w:bodyDiv w:val="1"/>
      <w:marLeft w:val="0"/>
      <w:marRight w:val="0"/>
      <w:marTop w:val="0"/>
      <w:marBottom w:val="0"/>
      <w:divBdr>
        <w:top w:val="none" w:sz="0" w:space="0" w:color="auto"/>
        <w:left w:val="none" w:sz="0" w:space="0" w:color="auto"/>
        <w:bottom w:val="none" w:sz="0" w:space="0" w:color="auto"/>
        <w:right w:val="none" w:sz="0" w:space="0" w:color="auto"/>
      </w:divBdr>
    </w:div>
    <w:div w:id="978919054">
      <w:bodyDiv w:val="1"/>
      <w:marLeft w:val="0"/>
      <w:marRight w:val="0"/>
      <w:marTop w:val="0"/>
      <w:marBottom w:val="0"/>
      <w:divBdr>
        <w:top w:val="none" w:sz="0" w:space="0" w:color="auto"/>
        <w:left w:val="none" w:sz="0" w:space="0" w:color="auto"/>
        <w:bottom w:val="none" w:sz="0" w:space="0" w:color="auto"/>
        <w:right w:val="none" w:sz="0" w:space="0" w:color="auto"/>
      </w:divBdr>
    </w:div>
    <w:div w:id="980889312">
      <w:bodyDiv w:val="1"/>
      <w:marLeft w:val="0"/>
      <w:marRight w:val="0"/>
      <w:marTop w:val="0"/>
      <w:marBottom w:val="0"/>
      <w:divBdr>
        <w:top w:val="none" w:sz="0" w:space="0" w:color="auto"/>
        <w:left w:val="none" w:sz="0" w:space="0" w:color="auto"/>
        <w:bottom w:val="none" w:sz="0" w:space="0" w:color="auto"/>
        <w:right w:val="none" w:sz="0" w:space="0" w:color="auto"/>
      </w:divBdr>
    </w:div>
    <w:div w:id="981887148">
      <w:bodyDiv w:val="1"/>
      <w:marLeft w:val="0"/>
      <w:marRight w:val="0"/>
      <w:marTop w:val="0"/>
      <w:marBottom w:val="0"/>
      <w:divBdr>
        <w:top w:val="none" w:sz="0" w:space="0" w:color="auto"/>
        <w:left w:val="none" w:sz="0" w:space="0" w:color="auto"/>
        <w:bottom w:val="none" w:sz="0" w:space="0" w:color="auto"/>
        <w:right w:val="none" w:sz="0" w:space="0" w:color="auto"/>
      </w:divBdr>
    </w:div>
    <w:div w:id="982464454">
      <w:bodyDiv w:val="1"/>
      <w:marLeft w:val="0"/>
      <w:marRight w:val="0"/>
      <w:marTop w:val="0"/>
      <w:marBottom w:val="0"/>
      <w:divBdr>
        <w:top w:val="none" w:sz="0" w:space="0" w:color="auto"/>
        <w:left w:val="none" w:sz="0" w:space="0" w:color="auto"/>
        <w:bottom w:val="none" w:sz="0" w:space="0" w:color="auto"/>
        <w:right w:val="none" w:sz="0" w:space="0" w:color="auto"/>
      </w:divBdr>
    </w:div>
    <w:div w:id="983123717">
      <w:bodyDiv w:val="1"/>
      <w:marLeft w:val="0"/>
      <w:marRight w:val="0"/>
      <w:marTop w:val="0"/>
      <w:marBottom w:val="0"/>
      <w:divBdr>
        <w:top w:val="none" w:sz="0" w:space="0" w:color="auto"/>
        <w:left w:val="none" w:sz="0" w:space="0" w:color="auto"/>
        <w:bottom w:val="none" w:sz="0" w:space="0" w:color="auto"/>
        <w:right w:val="none" w:sz="0" w:space="0" w:color="auto"/>
      </w:divBdr>
    </w:div>
    <w:div w:id="986014643">
      <w:bodyDiv w:val="1"/>
      <w:marLeft w:val="0"/>
      <w:marRight w:val="0"/>
      <w:marTop w:val="0"/>
      <w:marBottom w:val="0"/>
      <w:divBdr>
        <w:top w:val="none" w:sz="0" w:space="0" w:color="auto"/>
        <w:left w:val="none" w:sz="0" w:space="0" w:color="auto"/>
        <w:bottom w:val="none" w:sz="0" w:space="0" w:color="auto"/>
        <w:right w:val="none" w:sz="0" w:space="0" w:color="auto"/>
      </w:divBdr>
    </w:div>
    <w:div w:id="993266945">
      <w:bodyDiv w:val="1"/>
      <w:marLeft w:val="0"/>
      <w:marRight w:val="0"/>
      <w:marTop w:val="0"/>
      <w:marBottom w:val="0"/>
      <w:divBdr>
        <w:top w:val="none" w:sz="0" w:space="0" w:color="auto"/>
        <w:left w:val="none" w:sz="0" w:space="0" w:color="auto"/>
        <w:bottom w:val="none" w:sz="0" w:space="0" w:color="auto"/>
        <w:right w:val="none" w:sz="0" w:space="0" w:color="auto"/>
      </w:divBdr>
    </w:div>
    <w:div w:id="998312577">
      <w:bodyDiv w:val="1"/>
      <w:marLeft w:val="0"/>
      <w:marRight w:val="0"/>
      <w:marTop w:val="0"/>
      <w:marBottom w:val="0"/>
      <w:divBdr>
        <w:top w:val="none" w:sz="0" w:space="0" w:color="auto"/>
        <w:left w:val="none" w:sz="0" w:space="0" w:color="auto"/>
        <w:bottom w:val="none" w:sz="0" w:space="0" w:color="auto"/>
        <w:right w:val="none" w:sz="0" w:space="0" w:color="auto"/>
      </w:divBdr>
    </w:div>
    <w:div w:id="1000700986">
      <w:bodyDiv w:val="1"/>
      <w:marLeft w:val="0"/>
      <w:marRight w:val="0"/>
      <w:marTop w:val="0"/>
      <w:marBottom w:val="0"/>
      <w:divBdr>
        <w:top w:val="none" w:sz="0" w:space="0" w:color="auto"/>
        <w:left w:val="none" w:sz="0" w:space="0" w:color="auto"/>
        <w:bottom w:val="none" w:sz="0" w:space="0" w:color="auto"/>
        <w:right w:val="none" w:sz="0" w:space="0" w:color="auto"/>
      </w:divBdr>
    </w:div>
    <w:div w:id="1004286040">
      <w:bodyDiv w:val="1"/>
      <w:marLeft w:val="0"/>
      <w:marRight w:val="0"/>
      <w:marTop w:val="0"/>
      <w:marBottom w:val="0"/>
      <w:divBdr>
        <w:top w:val="none" w:sz="0" w:space="0" w:color="auto"/>
        <w:left w:val="none" w:sz="0" w:space="0" w:color="auto"/>
        <w:bottom w:val="none" w:sz="0" w:space="0" w:color="auto"/>
        <w:right w:val="none" w:sz="0" w:space="0" w:color="auto"/>
      </w:divBdr>
    </w:div>
    <w:div w:id="1027875530">
      <w:bodyDiv w:val="1"/>
      <w:marLeft w:val="0"/>
      <w:marRight w:val="0"/>
      <w:marTop w:val="0"/>
      <w:marBottom w:val="0"/>
      <w:divBdr>
        <w:top w:val="none" w:sz="0" w:space="0" w:color="auto"/>
        <w:left w:val="none" w:sz="0" w:space="0" w:color="auto"/>
        <w:bottom w:val="none" w:sz="0" w:space="0" w:color="auto"/>
        <w:right w:val="none" w:sz="0" w:space="0" w:color="auto"/>
      </w:divBdr>
    </w:div>
    <w:div w:id="1040084115">
      <w:bodyDiv w:val="1"/>
      <w:marLeft w:val="0"/>
      <w:marRight w:val="0"/>
      <w:marTop w:val="0"/>
      <w:marBottom w:val="0"/>
      <w:divBdr>
        <w:top w:val="none" w:sz="0" w:space="0" w:color="auto"/>
        <w:left w:val="none" w:sz="0" w:space="0" w:color="auto"/>
        <w:bottom w:val="none" w:sz="0" w:space="0" w:color="auto"/>
        <w:right w:val="none" w:sz="0" w:space="0" w:color="auto"/>
      </w:divBdr>
    </w:div>
    <w:div w:id="1059597601">
      <w:bodyDiv w:val="1"/>
      <w:marLeft w:val="0"/>
      <w:marRight w:val="0"/>
      <w:marTop w:val="0"/>
      <w:marBottom w:val="0"/>
      <w:divBdr>
        <w:top w:val="none" w:sz="0" w:space="0" w:color="auto"/>
        <w:left w:val="none" w:sz="0" w:space="0" w:color="auto"/>
        <w:bottom w:val="none" w:sz="0" w:space="0" w:color="auto"/>
        <w:right w:val="none" w:sz="0" w:space="0" w:color="auto"/>
      </w:divBdr>
    </w:div>
    <w:div w:id="1061636301">
      <w:bodyDiv w:val="1"/>
      <w:marLeft w:val="0"/>
      <w:marRight w:val="0"/>
      <w:marTop w:val="0"/>
      <w:marBottom w:val="0"/>
      <w:divBdr>
        <w:top w:val="none" w:sz="0" w:space="0" w:color="auto"/>
        <w:left w:val="none" w:sz="0" w:space="0" w:color="auto"/>
        <w:bottom w:val="none" w:sz="0" w:space="0" w:color="auto"/>
        <w:right w:val="none" w:sz="0" w:space="0" w:color="auto"/>
      </w:divBdr>
    </w:div>
    <w:div w:id="1068580037">
      <w:bodyDiv w:val="1"/>
      <w:marLeft w:val="0"/>
      <w:marRight w:val="0"/>
      <w:marTop w:val="0"/>
      <w:marBottom w:val="0"/>
      <w:divBdr>
        <w:top w:val="none" w:sz="0" w:space="0" w:color="auto"/>
        <w:left w:val="none" w:sz="0" w:space="0" w:color="auto"/>
        <w:bottom w:val="none" w:sz="0" w:space="0" w:color="auto"/>
        <w:right w:val="none" w:sz="0" w:space="0" w:color="auto"/>
      </w:divBdr>
    </w:div>
    <w:div w:id="1070812891">
      <w:bodyDiv w:val="1"/>
      <w:marLeft w:val="0"/>
      <w:marRight w:val="0"/>
      <w:marTop w:val="0"/>
      <w:marBottom w:val="0"/>
      <w:divBdr>
        <w:top w:val="none" w:sz="0" w:space="0" w:color="auto"/>
        <w:left w:val="none" w:sz="0" w:space="0" w:color="auto"/>
        <w:bottom w:val="none" w:sz="0" w:space="0" w:color="auto"/>
        <w:right w:val="none" w:sz="0" w:space="0" w:color="auto"/>
      </w:divBdr>
    </w:div>
    <w:div w:id="1076777745">
      <w:bodyDiv w:val="1"/>
      <w:marLeft w:val="0"/>
      <w:marRight w:val="0"/>
      <w:marTop w:val="0"/>
      <w:marBottom w:val="0"/>
      <w:divBdr>
        <w:top w:val="none" w:sz="0" w:space="0" w:color="auto"/>
        <w:left w:val="none" w:sz="0" w:space="0" w:color="auto"/>
        <w:bottom w:val="none" w:sz="0" w:space="0" w:color="auto"/>
        <w:right w:val="none" w:sz="0" w:space="0" w:color="auto"/>
      </w:divBdr>
    </w:div>
    <w:div w:id="1081102048">
      <w:bodyDiv w:val="1"/>
      <w:marLeft w:val="0"/>
      <w:marRight w:val="0"/>
      <w:marTop w:val="0"/>
      <w:marBottom w:val="0"/>
      <w:divBdr>
        <w:top w:val="none" w:sz="0" w:space="0" w:color="auto"/>
        <w:left w:val="none" w:sz="0" w:space="0" w:color="auto"/>
        <w:bottom w:val="none" w:sz="0" w:space="0" w:color="auto"/>
        <w:right w:val="none" w:sz="0" w:space="0" w:color="auto"/>
      </w:divBdr>
    </w:div>
    <w:div w:id="1099763260">
      <w:bodyDiv w:val="1"/>
      <w:marLeft w:val="0"/>
      <w:marRight w:val="0"/>
      <w:marTop w:val="0"/>
      <w:marBottom w:val="0"/>
      <w:divBdr>
        <w:top w:val="none" w:sz="0" w:space="0" w:color="auto"/>
        <w:left w:val="none" w:sz="0" w:space="0" w:color="auto"/>
        <w:bottom w:val="none" w:sz="0" w:space="0" w:color="auto"/>
        <w:right w:val="none" w:sz="0" w:space="0" w:color="auto"/>
      </w:divBdr>
    </w:div>
    <w:div w:id="1108232402">
      <w:bodyDiv w:val="1"/>
      <w:marLeft w:val="0"/>
      <w:marRight w:val="0"/>
      <w:marTop w:val="0"/>
      <w:marBottom w:val="0"/>
      <w:divBdr>
        <w:top w:val="none" w:sz="0" w:space="0" w:color="auto"/>
        <w:left w:val="none" w:sz="0" w:space="0" w:color="auto"/>
        <w:bottom w:val="none" w:sz="0" w:space="0" w:color="auto"/>
        <w:right w:val="none" w:sz="0" w:space="0" w:color="auto"/>
      </w:divBdr>
    </w:div>
    <w:div w:id="1110316420">
      <w:bodyDiv w:val="1"/>
      <w:marLeft w:val="0"/>
      <w:marRight w:val="0"/>
      <w:marTop w:val="0"/>
      <w:marBottom w:val="0"/>
      <w:divBdr>
        <w:top w:val="none" w:sz="0" w:space="0" w:color="auto"/>
        <w:left w:val="none" w:sz="0" w:space="0" w:color="auto"/>
        <w:bottom w:val="none" w:sz="0" w:space="0" w:color="auto"/>
        <w:right w:val="none" w:sz="0" w:space="0" w:color="auto"/>
      </w:divBdr>
    </w:div>
    <w:div w:id="1129275038">
      <w:bodyDiv w:val="1"/>
      <w:marLeft w:val="0"/>
      <w:marRight w:val="0"/>
      <w:marTop w:val="0"/>
      <w:marBottom w:val="0"/>
      <w:divBdr>
        <w:top w:val="none" w:sz="0" w:space="0" w:color="auto"/>
        <w:left w:val="none" w:sz="0" w:space="0" w:color="auto"/>
        <w:bottom w:val="none" w:sz="0" w:space="0" w:color="auto"/>
        <w:right w:val="none" w:sz="0" w:space="0" w:color="auto"/>
      </w:divBdr>
    </w:div>
    <w:div w:id="1131753029">
      <w:bodyDiv w:val="1"/>
      <w:marLeft w:val="0"/>
      <w:marRight w:val="0"/>
      <w:marTop w:val="0"/>
      <w:marBottom w:val="0"/>
      <w:divBdr>
        <w:top w:val="none" w:sz="0" w:space="0" w:color="auto"/>
        <w:left w:val="none" w:sz="0" w:space="0" w:color="auto"/>
        <w:bottom w:val="none" w:sz="0" w:space="0" w:color="auto"/>
        <w:right w:val="none" w:sz="0" w:space="0" w:color="auto"/>
      </w:divBdr>
    </w:div>
    <w:div w:id="1138961926">
      <w:bodyDiv w:val="1"/>
      <w:marLeft w:val="0"/>
      <w:marRight w:val="0"/>
      <w:marTop w:val="0"/>
      <w:marBottom w:val="0"/>
      <w:divBdr>
        <w:top w:val="none" w:sz="0" w:space="0" w:color="auto"/>
        <w:left w:val="none" w:sz="0" w:space="0" w:color="auto"/>
        <w:bottom w:val="none" w:sz="0" w:space="0" w:color="auto"/>
        <w:right w:val="none" w:sz="0" w:space="0" w:color="auto"/>
      </w:divBdr>
    </w:div>
    <w:div w:id="1142888503">
      <w:bodyDiv w:val="1"/>
      <w:marLeft w:val="0"/>
      <w:marRight w:val="0"/>
      <w:marTop w:val="0"/>
      <w:marBottom w:val="0"/>
      <w:divBdr>
        <w:top w:val="none" w:sz="0" w:space="0" w:color="auto"/>
        <w:left w:val="none" w:sz="0" w:space="0" w:color="auto"/>
        <w:bottom w:val="none" w:sz="0" w:space="0" w:color="auto"/>
        <w:right w:val="none" w:sz="0" w:space="0" w:color="auto"/>
      </w:divBdr>
    </w:div>
    <w:div w:id="1145004278">
      <w:bodyDiv w:val="1"/>
      <w:marLeft w:val="0"/>
      <w:marRight w:val="0"/>
      <w:marTop w:val="0"/>
      <w:marBottom w:val="0"/>
      <w:divBdr>
        <w:top w:val="none" w:sz="0" w:space="0" w:color="auto"/>
        <w:left w:val="none" w:sz="0" w:space="0" w:color="auto"/>
        <w:bottom w:val="none" w:sz="0" w:space="0" w:color="auto"/>
        <w:right w:val="none" w:sz="0" w:space="0" w:color="auto"/>
      </w:divBdr>
    </w:div>
    <w:div w:id="1146439174">
      <w:bodyDiv w:val="1"/>
      <w:marLeft w:val="0"/>
      <w:marRight w:val="0"/>
      <w:marTop w:val="0"/>
      <w:marBottom w:val="0"/>
      <w:divBdr>
        <w:top w:val="none" w:sz="0" w:space="0" w:color="auto"/>
        <w:left w:val="none" w:sz="0" w:space="0" w:color="auto"/>
        <w:bottom w:val="none" w:sz="0" w:space="0" w:color="auto"/>
        <w:right w:val="none" w:sz="0" w:space="0" w:color="auto"/>
      </w:divBdr>
    </w:div>
    <w:div w:id="1149009105">
      <w:bodyDiv w:val="1"/>
      <w:marLeft w:val="0"/>
      <w:marRight w:val="0"/>
      <w:marTop w:val="0"/>
      <w:marBottom w:val="0"/>
      <w:divBdr>
        <w:top w:val="none" w:sz="0" w:space="0" w:color="auto"/>
        <w:left w:val="none" w:sz="0" w:space="0" w:color="auto"/>
        <w:bottom w:val="none" w:sz="0" w:space="0" w:color="auto"/>
        <w:right w:val="none" w:sz="0" w:space="0" w:color="auto"/>
      </w:divBdr>
    </w:div>
    <w:div w:id="1153067051">
      <w:bodyDiv w:val="1"/>
      <w:marLeft w:val="0"/>
      <w:marRight w:val="0"/>
      <w:marTop w:val="0"/>
      <w:marBottom w:val="0"/>
      <w:divBdr>
        <w:top w:val="none" w:sz="0" w:space="0" w:color="auto"/>
        <w:left w:val="none" w:sz="0" w:space="0" w:color="auto"/>
        <w:bottom w:val="none" w:sz="0" w:space="0" w:color="auto"/>
        <w:right w:val="none" w:sz="0" w:space="0" w:color="auto"/>
      </w:divBdr>
    </w:div>
    <w:div w:id="1156192243">
      <w:bodyDiv w:val="1"/>
      <w:marLeft w:val="0"/>
      <w:marRight w:val="0"/>
      <w:marTop w:val="0"/>
      <w:marBottom w:val="0"/>
      <w:divBdr>
        <w:top w:val="none" w:sz="0" w:space="0" w:color="auto"/>
        <w:left w:val="none" w:sz="0" w:space="0" w:color="auto"/>
        <w:bottom w:val="none" w:sz="0" w:space="0" w:color="auto"/>
        <w:right w:val="none" w:sz="0" w:space="0" w:color="auto"/>
      </w:divBdr>
    </w:div>
    <w:div w:id="1162046316">
      <w:bodyDiv w:val="1"/>
      <w:marLeft w:val="0"/>
      <w:marRight w:val="0"/>
      <w:marTop w:val="0"/>
      <w:marBottom w:val="0"/>
      <w:divBdr>
        <w:top w:val="none" w:sz="0" w:space="0" w:color="auto"/>
        <w:left w:val="none" w:sz="0" w:space="0" w:color="auto"/>
        <w:bottom w:val="none" w:sz="0" w:space="0" w:color="auto"/>
        <w:right w:val="none" w:sz="0" w:space="0" w:color="auto"/>
      </w:divBdr>
    </w:div>
    <w:div w:id="1162238724">
      <w:bodyDiv w:val="1"/>
      <w:marLeft w:val="0"/>
      <w:marRight w:val="0"/>
      <w:marTop w:val="0"/>
      <w:marBottom w:val="0"/>
      <w:divBdr>
        <w:top w:val="none" w:sz="0" w:space="0" w:color="auto"/>
        <w:left w:val="none" w:sz="0" w:space="0" w:color="auto"/>
        <w:bottom w:val="none" w:sz="0" w:space="0" w:color="auto"/>
        <w:right w:val="none" w:sz="0" w:space="0" w:color="auto"/>
      </w:divBdr>
    </w:div>
    <w:div w:id="1167670606">
      <w:bodyDiv w:val="1"/>
      <w:marLeft w:val="0"/>
      <w:marRight w:val="0"/>
      <w:marTop w:val="0"/>
      <w:marBottom w:val="0"/>
      <w:divBdr>
        <w:top w:val="none" w:sz="0" w:space="0" w:color="auto"/>
        <w:left w:val="none" w:sz="0" w:space="0" w:color="auto"/>
        <w:bottom w:val="none" w:sz="0" w:space="0" w:color="auto"/>
        <w:right w:val="none" w:sz="0" w:space="0" w:color="auto"/>
      </w:divBdr>
    </w:div>
    <w:div w:id="1179583021">
      <w:bodyDiv w:val="1"/>
      <w:marLeft w:val="0"/>
      <w:marRight w:val="0"/>
      <w:marTop w:val="0"/>
      <w:marBottom w:val="0"/>
      <w:divBdr>
        <w:top w:val="none" w:sz="0" w:space="0" w:color="auto"/>
        <w:left w:val="none" w:sz="0" w:space="0" w:color="auto"/>
        <w:bottom w:val="none" w:sz="0" w:space="0" w:color="auto"/>
        <w:right w:val="none" w:sz="0" w:space="0" w:color="auto"/>
      </w:divBdr>
    </w:div>
    <w:div w:id="1197424419">
      <w:bodyDiv w:val="1"/>
      <w:marLeft w:val="0"/>
      <w:marRight w:val="0"/>
      <w:marTop w:val="0"/>
      <w:marBottom w:val="0"/>
      <w:divBdr>
        <w:top w:val="none" w:sz="0" w:space="0" w:color="auto"/>
        <w:left w:val="none" w:sz="0" w:space="0" w:color="auto"/>
        <w:bottom w:val="none" w:sz="0" w:space="0" w:color="auto"/>
        <w:right w:val="none" w:sz="0" w:space="0" w:color="auto"/>
      </w:divBdr>
    </w:div>
    <w:div w:id="1203782345">
      <w:bodyDiv w:val="1"/>
      <w:marLeft w:val="0"/>
      <w:marRight w:val="0"/>
      <w:marTop w:val="0"/>
      <w:marBottom w:val="0"/>
      <w:divBdr>
        <w:top w:val="none" w:sz="0" w:space="0" w:color="auto"/>
        <w:left w:val="none" w:sz="0" w:space="0" w:color="auto"/>
        <w:bottom w:val="none" w:sz="0" w:space="0" w:color="auto"/>
        <w:right w:val="none" w:sz="0" w:space="0" w:color="auto"/>
      </w:divBdr>
    </w:div>
    <w:div w:id="1211040259">
      <w:bodyDiv w:val="1"/>
      <w:marLeft w:val="0"/>
      <w:marRight w:val="0"/>
      <w:marTop w:val="0"/>
      <w:marBottom w:val="0"/>
      <w:divBdr>
        <w:top w:val="none" w:sz="0" w:space="0" w:color="auto"/>
        <w:left w:val="none" w:sz="0" w:space="0" w:color="auto"/>
        <w:bottom w:val="none" w:sz="0" w:space="0" w:color="auto"/>
        <w:right w:val="none" w:sz="0" w:space="0" w:color="auto"/>
      </w:divBdr>
    </w:div>
    <w:div w:id="1212577383">
      <w:bodyDiv w:val="1"/>
      <w:marLeft w:val="0"/>
      <w:marRight w:val="0"/>
      <w:marTop w:val="0"/>
      <w:marBottom w:val="0"/>
      <w:divBdr>
        <w:top w:val="none" w:sz="0" w:space="0" w:color="auto"/>
        <w:left w:val="none" w:sz="0" w:space="0" w:color="auto"/>
        <w:bottom w:val="none" w:sz="0" w:space="0" w:color="auto"/>
        <w:right w:val="none" w:sz="0" w:space="0" w:color="auto"/>
      </w:divBdr>
    </w:div>
    <w:div w:id="1225066635">
      <w:bodyDiv w:val="1"/>
      <w:marLeft w:val="0"/>
      <w:marRight w:val="0"/>
      <w:marTop w:val="0"/>
      <w:marBottom w:val="0"/>
      <w:divBdr>
        <w:top w:val="none" w:sz="0" w:space="0" w:color="auto"/>
        <w:left w:val="none" w:sz="0" w:space="0" w:color="auto"/>
        <w:bottom w:val="none" w:sz="0" w:space="0" w:color="auto"/>
        <w:right w:val="none" w:sz="0" w:space="0" w:color="auto"/>
      </w:divBdr>
    </w:div>
    <w:div w:id="1228801971">
      <w:bodyDiv w:val="1"/>
      <w:marLeft w:val="0"/>
      <w:marRight w:val="0"/>
      <w:marTop w:val="0"/>
      <w:marBottom w:val="0"/>
      <w:divBdr>
        <w:top w:val="none" w:sz="0" w:space="0" w:color="auto"/>
        <w:left w:val="none" w:sz="0" w:space="0" w:color="auto"/>
        <w:bottom w:val="none" w:sz="0" w:space="0" w:color="auto"/>
        <w:right w:val="none" w:sz="0" w:space="0" w:color="auto"/>
      </w:divBdr>
    </w:div>
    <w:div w:id="1232541655">
      <w:bodyDiv w:val="1"/>
      <w:marLeft w:val="0"/>
      <w:marRight w:val="0"/>
      <w:marTop w:val="0"/>
      <w:marBottom w:val="0"/>
      <w:divBdr>
        <w:top w:val="none" w:sz="0" w:space="0" w:color="auto"/>
        <w:left w:val="none" w:sz="0" w:space="0" w:color="auto"/>
        <w:bottom w:val="none" w:sz="0" w:space="0" w:color="auto"/>
        <w:right w:val="none" w:sz="0" w:space="0" w:color="auto"/>
      </w:divBdr>
    </w:div>
    <w:div w:id="1253777828">
      <w:bodyDiv w:val="1"/>
      <w:marLeft w:val="0"/>
      <w:marRight w:val="0"/>
      <w:marTop w:val="0"/>
      <w:marBottom w:val="0"/>
      <w:divBdr>
        <w:top w:val="none" w:sz="0" w:space="0" w:color="auto"/>
        <w:left w:val="none" w:sz="0" w:space="0" w:color="auto"/>
        <w:bottom w:val="none" w:sz="0" w:space="0" w:color="auto"/>
        <w:right w:val="none" w:sz="0" w:space="0" w:color="auto"/>
      </w:divBdr>
    </w:div>
    <w:div w:id="1253853339">
      <w:bodyDiv w:val="1"/>
      <w:marLeft w:val="0"/>
      <w:marRight w:val="0"/>
      <w:marTop w:val="0"/>
      <w:marBottom w:val="0"/>
      <w:divBdr>
        <w:top w:val="none" w:sz="0" w:space="0" w:color="auto"/>
        <w:left w:val="none" w:sz="0" w:space="0" w:color="auto"/>
        <w:bottom w:val="none" w:sz="0" w:space="0" w:color="auto"/>
        <w:right w:val="none" w:sz="0" w:space="0" w:color="auto"/>
      </w:divBdr>
    </w:div>
    <w:div w:id="1262910092">
      <w:bodyDiv w:val="1"/>
      <w:marLeft w:val="0"/>
      <w:marRight w:val="0"/>
      <w:marTop w:val="0"/>
      <w:marBottom w:val="0"/>
      <w:divBdr>
        <w:top w:val="none" w:sz="0" w:space="0" w:color="auto"/>
        <w:left w:val="none" w:sz="0" w:space="0" w:color="auto"/>
        <w:bottom w:val="none" w:sz="0" w:space="0" w:color="auto"/>
        <w:right w:val="none" w:sz="0" w:space="0" w:color="auto"/>
      </w:divBdr>
    </w:div>
    <w:div w:id="1263413052">
      <w:bodyDiv w:val="1"/>
      <w:marLeft w:val="0"/>
      <w:marRight w:val="0"/>
      <w:marTop w:val="0"/>
      <w:marBottom w:val="0"/>
      <w:divBdr>
        <w:top w:val="none" w:sz="0" w:space="0" w:color="auto"/>
        <w:left w:val="none" w:sz="0" w:space="0" w:color="auto"/>
        <w:bottom w:val="none" w:sz="0" w:space="0" w:color="auto"/>
        <w:right w:val="none" w:sz="0" w:space="0" w:color="auto"/>
      </w:divBdr>
    </w:div>
    <w:div w:id="1263417414">
      <w:bodyDiv w:val="1"/>
      <w:marLeft w:val="0"/>
      <w:marRight w:val="0"/>
      <w:marTop w:val="0"/>
      <w:marBottom w:val="0"/>
      <w:divBdr>
        <w:top w:val="none" w:sz="0" w:space="0" w:color="auto"/>
        <w:left w:val="none" w:sz="0" w:space="0" w:color="auto"/>
        <w:bottom w:val="none" w:sz="0" w:space="0" w:color="auto"/>
        <w:right w:val="none" w:sz="0" w:space="0" w:color="auto"/>
      </w:divBdr>
    </w:div>
    <w:div w:id="1278297312">
      <w:bodyDiv w:val="1"/>
      <w:marLeft w:val="0"/>
      <w:marRight w:val="0"/>
      <w:marTop w:val="0"/>
      <w:marBottom w:val="0"/>
      <w:divBdr>
        <w:top w:val="none" w:sz="0" w:space="0" w:color="auto"/>
        <w:left w:val="none" w:sz="0" w:space="0" w:color="auto"/>
        <w:bottom w:val="none" w:sz="0" w:space="0" w:color="auto"/>
        <w:right w:val="none" w:sz="0" w:space="0" w:color="auto"/>
      </w:divBdr>
    </w:div>
    <w:div w:id="1281299035">
      <w:bodyDiv w:val="1"/>
      <w:marLeft w:val="0"/>
      <w:marRight w:val="0"/>
      <w:marTop w:val="0"/>
      <w:marBottom w:val="0"/>
      <w:divBdr>
        <w:top w:val="none" w:sz="0" w:space="0" w:color="auto"/>
        <w:left w:val="none" w:sz="0" w:space="0" w:color="auto"/>
        <w:bottom w:val="none" w:sz="0" w:space="0" w:color="auto"/>
        <w:right w:val="none" w:sz="0" w:space="0" w:color="auto"/>
      </w:divBdr>
    </w:div>
    <w:div w:id="1316296304">
      <w:bodyDiv w:val="1"/>
      <w:marLeft w:val="0"/>
      <w:marRight w:val="0"/>
      <w:marTop w:val="0"/>
      <w:marBottom w:val="0"/>
      <w:divBdr>
        <w:top w:val="none" w:sz="0" w:space="0" w:color="auto"/>
        <w:left w:val="none" w:sz="0" w:space="0" w:color="auto"/>
        <w:bottom w:val="none" w:sz="0" w:space="0" w:color="auto"/>
        <w:right w:val="none" w:sz="0" w:space="0" w:color="auto"/>
      </w:divBdr>
    </w:div>
    <w:div w:id="1318997205">
      <w:bodyDiv w:val="1"/>
      <w:marLeft w:val="0"/>
      <w:marRight w:val="0"/>
      <w:marTop w:val="0"/>
      <w:marBottom w:val="0"/>
      <w:divBdr>
        <w:top w:val="none" w:sz="0" w:space="0" w:color="auto"/>
        <w:left w:val="none" w:sz="0" w:space="0" w:color="auto"/>
        <w:bottom w:val="none" w:sz="0" w:space="0" w:color="auto"/>
        <w:right w:val="none" w:sz="0" w:space="0" w:color="auto"/>
      </w:divBdr>
    </w:div>
    <w:div w:id="1322735234">
      <w:bodyDiv w:val="1"/>
      <w:marLeft w:val="0"/>
      <w:marRight w:val="0"/>
      <w:marTop w:val="0"/>
      <w:marBottom w:val="0"/>
      <w:divBdr>
        <w:top w:val="none" w:sz="0" w:space="0" w:color="auto"/>
        <w:left w:val="none" w:sz="0" w:space="0" w:color="auto"/>
        <w:bottom w:val="none" w:sz="0" w:space="0" w:color="auto"/>
        <w:right w:val="none" w:sz="0" w:space="0" w:color="auto"/>
      </w:divBdr>
    </w:div>
    <w:div w:id="1344938380">
      <w:bodyDiv w:val="1"/>
      <w:marLeft w:val="0"/>
      <w:marRight w:val="0"/>
      <w:marTop w:val="0"/>
      <w:marBottom w:val="0"/>
      <w:divBdr>
        <w:top w:val="none" w:sz="0" w:space="0" w:color="auto"/>
        <w:left w:val="none" w:sz="0" w:space="0" w:color="auto"/>
        <w:bottom w:val="none" w:sz="0" w:space="0" w:color="auto"/>
        <w:right w:val="none" w:sz="0" w:space="0" w:color="auto"/>
      </w:divBdr>
    </w:div>
    <w:div w:id="1346176377">
      <w:bodyDiv w:val="1"/>
      <w:marLeft w:val="0"/>
      <w:marRight w:val="0"/>
      <w:marTop w:val="0"/>
      <w:marBottom w:val="0"/>
      <w:divBdr>
        <w:top w:val="none" w:sz="0" w:space="0" w:color="auto"/>
        <w:left w:val="none" w:sz="0" w:space="0" w:color="auto"/>
        <w:bottom w:val="none" w:sz="0" w:space="0" w:color="auto"/>
        <w:right w:val="none" w:sz="0" w:space="0" w:color="auto"/>
      </w:divBdr>
    </w:div>
    <w:div w:id="1346635460">
      <w:bodyDiv w:val="1"/>
      <w:marLeft w:val="0"/>
      <w:marRight w:val="0"/>
      <w:marTop w:val="0"/>
      <w:marBottom w:val="0"/>
      <w:divBdr>
        <w:top w:val="none" w:sz="0" w:space="0" w:color="auto"/>
        <w:left w:val="none" w:sz="0" w:space="0" w:color="auto"/>
        <w:bottom w:val="none" w:sz="0" w:space="0" w:color="auto"/>
        <w:right w:val="none" w:sz="0" w:space="0" w:color="auto"/>
      </w:divBdr>
    </w:div>
    <w:div w:id="1352031000">
      <w:bodyDiv w:val="1"/>
      <w:marLeft w:val="0"/>
      <w:marRight w:val="0"/>
      <w:marTop w:val="0"/>
      <w:marBottom w:val="0"/>
      <w:divBdr>
        <w:top w:val="none" w:sz="0" w:space="0" w:color="auto"/>
        <w:left w:val="none" w:sz="0" w:space="0" w:color="auto"/>
        <w:bottom w:val="none" w:sz="0" w:space="0" w:color="auto"/>
        <w:right w:val="none" w:sz="0" w:space="0" w:color="auto"/>
      </w:divBdr>
    </w:div>
    <w:div w:id="1353531755">
      <w:bodyDiv w:val="1"/>
      <w:marLeft w:val="0"/>
      <w:marRight w:val="0"/>
      <w:marTop w:val="0"/>
      <w:marBottom w:val="0"/>
      <w:divBdr>
        <w:top w:val="none" w:sz="0" w:space="0" w:color="auto"/>
        <w:left w:val="none" w:sz="0" w:space="0" w:color="auto"/>
        <w:bottom w:val="none" w:sz="0" w:space="0" w:color="auto"/>
        <w:right w:val="none" w:sz="0" w:space="0" w:color="auto"/>
      </w:divBdr>
    </w:div>
    <w:div w:id="1367291796">
      <w:bodyDiv w:val="1"/>
      <w:marLeft w:val="0"/>
      <w:marRight w:val="0"/>
      <w:marTop w:val="0"/>
      <w:marBottom w:val="0"/>
      <w:divBdr>
        <w:top w:val="none" w:sz="0" w:space="0" w:color="auto"/>
        <w:left w:val="none" w:sz="0" w:space="0" w:color="auto"/>
        <w:bottom w:val="none" w:sz="0" w:space="0" w:color="auto"/>
        <w:right w:val="none" w:sz="0" w:space="0" w:color="auto"/>
      </w:divBdr>
    </w:div>
    <w:div w:id="1408647789">
      <w:bodyDiv w:val="1"/>
      <w:marLeft w:val="0"/>
      <w:marRight w:val="0"/>
      <w:marTop w:val="0"/>
      <w:marBottom w:val="0"/>
      <w:divBdr>
        <w:top w:val="none" w:sz="0" w:space="0" w:color="auto"/>
        <w:left w:val="none" w:sz="0" w:space="0" w:color="auto"/>
        <w:bottom w:val="none" w:sz="0" w:space="0" w:color="auto"/>
        <w:right w:val="none" w:sz="0" w:space="0" w:color="auto"/>
      </w:divBdr>
    </w:div>
    <w:div w:id="1411392464">
      <w:bodyDiv w:val="1"/>
      <w:marLeft w:val="0"/>
      <w:marRight w:val="0"/>
      <w:marTop w:val="0"/>
      <w:marBottom w:val="0"/>
      <w:divBdr>
        <w:top w:val="none" w:sz="0" w:space="0" w:color="auto"/>
        <w:left w:val="none" w:sz="0" w:space="0" w:color="auto"/>
        <w:bottom w:val="none" w:sz="0" w:space="0" w:color="auto"/>
        <w:right w:val="none" w:sz="0" w:space="0" w:color="auto"/>
      </w:divBdr>
    </w:div>
    <w:div w:id="1412459008">
      <w:bodyDiv w:val="1"/>
      <w:marLeft w:val="0"/>
      <w:marRight w:val="0"/>
      <w:marTop w:val="0"/>
      <w:marBottom w:val="0"/>
      <w:divBdr>
        <w:top w:val="none" w:sz="0" w:space="0" w:color="auto"/>
        <w:left w:val="none" w:sz="0" w:space="0" w:color="auto"/>
        <w:bottom w:val="none" w:sz="0" w:space="0" w:color="auto"/>
        <w:right w:val="none" w:sz="0" w:space="0" w:color="auto"/>
      </w:divBdr>
    </w:div>
    <w:div w:id="1422410090">
      <w:bodyDiv w:val="1"/>
      <w:marLeft w:val="0"/>
      <w:marRight w:val="0"/>
      <w:marTop w:val="0"/>
      <w:marBottom w:val="0"/>
      <w:divBdr>
        <w:top w:val="none" w:sz="0" w:space="0" w:color="auto"/>
        <w:left w:val="none" w:sz="0" w:space="0" w:color="auto"/>
        <w:bottom w:val="none" w:sz="0" w:space="0" w:color="auto"/>
        <w:right w:val="none" w:sz="0" w:space="0" w:color="auto"/>
      </w:divBdr>
    </w:div>
    <w:div w:id="1430193937">
      <w:bodyDiv w:val="1"/>
      <w:marLeft w:val="0"/>
      <w:marRight w:val="0"/>
      <w:marTop w:val="0"/>
      <w:marBottom w:val="0"/>
      <w:divBdr>
        <w:top w:val="none" w:sz="0" w:space="0" w:color="auto"/>
        <w:left w:val="none" w:sz="0" w:space="0" w:color="auto"/>
        <w:bottom w:val="none" w:sz="0" w:space="0" w:color="auto"/>
        <w:right w:val="none" w:sz="0" w:space="0" w:color="auto"/>
      </w:divBdr>
    </w:div>
    <w:div w:id="1467115583">
      <w:bodyDiv w:val="1"/>
      <w:marLeft w:val="0"/>
      <w:marRight w:val="0"/>
      <w:marTop w:val="0"/>
      <w:marBottom w:val="0"/>
      <w:divBdr>
        <w:top w:val="none" w:sz="0" w:space="0" w:color="auto"/>
        <w:left w:val="none" w:sz="0" w:space="0" w:color="auto"/>
        <w:bottom w:val="none" w:sz="0" w:space="0" w:color="auto"/>
        <w:right w:val="none" w:sz="0" w:space="0" w:color="auto"/>
      </w:divBdr>
    </w:div>
    <w:div w:id="1482891089">
      <w:bodyDiv w:val="1"/>
      <w:marLeft w:val="0"/>
      <w:marRight w:val="0"/>
      <w:marTop w:val="0"/>
      <w:marBottom w:val="0"/>
      <w:divBdr>
        <w:top w:val="none" w:sz="0" w:space="0" w:color="auto"/>
        <w:left w:val="none" w:sz="0" w:space="0" w:color="auto"/>
        <w:bottom w:val="none" w:sz="0" w:space="0" w:color="auto"/>
        <w:right w:val="none" w:sz="0" w:space="0" w:color="auto"/>
      </w:divBdr>
    </w:div>
    <w:div w:id="1485390329">
      <w:bodyDiv w:val="1"/>
      <w:marLeft w:val="0"/>
      <w:marRight w:val="0"/>
      <w:marTop w:val="0"/>
      <w:marBottom w:val="0"/>
      <w:divBdr>
        <w:top w:val="none" w:sz="0" w:space="0" w:color="auto"/>
        <w:left w:val="none" w:sz="0" w:space="0" w:color="auto"/>
        <w:bottom w:val="none" w:sz="0" w:space="0" w:color="auto"/>
        <w:right w:val="none" w:sz="0" w:space="0" w:color="auto"/>
      </w:divBdr>
    </w:div>
    <w:div w:id="1497384513">
      <w:bodyDiv w:val="1"/>
      <w:marLeft w:val="0"/>
      <w:marRight w:val="0"/>
      <w:marTop w:val="0"/>
      <w:marBottom w:val="0"/>
      <w:divBdr>
        <w:top w:val="none" w:sz="0" w:space="0" w:color="auto"/>
        <w:left w:val="none" w:sz="0" w:space="0" w:color="auto"/>
        <w:bottom w:val="none" w:sz="0" w:space="0" w:color="auto"/>
        <w:right w:val="none" w:sz="0" w:space="0" w:color="auto"/>
      </w:divBdr>
    </w:div>
    <w:div w:id="1497572694">
      <w:bodyDiv w:val="1"/>
      <w:marLeft w:val="0"/>
      <w:marRight w:val="0"/>
      <w:marTop w:val="0"/>
      <w:marBottom w:val="0"/>
      <w:divBdr>
        <w:top w:val="none" w:sz="0" w:space="0" w:color="auto"/>
        <w:left w:val="none" w:sz="0" w:space="0" w:color="auto"/>
        <w:bottom w:val="none" w:sz="0" w:space="0" w:color="auto"/>
        <w:right w:val="none" w:sz="0" w:space="0" w:color="auto"/>
      </w:divBdr>
    </w:div>
    <w:div w:id="1512601346">
      <w:bodyDiv w:val="1"/>
      <w:marLeft w:val="0"/>
      <w:marRight w:val="0"/>
      <w:marTop w:val="0"/>
      <w:marBottom w:val="0"/>
      <w:divBdr>
        <w:top w:val="none" w:sz="0" w:space="0" w:color="auto"/>
        <w:left w:val="none" w:sz="0" w:space="0" w:color="auto"/>
        <w:bottom w:val="none" w:sz="0" w:space="0" w:color="auto"/>
        <w:right w:val="none" w:sz="0" w:space="0" w:color="auto"/>
      </w:divBdr>
    </w:div>
    <w:div w:id="1519196475">
      <w:bodyDiv w:val="1"/>
      <w:marLeft w:val="0"/>
      <w:marRight w:val="0"/>
      <w:marTop w:val="0"/>
      <w:marBottom w:val="0"/>
      <w:divBdr>
        <w:top w:val="none" w:sz="0" w:space="0" w:color="auto"/>
        <w:left w:val="none" w:sz="0" w:space="0" w:color="auto"/>
        <w:bottom w:val="none" w:sz="0" w:space="0" w:color="auto"/>
        <w:right w:val="none" w:sz="0" w:space="0" w:color="auto"/>
      </w:divBdr>
    </w:div>
    <w:div w:id="1537502914">
      <w:bodyDiv w:val="1"/>
      <w:marLeft w:val="0"/>
      <w:marRight w:val="0"/>
      <w:marTop w:val="0"/>
      <w:marBottom w:val="0"/>
      <w:divBdr>
        <w:top w:val="none" w:sz="0" w:space="0" w:color="auto"/>
        <w:left w:val="none" w:sz="0" w:space="0" w:color="auto"/>
        <w:bottom w:val="none" w:sz="0" w:space="0" w:color="auto"/>
        <w:right w:val="none" w:sz="0" w:space="0" w:color="auto"/>
      </w:divBdr>
    </w:div>
    <w:div w:id="1542093711">
      <w:bodyDiv w:val="1"/>
      <w:marLeft w:val="0"/>
      <w:marRight w:val="0"/>
      <w:marTop w:val="0"/>
      <w:marBottom w:val="0"/>
      <w:divBdr>
        <w:top w:val="none" w:sz="0" w:space="0" w:color="auto"/>
        <w:left w:val="none" w:sz="0" w:space="0" w:color="auto"/>
        <w:bottom w:val="none" w:sz="0" w:space="0" w:color="auto"/>
        <w:right w:val="none" w:sz="0" w:space="0" w:color="auto"/>
      </w:divBdr>
    </w:div>
    <w:div w:id="1547371260">
      <w:bodyDiv w:val="1"/>
      <w:marLeft w:val="0"/>
      <w:marRight w:val="0"/>
      <w:marTop w:val="0"/>
      <w:marBottom w:val="0"/>
      <w:divBdr>
        <w:top w:val="none" w:sz="0" w:space="0" w:color="auto"/>
        <w:left w:val="none" w:sz="0" w:space="0" w:color="auto"/>
        <w:bottom w:val="none" w:sz="0" w:space="0" w:color="auto"/>
        <w:right w:val="none" w:sz="0" w:space="0" w:color="auto"/>
      </w:divBdr>
    </w:div>
    <w:div w:id="1549222197">
      <w:bodyDiv w:val="1"/>
      <w:marLeft w:val="0"/>
      <w:marRight w:val="0"/>
      <w:marTop w:val="0"/>
      <w:marBottom w:val="0"/>
      <w:divBdr>
        <w:top w:val="none" w:sz="0" w:space="0" w:color="auto"/>
        <w:left w:val="none" w:sz="0" w:space="0" w:color="auto"/>
        <w:bottom w:val="none" w:sz="0" w:space="0" w:color="auto"/>
        <w:right w:val="none" w:sz="0" w:space="0" w:color="auto"/>
      </w:divBdr>
    </w:div>
    <w:div w:id="1555853611">
      <w:bodyDiv w:val="1"/>
      <w:marLeft w:val="0"/>
      <w:marRight w:val="0"/>
      <w:marTop w:val="0"/>
      <w:marBottom w:val="0"/>
      <w:divBdr>
        <w:top w:val="none" w:sz="0" w:space="0" w:color="auto"/>
        <w:left w:val="none" w:sz="0" w:space="0" w:color="auto"/>
        <w:bottom w:val="none" w:sz="0" w:space="0" w:color="auto"/>
        <w:right w:val="none" w:sz="0" w:space="0" w:color="auto"/>
      </w:divBdr>
    </w:div>
    <w:div w:id="1561552143">
      <w:bodyDiv w:val="1"/>
      <w:marLeft w:val="0"/>
      <w:marRight w:val="0"/>
      <w:marTop w:val="0"/>
      <w:marBottom w:val="0"/>
      <w:divBdr>
        <w:top w:val="none" w:sz="0" w:space="0" w:color="auto"/>
        <w:left w:val="none" w:sz="0" w:space="0" w:color="auto"/>
        <w:bottom w:val="none" w:sz="0" w:space="0" w:color="auto"/>
        <w:right w:val="none" w:sz="0" w:space="0" w:color="auto"/>
      </w:divBdr>
    </w:div>
    <w:div w:id="1577476352">
      <w:bodyDiv w:val="1"/>
      <w:marLeft w:val="0"/>
      <w:marRight w:val="0"/>
      <w:marTop w:val="0"/>
      <w:marBottom w:val="0"/>
      <w:divBdr>
        <w:top w:val="none" w:sz="0" w:space="0" w:color="auto"/>
        <w:left w:val="none" w:sz="0" w:space="0" w:color="auto"/>
        <w:bottom w:val="none" w:sz="0" w:space="0" w:color="auto"/>
        <w:right w:val="none" w:sz="0" w:space="0" w:color="auto"/>
      </w:divBdr>
    </w:div>
    <w:div w:id="1592548914">
      <w:bodyDiv w:val="1"/>
      <w:marLeft w:val="0"/>
      <w:marRight w:val="0"/>
      <w:marTop w:val="0"/>
      <w:marBottom w:val="0"/>
      <w:divBdr>
        <w:top w:val="none" w:sz="0" w:space="0" w:color="auto"/>
        <w:left w:val="none" w:sz="0" w:space="0" w:color="auto"/>
        <w:bottom w:val="none" w:sz="0" w:space="0" w:color="auto"/>
        <w:right w:val="none" w:sz="0" w:space="0" w:color="auto"/>
      </w:divBdr>
    </w:div>
    <w:div w:id="1599947339">
      <w:bodyDiv w:val="1"/>
      <w:marLeft w:val="0"/>
      <w:marRight w:val="0"/>
      <w:marTop w:val="0"/>
      <w:marBottom w:val="0"/>
      <w:divBdr>
        <w:top w:val="none" w:sz="0" w:space="0" w:color="auto"/>
        <w:left w:val="none" w:sz="0" w:space="0" w:color="auto"/>
        <w:bottom w:val="none" w:sz="0" w:space="0" w:color="auto"/>
        <w:right w:val="none" w:sz="0" w:space="0" w:color="auto"/>
      </w:divBdr>
    </w:div>
    <w:div w:id="1600792628">
      <w:bodyDiv w:val="1"/>
      <w:marLeft w:val="0"/>
      <w:marRight w:val="0"/>
      <w:marTop w:val="0"/>
      <w:marBottom w:val="0"/>
      <w:divBdr>
        <w:top w:val="none" w:sz="0" w:space="0" w:color="auto"/>
        <w:left w:val="none" w:sz="0" w:space="0" w:color="auto"/>
        <w:bottom w:val="none" w:sz="0" w:space="0" w:color="auto"/>
        <w:right w:val="none" w:sz="0" w:space="0" w:color="auto"/>
      </w:divBdr>
    </w:div>
    <w:div w:id="1611233392">
      <w:bodyDiv w:val="1"/>
      <w:marLeft w:val="0"/>
      <w:marRight w:val="0"/>
      <w:marTop w:val="0"/>
      <w:marBottom w:val="0"/>
      <w:divBdr>
        <w:top w:val="none" w:sz="0" w:space="0" w:color="auto"/>
        <w:left w:val="none" w:sz="0" w:space="0" w:color="auto"/>
        <w:bottom w:val="none" w:sz="0" w:space="0" w:color="auto"/>
        <w:right w:val="none" w:sz="0" w:space="0" w:color="auto"/>
      </w:divBdr>
    </w:div>
    <w:div w:id="1617592094">
      <w:bodyDiv w:val="1"/>
      <w:marLeft w:val="0"/>
      <w:marRight w:val="0"/>
      <w:marTop w:val="0"/>
      <w:marBottom w:val="0"/>
      <w:divBdr>
        <w:top w:val="none" w:sz="0" w:space="0" w:color="auto"/>
        <w:left w:val="none" w:sz="0" w:space="0" w:color="auto"/>
        <w:bottom w:val="none" w:sz="0" w:space="0" w:color="auto"/>
        <w:right w:val="none" w:sz="0" w:space="0" w:color="auto"/>
      </w:divBdr>
    </w:div>
    <w:div w:id="1619682557">
      <w:bodyDiv w:val="1"/>
      <w:marLeft w:val="0"/>
      <w:marRight w:val="0"/>
      <w:marTop w:val="0"/>
      <w:marBottom w:val="0"/>
      <w:divBdr>
        <w:top w:val="none" w:sz="0" w:space="0" w:color="auto"/>
        <w:left w:val="none" w:sz="0" w:space="0" w:color="auto"/>
        <w:bottom w:val="none" w:sz="0" w:space="0" w:color="auto"/>
        <w:right w:val="none" w:sz="0" w:space="0" w:color="auto"/>
      </w:divBdr>
    </w:div>
    <w:div w:id="1642077625">
      <w:bodyDiv w:val="1"/>
      <w:marLeft w:val="0"/>
      <w:marRight w:val="0"/>
      <w:marTop w:val="0"/>
      <w:marBottom w:val="0"/>
      <w:divBdr>
        <w:top w:val="none" w:sz="0" w:space="0" w:color="auto"/>
        <w:left w:val="none" w:sz="0" w:space="0" w:color="auto"/>
        <w:bottom w:val="none" w:sz="0" w:space="0" w:color="auto"/>
        <w:right w:val="none" w:sz="0" w:space="0" w:color="auto"/>
      </w:divBdr>
    </w:div>
    <w:div w:id="1649282934">
      <w:bodyDiv w:val="1"/>
      <w:marLeft w:val="0"/>
      <w:marRight w:val="0"/>
      <w:marTop w:val="0"/>
      <w:marBottom w:val="0"/>
      <w:divBdr>
        <w:top w:val="none" w:sz="0" w:space="0" w:color="auto"/>
        <w:left w:val="none" w:sz="0" w:space="0" w:color="auto"/>
        <w:bottom w:val="none" w:sz="0" w:space="0" w:color="auto"/>
        <w:right w:val="none" w:sz="0" w:space="0" w:color="auto"/>
      </w:divBdr>
    </w:div>
    <w:div w:id="1654217668">
      <w:bodyDiv w:val="1"/>
      <w:marLeft w:val="0"/>
      <w:marRight w:val="0"/>
      <w:marTop w:val="0"/>
      <w:marBottom w:val="0"/>
      <w:divBdr>
        <w:top w:val="none" w:sz="0" w:space="0" w:color="auto"/>
        <w:left w:val="none" w:sz="0" w:space="0" w:color="auto"/>
        <w:bottom w:val="none" w:sz="0" w:space="0" w:color="auto"/>
        <w:right w:val="none" w:sz="0" w:space="0" w:color="auto"/>
      </w:divBdr>
    </w:div>
    <w:div w:id="1665351960">
      <w:bodyDiv w:val="1"/>
      <w:marLeft w:val="0"/>
      <w:marRight w:val="0"/>
      <w:marTop w:val="0"/>
      <w:marBottom w:val="0"/>
      <w:divBdr>
        <w:top w:val="none" w:sz="0" w:space="0" w:color="auto"/>
        <w:left w:val="none" w:sz="0" w:space="0" w:color="auto"/>
        <w:bottom w:val="none" w:sz="0" w:space="0" w:color="auto"/>
        <w:right w:val="none" w:sz="0" w:space="0" w:color="auto"/>
      </w:divBdr>
    </w:div>
    <w:div w:id="1671172245">
      <w:bodyDiv w:val="1"/>
      <w:marLeft w:val="0"/>
      <w:marRight w:val="0"/>
      <w:marTop w:val="0"/>
      <w:marBottom w:val="0"/>
      <w:divBdr>
        <w:top w:val="none" w:sz="0" w:space="0" w:color="auto"/>
        <w:left w:val="none" w:sz="0" w:space="0" w:color="auto"/>
        <w:bottom w:val="none" w:sz="0" w:space="0" w:color="auto"/>
        <w:right w:val="none" w:sz="0" w:space="0" w:color="auto"/>
      </w:divBdr>
    </w:div>
    <w:div w:id="1680160144">
      <w:bodyDiv w:val="1"/>
      <w:marLeft w:val="0"/>
      <w:marRight w:val="0"/>
      <w:marTop w:val="0"/>
      <w:marBottom w:val="0"/>
      <w:divBdr>
        <w:top w:val="none" w:sz="0" w:space="0" w:color="auto"/>
        <w:left w:val="none" w:sz="0" w:space="0" w:color="auto"/>
        <w:bottom w:val="none" w:sz="0" w:space="0" w:color="auto"/>
        <w:right w:val="none" w:sz="0" w:space="0" w:color="auto"/>
      </w:divBdr>
    </w:div>
    <w:div w:id="1684239455">
      <w:bodyDiv w:val="1"/>
      <w:marLeft w:val="0"/>
      <w:marRight w:val="0"/>
      <w:marTop w:val="0"/>
      <w:marBottom w:val="0"/>
      <w:divBdr>
        <w:top w:val="none" w:sz="0" w:space="0" w:color="auto"/>
        <w:left w:val="none" w:sz="0" w:space="0" w:color="auto"/>
        <w:bottom w:val="none" w:sz="0" w:space="0" w:color="auto"/>
        <w:right w:val="none" w:sz="0" w:space="0" w:color="auto"/>
      </w:divBdr>
    </w:div>
    <w:div w:id="1696495540">
      <w:bodyDiv w:val="1"/>
      <w:marLeft w:val="0"/>
      <w:marRight w:val="0"/>
      <w:marTop w:val="0"/>
      <w:marBottom w:val="0"/>
      <w:divBdr>
        <w:top w:val="none" w:sz="0" w:space="0" w:color="auto"/>
        <w:left w:val="none" w:sz="0" w:space="0" w:color="auto"/>
        <w:bottom w:val="none" w:sz="0" w:space="0" w:color="auto"/>
        <w:right w:val="none" w:sz="0" w:space="0" w:color="auto"/>
      </w:divBdr>
    </w:div>
    <w:div w:id="1696881035">
      <w:bodyDiv w:val="1"/>
      <w:marLeft w:val="0"/>
      <w:marRight w:val="0"/>
      <w:marTop w:val="0"/>
      <w:marBottom w:val="0"/>
      <w:divBdr>
        <w:top w:val="none" w:sz="0" w:space="0" w:color="auto"/>
        <w:left w:val="none" w:sz="0" w:space="0" w:color="auto"/>
        <w:bottom w:val="none" w:sz="0" w:space="0" w:color="auto"/>
        <w:right w:val="none" w:sz="0" w:space="0" w:color="auto"/>
      </w:divBdr>
    </w:div>
    <w:div w:id="1699576631">
      <w:bodyDiv w:val="1"/>
      <w:marLeft w:val="0"/>
      <w:marRight w:val="0"/>
      <w:marTop w:val="0"/>
      <w:marBottom w:val="0"/>
      <w:divBdr>
        <w:top w:val="none" w:sz="0" w:space="0" w:color="auto"/>
        <w:left w:val="none" w:sz="0" w:space="0" w:color="auto"/>
        <w:bottom w:val="none" w:sz="0" w:space="0" w:color="auto"/>
        <w:right w:val="none" w:sz="0" w:space="0" w:color="auto"/>
      </w:divBdr>
    </w:div>
    <w:div w:id="1700081922">
      <w:bodyDiv w:val="1"/>
      <w:marLeft w:val="0"/>
      <w:marRight w:val="0"/>
      <w:marTop w:val="0"/>
      <w:marBottom w:val="0"/>
      <w:divBdr>
        <w:top w:val="none" w:sz="0" w:space="0" w:color="auto"/>
        <w:left w:val="none" w:sz="0" w:space="0" w:color="auto"/>
        <w:bottom w:val="none" w:sz="0" w:space="0" w:color="auto"/>
        <w:right w:val="none" w:sz="0" w:space="0" w:color="auto"/>
      </w:divBdr>
    </w:div>
    <w:div w:id="1703479868">
      <w:bodyDiv w:val="1"/>
      <w:marLeft w:val="0"/>
      <w:marRight w:val="0"/>
      <w:marTop w:val="0"/>
      <w:marBottom w:val="0"/>
      <w:divBdr>
        <w:top w:val="none" w:sz="0" w:space="0" w:color="auto"/>
        <w:left w:val="none" w:sz="0" w:space="0" w:color="auto"/>
        <w:bottom w:val="none" w:sz="0" w:space="0" w:color="auto"/>
        <w:right w:val="none" w:sz="0" w:space="0" w:color="auto"/>
      </w:divBdr>
    </w:div>
    <w:div w:id="1707830360">
      <w:bodyDiv w:val="1"/>
      <w:marLeft w:val="0"/>
      <w:marRight w:val="0"/>
      <w:marTop w:val="0"/>
      <w:marBottom w:val="0"/>
      <w:divBdr>
        <w:top w:val="none" w:sz="0" w:space="0" w:color="auto"/>
        <w:left w:val="none" w:sz="0" w:space="0" w:color="auto"/>
        <w:bottom w:val="none" w:sz="0" w:space="0" w:color="auto"/>
        <w:right w:val="none" w:sz="0" w:space="0" w:color="auto"/>
      </w:divBdr>
    </w:div>
    <w:div w:id="1710688724">
      <w:bodyDiv w:val="1"/>
      <w:marLeft w:val="0"/>
      <w:marRight w:val="0"/>
      <w:marTop w:val="0"/>
      <w:marBottom w:val="0"/>
      <w:divBdr>
        <w:top w:val="none" w:sz="0" w:space="0" w:color="auto"/>
        <w:left w:val="none" w:sz="0" w:space="0" w:color="auto"/>
        <w:bottom w:val="none" w:sz="0" w:space="0" w:color="auto"/>
        <w:right w:val="none" w:sz="0" w:space="0" w:color="auto"/>
      </w:divBdr>
    </w:div>
    <w:div w:id="1725837276">
      <w:bodyDiv w:val="1"/>
      <w:marLeft w:val="0"/>
      <w:marRight w:val="0"/>
      <w:marTop w:val="0"/>
      <w:marBottom w:val="0"/>
      <w:divBdr>
        <w:top w:val="none" w:sz="0" w:space="0" w:color="auto"/>
        <w:left w:val="none" w:sz="0" w:space="0" w:color="auto"/>
        <w:bottom w:val="none" w:sz="0" w:space="0" w:color="auto"/>
        <w:right w:val="none" w:sz="0" w:space="0" w:color="auto"/>
      </w:divBdr>
    </w:div>
    <w:div w:id="1731806399">
      <w:bodyDiv w:val="1"/>
      <w:marLeft w:val="0"/>
      <w:marRight w:val="0"/>
      <w:marTop w:val="0"/>
      <w:marBottom w:val="0"/>
      <w:divBdr>
        <w:top w:val="none" w:sz="0" w:space="0" w:color="auto"/>
        <w:left w:val="none" w:sz="0" w:space="0" w:color="auto"/>
        <w:bottom w:val="none" w:sz="0" w:space="0" w:color="auto"/>
        <w:right w:val="none" w:sz="0" w:space="0" w:color="auto"/>
      </w:divBdr>
    </w:div>
    <w:div w:id="1740899878">
      <w:bodyDiv w:val="1"/>
      <w:marLeft w:val="0"/>
      <w:marRight w:val="0"/>
      <w:marTop w:val="0"/>
      <w:marBottom w:val="0"/>
      <w:divBdr>
        <w:top w:val="none" w:sz="0" w:space="0" w:color="auto"/>
        <w:left w:val="none" w:sz="0" w:space="0" w:color="auto"/>
        <w:bottom w:val="none" w:sz="0" w:space="0" w:color="auto"/>
        <w:right w:val="none" w:sz="0" w:space="0" w:color="auto"/>
      </w:divBdr>
    </w:div>
    <w:div w:id="1748378597">
      <w:bodyDiv w:val="1"/>
      <w:marLeft w:val="0"/>
      <w:marRight w:val="0"/>
      <w:marTop w:val="0"/>
      <w:marBottom w:val="0"/>
      <w:divBdr>
        <w:top w:val="none" w:sz="0" w:space="0" w:color="auto"/>
        <w:left w:val="none" w:sz="0" w:space="0" w:color="auto"/>
        <w:bottom w:val="none" w:sz="0" w:space="0" w:color="auto"/>
        <w:right w:val="none" w:sz="0" w:space="0" w:color="auto"/>
      </w:divBdr>
    </w:div>
    <w:div w:id="1752389207">
      <w:bodyDiv w:val="1"/>
      <w:marLeft w:val="0"/>
      <w:marRight w:val="0"/>
      <w:marTop w:val="0"/>
      <w:marBottom w:val="0"/>
      <w:divBdr>
        <w:top w:val="none" w:sz="0" w:space="0" w:color="auto"/>
        <w:left w:val="none" w:sz="0" w:space="0" w:color="auto"/>
        <w:bottom w:val="none" w:sz="0" w:space="0" w:color="auto"/>
        <w:right w:val="none" w:sz="0" w:space="0" w:color="auto"/>
      </w:divBdr>
    </w:div>
    <w:div w:id="1766226956">
      <w:bodyDiv w:val="1"/>
      <w:marLeft w:val="0"/>
      <w:marRight w:val="0"/>
      <w:marTop w:val="0"/>
      <w:marBottom w:val="0"/>
      <w:divBdr>
        <w:top w:val="none" w:sz="0" w:space="0" w:color="auto"/>
        <w:left w:val="none" w:sz="0" w:space="0" w:color="auto"/>
        <w:bottom w:val="none" w:sz="0" w:space="0" w:color="auto"/>
        <w:right w:val="none" w:sz="0" w:space="0" w:color="auto"/>
      </w:divBdr>
    </w:div>
    <w:div w:id="1769353055">
      <w:bodyDiv w:val="1"/>
      <w:marLeft w:val="0"/>
      <w:marRight w:val="0"/>
      <w:marTop w:val="0"/>
      <w:marBottom w:val="0"/>
      <w:divBdr>
        <w:top w:val="none" w:sz="0" w:space="0" w:color="auto"/>
        <w:left w:val="none" w:sz="0" w:space="0" w:color="auto"/>
        <w:bottom w:val="none" w:sz="0" w:space="0" w:color="auto"/>
        <w:right w:val="none" w:sz="0" w:space="0" w:color="auto"/>
      </w:divBdr>
    </w:div>
    <w:div w:id="1776828419">
      <w:bodyDiv w:val="1"/>
      <w:marLeft w:val="0"/>
      <w:marRight w:val="0"/>
      <w:marTop w:val="0"/>
      <w:marBottom w:val="0"/>
      <w:divBdr>
        <w:top w:val="none" w:sz="0" w:space="0" w:color="auto"/>
        <w:left w:val="none" w:sz="0" w:space="0" w:color="auto"/>
        <w:bottom w:val="none" w:sz="0" w:space="0" w:color="auto"/>
        <w:right w:val="none" w:sz="0" w:space="0" w:color="auto"/>
      </w:divBdr>
    </w:div>
    <w:div w:id="1788237681">
      <w:bodyDiv w:val="1"/>
      <w:marLeft w:val="0"/>
      <w:marRight w:val="0"/>
      <w:marTop w:val="0"/>
      <w:marBottom w:val="0"/>
      <w:divBdr>
        <w:top w:val="none" w:sz="0" w:space="0" w:color="auto"/>
        <w:left w:val="none" w:sz="0" w:space="0" w:color="auto"/>
        <w:bottom w:val="none" w:sz="0" w:space="0" w:color="auto"/>
        <w:right w:val="none" w:sz="0" w:space="0" w:color="auto"/>
      </w:divBdr>
    </w:div>
    <w:div w:id="1793207939">
      <w:bodyDiv w:val="1"/>
      <w:marLeft w:val="0"/>
      <w:marRight w:val="0"/>
      <w:marTop w:val="0"/>
      <w:marBottom w:val="0"/>
      <w:divBdr>
        <w:top w:val="none" w:sz="0" w:space="0" w:color="auto"/>
        <w:left w:val="none" w:sz="0" w:space="0" w:color="auto"/>
        <w:bottom w:val="none" w:sz="0" w:space="0" w:color="auto"/>
        <w:right w:val="none" w:sz="0" w:space="0" w:color="auto"/>
      </w:divBdr>
    </w:div>
    <w:div w:id="1813475546">
      <w:bodyDiv w:val="1"/>
      <w:marLeft w:val="0"/>
      <w:marRight w:val="0"/>
      <w:marTop w:val="0"/>
      <w:marBottom w:val="0"/>
      <w:divBdr>
        <w:top w:val="none" w:sz="0" w:space="0" w:color="auto"/>
        <w:left w:val="none" w:sz="0" w:space="0" w:color="auto"/>
        <w:bottom w:val="none" w:sz="0" w:space="0" w:color="auto"/>
        <w:right w:val="none" w:sz="0" w:space="0" w:color="auto"/>
      </w:divBdr>
    </w:div>
    <w:div w:id="1815104795">
      <w:bodyDiv w:val="1"/>
      <w:marLeft w:val="0"/>
      <w:marRight w:val="0"/>
      <w:marTop w:val="0"/>
      <w:marBottom w:val="0"/>
      <w:divBdr>
        <w:top w:val="none" w:sz="0" w:space="0" w:color="auto"/>
        <w:left w:val="none" w:sz="0" w:space="0" w:color="auto"/>
        <w:bottom w:val="none" w:sz="0" w:space="0" w:color="auto"/>
        <w:right w:val="none" w:sz="0" w:space="0" w:color="auto"/>
      </w:divBdr>
    </w:div>
    <w:div w:id="1827358890">
      <w:bodyDiv w:val="1"/>
      <w:marLeft w:val="0"/>
      <w:marRight w:val="0"/>
      <w:marTop w:val="0"/>
      <w:marBottom w:val="0"/>
      <w:divBdr>
        <w:top w:val="none" w:sz="0" w:space="0" w:color="auto"/>
        <w:left w:val="none" w:sz="0" w:space="0" w:color="auto"/>
        <w:bottom w:val="none" w:sz="0" w:space="0" w:color="auto"/>
        <w:right w:val="none" w:sz="0" w:space="0" w:color="auto"/>
      </w:divBdr>
    </w:div>
    <w:div w:id="1837499474">
      <w:bodyDiv w:val="1"/>
      <w:marLeft w:val="0"/>
      <w:marRight w:val="0"/>
      <w:marTop w:val="0"/>
      <w:marBottom w:val="0"/>
      <w:divBdr>
        <w:top w:val="none" w:sz="0" w:space="0" w:color="auto"/>
        <w:left w:val="none" w:sz="0" w:space="0" w:color="auto"/>
        <w:bottom w:val="none" w:sz="0" w:space="0" w:color="auto"/>
        <w:right w:val="none" w:sz="0" w:space="0" w:color="auto"/>
      </w:divBdr>
    </w:div>
    <w:div w:id="1839029689">
      <w:bodyDiv w:val="1"/>
      <w:marLeft w:val="0"/>
      <w:marRight w:val="0"/>
      <w:marTop w:val="0"/>
      <w:marBottom w:val="0"/>
      <w:divBdr>
        <w:top w:val="none" w:sz="0" w:space="0" w:color="auto"/>
        <w:left w:val="none" w:sz="0" w:space="0" w:color="auto"/>
        <w:bottom w:val="none" w:sz="0" w:space="0" w:color="auto"/>
        <w:right w:val="none" w:sz="0" w:space="0" w:color="auto"/>
      </w:divBdr>
    </w:div>
    <w:div w:id="1843161979">
      <w:bodyDiv w:val="1"/>
      <w:marLeft w:val="0"/>
      <w:marRight w:val="0"/>
      <w:marTop w:val="0"/>
      <w:marBottom w:val="0"/>
      <w:divBdr>
        <w:top w:val="none" w:sz="0" w:space="0" w:color="auto"/>
        <w:left w:val="none" w:sz="0" w:space="0" w:color="auto"/>
        <w:bottom w:val="none" w:sz="0" w:space="0" w:color="auto"/>
        <w:right w:val="none" w:sz="0" w:space="0" w:color="auto"/>
      </w:divBdr>
    </w:div>
    <w:div w:id="1851412719">
      <w:bodyDiv w:val="1"/>
      <w:marLeft w:val="0"/>
      <w:marRight w:val="0"/>
      <w:marTop w:val="0"/>
      <w:marBottom w:val="0"/>
      <w:divBdr>
        <w:top w:val="none" w:sz="0" w:space="0" w:color="auto"/>
        <w:left w:val="none" w:sz="0" w:space="0" w:color="auto"/>
        <w:bottom w:val="none" w:sz="0" w:space="0" w:color="auto"/>
        <w:right w:val="none" w:sz="0" w:space="0" w:color="auto"/>
      </w:divBdr>
    </w:div>
    <w:div w:id="1855613135">
      <w:bodyDiv w:val="1"/>
      <w:marLeft w:val="0"/>
      <w:marRight w:val="0"/>
      <w:marTop w:val="0"/>
      <w:marBottom w:val="0"/>
      <w:divBdr>
        <w:top w:val="none" w:sz="0" w:space="0" w:color="auto"/>
        <w:left w:val="none" w:sz="0" w:space="0" w:color="auto"/>
        <w:bottom w:val="none" w:sz="0" w:space="0" w:color="auto"/>
        <w:right w:val="none" w:sz="0" w:space="0" w:color="auto"/>
      </w:divBdr>
    </w:div>
    <w:div w:id="1864049319">
      <w:bodyDiv w:val="1"/>
      <w:marLeft w:val="0"/>
      <w:marRight w:val="0"/>
      <w:marTop w:val="0"/>
      <w:marBottom w:val="0"/>
      <w:divBdr>
        <w:top w:val="none" w:sz="0" w:space="0" w:color="auto"/>
        <w:left w:val="none" w:sz="0" w:space="0" w:color="auto"/>
        <w:bottom w:val="none" w:sz="0" w:space="0" w:color="auto"/>
        <w:right w:val="none" w:sz="0" w:space="0" w:color="auto"/>
      </w:divBdr>
    </w:div>
    <w:div w:id="1870024705">
      <w:bodyDiv w:val="1"/>
      <w:marLeft w:val="0"/>
      <w:marRight w:val="0"/>
      <w:marTop w:val="0"/>
      <w:marBottom w:val="0"/>
      <w:divBdr>
        <w:top w:val="none" w:sz="0" w:space="0" w:color="auto"/>
        <w:left w:val="none" w:sz="0" w:space="0" w:color="auto"/>
        <w:bottom w:val="none" w:sz="0" w:space="0" w:color="auto"/>
        <w:right w:val="none" w:sz="0" w:space="0" w:color="auto"/>
      </w:divBdr>
    </w:div>
    <w:div w:id="1882473586">
      <w:bodyDiv w:val="1"/>
      <w:marLeft w:val="0"/>
      <w:marRight w:val="0"/>
      <w:marTop w:val="0"/>
      <w:marBottom w:val="0"/>
      <w:divBdr>
        <w:top w:val="none" w:sz="0" w:space="0" w:color="auto"/>
        <w:left w:val="none" w:sz="0" w:space="0" w:color="auto"/>
        <w:bottom w:val="none" w:sz="0" w:space="0" w:color="auto"/>
        <w:right w:val="none" w:sz="0" w:space="0" w:color="auto"/>
      </w:divBdr>
    </w:div>
    <w:div w:id="1895505299">
      <w:bodyDiv w:val="1"/>
      <w:marLeft w:val="0"/>
      <w:marRight w:val="0"/>
      <w:marTop w:val="0"/>
      <w:marBottom w:val="0"/>
      <w:divBdr>
        <w:top w:val="none" w:sz="0" w:space="0" w:color="auto"/>
        <w:left w:val="none" w:sz="0" w:space="0" w:color="auto"/>
        <w:bottom w:val="none" w:sz="0" w:space="0" w:color="auto"/>
        <w:right w:val="none" w:sz="0" w:space="0" w:color="auto"/>
      </w:divBdr>
    </w:div>
    <w:div w:id="1903515131">
      <w:bodyDiv w:val="1"/>
      <w:marLeft w:val="0"/>
      <w:marRight w:val="0"/>
      <w:marTop w:val="0"/>
      <w:marBottom w:val="0"/>
      <w:divBdr>
        <w:top w:val="none" w:sz="0" w:space="0" w:color="auto"/>
        <w:left w:val="none" w:sz="0" w:space="0" w:color="auto"/>
        <w:bottom w:val="none" w:sz="0" w:space="0" w:color="auto"/>
        <w:right w:val="none" w:sz="0" w:space="0" w:color="auto"/>
      </w:divBdr>
    </w:div>
    <w:div w:id="1905871386">
      <w:bodyDiv w:val="1"/>
      <w:marLeft w:val="0"/>
      <w:marRight w:val="0"/>
      <w:marTop w:val="0"/>
      <w:marBottom w:val="0"/>
      <w:divBdr>
        <w:top w:val="none" w:sz="0" w:space="0" w:color="auto"/>
        <w:left w:val="none" w:sz="0" w:space="0" w:color="auto"/>
        <w:bottom w:val="none" w:sz="0" w:space="0" w:color="auto"/>
        <w:right w:val="none" w:sz="0" w:space="0" w:color="auto"/>
      </w:divBdr>
    </w:div>
    <w:div w:id="1912764666">
      <w:bodyDiv w:val="1"/>
      <w:marLeft w:val="0"/>
      <w:marRight w:val="0"/>
      <w:marTop w:val="0"/>
      <w:marBottom w:val="0"/>
      <w:divBdr>
        <w:top w:val="none" w:sz="0" w:space="0" w:color="auto"/>
        <w:left w:val="none" w:sz="0" w:space="0" w:color="auto"/>
        <w:bottom w:val="none" w:sz="0" w:space="0" w:color="auto"/>
        <w:right w:val="none" w:sz="0" w:space="0" w:color="auto"/>
      </w:divBdr>
    </w:div>
    <w:div w:id="1914465132">
      <w:bodyDiv w:val="1"/>
      <w:marLeft w:val="0"/>
      <w:marRight w:val="0"/>
      <w:marTop w:val="0"/>
      <w:marBottom w:val="0"/>
      <w:divBdr>
        <w:top w:val="none" w:sz="0" w:space="0" w:color="auto"/>
        <w:left w:val="none" w:sz="0" w:space="0" w:color="auto"/>
        <w:bottom w:val="none" w:sz="0" w:space="0" w:color="auto"/>
        <w:right w:val="none" w:sz="0" w:space="0" w:color="auto"/>
      </w:divBdr>
    </w:div>
    <w:div w:id="1934438728">
      <w:bodyDiv w:val="1"/>
      <w:marLeft w:val="0"/>
      <w:marRight w:val="0"/>
      <w:marTop w:val="0"/>
      <w:marBottom w:val="0"/>
      <w:divBdr>
        <w:top w:val="none" w:sz="0" w:space="0" w:color="auto"/>
        <w:left w:val="none" w:sz="0" w:space="0" w:color="auto"/>
        <w:bottom w:val="none" w:sz="0" w:space="0" w:color="auto"/>
        <w:right w:val="none" w:sz="0" w:space="0" w:color="auto"/>
      </w:divBdr>
    </w:div>
    <w:div w:id="1945453458">
      <w:bodyDiv w:val="1"/>
      <w:marLeft w:val="0"/>
      <w:marRight w:val="0"/>
      <w:marTop w:val="0"/>
      <w:marBottom w:val="0"/>
      <w:divBdr>
        <w:top w:val="none" w:sz="0" w:space="0" w:color="auto"/>
        <w:left w:val="none" w:sz="0" w:space="0" w:color="auto"/>
        <w:bottom w:val="none" w:sz="0" w:space="0" w:color="auto"/>
        <w:right w:val="none" w:sz="0" w:space="0" w:color="auto"/>
      </w:divBdr>
    </w:div>
    <w:div w:id="1962564650">
      <w:bodyDiv w:val="1"/>
      <w:marLeft w:val="0"/>
      <w:marRight w:val="0"/>
      <w:marTop w:val="0"/>
      <w:marBottom w:val="0"/>
      <w:divBdr>
        <w:top w:val="none" w:sz="0" w:space="0" w:color="auto"/>
        <w:left w:val="none" w:sz="0" w:space="0" w:color="auto"/>
        <w:bottom w:val="none" w:sz="0" w:space="0" w:color="auto"/>
        <w:right w:val="none" w:sz="0" w:space="0" w:color="auto"/>
      </w:divBdr>
    </w:div>
    <w:div w:id="1964194642">
      <w:bodyDiv w:val="1"/>
      <w:marLeft w:val="0"/>
      <w:marRight w:val="0"/>
      <w:marTop w:val="0"/>
      <w:marBottom w:val="0"/>
      <w:divBdr>
        <w:top w:val="none" w:sz="0" w:space="0" w:color="auto"/>
        <w:left w:val="none" w:sz="0" w:space="0" w:color="auto"/>
        <w:bottom w:val="none" w:sz="0" w:space="0" w:color="auto"/>
        <w:right w:val="none" w:sz="0" w:space="0" w:color="auto"/>
      </w:divBdr>
    </w:div>
    <w:div w:id="1967005814">
      <w:bodyDiv w:val="1"/>
      <w:marLeft w:val="0"/>
      <w:marRight w:val="0"/>
      <w:marTop w:val="0"/>
      <w:marBottom w:val="0"/>
      <w:divBdr>
        <w:top w:val="none" w:sz="0" w:space="0" w:color="auto"/>
        <w:left w:val="none" w:sz="0" w:space="0" w:color="auto"/>
        <w:bottom w:val="none" w:sz="0" w:space="0" w:color="auto"/>
        <w:right w:val="none" w:sz="0" w:space="0" w:color="auto"/>
      </w:divBdr>
    </w:div>
    <w:div w:id="1968466440">
      <w:bodyDiv w:val="1"/>
      <w:marLeft w:val="0"/>
      <w:marRight w:val="0"/>
      <w:marTop w:val="0"/>
      <w:marBottom w:val="0"/>
      <w:divBdr>
        <w:top w:val="none" w:sz="0" w:space="0" w:color="auto"/>
        <w:left w:val="none" w:sz="0" w:space="0" w:color="auto"/>
        <w:bottom w:val="none" w:sz="0" w:space="0" w:color="auto"/>
        <w:right w:val="none" w:sz="0" w:space="0" w:color="auto"/>
      </w:divBdr>
    </w:div>
    <w:div w:id="1979023221">
      <w:bodyDiv w:val="1"/>
      <w:marLeft w:val="0"/>
      <w:marRight w:val="0"/>
      <w:marTop w:val="0"/>
      <w:marBottom w:val="0"/>
      <w:divBdr>
        <w:top w:val="none" w:sz="0" w:space="0" w:color="auto"/>
        <w:left w:val="none" w:sz="0" w:space="0" w:color="auto"/>
        <w:bottom w:val="none" w:sz="0" w:space="0" w:color="auto"/>
        <w:right w:val="none" w:sz="0" w:space="0" w:color="auto"/>
      </w:divBdr>
    </w:div>
    <w:div w:id="1982029430">
      <w:bodyDiv w:val="1"/>
      <w:marLeft w:val="0"/>
      <w:marRight w:val="0"/>
      <w:marTop w:val="0"/>
      <w:marBottom w:val="0"/>
      <w:divBdr>
        <w:top w:val="none" w:sz="0" w:space="0" w:color="auto"/>
        <w:left w:val="none" w:sz="0" w:space="0" w:color="auto"/>
        <w:bottom w:val="none" w:sz="0" w:space="0" w:color="auto"/>
        <w:right w:val="none" w:sz="0" w:space="0" w:color="auto"/>
      </w:divBdr>
    </w:div>
    <w:div w:id="1998875269">
      <w:bodyDiv w:val="1"/>
      <w:marLeft w:val="0"/>
      <w:marRight w:val="0"/>
      <w:marTop w:val="0"/>
      <w:marBottom w:val="0"/>
      <w:divBdr>
        <w:top w:val="none" w:sz="0" w:space="0" w:color="auto"/>
        <w:left w:val="none" w:sz="0" w:space="0" w:color="auto"/>
        <w:bottom w:val="none" w:sz="0" w:space="0" w:color="auto"/>
        <w:right w:val="none" w:sz="0" w:space="0" w:color="auto"/>
      </w:divBdr>
    </w:div>
    <w:div w:id="2009404035">
      <w:bodyDiv w:val="1"/>
      <w:marLeft w:val="0"/>
      <w:marRight w:val="0"/>
      <w:marTop w:val="0"/>
      <w:marBottom w:val="0"/>
      <w:divBdr>
        <w:top w:val="none" w:sz="0" w:space="0" w:color="auto"/>
        <w:left w:val="none" w:sz="0" w:space="0" w:color="auto"/>
        <w:bottom w:val="none" w:sz="0" w:space="0" w:color="auto"/>
        <w:right w:val="none" w:sz="0" w:space="0" w:color="auto"/>
      </w:divBdr>
    </w:div>
    <w:div w:id="2018385592">
      <w:bodyDiv w:val="1"/>
      <w:marLeft w:val="0"/>
      <w:marRight w:val="0"/>
      <w:marTop w:val="0"/>
      <w:marBottom w:val="0"/>
      <w:divBdr>
        <w:top w:val="none" w:sz="0" w:space="0" w:color="auto"/>
        <w:left w:val="none" w:sz="0" w:space="0" w:color="auto"/>
        <w:bottom w:val="none" w:sz="0" w:space="0" w:color="auto"/>
        <w:right w:val="none" w:sz="0" w:space="0" w:color="auto"/>
      </w:divBdr>
    </w:div>
    <w:div w:id="2027125483">
      <w:bodyDiv w:val="1"/>
      <w:marLeft w:val="0"/>
      <w:marRight w:val="0"/>
      <w:marTop w:val="0"/>
      <w:marBottom w:val="0"/>
      <w:divBdr>
        <w:top w:val="none" w:sz="0" w:space="0" w:color="auto"/>
        <w:left w:val="none" w:sz="0" w:space="0" w:color="auto"/>
        <w:bottom w:val="none" w:sz="0" w:space="0" w:color="auto"/>
        <w:right w:val="none" w:sz="0" w:space="0" w:color="auto"/>
      </w:divBdr>
    </w:div>
    <w:div w:id="2035035950">
      <w:bodyDiv w:val="1"/>
      <w:marLeft w:val="0"/>
      <w:marRight w:val="0"/>
      <w:marTop w:val="0"/>
      <w:marBottom w:val="0"/>
      <w:divBdr>
        <w:top w:val="none" w:sz="0" w:space="0" w:color="auto"/>
        <w:left w:val="none" w:sz="0" w:space="0" w:color="auto"/>
        <w:bottom w:val="none" w:sz="0" w:space="0" w:color="auto"/>
        <w:right w:val="none" w:sz="0" w:space="0" w:color="auto"/>
      </w:divBdr>
    </w:div>
    <w:div w:id="2047945037">
      <w:bodyDiv w:val="1"/>
      <w:marLeft w:val="0"/>
      <w:marRight w:val="0"/>
      <w:marTop w:val="0"/>
      <w:marBottom w:val="0"/>
      <w:divBdr>
        <w:top w:val="none" w:sz="0" w:space="0" w:color="auto"/>
        <w:left w:val="none" w:sz="0" w:space="0" w:color="auto"/>
        <w:bottom w:val="none" w:sz="0" w:space="0" w:color="auto"/>
        <w:right w:val="none" w:sz="0" w:space="0" w:color="auto"/>
      </w:divBdr>
    </w:div>
    <w:div w:id="2052461410">
      <w:bodyDiv w:val="1"/>
      <w:marLeft w:val="0"/>
      <w:marRight w:val="0"/>
      <w:marTop w:val="0"/>
      <w:marBottom w:val="0"/>
      <w:divBdr>
        <w:top w:val="none" w:sz="0" w:space="0" w:color="auto"/>
        <w:left w:val="none" w:sz="0" w:space="0" w:color="auto"/>
        <w:bottom w:val="none" w:sz="0" w:space="0" w:color="auto"/>
        <w:right w:val="none" w:sz="0" w:space="0" w:color="auto"/>
      </w:divBdr>
    </w:div>
    <w:div w:id="2066027670">
      <w:bodyDiv w:val="1"/>
      <w:marLeft w:val="0"/>
      <w:marRight w:val="0"/>
      <w:marTop w:val="0"/>
      <w:marBottom w:val="0"/>
      <w:divBdr>
        <w:top w:val="none" w:sz="0" w:space="0" w:color="auto"/>
        <w:left w:val="none" w:sz="0" w:space="0" w:color="auto"/>
        <w:bottom w:val="none" w:sz="0" w:space="0" w:color="auto"/>
        <w:right w:val="none" w:sz="0" w:space="0" w:color="auto"/>
      </w:divBdr>
    </w:div>
    <w:div w:id="2088182358">
      <w:bodyDiv w:val="1"/>
      <w:marLeft w:val="0"/>
      <w:marRight w:val="0"/>
      <w:marTop w:val="0"/>
      <w:marBottom w:val="0"/>
      <w:divBdr>
        <w:top w:val="none" w:sz="0" w:space="0" w:color="auto"/>
        <w:left w:val="none" w:sz="0" w:space="0" w:color="auto"/>
        <w:bottom w:val="none" w:sz="0" w:space="0" w:color="auto"/>
        <w:right w:val="none" w:sz="0" w:space="0" w:color="auto"/>
      </w:divBdr>
    </w:div>
    <w:div w:id="2095593089">
      <w:bodyDiv w:val="1"/>
      <w:marLeft w:val="0"/>
      <w:marRight w:val="0"/>
      <w:marTop w:val="0"/>
      <w:marBottom w:val="0"/>
      <w:divBdr>
        <w:top w:val="none" w:sz="0" w:space="0" w:color="auto"/>
        <w:left w:val="none" w:sz="0" w:space="0" w:color="auto"/>
        <w:bottom w:val="none" w:sz="0" w:space="0" w:color="auto"/>
        <w:right w:val="none" w:sz="0" w:space="0" w:color="auto"/>
      </w:divBdr>
    </w:div>
    <w:div w:id="2095786511">
      <w:bodyDiv w:val="1"/>
      <w:marLeft w:val="0"/>
      <w:marRight w:val="0"/>
      <w:marTop w:val="0"/>
      <w:marBottom w:val="0"/>
      <w:divBdr>
        <w:top w:val="none" w:sz="0" w:space="0" w:color="auto"/>
        <w:left w:val="none" w:sz="0" w:space="0" w:color="auto"/>
        <w:bottom w:val="none" w:sz="0" w:space="0" w:color="auto"/>
        <w:right w:val="none" w:sz="0" w:space="0" w:color="auto"/>
      </w:divBdr>
    </w:div>
    <w:div w:id="2100522083">
      <w:bodyDiv w:val="1"/>
      <w:marLeft w:val="0"/>
      <w:marRight w:val="0"/>
      <w:marTop w:val="0"/>
      <w:marBottom w:val="0"/>
      <w:divBdr>
        <w:top w:val="none" w:sz="0" w:space="0" w:color="auto"/>
        <w:left w:val="none" w:sz="0" w:space="0" w:color="auto"/>
        <w:bottom w:val="none" w:sz="0" w:space="0" w:color="auto"/>
        <w:right w:val="none" w:sz="0" w:space="0" w:color="auto"/>
      </w:divBdr>
    </w:div>
    <w:div w:id="2101683804">
      <w:bodyDiv w:val="1"/>
      <w:marLeft w:val="0"/>
      <w:marRight w:val="0"/>
      <w:marTop w:val="0"/>
      <w:marBottom w:val="0"/>
      <w:divBdr>
        <w:top w:val="none" w:sz="0" w:space="0" w:color="auto"/>
        <w:left w:val="none" w:sz="0" w:space="0" w:color="auto"/>
        <w:bottom w:val="none" w:sz="0" w:space="0" w:color="auto"/>
        <w:right w:val="none" w:sz="0" w:space="0" w:color="auto"/>
      </w:divBdr>
    </w:div>
    <w:div w:id="2113624838">
      <w:bodyDiv w:val="1"/>
      <w:marLeft w:val="0"/>
      <w:marRight w:val="0"/>
      <w:marTop w:val="0"/>
      <w:marBottom w:val="0"/>
      <w:divBdr>
        <w:top w:val="none" w:sz="0" w:space="0" w:color="auto"/>
        <w:left w:val="none" w:sz="0" w:space="0" w:color="auto"/>
        <w:bottom w:val="none" w:sz="0" w:space="0" w:color="auto"/>
        <w:right w:val="none" w:sz="0" w:space="0" w:color="auto"/>
      </w:divBdr>
    </w:div>
    <w:div w:id="2115703692">
      <w:bodyDiv w:val="1"/>
      <w:marLeft w:val="0"/>
      <w:marRight w:val="0"/>
      <w:marTop w:val="0"/>
      <w:marBottom w:val="0"/>
      <w:divBdr>
        <w:top w:val="none" w:sz="0" w:space="0" w:color="auto"/>
        <w:left w:val="none" w:sz="0" w:space="0" w:color="auto"/>
        <w:bottom w:val="none" w:sz="0" w:space="0" w:color="auto"/>
        <w:right w:val="none" w:sz="0" w:space="0" w:color="auto"/>
      </w:divBdr>
    </w:div>
    <w:div w:id="2121488344">
      <w:bodyDiv w:val="1"/>
      <w:marLeft w:val="0"/>
      <w:marRight w:val="0"/>
      <w:marTop w:val="0"/>
      <w:marBottom w:val="0"/>
      <w:divBdr>
        <w:top w:val="none" w:sz="0" w:space="0" w:color="auto"/>
        <w:left w:val="none" w:sz="0" w:space="0" w:color="auto"/>
        <w:bottom w:val="none" w:sz="0" w:space="0" w:color="auto"/>
        <w:right w:val="none" w:sz="0" w:space="0" w:color="auto"/>
      </w:divBdr>
    </w:div>
    <w:div w:id="214584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6-21-0263" TargetMode="External"/><Relationship Id="rId18" Type="http://schemas.openxmlformats.org/officeDocument/2006/relationships/hyperlink" Target="http://www.uradni-list.si/1/objava.jsp?sop=2020-01-1559" TargetMode="External"/><Relationship Id="rId26" Type="http://schemas.openxmlformats.org/officeDocument/2006/relationships/hyperlink" Target="http://www.uradni-list.si/1/objava.jsp?sop=2019-01-0915" TargetMode="External"/><Relationship Id="rId39" Type="http://schemas.openxmlformats.org/officeDocument/2006/relationships/hyperlink" Target="http://www.uradni-list.si/1/objava.jsp?sop=2018-21-0407" TargetMode="External"/><Relationship Id="rId21" Type="http://schemas.openxmlformats.org/officeDocument/2006/relationships/hyperlink" Target="http://www.uradni-list.si/1/objava.jsp?sop=2014-01-3503" TargetMode="External"/><Relationship Id="rId34" Type="http://schemas.openxmlformats.org/officeDocument/2006/relationships/hyperlink" Target="http://www.uradni-list.si/1/objava.jsp?sop=2017-01-2069" TargetMode="External"/><Relationship Id="rId42" Type="http://schemas.openxmlformats.org/officeDocument/2006/relationships/hyperlink" Target="http://www.uradni-list.si/1/objava.jsp?sop=2019-21-0788" TargetMode="External"/><Relationship Id="rId47" Type="http://schemas.openxmlformats.org/officeDocument/2006/relationships/diagramQuickStyle" Target="diagrams/quickStyle1.xml"/><Relationship Id="rId50" Type="http://schemas.openxmlformats.org/officeDocument/2006/relationships/chart" Target="charts/chart1.xml"/><Relationship Id="rId55"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hyperlink" Target="http://www.uradni-list.si/1/objava.jsp?sop=2012-01-2065" TargetMode="External"/><Relationship Id="rId17" Type="http://schemas.openxmlformats.org/officeDocument/2006/relationships/hyperlink" Target="http://www.uradni-list.si/1/objava.jsp?sop=2020-01-0552" TargetMode="External"/><Relationship Id="rId25" Type="http://schemas.openxmlformats.org/officeDocument/2006/relationships/hyperlink" Target="http://www.uradni-list.si/1/objava.jsp?sop=2017-01-3091" TargetMode="External"/><Relationship Id="rId33" Type="http://schemas.openxmlformats.org/officeDocument/2006/relationships/hyperlink" Target="http://www.uradni-list.si/1/objava.jsp?sop=2016-01-3227" TargetMode="External"/><Relationship Id="rId38" Type="http://schemas.openxmlformats.org/officeDocument/2006/relationships/hyperlink" Target="http://www.uradni-list.si/1/objava.jsp?sop=2018-01-0274" TargetMode="External"/><Relationship Id="rId46" Type="http://schemas.openxmlformats.org/officeDocument/2006/relationships/diagramLayout" Target="diagrams/layout1.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7-01-1445" TargetMode="External"/><Relationship Id="rId20" Type="http://schemas.openxmlformats.org/officeDocument/2006/relationships/hyperlink" Target="http://www.uradni-list.si/1/objava.jsp?sop=2013-01-1782" TargetMode="External"/><Relationship Id="rId29" Type="http://schemas.openxmlformats.org/officeDocument/2006/relationships/hyperlink" Target="http://www.uradni-list.si/1/objava.jsp?sop=2020-01-3356" TargetMode="External"/><Relationship Id="rId41" Type="http://schemas.openxmlformats.org/officeDocument/2006/relationships/hyperlink" Target="http://www.uradni-list.si/1/objava.jsp?sop=2018-01-3751" TargetMode="External"/><Relationship Id="rId54"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1-21-0014" TargetMode="External"/><Relationship Id="rId24" Type="http://schemas.openxmlformats.org/officeDocument/2006/relationships/hyperlink" Target="http://www.uradni-list.si/1/objava.jsp?sop=2016-01-2798" TargetMode="External"/><Relationship Id="rId32" Type="http://schemas.openxmlformats.org/officeDocument/2006/relationships/hyperlink" Target="http://www.uradni-list.si/1/objava.jsp?sop=2016-01-1921" TargetMode="External"/><Relationship Id="rId37" Type="http://schemas.openxmlformats.org/officeDocument/2006/relationships/hyperlink" Target="http://www.uradni-list.si/1/objava.jsp?sop=2019-01-2011" TargetMode="External"/><Relationship Id="rId40" Type="http://schemas.openxmlformats.org/officeDocument/2006/relationships/hyperlink" Target="http://www.uradni-list.si/1/objava.jsp?sop=2020-01-1914" TargetMode="External"/><Relationship Id="rId45" Type="http://schemas.openxmlformats.org/officeDocument/2006/relationships/diagramData" Target="diagrams/data1.xml"/><Relationship Id="rId53" Type="http://schemas.openxmlformats.org/officeDocument/2006/relationships/chart" Target="charts/chart4.xm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sop=2016-01-1628" TargetMode="External"/><Relationship Id="rId23" Type="http://schemas.openxmlformats.org/officeDocument/2006/relationships/hyperlink" Target="http://www.uradni-list.si/1/objava.jsp?sop=2016-01-2762" TargetMode="External"/><Relationship Id="rId28" Type="http://schemas.openxmlformats.org/officeDocument/2006/relationships/hyperlink" Target="http://www.uradni-list.si/1/objava.jsp?sop=2020-01-1450" TargetMode="External"/><Relationship Id="rId36" Type="http://schemas.openxmlformats.org/officeDocument/2006/relationships/hyperlink" Target="http://www.uradni-list.si/1/objava.jsp?sop=2019-01-0916" TargetMode="External"/><Relationship Id="rId49" Type="http://schemas.microsoft.com/office/2007/relationships/diagramDrawing" Target="diagrams/drawing1.xml"/><Relationship Id="rId57" Type="http://schemas.openxmlformats.org/officeDocument/2006/relationships/header" Target="header1.xml"/><Relationship Id="rId10" Type="http://schemas.openxmlformats.org/officeDocument/2006/relationships/hyperlink" Target="http://www.uppd.gov.si" TargetMode="External"/><Relationship Id="rId19" Type="http://schemas.openxmlformats.org/officeDocument/2006/relationships/hyperlink" Target="http://www.uradni-list.si/1/objava.jsp?sop=2012-01-1405" TargetMode="External"/><Relationship Id="rId31" Type="http://schemas.openxmlformats.org/officeDocument/2006/relationships/hyperlink" Target="http://www.uradni-list.si/1/objava.jsp?sop=2015-01-1065" TargetMode="External"/><Relationship Id="rId44" Type="http://schemas.openxmlformats.org/officeDocument/2006/relationships/hyperlink" Target="http://www.uradni-list.si/1/objava.jsp?sop=2010-02-0016" TargetMode="External"/><Relationship Id="rId52" Type="http://schemas.openxmlformats.org/officeDocument/2006/relationships/chart" Target="charts/chart3.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f.uppd@gov.si" TargetMode="External"/><Relationship Id="rId14" Type="http://schemas.openxmlformats.org/officeDocument/2006/relationships/hyperlink" Target="http://www.uradni-list.si/1/objava.jsp?sop=2015-01-2227" TargetMode="External"/><Relationship Id="rId22" Type="http://schemas.openxmlformats.org/officeDocument/2006/relationships/hyperlink" Target="http://www.uradni-list.si/1/objava.jsp?sop=2016-01-0293" TargetMode="External"/><Relationship Id="rId27" Type="http://schemas.openxmlformats.org/officeDocument/2006/relationships/hyperlink" Target="http://www.uradni-list.si/1/objava.jsp?sop=2020-01-0819" TargetMode="External"/><Relationship Id="rId30" Type="http://schemas.openxmlformats.org/officeDocument/2006/relationships/hyperlink" Target="http://www.uradni-list.si/1/objava.jsp?sop=2020-01-3630" TargetMode="External"/><Relationship Id="rId35" Type="http://schemas.openxmlformats.org/officeDocument/2006/relationships/hyperlink" Target="http://www.uradni-list.si/1/objava.jsp?sop=2018-01-3751" TargetMode="External"/><Relationship Id="rId43" Type="http://schemas.openxmlformats.org/officeDocument/2006/relationships/hyperlink" Target="http://www.uradni-list.si/1/objava.jsp?sop=2019-01-2924" TargetMode="External"/><Relationship Id="rId48" Type="http://schemas.openxmlformats.org/officeDocument/2006/relationships/diagramColors" Target="diagrams/colors1.xml"/><Relationship Id="rId56" Type="http://schemas.openxmlformats.org/officeDocument/2006/relationships/chart" Target="charts/chart7.xml"/><Relationship Id="rId8" Type="http://schemas.openxmlformats.org/officeDocument/2006/relationships/image" Target="media/image1.jpeg"/><Relationship Id="rId51" Type="http://schemas.openxmlformats.org/officeDocument/2006/relationships/chart" Target="charts/chart2.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oleObject" Target="file:///\\Mfuppdw64sedc05\MF81004\LEO%20TUKAJ%20DELA%20KOT%20ZAMORC\Letna%20poro&#269;ila\2020\Grafi_Tabele\GT%20tortica_202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Mfuppdw64sedc05\MF81004\LEO%20TUKAJ%20DELA%20KOT%20ZAMORC\Letna%20poro&#269;ila\2020\Grafi_Tabele\Prijave_GRAF_2019.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manualLayout>
          <c:layoutTarget val="inner"/>
          <c:xMode val="edge"/>
          <c:yMode val="edge"/>
          <c:x val="0.10092339074423716"/>
          <c:y val="0.18078823057439308"/>
          <c:w val="0.60622223605448533"/>
          <c:h val="0.77825469705468875"/>
        </c:manualLayout>
      </c:layout>
      <c:pie3DChart>
        <c:varyColors val="1"/>
        <c:ser>
          <c:idx val="0"/>
          <c:order val="0"/>
          <c:explosion val="22"/>
          <c:dLbls>
            <c:dLbl>
              <c:idx val="0"/>
              <c:layout>
                <c:manualLayout>
                  <c:x val="-0.17090864539598619"/>
                  <c:y val="0.13431804564634495"/>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0-794E-4CB4-AF15-16CF8142A6D8}"/>
                </c:ext>
              </c:extLst>
            </c:dLbl>
            <c:dLbl>
              <c:idx val="1"/>
              <c:layout>
                <c:manualLayout>
                  <c:x val="1.7196061583536395E-2"/>
                  <c:y val="-8.4608745940655719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794E-4CB4-AF15-16CF8142A6D8}"/>
                </c:ext>
              </c:extLst>
            </c:dLbl>
            <c:dLbl>
              <c:idx val="2"/>
              <c:layout>
                <c:manualLayout>
                  <c:x val="1.3698439752276024E-2"/>
                  <c:y val="-0.12355235256609874"/>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2-794E-4CB4-AF15-16CF8142A6D8}"/>
                </c:ext>
              </c:extLst>
            </c:dLbl>
            <c:dLbl>
              <c:idx val="3"/>
              <c:layout>
                <c:manualLayout>
                  <c:x val="3.7574972180355763E-2"/>
                  <c:y val="-0.12892757035042193"/>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794E-4CB4-AF15-16CF8142A6D8}"/>
                </c:ext>
              </c:extLst>
            </c:dLbl>
            <c:dLbl>
              <c:idx val="4"/>
              <c:layout>
                <c:manualLayout>
                  <c:x val="0.17904769953845215"/>
                  <c:y val="-6.0835911932299515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4-794E-4CB4-AF15-16CF8142A6D8}"/>
                </c:ext>
              </c:extLst>
            </c:dLbl>
            <c:dLbl>
              <c:idx val="5"/>
              <c:layout>
                <c:manualLayout>
                  <c:x val="0.19701531922513277"/>
                  <c:y val="-2.2302204129502734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794E-4CB4-AF15-16CF8142A6D8}"/>
                </c:ext>
              </c:extLst>
            </c:dLbl>
            <c:dLbl>
              <c:idx val="6"/>
              <c:layout>
                <c:manualLayout>
                  <c:x val="0.21688045726779656"/>
                  <c:y val="-7.9737051217221702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4497905445840817"/>
                      <c:h val="0.14252577575131764"/>
                    </c:manualLayout>
                  </c15:layout>
                </c:ext>
                <c:ext xmlns:c16="http://schemas.microsoft.com/office/drawing/2014/chart" uri="{C3380CC4-5D6E-409C-BE32-E72D297353CC}">
                  <c16:uniqueId val="{00000006-794E-4CB4-AF15-16CF8142A6D8}"/>
                </c:ext>
              </c:extLst>
            </c:dLbl>
            <c:numFmt formatCode="0.00%" sourceLinked="0"/>
            <c:spPr>
              <a:noFill/>
              <a:ln>
                <a:noFill/>
              </a:ln>
              <a:effectLst/>
            </c:spPr>
            <c:dLblPos val="bestFit"/>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Sheet1!$B$5:$B$9</c:f>
              <c:strCache>
                <c:ptCount val="5"/>
                <c:pt idx="0">
                  <c:v>Banke</c:v>
                </c:pt>
                <c:pt idx="1">
                  <c:v>Hranilnice</c:v>
                </c:pt>
                <c:pt idx="2">
                  <c:v>Igralnice</c:v>
                </c:pt>
                <c:pt idx="3">
                  <c:v>Odvetniki,notarji</c:v>
                </c:pt>
                <c:pt idx="4">
                  <c:v>Ostali</c:v>
                </c:pt>
              </c:strCache>
            </c:strRef>
          </c:cat>
          <c:val>
            <c:numRef>
              <c:f>Sheet1!$C$5:$C$9</c:f>
              <c:numCache>
                <c:formatCode>#,##0</c:formatCode>
                <c:ptCount val="5"/>
                <c:pt idx="0">
                  <c:v>30769</c:v>
                </c:pt>
                <c:pt idx="1">
                  <c:v>1771</c:v>
                </c:pt>
                <c:pt idx="2">
                  <c:v>3652</c:v>
                </c:pt>
                <c:pt idx="3" formatCode="General">
                  <c:v>1</c:v>
                </c:pt>
                <c:pt idx="4" formatCode="General">
                  <c:v>2</c:v>
                </c:pt>
              </c:numCache>
            </c:numRef>
          </c:val>
          <c:extLst>
            <c:ext xmlns:c16="http://schemas.microsoft.com/office/drawing/2014/chart" uri="{C3380CC4-5D6E-409C-BE32-E72D297353CC}">
              <c16:uniqueId val="{00000007-794E-4CB4-AF15-16CF8142A6D8}"/>
            </c:ext>
          </c:extLst>
        </c:ser>
        <c:dLbls>
          <c:showLegendKey val="0"/>
          <c:showVal val="0"/>
          <c:showCatName val="0"/>
          <c:showSerName val="0"/>
          <c:showPercent val="0"/>
          <c:showBubbleSize val="0"/>
          <c:showLeaderLines val="1"/>
        </c:dLbls>
      </c:pie3DChart>
    </c:plotArea>
    <c:legend>
      <c:legendPos val="r"/>
      <c:layout>
        <c:manualLayout>
          <c:xMode val="edge"/>
          <c:yMode val="edge"/>
          <c:x val="0.72059278163352114"/>
          <c:y val="0.10810118506932469"/>
          <c:w val="0.263596941686637"/>
          <c:h val="0.75912150401310874"/>
        </c:manualLayout>
      </c:layout>
      <c:overlay val="0"/>
      <c:txPr>
        <a:bodyPr/>
        <a:lstStyle/>
        <a:p>
          <a:pPr rtl="0">
            <a:defRPr/>
          </a:pPr>
          <a:endParaRPr lang="sl-SI"/>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GRAF!$P$2</c:f>
              <c:strCache>
                <c:ptCount val="1"/>
                <c:pt idx="0">
                  <c:v>ZAVEZANCI </c:v>
                </c:pt>
              </c:strCache>
            </c:strRef>
          </c:tx>
          <c:invertIfNegative val="0"/>
          <c:cat>
            <c:numRef>
              <c:f>GRAF!$Q$1:$AA$1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GRAF!$Q$2:$AA$2</c:f>
              <c:numCache>
                <c:formatCode>General</c:formatCode>
                <c:ptCount val="11"/>
                <c:pt idx="0">
                  <c:v>178</c:v>
                </c:pt>
                <c:pt idx="1">
                  <c:v>262</c:v>
                </c:pt>
                <c:pt idx="2">
                  <c:v>502</c:v>
                </c:pt>
                <c:pt idx="3">
                  <c:v>542</c:v>
                </c:pt>
                <c:pt idx="4">
                  <c:v>423</c:v>
                </c:pt>
                <c:pt idx="5">
                  <c:v>464</c:v>
                </c:pt>
                <c:pt idx="6">
                  <c:v>392</c:v>
                </c:pt>
                <c:pt idx="7">
                  <c:v>486</c:v>
                </c:pt>
                <c:pt idx="8">
                  <c:v>685</c:v>
                </c:pt>
                <c:pt idx="9">
                  <c:v>913</c:v>
                </c:pt>
                <c:pt idx="10">
                  <c:v>945</c:v>
                </c:pt>
              </c:numCache>
            </c:numRef>
          </c:val>
          <c:extLst>
            <c:ext xmlns:c16="http://schemas.microsoft.com/office/drawing/2014/chart" uri="{C3380CC4-5D6E-409C-BE32-E72D297353CC}">
              <c16:uniqueId val="{00000000-2ED3-4C28-8900-FEBFE27DD956}"/>
            </c:ext>
          </c:extLst>
        </c:ser>
        <c:ser>
          <c:idx val="1"/>
          <c:order val="1"/>
          <c:tx>
            <c:strRef>
              <c:f>GRAF!$P$3</c:f>
              <c:strCache>
                <c:ptCount val="1"/>
                <c:pt idx="0">
                  <c:v>POBUDE DRŽAVNIH ORGANOV</c:v>
                </c:pt>
              </c:strCache>
            </c:strRef>
          </c:tx>
          <c:invertIfNegative val="0"/>
          <c:cat>
            <c:numRef>
              <c:f>GRAF!$Q$1:$AA$1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GRAF!$Q$3:$AA$3</c:f>
              <c:numCache>
                <c:formatCode>General</c:formatCode>
                <c:ptCount val="11"/>
                <c:pt idx="0">
                  <c:v>24</c:v>
                </c:pt>
                <c:pt idx="1">
                  <c:v>28</c:v>
                </c:pt>
                <c:pt idx="2">
                  <c:v>36</c:v>
                </c:pt>
                <c:pt idx="3">
                  <c:v>30</c:v>
                </c:pt>
                <c:pt idx="4">
                  <c:v>39</c:v>
                </c:pt>
                <c:pt idx="5">
                  <c:v>35</c:v>
                </c:pt>
                <c:pt idx="6">
                  <c:v>32</c:v>
                </c:pt>
                <c:pt idx="7">
                  <c:v>38</c:v>
                </c:pt>
                <c:pt idx="8">
                  <c:v>51</c:v>
                </c:pt>
                <c:pt idx="9">
                  <c:v>86</c:v>
                </c:pt>
                <c:pt idx="10">
                  <c:v>117</c:v>
                </c:pt>
              </c:numCache>
            </c:numRef>
          </c:val>
          <c:extLst>
            <c:ext xmlns:c16="http://schemas.microsoft.com/office/drawing/2014/chart" uri="{C3380CC4-5D6E-409C-BE32-E72D297353CC}">
              <c16:uniqueId val="{00000001-2ED3-4C28-8900-FEBFE27DD956}"/>
            </c:ext>
          </c:extLst>
        </c:ser>
        <c:ser>
          <c:idx val="2"/>
          <c:order val="2"/>
          <c:tx>
            <c:strRef>
              <c:f>GRAF!$P$4</c:f>
              <c:strCache>
                <c:ptCount val="1"/>
                <c:pt idx="0">
                  <c:v>SPOROČILA NADZORNIH ORGANOV</c:v>
                </c:pt>
              </c:strCache>
            </c:strRef>
          </c:tx>
          <c:invertIfNegative val="0"/>
          <c:cat>
            <c:numRef>
              <c:f>GRAF!$Q$1:$AA$1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GRAF!$Q$4:$AA$4</c:f>
              <c:numCache>
                <c:formatCode>General</c:formatCode>
                <c:ptCount val="11"/>
                <c:pt idx="0">
                  <c:v>6</c:v>
                </c:pt>
                <c:pt idx="1">
                  <c:v>4</c:v>
                </c:pt>
                <c:pt idx="2">
                  <c:v>6</c:v>
                </c:pt>
                <c:pt idx="3">
                  <c:v>3</c:v>
                </c:pt>
                <c:pt idx="4">
                  <c:v>0</c:v>
                </c:pt>
                <c:pt idx="5">
                  <c:v>2</c:v>
                </c:pt>
                <c:pt idx="6">
                  <c:v>3</c:v>
                </c:pt>
                <c:pt idx="7">
                  <c:v>3</c:v>
                </c:pt>
                <c:pt idx="8">
                  <c:v>5</c:v>
                </c:pt>
                <c:pt idx="9">
                  <c:v>14</c:v>
                </c:pt>
                <c:pt idx="10">
                  <c:v>21</c:v>
                </c:pt>
              </c:numCache>
            </c:numRef>
          </c:val>
          <c:extLst>
            <c:ext xmlns:c16="http://schemas.microsoft.com/office/drawing/2014/chart" uri="{C3380CC4-5D6E-409C-BE32-E72D297353CC}">
              <c16:uniqueId val="{00000002-2ED3-4C28-8900-FEBFE27DD956}"/>
            </c:ext>
          </c:extLst>
        </c:ser>
        <c:ser>
          <c:idx val="3"/>
          <c:order val="3"/>
          <c:tx>
            <c:strRef>
              <c:f>GRAF!$P$5</c:f>
              <c:strCache>
                <c:ptCount val="1"/>
                <c:pt idx="0">
                  <c:v>IZLOČIL URAD</c:v>
                </c:pt>
              </c:strCache>
            </c:strRef>
          </c:tx>
          <c:invertIfNegative val="0"/>
          <c:cat>
            <c:numRef>
              <c:f>GRAF!$Q$1:$AA$1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GRAF!$Q$5:$AA$5</c:f>
              <c:numCache>
                <c:formatCode>General</c:formatCode>
                <c:ptCount val="11"/>
                <c:pt idx="0">
                  <c:v>4</c:v>
                </c:pt>
                <c:pt idx="1">
                  <c:v>17</c:v>
                </c:pt>
                <c:pt idx="2">
                  <c:v>3</c:v>
                </c:pt>
                <c:pt idx="3">
                  <c:v>0</c:v>
                </c:pt>
                <c:pt idx="4">
                  <c:v>2</c:v>
                </c:pt>
                <c:pt idx="5">
                  <c:v>0</c:v>
                </c:pt>
                <c:pt idx="6">
                  <c:v>2</c:v>
                </c:pt>
                <c:pt idx="7">
                  <c:v>3</c:v>
                </c:pt>
                <c:pt idx="8">
                  <c:v>4</c:v>
                </c:pt>
                <c:pt idx="9">
                  <c:v>1</c:v>
                </c:pt>
                <c:pt idx="10">
                  <c:v>3</c:v>
                </c:pt>
              </c:numCache>
            </c:numRef>
          </c:val>
          <c:extLst>
            <c:ext xmlns:c16="http://schemas.microsoft.com/office/drawing/2014/chart" uri="{C3380CC4-5D6E-409C-BE32-E72D297353CC}">
              <c16:uniqueId val="{00000003-2ED3-4C28-8900-FEBFE27DD956}"/>
            </c:ext>
          </c:extLst>
        </c:ser>
        <c:ser>
          <c:idx val="4"/>
          <c:order val="4"/>
          <c:tx>
            <c:strRef>
              <c:f>GRAF!$P$6</c:f>
              <c:strCache>
                <c:ptCount val="1"/>
                <c:pt idx="0">
                  <c:v>TUJI FIU</c:v>
                </c:pt>
              </c:strCache>
            </c:strRef>
          </c:tx>
          <c:invertIfNegative val="0"/>
          <c:cat>
            <c:numRef>
              <c:f>GRAF!$Q$1:$AA$1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GRAF!$Q$6:$AA$6</c:f>
              <c:numCache>
                <c:formatCode>General</c:formatCode>
                <c:ptCount val="11"/>
                <c:pt idx="0">
                  <c:v>21</c:v>
                </c:pt>
                <c:pt idx="1">
                  <c:v>16</c:v>
                </c:pt>
                <c:pt idx="2">
                  <c:v>12</c:v>
                </c:pt>
                <c:pt idx="3">
                  <c:v>25</c:v>
                </c:pt>
                <c:pt idx="4">
                  <c:v>16</c:v>
                </c:pt>
                <c:pt idx="5">
                  <c:v>20</c:v>
                </c:pt>
                <c:pt idx="6">
                  <c:v>20</c:v>
                </c:pt>
                <c:pt idx="7">
                  <c:v>28</c:v>
                </c:pt>
                <c:pt idx="8">
                  <c:v>42</c:v>
                </c:pt>
                <c:pt idx="9">
                  <c:v>55</c:v>
                </c:pt>
                <c:pt idx="10">
                  <c:v>58</c:v>
                </c:pt>
              </c:numCache>
            </c:numRef>
          </c:val>
          <c:extLst>
            <c:ext xmlns:c16="http://schemas.microsoft.com/office/drawing/2014/chart" uri="{C3380CC4-5D6E-409C-BE32-E72D297353CC}">
              <c16:uniqueId val="{00000004-2ED3-4C28-8900-FEBFE27DD956}"/>
            </c:ext>
          </c:extLst>
        </c:ser>
        <c:dLbls>
          <c:showLegendKey val="0"/>
          <c:showVal val="0"/>
          <c:showCatName val="0"/>
          <c:showSerName val="0"/>
          <c:showPercent val="0"/>
          <c:showBubbleSize val="0"/>
        </c:dLbls>
        <c:gapWidth val="150"/>
        <c:shape val="box"/>
        <c:axId val="371753408"/>
        <c:axId val="371747136"/>
        <c:axId val="0"/>
      </c:bar3DChart>
      <c:catAx>
        <c:axId val="371753408"/>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Arial"/>
                <a:ea typeface="Arial"/>
                <a:cs typeface="Arial"/>
              </a:defRPr>
            </a:pPr>
            <a:endParaRPr lang="sl-SI"/>
          </a:p>
        </c:txPr>
        <c:crossAx val="371747136"/>
        <c:crosses val="autoZero"/>
        <c:auto val="1"/>
        <c:lblAlgn val="ctr"/>
        <c:lblOffset val="100"/>
        <c:noMultiLvlLbl val="0"/>
      </c:catAx>
      <c:valAx>
        <c:axId val="371747136"/>
        <c:scaling>
          <c:orientation val="minMax"/>
        </c:scaling>
        <c:delete val="0"/>
        <c:axPos val="l"/>
        <c:majorGridlines/>
        <c:numFmt formatCode="0%" sourceLinked="1"/>
        <c:majorTickMark val="out"/>
        <c:minorTickMark val="none"/>
        <c:tickLblPos val="nextTo"/>
        <c:spPr>
          <a:noFill/>
        </c:spPr>
        <c:txPr>
          <a:bodyPr rot="0" vert="horz"/>
          <a:lstStyle/>
          <a:p>
            <a:pPr>
              <a:defRPr sz="1000" b="0" i="0" u="none" strike="noStrike" baseline="0">
                <a:solidFill>
                  <a:srgbClr val="000000"/>
                </a:solidFill>
                <a:latin typeface="Arial"/>
                <a:ea typeface="Arial"/>
                <a:cs typeface="Arial"/>
              </a:defRPr>
            </a:pPr>
            <a:endParaRPr lang="sl-SI"/>
          </a:p>
        </c:txPr>
        <c:crossAx val="371753408"/>
        <c:crosses val="autoZero"/>
        <c:crossBetween val="between"/>
      </c:valAx>
      <c:spPr>
        <a:noFill/>
        <a:ln w="25400">
          <a:noFill/>
        </a:ln>
      </c:spPr>
    </c:plotArea>
    <c:legend>
      <c:legendPos val="r"/>
      <c:layout>
        <c:manualLayout>
          <c:xMode val="edge"/>
          <c:yMode val="edge"/>
          <c:x val="0.64509894689815517"/>
          <c:y val="0.29329318748949484"/>
          <c:w val="0.33874359630018258"/>
          <c:h val="0.57932456718772218"/>
        </c:manualLayout>
      </c:layout>
      <c:overlay val="0"/>
      <c:txPr>
        <a:bodyPr/>
        <a:lstStyle/>
        <a:p>
          <a:pPr>
            <a:defRPr sz="920" b="0" i="0" u="none" strike="noStrike" baseline="0">
              <a:solidFill>
                <a:srgbClr val="000000"/>
              </a:solidFill>
              <a:latin typeface="Arial"/>
              <a:ea typeface="Arial"/>
              <a:cs typeface="Arial"/>
            </a:defRPr>
          </a:pPr>
          <a:endParaRPr lang="sl-SI"/>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sl-SI"/>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896371702018415"/>
          <c:y val="8.8737260882930172E-2"/>
          <c:w val="0.6632659670619091"/>
          <c:h val="0.75767918088737263"/>
        </c:manualLayout>
      </c:layout>
      <c:lineChart>
        <c:grouping val="standard"/>
        <c:varyColors val="0"/>
        <c:ser>
          <c:idx val="0"/>
          <c:order val="0"/>
          <c:tx>
            <c:strRef>
              <c:f>Sheet1!$R$2</c:f>
              <c:strCache>
                <c:ptCount val="1"/>
                <c:pt idx="0">
                  <c:v>Prejeto</c:v>
                </c:pt>
              </c:strCache>
            </c:strRef>
          </c:tx>
          <c:spPr>
            <a:ln w="38100">
              <a:solidFill>
                <a:srgbClr val="000080"/>
              </a:solidFill>
              <a:prstDash val="solid"/>
            </a:ln>
          </c:spPr>
          <c:marker>
            <c:symbol val="square"/>
            <c:size val="3"/>
            <c:spPr>
              <a:noFill/>
              <a:ln w="9525">
                <a:noFill/>
              </a:ln>
            </c:spPr>
          </c:marker>
          <c:cat>
            <c:numRef>
              <c:f>Sheet1!$S$1:$AC$1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Sheet1!$S$2:$AC$2</c:f>
              <c:numCache>
                <c:formatCode>General</c:formatCode>
                <c:ptCount val="11"/>
                <c:pt idx="0">
                  <c:v>233</c:v>
                </c:pt>
                <c:pt idx="1">
                  <c:v>327</c:v>
                </c:pt>
                <c:pt idx="2">
                  <c:v>559</c:v>
                </c:pt>
                <c:pt idx="3">
                  <c:v>600</c:v>
                </c:pt>
                <c:pt idx="4">
                  <c:v>481</c:v>
                </c:pt>
                <c:pt idx="5">
                  <c:v>521</c:v>
                </c:pt>
                <c:pt idx="6">
                  <c:v>499</c:v>
                </c:pt>
                <c:pt idx="7">
                  <c:v>558</c:v>
                </c:pt>
                <c:pt idx="8">
                  <c:v>787</c:v>
                </c:pt>
                <c:pt idx="9">
                  <c:v>1069</c:v>
                </c:pt>
                <c:pt idx="10">
                  <c:v>1143</c:v>
                </c:pt>
              </c:numCache>
            </c:numRef>
          </c:val>
          <c:smooth val="0"/>
          <c:extLst>
            <c:ext xmlns:c16="http://schemas.microsoft.com/office/drawing/2014/chart" uri="{C3380CC4-5D6E-409C-BE32-E72D297353CC}">
              <c16:uniqueId val="{00000000-F15A-4F59-8B07-54F3A8EF760C}"/>
            </c:ext>
          </c:extLst>
        </c:ser>
        <c:ser>
          <c:idx val="1"/>
          <c:order val="1"/>
          <c:tx>
            <c:strRef>
              <c:f>Sheet1!$R$3</c:f>
              <c:strCache>
                <c:ptCount val="1"/>
                <c:pt idx="0">
                  <c:v>Obvestila</c:v>
                </c:pt>
              </c:strCache>
            </c:strRef>
          </c:tx>
          <c:spPr>
            <a:ln w="25400">
              <a:solidFill>
                <a:srgbClr val="FF0000"/>
              </a:solidFill>
              <a:prstDash val="solid"/>
            </a:ln>
          </c:spPr>
          <c:marker>
            <c:symbol val="none"/>
          </c:marker>
          <c:cat>
            <c:numRef>
              <c:f>Sheet1!$S$1:$AC$1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Sheet1!$S$3:$AC$3</c:f>
              <c:numCache>
                <c:formatCode>General</c:formatCode>
                <c:ptCount val="11"/>
                <c:pt idx="0">
                  <c:v>55</c:v>
                </c:pt>
                <c:pt idx="1">
                  <c:v>99</c:v>
                </c:pt>
                <c:pt idx="2">
                  <c:v>175</c:v>
                </c:pt>
                <c:pt idx="3">
                  <c:v>170</c:v>
                </c:pt>
                <c:pt idx="4">
                  <c:v>190</c:v>
                </c:pt>
                <c:pt idx="5">
                  <c:v>259</c:v>
                </c:pt>
                <c:pt idx="6">
                  <c:v>245</c:v>
                </c:pt>
                <c:pt idx="7">
                  <c:v>243</c:v>
                </c:pt>
                <c:pt idx="8">
                  <c:v>328</c:v>
                </c:pt>
                <c:pt idx="9">
                  <c:v>351</c:v>
                </c:pt>
                <c:pt idx="10">
                  <c:v>452</c:v>
                </c:pt>
              </c:numCache>
            </c:numRef>
          </c:val>
          <c:smooth val="0"/>
          <c:extLst>
            <c:ext xmlns:c16="http://schemas.microsoft.com/office/drawing/2014/chart" uri="{C3380CC4-5D6E-409C-BE32-E72D297353CC}">
              <c16:uniqueId val="{00000001-F15A-4F59-8B07-54F3A8EF760C}"/>
            </c:ext>
          </c:extLst>
        </c:ser>
        <c:ser>
          <c:idx val="2"/>
          <c:order val="2"/>
          <c:tx>
            <c:strRef>
              <c:f>Sheet1!$R$4</c:f>
              <c:strCache>
                <c:ptCount val="1"/>
                <c:pt idx="0">
                  <c:v>Informacije</c:v>
                </c:pt>
              </c:strCache>
            </c:strRef>
          </c:tx>
          <c:spPr>
            <a:ln w="25400">
              <a:solidFill>
                <a:srgbClr val="0070C0"/>
              </a:solidFill>
              <a:prstDash val="solid"/>
            </a:ln>
          </c:spPr>
          <c:marker>
            <c:symbol val="none"/>
          </c:marker>
          <c:cat>
            <c:numRef>
              <c:f>Sheet1!$S$1:$AC$1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Sheet1!$S$4:$AC$4</c:f>
              <c:numCache>
                <c:formatCode>General</c:formatCode>
                <c:ptCount val="11"/>
                <c:pt idx="0">
                  <c:v>43</c:v>
                </c:pt>
                <c:pt idx="1">
                  <c:v>58</c:v>
                </c:pt>
                <c:pt idx="2">
                  <c:v>73</c:v>
                </c:pt>
                <c:pt idx="3">
                  <c:v>109</c:v>
                </c:pt>
                <c:pt idx="4">
                  <c:v>124</c:v>
                </c:pt>
                <c:pt idx="5">
                  <c:v>107</c:v>
                </c:pt>
                <c:pt idx="6">
                  <c:v>150</c:v>
                </c:pt>
                <c:pt idx="7">
                  <c:v>117</c:v>
                </c:pt>
                <c:pt idx="8">
                  <c:v>149</c:v>
                </c:pt>
                <c:pt idx="9">
                  <c:v>243</c:v>
                </c:pt>
                <c:pt idx="10">
                  <c:v>489</c:v>
                </c:pt>
              </c:numCache>
            </c:numRef>
          </c:val>
          <c:smooth val="0"/>
          <c:extLst>
            <c:ext xmlns:c16="http://schemas.microsoft.com/office/drawing/2014/chart" uri="{C3380CC4-5D6E-409C-BE32-E72D297353CC}">
              <c16:uniqueId val="{00000002-F15A-4F59-8B07-54F3A8EF760C}"/>
            </c:ext>
          </c:extLst>
        </c:ser>
        <c:ser>
          <c:idx val="3"/>
          <c:order val="3"/>
          <c:tx>
            <c:strRef>
              <c:f>Sheet1!$R$5</c:f>
              <c:strCache>
                <c:ptCount val="1"/>
                <c:pt idx="0">
                  <c:v>Zaključeno v Uradu</c:v>
                </c:pt>
              </c:strCache>
            </c:strRef>
          </c:tx>
          <c:spPr>
            <a:ln w="25400"/>
          </c:spPr>
          <c:marker>
            <c:symbol val="none"/>
          </c:marker>
          <c:cat>
            <c:numRef>
              <c:f>Sheet1!$S$1:$AC$1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Sheet1!$S$5:$AC$5</c:f>
              <c:numCache>
                <c:formatCode>General</c:formatCode>
                <c:ptCount val="11"/>
                <c:pt idx="0">
                  <c:v>109</c:v>
                </c:pt>
                <c:pt idx="1">
                  <c:v>98</c:v>
                </c:pt>
                <c:pt idx="2">
                  <c:v>130</c:v>
                </c:pt>
                <c:pt idx="3">
                  <c:v>155</c:v>
                </c:pt>
                <c:pt idx="4">
                  <c:v>208</c:v>
                </c:pt>
                <c:pt idx="5">
                  <c:v>206</c:v>
                </c:pt>
                <c:pt idx="6">
                  <c:v>136</c:v>
                </c:pt>
                <c:pt idx="7">
                  <c:v>75</c:v>
                </c:pt>
                <c:pt idx="8">
                  <c:v>82</c:v>
                </c:pt>
                <c:pt idx="9">
                  <c:v>187</c:v>
                </c:pt>
                <c:pt idx="10">
                  <c:v>298</c:v>
                </c:pt>
              </c:numCache>
            </c:numRef>
          </c:val>
          <c:smooth val="0"/>
          <c:extLst>
            <c:ext xmlns:c16="http://schemas.microsoft.com/office/drawing/2014/chart" uri="{C3380CC4-5D6E-409C-BE32-E72D297353CC}">
              <c16:uniqueId val="{00000003-F15A-4F59-8B07-54F3A8EF760C}"/>
            </c:ext>
          </c:extLst>
        </c:ser>
        <c:ser>
          <c:idx val="4"/>
          <c:order val="4"/>
          <c:tx>
            <c:strRef>
              <c:f>Sheet1!$R$6</c:f>
              <c:strCache>
                <c:ptCount val="1"/>
                <c:pt idx="0">
                  <c:v>Skupaj zaključeno</c:v>
                </c:pt>
              </c:strCache>
            </c:strRef>
          </c:tx>
          <c:spPr>
            <a:ln>
              <a:solidFill>
                <a:schemeClr val="accent2">
                  <a:lumMod val="75000"/>
                </a:schemeClr>
              </a:solidFill>
            </a:ln>
          </c:spPr>
          <c:marker>
            <c:symbol val="none"/>
          </c:marker>
          <c:cat>
            <c:numRef>
              <c:f>Sheet1!$S$1:$AC$1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Sheet1!$S$6:$AC$6</c:f>
              <c:numCache>
                <c:formatCode>General</c:formatCode>
                <c:ptCount val="11"/>
                <c:pt idx="0">
                  <c:v>207</c:v>
                </c:pt>
                <c:pt idx="1">
                  <c:v>255</c:v>
                </c:pt>
                <c:pt idx="2">
                  <c:v>378</c:v>
                </c:pt>
                <c:pt idx="3">
                  <c:v>434</c:v>
                </c:pt>
                <c:pt idx="4">
                  <c:v>522</c:v>
                </c:pt>
                <c:pt idx="5">
                  <c:v>572</c:v>
                </c:pt>
                <c:pt idx="6">
                  <c:v>531</c:v>
                </c:pt>
                <c:pt idx="7">
                  <c:v>435</c:v>
                </c:pt>
                <c:pt idx="8">
                  <c:v>559</c:v>
                </c:pt>
                <c:pt idx="9">
                  <c:v>781</c:v>
                </c:pt>
                <c:pt idx="10">
                  <c:v>1239</c:v>
                </c:pt>
              </c:numCache>
            </c:numRef>
          </c:val>
          <c:smooth val="0"/>
          <c:extLst>
            <c:ext xmlns:c16="http://schemas.microsoft.com/office/drawing/2014/chart" uri="{C3380CC4-5D6E-409C-BE32-E72D297353CC}">
              <c16:uniqueId val="{00000004-F15A-4F59-8B07-54F3A8EF760C}"/>
            </c:ext>
          </c:extLst>
        </c:ser>
        <c:dLbls>
          <c:showLegendKey val="0"/>
          <c:showVal val="0"/>
          <c:showCatName val="0"/>
          <c:showSerName val="0"/>
          <c:showPercent val="0"/>
          <c:showBubbleSize val="0"/>
        </c:dLbls>
        <c:marker val="1"/>
        <c:smooth val="0"/>
        <c:axId val="371750664"/>
        <c:axId val="371748704"/>
      </c:lineChart>
      <c:catAx>
        <c:axId val="3717506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sl-SI"/>
          </a:p>
        </c:txPr>
        <c:crossAx val="371748704"/>
        <c:crosses val="autoZero"/>
        <c:auto val="1"/>
        <c:lblAlgn val="ctr"/>
        <c:lblOffset val="100"/>
        <c:tickLblSkip val="1"/>
        <c:tickMarkSkip val="1"/>
        <c:noMultiLvlLbl val="0"/>
      </c:catAx>
      <c:valAx>
        <c:axId val="37174870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sl-SI"/>
          </a:p>
        </c:txPr>
        <c:crossAx val="371750664"/>
        <c:crosses val="autoZero"/>
        <c:crossBetween val="between"/>
      </c:valAx>
      <c:spPr>
        <a:solidFill>
          <a:srgbClr val="C0C0C0"/>
        </a:solidFill>
        <a:ln w="12700">
          <a:solidFill>
            <a:srgbClr val="808080"/>
          </a:solidFill>
          <a:prstDash val="solid"/>
        </a:ln>
      </c:spPr>
    </c:plotArea>
    <c:legend>
      <c:legendPos val="b"/>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sl-SI"/>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sl-SI"/>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5966497000576064E-2"/>
          <c:y val="3.7671232876712327E-2"/>
          <c:w val="0.91330220442032817"/>
          <c:h val="0.47191015829801963"/>
        </c:manualLayout>
      </c:layout>
      <c:barChart>
        <c:barDir val="col"/>
        <c:grouping val="clustered"/>
        <c:varyColors val="0"/>
        <c:ser>
          <c:idx val="0"/>
          <c:order val="0"/>
          <c:tx>
            <c:strRef>
              <c:f>Sheet1!$B$1</c:f>
              <c:strCache>
                <c:ptCount val="1"/>
                <c:pt idx="0">
                  <c:v>prenos sredstev med državami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Število zadev</c:v>
                </c:pt>
              </c:strCache>
            </c:strRef>
          </c:cat>
          <c:val>
            <c:numRef>
              <c:f>Sheet1!$B$2</c:f>
              <c:numCache>
                <c:formatCode>General</c:formatCode>
                <c:ptCount val="1"/>
                <c:pt idx="0">
                  <c:v>251</c:v>
                </c:pt>
              </c:numCache>
            </c:numRef>
          </c:val>
          <c:extLst>
            <c:ext xmlns:c16="http://schemas.microsoft.com/office/drawing/2014/chart" uri="{C3380CC4-5D6E-409C-BE32-E72D297353CC}">
              <c16:uniqueId val="{00000000-11E0-41CC-A1B9-2DCE26967759}"/>
            </c:ext>
          </c:extLst>
        </c:ser>
        <c:ser>
          <c:idx val="1"/>
          <c:order val="1"/>
          <c:tx>
            <c:strRef>
              <c:f>Sheet1!$C$1</c:f>
              <c:strCache>
                <c:ptCount val="1"/>
                <c:pt idx="0">
                  <c:v>prenos sredstev med računi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Število zadev</c:v>
                </c:pt>
              </c:strCache>
            </c:strRef>
          </c:cat>
          <c:val>
            <c:numRef>
              <c:f>Sheet1!$C$2</c:f>
              <c:numCache>
                <c:formatCode>0</c:formatCode>
                <c:ptCount val="1"/>
                <c:pt idx="0">
                  <c:v>215</c:v>
                </c:pt>
              </c:numCache>
            </c:numRef>
          </c:val>
          <c:extLst>
            <c:ext xmlns:c16="http://schemas.microsoft.com/office/drawing/2014/chart" uri="{C3380CC4-5D6E-409C-BE32-E72D297353CC}">
              <c16:uniqueId val="{00000001-11E0-41CC-A1B9-2DCE26967759}"/>
            </c:ext>
          </c:extLst>
        </c:ser>
        <c:ser>
          <c:idx val="2"/>
          <c:order val="2"/>
          <c:tx>
            <c:strRef>
              <c:f>Sheet1!$D$1</c:f>
              <c:strCache>
                <c:ptCount val="1"/>
                <c:pt idx="0">
                  <c:v>dvig gotovine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Število zadev</c:v>
                </c:pt>
              </c:strCache>
            </c:strRef>
          </c:cat>
          <c:val>
            <c:numRef>
              <c:f>Sheet1!$D$2</c:f>
              <c:numCache>
                <c:formatCode>General</c:formatCode>
                <c:ptCount val="1"/>
                <c:pt idx="0">
                  <c:v>113</c:v>
                </c:pt>
              </c:numCache>
            </c:numRef>
          </c:val>
          <c:extLst>
            <c:ext xmlns:c16="http://schemas.microsoft.com/office/drawing/2014/chart" uri="{C3380CC4-5D6E-409C-BE32-E72D297353CC}">
              <c16:uniqueId val="{00000002-11E0-41CC-A1B9-2DCE26967759}"/>
            </c:ext>
          </c:extLst>
        </c:ser>
        <c:ser>
          <c:idx val="3"/>
          <c:order val="3"/>
          <c:tx>
            <c:strRef>
              <c:f>Sheet1!$E$1</c:f>
              <c:strCache>
                <c:ptCount val="1"/>
                <c:pt idx="0">
                  <c:v>prenos sredstev preko meje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Število zadev</c:v>
                </c:pt>
              </c:strCache>
            </c:strRef>
          </c:cat>
          <c:val>
            <c:numRef>
              <c:f>Sheet1!$E$2</c:f>
              <c:numCache>
                <c:formatCode>General</c:formatCode>
                <c:ptCount val="1"/>
                <c:pt idx="0">
                  <c:v>59</c:v>
                </c:pt>
              </c:numCache>
            </c:numRef>
          </c:val>
          <c:extLst>
            <c:ext xmlns:c16="http://schemas.microsoft.com/office/drawing/2014/chart" uri="{C3380CC4-5D6E-409C-BE32-E72D297353CC}">
              <c16:uniqueId val="{00000003-11E0-41CC-A1B9-2DCE26967759}"/>
            </c:ext>
          </c:extLst>
        </c:ser>
        <c:ser>
          <c:idx val="4"/>
          <c:order val="4"/>
          <c:tx>
            <c:strRef>
              <c:f>Sheet1!$F$1</c:f>
              <c:strCache>
                <c:ptCount val="1"/>
                <c:pt idx="0">
                  <c:v>polog gotovine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Število zadev</c:v>
                </c:pt>
              </c:strCache>
            </c:strRef>
          </c:cat>
          <c:val>
            <c:numRef>
              <c:f>Sheet1!$F$2</c:f>
              <c:numCache>
                <c:formatCode>General</c:formatCode>
                <c:ptCount val="1"/>
                <c:pt idx="0">
                  <c:v>50</c:v>
                </c:pt>
              </c:numCache>
            </c:numRef>
          </c:val>
          <c:extLst>
            <c:ext xmlns:c16="http://schemas.microsoft.com/office/drawing/2014/chart" uri="{C3380CC4-5D6E-409C-BE32-E72D297353CC}">
              <c16:uniqueId val="{00000004-11E0-41CC-A1B9-2DCE26967759}"/>
            </c:ext>
          </c:extLst>
        </c:ser>
        <c:ser>
          <c:idx val="5"/>
          <c:order val="5"/>
          <c:tx>
            <c:strRef>
              <c:f>Sheet1!$G$1</c:f>
              <c:strCache>
                <c:ptCount val="1"/>
                <c:pt idx="0">
                  <c:v>lažni prikazi namena transakcij</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Število zadev</c:v>
                </c:pt>
              </c:strCache>
            </c:strRef>
          </c:cat>
          <c:val>
            <c:numRef>
              <c:f>Sheet1!$G$2</c:f>
              <c:numCache>
                <c:formatCode>General</c:formatCode>
                <c:ptCount val="1"/>
                <c:pt idx="0">
                  <c:v>35</c:v>
                </c:pt>
              </c:numCache>
            </c:numRef>
          </c:val>
          <c:extLst>
            <c:ext xmlns:c16="http://schemas.microsoft.com/office/drawing/2014/chart" uri="{C3380CC4-5D6E-409C-BE32-E72D297353CC}">
              <c16:uniqueId val="{00000005-11E0-41CC-A1B9-2DCE26967759}"/>
            </c:ext>
          </c:extLst>
        </c:ser>
        <c:ser>
          <c:idx val="6"/>
          <c:order val="6"/>
          <c:tx>
            <c:strRef>
              <c:f>Sheet1!$H$1</c:f>
              <c:strCache>
                <c:ptCount val="1"/>
                <c:pt idx="0">
                  <c:v>uporaba sredstev za gospodarsko poslovanje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Število zadev</c:v>
                </c:pt>
              </c:strCache>
            </c:strRef>
          </c:cat>
          <c:val>
            <c:numRef>
              <c:f>Sheet1!$H$2</c:f>
              <c:numCache>
                <c:formatCode>General</c:formatCode>
                <c:ptCount val="1"/>
                <c:pt idx="0">
                  <c:v>28</c:v>
                </c:pt>
              </c:numCache>
            </c:numRef>
          </c:val>
          <c:extLst>
            <c:ext xmlns:c16="http://schemas.microsoft.com/office/drawing/2014/chart" uri="{C3380CC4-5D6E-409C-BE32-E72D297353CC}">
              <c16:uniqueId val="{00000006-11E0-41CC-A1B9-2DCE26967759}"/>
            </c:ext>
          </c:extLst>
        </c:ser>
        <c:ser>
          <c:idx val="7"/>
          <c:order val="7"/>
          <c:tx>
            <c:strRef>
              <c:f>Sheet1!$I$1</c:f>
              <c:strCache>
                <c:ptCount val="1"/>
                <c:pt idx="0">
                  <c:v>fiktivne pogodbe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Število zadev</c:v>
                </c:pt>
              </c:strCache>
            </c:strRef>
          </c:cat>
          <c:val>
            <c:numRef>
              <c:f>Sheet1!$I$2</c:f>
              <c:numCache>
                <c:formatCode>General</c:formatCode>
                <c:ptCount val="1"/>
                <c:pt idx="0">
                  <c:v>26</c:v>
                </c:pt>
              </c:numCache>
            </c:numRef>
          </c:val>
          <c:extLst>
            <c:ext xmlns:c16="http://schemas.microsoft.com/office/drawing/2014/chart" uri="{C3380CC4-5D6E-409C-BE32-E72D297353CC}">
              <c16:uniqueId val="{00000007-11E0-41CC-A1B9-2DCE26967759}"/>
            </c:ext>
          </c:extLst>
        </c:ser>
        <c:ser>
          <c:idx val="8"/>
          <c:order val="8"/>
          <c:tx>
            <c:strRef>
              <c:f>Sheet1!$J$1</c:f>
              <c:strCache>
                <c:ptCount val="1"/>
                <c:pt idx="0">
                  <c:v>dvigi gotovine na bankomatu v tujini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c:f>
              <c:strCache>
                <c:ptCount val="1"/>
                <c:pt idx="0">
                  <c:v>Število zadev</c:v>
                </c:pt>
              </c:strCache>
            </c:strRef>
          </c:cat>
          <c:val>
            <c:numRef>
              <c:f>Sheet1!$J$2</c:f>
              <c:numCache>
                <c:formatCode>General</c:formatCode>
                <c:ptCount val="1"/>
                <c:pt idx="0">
                  <c:v>15</c:v>
                </c:pt>
              </c:numCache>
            </c:numRef>
          </c:val>
          <c:extLst>
            <c:ext xmlns:c16="http://schemas.microsoft.com/office/drawing/2014/chart" uri="{C3380CC4-5D6E-409C-BE32-E72D297353CC}">
              <c16:uniqueId val="{00000008-11E0-41CC-A1B9-2DCE26967759}"/>
            </c:ext>
          </c:extLst>
        </c:ser>
        <c:ser>
          <c:idx val="9"/>
          <c:order val="9"/>
          <c:tx>
            <c:strRef>
              <c:f>Sheet1!$K$1</c:f>
              <c:strCache>
                <c:ptCount val="1"/>
                <c:pt idx="0">
                  <c:v>uporaba sistemov za prenos sredstev</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c:f>
              <c:strCache>
                <c:ptCount val="1"/>
                <c:pt idx="0">
                  <c:v>Število zadev</c:v>
                </c:pt>
              </c:strCache>
            </c:strRef>
          </c:cat>
          <c:val>
            <c:numRef>
              <c:f>Sheet1!$K$2</c:f>
              <c:numCache>
                <c:formatCode>General</c:formatCode>
                <c:ptCount val="1"/>
                <c:pt idx="0">
                  <c:v>15</c:v>
                </c:pt>
              </c:numCache>
            </c:numRef>
          </c:val>
          <c:extLst>
            <c:ext xmlns:c16="http://schemas.microsoft.com/office/drawing/2014/chart" uri="{C3380CC4-5D6E-409C-BE32-E72D297353CC}">
              <c16:uniqueId val="{00000009-11E0-41CC-A1B9-2DCE26967759}"/>
            </c:ext>
          </c:extLst>
        </c:ser>
        <c:ser>
          <c:idx val="10"/>
          <c:order val="10"/>
          <c:tx>
            <c:strRef>
              <c:f>Sheet1!$L$1</c:f>
              <c:strCache>
                <c:ptCount val="1"/>
                <c:pt idx="0">
                  <c:v>investiranje v nepremičnine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c:f>
              <c:strCache>
                <c:ptCount val="1"/>
                <c:pt idx="0">
                  <c:v>Število zadev</c:v>
                </c:pt>
              </c:strCache>
            </c:strRef>
          </c:cat>
          <c:val>
            <c:numRef>
              <c:f>Sheet1!$L$2</c:f>
              <c:numCache>
                <c:formatCode>General</c:formatCode>
                <c:ptCount val="1"/>
                <c:pt idx="0">
                  <c:v>14</c:v>
                </c:pt>
              </c:numCache>
            </c:numRef>
          </c:val>
          <c:extLst>
            <c:ext xmlns:c16="http://schemas.microsoft.com/office/drawing/2014/chart" uri="{C3380CC4-5D6E-409C-BE32-E72D297353CC}">
              <c16:uniqueId val="{0000000A-11E0-41CC-A1B9-2DCE26967759}"/>
            </c:ext>
          </c:extLst>
        </c:ser>
        <c:ser>
          <c:idx val="11"/>
          <c:order val="11"/>
          <c:tx>
            <c:strRef>
              <c:f>Sheet1!$M$1</c:f>
              <c:strCache>
                <c:ptCount val="1"/>
                <c:pt idx="0">
                  <c:v>ustvarjanje lažnih obveznosti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c:f>
              <c:strCache>
                <c:ptCount val="1"/>
                <c:pt idx="0">
                  <c:v>Število zadev</c:v>
                </c:pt>
              </c:strCache>
            </c:strRef>
          </c:cat>
          <c:val>
            <c:numRef>
              <c:f>Sheet1!$M$2</c:f>
              <c:numCache>
                <c:formatCode>General</c:formatCode>
                <c:ptCount val="1"/>
                <c:pt idx="0">
                  <c:v>7</c:v>
                </c:pt>
              </c:numCache>
            </c:numRef>
          </c:val>
          <c:extLst>
            <c:ext xmlns:c16="http://schemas.microsoft.com/office/drawing/2014/chart" uri="{C3380CC4-5D6E-409C-BE32-E72D297353CC}">
              <c16:uniqueId val="{0000000B-11E0-41CC-A1B9-2DCE26967759}"/>
            </c:ext>
          </c:extLst>
        </c:ser>
        <c:ser>
          <c:idx val="12"/>
          <c:order val="12"/>
          <c:tx>
            <c:strRef>
              <c:f>Sheet1!$N$1</c:f>
              <c:strCache>
                <c:ptCount val="1"/>
                <c:pt idx="0">
                  <c:v>uporaba denarnih mul in "cash" kurirjev</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c:f>
              <c:strCache>
                <c:ptCount val="1"/>
                <c:pt idx="0">
                  <c:v>Število zadev</c:v>
                </c:pt>
              </c:strCache>
            </c:strRef>
          </c:cat>
          <c:val>
            <c:numRef>
              <c:f>Sheet1!$N$2</c:f>
              <c:numCache>
                <c:formatCode>General</c:formatCode>
                <c:ptCount val="1"/>
                <c:pt idx="0">
                  <c:v>7</c:v>
                </c:pt>
              </c:numCache>
            </c:numRef>
          </c:val>
          <c:extLst>
            <c:ext xmlns:c16="http://schemas.microsoft.com/office/drawing/2014/chart" uri="{C3380CC4-5D6E-409C-BE32-E72D297353CC}">
              <c16:uniqueId val="{0000000C-11E0-41CC-A1B9-2DCE26967759}"/>
            </c:ext>
          </c:extLst>
        </c:ser>
        <c:ser>
          <c:idx val="13"/>
          <c:order val="13"/>
          <c:tx>
            <c:strRef>
              <c:f>Sheet1!$O$1</c:f>
              <c:strCache>
                <c:ptCount val="1"/>
                <c:pt idx="0">
                  <c:v>drobljenje zneskov in izmikanje identifikaciji</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1E0-41CC-A1B9-2DCE26967759}"/>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c:f>
              <c:strCache>
                <c:ptCount val="1"/>
                <c:pt idx="0">
                  <c:v>Število zadev</c:v>
                </c:pt>
              </c:strCache>
            </c:strRef>
          </c:cat>
          <c:val>
            <c:numRef>
              <c:f>Sheet1!$O$2</c:f>
              <c:numCache>
                <c:formatCode>General</c:formatCode>
                <c:ptCount val="1"/>
                <c:pt idx="0">
                  <c:v>6</c:v>
                </c:pt>
              </c:numCache>
            </c:numRef>
          </c:val>
          <c:extLst>
            <c:ext xmlns:c16="http://schemas.microsoft.com/office/drawing/2014/chart" uri="{C3380CC4-5D6E-409C-BE32-E72D297353CC}">
              <c16:uniqueId val="{0000000E-11E0-41CC-A1B9-2DCE26967759}"/>
            </c:ext>
          </c:extLst>
        </c:ser>
        <c:dLbls>
          <c:showLegendKey val="0"/>
          <c:showVal val="0"/>
          <c:showCatName val="0"/>
          <c:showSerName val="0"/>
          <c:showPercent val="0"/>
          <c:showBubbleSize val="0"/>
        </c:dLbls>
        <c:gapWidth val="150"/>
        <c:axId val="371749096"/>
        <c:axId val="371747528"/>
      </c:barChart>
      <c:catAx>
        <c:axId val="371749096"/>
        <c:scaling>
          <c:orientation val="minMax"/>
        </c:scaling>
        <c:delete val="0"/>
        <c:axPos val="b"/>
        <c:numFmt formatCode="General" sourceLinked="0"/>
        <c:majorTickMark val="out"/>
        <c:minorTickMark val="none"/>
        <c:tickLblPos val="nextTo"/>
        <c:crossAx val="371747528"/>
        <c:crosses val="autoZero"/>
        <c:auto val="1"/>
        <c:lblAlgn val="ctr"/>
        <c:lblOffset val="100"/>
        <c:noMultiLvlLbl val="0"/>
      </c:catAx>
      <c:valAx>
        <c:axId val="371747528"/>
        <c:scaling>
          <c:orientation val="minMax"/>
        </c:scaling>
        <c:delete val="0"/>
        <c:axPos val="l"/>
        <c:majorGridlines/>
        <c:numFmt formatCode="General" sourceLinked="1"/>
        <c:majorTickMark val="out"/>
        <c:minorTickMark val="none"/>
        <c:tickLblPos val="nextTo"/>
        <c:crossAx val="371749096"/>
        <c:crosses val="autoZero"/>
        <c:crossBetween val="between"/>
      </c:valAx>
    </c:plotArea>
    <c:legend>
      <c:legendPos val="b"/>
      <c:layout>
        <c:manualLayout>
          <c:xMode val="edge"/>
          <c:yMode val="edge"/>
          <c:x val="5.3059311053185516E-2"/>
          <c:y val="0.58393065863712668"/>
          <c:w val="0.90675415197644382"/>
          <c:h val="0.37270477491474224"/>
        </c:manualLayout>
      </c:layout>
      <c:overlay val="0"/>
      <c:txPr>
        <a:bodyPr/>
        <a:lstStyle/>
        <a:p>
          <a:pPr>
            <a:defRPr>
              <a:solidFill>
                <a:schemeClr val="tx1"/>
              </a:solidFill>
            </a:defRPr>
          </a:pPr>
          <a:endParaRPr lang="sl-SI"/>
        </a:p>
      </c:txPr>
    </c:legend>
    <c:plotVisOnly val="1"/>
    <c:dispBlanksAs val="gap"/>
    <c:showDLblsOverMax val="0"/>
  </c:chart>
  <c:spPr>
    <a:ln>
      <a:solidFill>
        <a:schemeClr val="tx1"/>
      </a:solidFill>
    </a:ln>
  </c:spPr>
  <c:txPr>
    <a:bodyPr/>
    <a:lstStyle/>
    <a:p>
      <a:pPr>
        <a:defRPr sz="800" baseline="0"/>
      </a:pPr>
      <a:endParaRPr lang="sl-SI"/>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9538899831743526E-2"/>
          <c:y val="5.2301279308627886E-2"/>
          <c:w val="0.90987868284228768"/>
          <c:h val="0.73672055427251981"/>
        </c:manualLayout>
      </c:layout>
      <c:lineChart>
        <c:grouping val="standard"/>
        <c:varyColors val="0"/>
        <c:ser>
          <c:idx val="0"/>
          <c:order val="0"/>
          <c:tx>
            <c:strRef>
              <c:f>Sheet1!$B$2</c:f>
              <c:strCache>
                <c:ptCount val="1"/>
                <c:pt idx="0">
                  <c:v>Podane kazenske ovadbe Policije</c:v>
                </c:pt>
              </c:strCache>
            </c:strRef>
          </c:tx>
          <c:spPr>
            <a:ln w="38100">
              <a:solidFill>
                <a:srgbClr val="000080"/>
              </a:solidFill>
              <a:prstDash val="solid"/>
            </a:ln>
          </c:spPr>
          <c:marker>
            <c:symbol val="square"/>
            <c:size val="5"/>
            <c:spPr>
              <a:solidFill>
                <a:srgbClr val="000080"/>
              </a:solidFill>
              <a:ln>
                <a:solidFill>
                  <a:srgbClr val="000080"/>
                </a:solidFill>
                <a:prstDash val="solid"/>
              </a:ln>
            </c:spPr>
          </c:marker>
          <c:dLbls>
            <c:dLbl>
              <c:idx val="0"/>
              <c:layout>
                <c:manualLayout>
                  <c:x val="-2.7963597631716592E-2"/>
                  <c:y val="-5.27545070145677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670-4E31-9858-5DC09D59EC15}"/>
                </c:ext>
              </c:extLst>
            </c:dLbl>
            <c:dLbl>
              <c:idx val="1"/>
              <c:layout>
                <c:manualLayout>
                  <c:x val="-2.6230526270532798E-2"/>
                  <c:y val="-3.34208693024226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670-4E31-9858-5DC09D59EC15}"/>
                </c:ext>
              </c:extLst>
            </c:dLbl>
            <c:dLbl>
              <c:idx val="2"/>
              <c:layout>
                <c:manualLayout>
                  <c:x val="-3.1429863921481005E-2"/>
                  <c:y val="-4.37145299100891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670-4E31-9858-5DC09D59EC15}"/>
                </c:ext>
              </c:extLst>
            </c:dLbl>
            <c:dLbl>
              <c:idx val="3"/>
              <c:layout>
                <c:manualLayout>
                  <c:x val="-3.489609931939601E-2"/>
                  <c:y val="-3.5466391794847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670-4E31-9858-5DC09D59EC15}"/>
                </c:ext>
              </c:extLst>
            </c:dLbl>
            <c:dLbl>
              <c:idx val="4"/>
              <c:layout>
                <c:manualLayout>
                  <c:x val="-8.3231667399355867E-3"/>
                  <c:y val="-3.57890608501523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670-4E31-9858-5DC09D59EC15}"/>
                </c:ext>
              </c:extLst>
            </c:dLbl>
            <c:dLbl>
              <c:idx val="5"/>
              <c:layout>
                <c:manualLayout>
                  <c:x val="-1.1012176500732255E-2"/>
                  <c:y val="3.19284802043422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670-4E31-9858-5DC09D59EC15}"/>
                </c:ext>
              </c:extLst>
            </c:dLbl>
            <c:dLbl>
              <c:idx val="6"/>
              <c:layout>
                <c:manualLayout>
                  <c:x val="-1.3214403700033036E-2"/>
                  <c:y val="-2.23499361430395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670-4E31-9858-5DC09D59EC15}"/>
                </c:ext>
              </c:extLst>
            </c:dLbl>
            <c:dLbl>
              <c:idx val="8"/>
              <c:layout>
                <c:manualLayout>
                  <c:x val="-3.3143940217726979E-2"/>
                  <c:y val="-7.82520366948358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670-4E31-9858-5DC09D59EC15}"/>
                </c:ext>
              </c:extLst>
            </c:dLbl>
            <c:dLbl>
              <c:idx val="9"/>
              <c:layout>
                <c:manualLayout>
                  <c:x val="-1.3257576087090791E-2"/>
                  <c:y val="-2.98102996932707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670-4E31-9858-5DC09D59EC15}"/>
                </c:ext>
              </c:extLst>
            </c:dLbl>
            <c:spPr>
              <a:noFill/>
              <a:ln w="25400">
                <a:noFill/>
              </a:ln>
            </c:spPr>
            <c:txPr>
              <a:bodyPr/>
              <a:lstStyle/>
              <a:p>
                <a:pPr>
                  <a:defRPr sz="10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Sheet1!$C$1:$M$1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Sheet1!$C$2:$M$2</c:f>
              <c:numCache>
                <c:formatCode>General</c:formatCode>
                <c:ptCount val="11"/>
                <c:pt idx="0">
                  <c:v>47</c:v>
                </c:pt>
                <c:pt idx="1">
                  <c:v>39</c:v>
                </c:pt>
                <c:pt idx="2">
                  <c:v>49</c:v>
                </c:pt>
                <c:pt idx="3">
                  <c:v>62</c:v>
                </c:pt>
                <c:pt idx="4">
                  <c:v>47</c:v>
                </c:pt>
                <c:pt idx="5">
                  <c:v>39</c:v>
                </c:pt>
                <c:pt idx="6">
                  <c:v>42</c:v>
                </c:pt>
                <c:pt idx="7">
                  <c:v>41</c:v>
                </c:pt>
                <c:pt idx="8">
                  <c:v>21</c:v>
                </c:pt>
                <c:pt idx="9">
                  <c:v>44</c:v>
                </c:pt>
                <c:pt idx="10">
                  <c:v>26</c:v>
                </c:pt>
              </c:numCache>
            </c:numRef>
          </c:val>
          <c:smooth val="0"/>
          <c:extLst>
            <c:ext xmlns:c16="http://schemas.microsoft.com/office/drawing/2014/chart" uri="{C3380CC4-5D6E-409C-BE32-E72D297353CC}">
              <c16:uniqueId val="{00000009-C670-4E31-9858-5DC09D59EC15}"/>
            </c:ext>
          </c:extLst>
        </c:ser>
        <c:ser>
          <c:idx val="1"/>
          <c:order val="1"/>
          <c:tx>
            <c:strRef>
              <c:f>Sheet1!$B$3</c:f>
              <c:strCache>
                <c:ptCount val="1"/>
                <c:pt idx="0">
                  <c:v>Obvestila Urada</c:v>
                </c:pt>
              </c:strCache>
            </c:strRef>
          </c:tx>
          <c:spPr>
            <a:ln w="38100">
              <a:solidFill>
                <a:srgbClr val="800080"/>
              </a:solidFill>
              <a:prstDash val="solid"/>
            </a:ln>
          </c:spPr>
          <c:marker>
            <c:symbol val="square"/>
            <c:size val="5"/>
            <c:spPr>
              <a:solidFill>
                <a:srgbClr val="800080"/>
              </a:solidFill>
              <a:ln>
                <a:solidFill>
                  <a:srgbClr val="800080"/>
                </a:solidFill>
                <a:prstDash val="solid"/>
              </a:ln>
            </c:spPr>
          </c:marker>
          <c:dLbls>
            <c:dLbl>
              <c:idx val="0"/>
              <c:layout>
                <c:manualLayout>
                  <c:x val="-1.0632575101387315E-2"/>
                  <c:y val="-2.91648330332842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670-4E31-9858-5DC09D59EC15}"/>
                </c:ext>
              </c:extLst>
            </c:dLbl>
            <c:dLbl>
              <c:idx val="1"/>
              <c:layout>
                <c:manualLayout>
                  <c:x val="-1.7565015005368261E-2"/>
                  <c:y val="-2.34901100699596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670-4E31-9858-5DC09D59EC15}"/>
                </c:ext>
              </c:extLst>
            </c:dLbl>
            <c:dLbl>
              <c:idx val="2"/>
              <c:layout>
                <c:manualLayout>
                  <c:x val="-2.4497454909349237E-2"/>
                  <c:y val="-3.55653468403053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670-4E31-9858-5DC09D59EC15}"/>
                </c:ext>
              </c:extLst>
            </c:dLbl>
            <c:dLbl>
              <c:idx val="3"/>
              <c:layout>
                <c:manualLayout>
                  <c:x val="-3.489609931939601E-2"/>
                  <c:y val="-3.50374541808140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670-4E31-9858-5DC09D59EC15}"/>
                </c:ext>
              </c:extLst>
            </c:dLbl>
            <c:dLbl>
              <c:idx val="4"/>
              <c:layout>
                <c:manualLayout>
                  <c:x val="-3.4896130211245421E-2"/>
                  <c:y val="-3.75450555328966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670-4E31-9858-5DC09D59EC15}"/>
                </c:ext>
              </c:extLst>
            </c:dLbl>
            <c:dLbl>
              <c:idx val="7"/>
              <c:layout>
                <c:manualLayout>
                  <c:x val="-1.5469613259668509E-2"/>
                  <c:y val="-4.10141685309471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670-4E31-9858-5DC09D59EC15}"/>
                </c:ext>
              </c:extLst>
            </c:dLbl>
            <c:dLbl>
              <c:idx val="9"/>
              <c:layout>
                <c:manualLayout>
                  <c:x val="-1.5467172101605925E-2"/>
                  <c:y val="-4.47154495399061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670-4E31-9858-5DC09D59EC15}"/>
                </c:ext>
              </c:extLst>
            </c:dLbl>
            <c:spPr>
              <a:noFill/>
              <a:ln w="25400">
                <a:noFill/>
              </a:ln>
            </c:spPr>
            <c:txPr>
              <a:bodyPr/>
              <a:lstStyle/>
              <a:p>
                <a:pPr>
                  <a:defRPr sz="10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Sheet1!$C$1:$M$1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Sheet1!$C$3:$M$3</c:f>
              <c:numCache>
                <c:formatCode>General</c:formatCode>
                <c:ptCount val="11"/>
                <c:pt idx="0">
                  <c:v>26</c:v>
                </c:pt>
                <c:pt idx="1">
                  <c:v>22</c:v>
                </c:pt>
                <c:pt idx="2">
                  <c:v>26</c:v>
                </c:pt>
                <c:pt idx="3">
                  <c:v>42</c:v>
                </c:pt>
                <c:pt idx="4">
                  <c:v>23</c:v>
                </c:pt>
                <c:pt idx="5">
                  <c:v>19</c:v>
                </c:pt>
                <c:pt idx="6">
                  <c:v>31</c:v>
                </c:pt>
                <c:pt idx="7">
                  <c:v>21</c:v>
                </c:pt>
                <c:pt idx="8">
                  <c:v>18</c:v>
                </c:pt>
                <c:pt idx="9">
                  <c:v>24</c:v>
                </c:pt>
                <c:pt idx="10">
                  <c:v>23</c:v>
                </c:pt>
              </c:numCache>
            </c:numRef>
          </c:val>
          <c:smooth val="0"/>
          <c:extLst>
            <c:ext xmlns:c16="http://schemas.microsoft.com/office/drawing/2014/chart" uri="{C3380CC4-5D6E-409C-BE32-E72D297353CC}">
              <c16:uniqueId val="{00000011-C670-4E31-9858-5DC09D59EC15}"/>
            </c:ext>
          </c:extLst>
        </c:ser>
        <c:dLbls>
          <c:showLegendKey val="0"/>
          <c:showVal val="0"/>
          <c:showCatName val="0"/>
          <c:showSerName val="0"/>
          <c:showPercent val="0"/>
          <c:showBubbleSize val="0"/>
        </c:dLbls>
        <c:marker val="1"/>
        <c:smooth val="0"/>
        <c:axId val="313861880"/>
        <c:axId val="313860704"/>
      </c:lineChart>
      <c:catAx>
        <c:axId val="3138618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313860704"/>
        <c:crosses val="autoZero"/>
        <c:auto val="1"/>
        <c:lblAlgn val="ctr"/>
        <c:lblOffset val="100"/>
        <c:tickMarkSkip val="1"/>
        <c:noMultiLvlLbl val="0"/>
      </c:catAx>
      <c:valAx>
        <c:axId val="31386070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313861880"/>
        <c:crosses val="autoZero"/>
        <c:crossBetween val="between"/>
      </c:valAx>
      <c:spPr>
        <a:solidFill>
          <a:srgbClr val="C0C0C0"/>
        </a:solidFill>
        <a:ln w="12700">
          <a:solidFill>
            <a:srgbClr val="808080"/>
          </a:solidFill>
          <a:prstDash val="solid"/>
        </a:ln>
      </c:spPr>
    </c:plotArea>
    <c:legend>
      <c:legendPos val="b"/>
      <c:layout>
        <c:manualLayout>
          <c:xMode val="edge"/>
          <c:yMode val="edge"/>
          <c:x val="0.14384748700173397"/>
          <c:y val="0.84988452655889546"/>
          <c:w val="0.72963604852686303"/>
          <c:h val="0.13856812933025403"/>
        </c:manualLayout>
      </c:layout>
      <c:overlay val="0"/>
      <c:spPr>
        <a:solidFill>
          <a:srgbClr val="FFFFFF"/>
        </a:solidFill>
        <a:ln w="3175">
          <a:solidFill>
            <a:srgbClr val="000000"/>
          </a:solidFill>
          <a:prstDash val="solid"/>
        </a:ln>
      </c:spPr>
      <c:txPr>
        <a:bodyPr/>
        <a:lstStyle/>
        <a:p>
          <a:pPr>
            <a:defRPr sz="920" b="1" i="0" u="none" strike="noStrike" baseline="0">
              <a:solidFill>
                <a:srgbClr val="000000"/>
              </a:solidFill>
              <a:latin typeface="Arial"/>
              <a:ea typeface="Arial"/>
              <a:cs typeface="Arial"/>
            </a:defRPr>
          </a:pPr>
          <a:endParaRPr lang="sl-SI"/>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sl-SI"/>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3757258691783959E-2"/>
          <c:y val="6.6998312252533221E-2"/>
          <c:w val="0.93080799752239363"/>
          <c:h val="0.73297100244141333"/>
        </c:manualLayout>
      </c:layout>
      <c:lineChart>
        <c:grouping val="standard"/>
        <c:varyColors val="0"/>
        <c:ser>
          <c:idx val="0"/>
          <c:order val="0"/>
          <c:tx>
            <c:strRef>
              <c:f>Sheet1!$B$4</c:f>
              <c:strCache>
                <c:ptCount val="1"/>
                <c:pt idx="0">
                  <c:v>Postopek začelo tožilstvo</c:v>
                </c:pt>
              </c:strCache>
            </c:strRef>
          </c:tx>
          <c:spPr>
            <a:ln w="38100">
              <a:solidFill>
                <a:srgbClr val="000080"/>
              </a:solidFill>
              <a:prstDash val="solid"/>
            </a:ln>
          </c:spPr>
          <c:marker>
            <c:symbol val="square"/>
            <c:size val="5"/>
            <c:spPr>
              <a:solidFill>
                <a:srgbClr val="000080"/>
              </a:solidFill>
              <a:ln>
                <a:solidFill>
                  <a:srgbClr val="000080"/>
                </a:solidFill>
                <a:prstDash val="solid"/>
              </a:ln>
            </c:spPr>
          </c:marker>
          <c:dLbls>
            <c:dLbl>
              <c:idx val="0"/>
              <c:layout>
                <c:manualLayout>
                  <c:x val="1.1623139582193036E-4"/>
                  <c:y val="-4.45477050077267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A62-4D35-A86A-98F201FF3235}"/>
                </c:ext>
              </c:extLst>
            </c:dLbl>
            <c:dLbl>
              <c:idx val="1"/>
              <c:layout>
                <c:manualLayout>
                  <c:x val="-1.8722825337912224E-2"/>
                  <c:y val="-5.12871481842866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A62-4D35-A86A-98F201FF3235}"/>
                </c:ext>
              </c:extLst>
            </c:dLbl>
            <c:dLbl>
              <c:idx val="4"/>
              <c:layout>
                <c:manualLayout>
                  <c:x val="-3.1384231978912411E-3"/>
                  <c:y val="-3.68779262822698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A62-4D35-A86A-98F201FF3235}"/>
                </c:ext>
              </c:extLst>
            </c:dLbl>
            <c:dLbl>
              <c:idx val="5"/>
              <c:layout>
                <c:manualLayout>
                  <c:x val="-7.1427071644364027E-3"/>
                  <c:y val="-3.68779262822698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A62-4D35-A86A-98F201FF3235}"/>
                </c:ext>
              </c:extLst>
            </c:dLbl>
            <c:dLbl>
              <c:idx val="6"/>
              <c:layout>
                <c:manualLayout>
                  <c:x val="-1.277053947439334E-2"/>
                  <c:y val="-3.68779262822698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A62-4D35-A86A-98F201FF3235}"/>
                </c:ext>
              </c:extLst>
            </c:dLbl>
            <c:dLbl>
              <c:idx val="7"/>
              <c:layout>
                <c:manualLayout>
                  <c:x val="-1.3528067620597609E-2"/>
                  <c:y val="-3.68779262822698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A62-4D35-A86A-98F201FF3235}"/>
                </c:ext>
              </c:extLst>
            </c:dLbl>
            <c:dLbl>
              <c:idx val="9"/>
              <c:layout>
                <c:manualLayout>
                  <c:x val="-3.6796489750543877E-3"/>
                  <c:y val="-2.82323931410590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A62-4D35-A86A-98F201FF3235}"/>
                </c:ext>
              </c:extLst>
            </c:dLbl>
            <c:dLbl>
              <c:idx val="10"/>
              <c:layout>
                <c:manualLayout>
                  <c:x val="4.3295660925272034E-4"/>
                  <c:y val="-2.82323931410590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A62-4D35-A86A-98F201FF3235}"/>
                </c:ext>
              </c:extLst>
            </c:dLbl>
            <c:dLbl>
              <c:idx val="11"/>
              <c:layout>
                <c:manualLayout>
                  <c:x val="-1.00648389979743E-2"/>
                  <c:y val="-4.64840742169477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A62-4D35-A86A-98F201FF3235}"/>
                </c:ext>
              </c:extLst>
            </c:dLbl>
            <c:dLbl>
              <c:idx val="13"/>
              <c:layout>
                <c:manualLayout>
                  <c:x val="-3.4809950615813753E-2"/>
                  <c:y val="-3.79147278389064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A62-4D35-A86A-98F201FF3235}"/>
                </c:ext>
              </c:extLst>
            </c:dLbl>
            <c:dLbl>
              <c:idx val="14"/>
              <c:layout>
                <c:manualLayout>
                  <c:x val="-3.7650472028692802E-2"/>
                  <c:y val="-5.27092609245571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A62-4D35-A86A-98F201FF3235}"/>
                </c:ext>
              </c:extLst>
            </c:dLbl>
            <c:dLbl>
              <c:idx val="16"/>
              <c:layout>
                <c:manualLayout>
                  <c:x val="-2.1447976528555658E-2"/>
                  <c:y val="-3.58561808818714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A62-4D35-A86A-98F201FF3235}"/>
                </c:ext>
              </c:extLst>
            </c:dLbl>
            <c:dLbl>
              <c:idx val="17"/>
              <c:layout>
                <c:manualLayout>
                  <c:x val="-1.9931571926975301E-2"/>
                  <c:y val="-5.17062798856854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A62-4D35-A86A-98F201FF3235}"/>
                </c:ext>
              </c:extLst>
            </c:dLbl>
            <c:spPr>
              <a:noFill/>
              <a:ln w="25400">
                <a:noFill/>
              </a:ln>
            </c:spPr>
            <c:txPr>
              <a:bodyPr/>
              <a:lstStyle/>
              <a:p>
                <a:pPr>
                  <a:defRPr sz="10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Sheet1!$C$1:$M$1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Sheet1!$C$4:$M$4</c:f>
              <c:numCache>
                <c:formatCode>General</c:formatCode>
                <c:ptCount val="11"/>
                <c:pt idx="0">
                  <c:v>10</c:v>
                </c:pt>
                <c:pt idx="1">
                  <c:v>13</c:v>
                </c:pt>
                <c:pt idx="2">
                  <c:v>6</c:v>
                </c:pt>
                <c:pt idx="3">
                  <c:v>21</c:v>
                </c:pt>
                <c:pt idx="4">
                  <c:v>12</c:v>
                </c:pt>
                <c:pt idx="5">
                  <c:v>9</c:v>
                </c:pt>
                <c:pt idx="6">
                  <c:v>13</c:v>
                </c:pt>
                <c:pt idx="7">
                  <c:v>0</c:v>
                </c:pt>
                <c:pt idx="8">
                  <c:v>1</c:v>
                </c:pt>
                <c:pt idx="9">
                  <c:v>10</c:v>
                </c:pt>
                <c:pt idx="10">
                  <c:v>4</c:v>
                </c:pt>
              </c:numCache>
            </c:numRef>
          </c:val>
          <c:smooth val="0"/>
          <c:extLst>
            <c:ext xmlns:c16="http://schemas.microsoft.com/office/drawing/2014/chart" uri="{C3380CC4-5D6E-409C-BE32-E72D297353CC}">
              <c16:uniqueId val="{0000000D-EA62-4D35-A86A-98F201FF3235}"/>
            </c:ext>
          </c:extLst>
        </c:ser>
        <c:ser>
          <c:idx val="1"/>
          <c:order val="1"/>
          <c:tx>
            <c:strRef>
              <c:f>Sheet1!$B$5</c:f>
              <c:strCache>
                <c:ptCount val="1"/>
                <c:pt idx="0">
                  <c:v>Obvestila Urada</c:v>
                </c:pt>
              </c:strCache>
            </c:strRef>
          </c:tx>
          <c:spPr>
            <a:ln w="38100">
              <a:solidFill>
                <a:srgbClr val="993366"/>
              </a:solidFill>
              <a:prstDash val="solid"/>
            </a:ln>
          </c:spPr>
          <c:marker>
            <c:symbol val="square"/>
            <c:size val="5"/>
            <c:spPr>
              <a:solidFill>
                <a:srgbClr val="993366"/>
              </a:solidFill>
              <a:ln>
                <a:solidFill>
                  <a:srgbClr val="993366"/>
                </a:solidFill>
                <a:prstDash val="solid"/>
              </a:ln>
            </c:spPr>
          </c:marker>
          <c:dLbls>
            <c:dLbl>
              <c:idx val="0"/>
              <c:layout>
                <c:manualLayout>
                  <c:x val="-1.5312163874034955E-3"/>
                  <c:y val="-2.96158635047548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A62-4D35-A86A-98F201FF3235}"/>
                </c:ext>
              </c:extLst>
            </c:dLbl>
            <c:dLbl>
              <c:idx val="1"/>
              <c:layout>
                <c:manualLayout>
                  <c:x val="-1.6358313860918877E-2"/>
                  <c:y val="-4.40027532676860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A62-4D35-A86A-98F201FF3235}"/>
                </c:ext>
              </c:extLst>
            </c:dLbl>
            <c:dLbl>
              <c:idx val="2"/>
              <c:layout>
                <c:manualLayout>
                  <c:x val="-1.8005829068630304E-2"/>
                  <c:y val="-4.19320146575969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A62-4D35-A86A-98F201FF3235}"/>
                </c:ext>
              </c:extLst>
            </c:dLbl>
            <c:dLbl>
              <c:idx val="3"/>
              <c:layout>
                <c:manualLayout>
                  <c:x val="-3.2832757317650618E-2"/>
                  <c:y val="-3.92072153920156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A62-4D35-A86A-98F201FF3235}"/>
                </c:ext>
              </c:extLst>
            </c:dLbl>
            <c:spPr>
              <a:noFill/>
              <a:ln w="25400">
                <a:noFill/>
              </a:ln>
            </c:spPr>
            <c:txPr>
              <a:bodyPr/>
              <a:lstStyle/>
              <a:p>
                <a:pPr>
                  <a:defRPr sz="10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Sheet1!$C$1:$M$1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Sheet1!$C$5:$M$5</c:f>
              <c:numCache>
                <c:formatCode>General</c:formatCode>
                <c:ptCount val="11"/>
                <c:pt idx="0">
                  <c:v>2</c:v>
                </c:pt>
                <c:pt idx="1">
                  <c:v>3</c:v>
                </c:pt>
                <c:pt idx="2">
                  <c:v>3</c:v>
                </c:pt>
                <c:pt idx="3">
                  <c:v>4</c:v>
                </c:pt>
                <c:pt idx="4">
                  <c:v>2</c:v>
                </c:pt>
                <c:pt idx="5">
                  <c:v>3</c:v>
                </c:pt>
                <c:pt idx="6">
                  <c:v>4</c:v>
                </c:pt>
                <c:pt idx="7">
                  <c:v>0</c:v>
                </c:pt>
                <c:pt idx="8">
                  <c:v>0</c:v>
                </c:pt>
                <c:pt idx="9">
                  <c:v>6</c:v>
                </c:pt>
                <c:pt idx="10">
                  <c:v>0</c:v>
                </c:pt>
              </c:numCache>
            </c:numRef>
          </c:val>
          <c:smooth val="0"/>
          <c:extLst>
            <c:ext xmlns:c16="http://schemas.microsoft.com/office/drawing/2014/chart" uri="{C3380CC4-5D6E-409C-BE32-E72D297353CC}">
              <c16:uniqueId val="{00000012-EA62-4D35-A86A-98F201FF3235}"/>
            </c:ext>
          </c:extLst>
        </c:ser>
        <c:dLbls>
          <c:showLegendKey val="0"/>
          <c:showVal val="1"/>
          <c:showCatName val="0"/>
          <c:showSerName val="0"/>
          <c:showPercent val="0"/>
          <c:showBubbleSize val="0"/>
        </c:dLbls>
        <c:marker val="1"/>
        <c:smooth val="0"/>
        <c:axId val="313859528"/>
        <c:axId val="595440208"/>
      </c:lineChart>
      <c:catAx>
        <c:axId val="3138595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sl-SI"/>
          </a:p>
        </c:txPr>
        <c:crossAx val="595440208"/>
        <c:crosses val="autoZero"/>
        <c:auto val="1"/>
        <c:lblAlgn val="ctr"/>
        <c:lblOffset val="100"/>
        <c:tickLblSkip val="1"/>
        <c:tickMarkSkip val="1"/>
        <c:noMultiLvlLbl val="0"/>
      </c:catAx>
      <c:valAx>
        <c:axId val="59544020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sl-SI"/>
          </a:p>
        </c:txPr>
        <c:crossAx val="313859528"/>
        <c:crosses val="autoZero"/>
        <c:crossBetween val="between"/>
      </c:valAx>
      <c:spPr>
        <a:solidFill>
          <a:srgbClr val="C0C0C0"/>
        </a:solidFill>
        <a:ln w="12700">
          <a:solidFill>
            <a:srgbClr val="808080"/>
          </a:solidFill>
          <a:prstDash val="solid"/>
        </a:ln>
      </c:spPr>
    </c:plotArea>
    <c:legend>
      <c:legendPos val="r"/>
      <c:layout>
        <c:manualLayout>
          <c:xMode val="edge"/>
          <c:yMode val="edge"/>
          <c:x val="0.14762778962022013"/>
          <c:y val="0.8710047324050646"/>
          <c:w val="0.74488571801452996"/>
          <c:h val="0.10991759363412906"/>
        </c:manualLayout>
      </c:layout>
      <c:overlay val="0"/>
      <c:spPr>
        <a:solidFill>
          <a:srgbClr val="FFFFFF"/>
        </a:solidFill>
        <a:ln w="3175">
          <a:solidFill>
            <a:srgbClr val="000000"/>
          </a:solidFill>
          <a:prstDash val="solid"/>
        </a:ln>
      </c:spPr>
      <c:txPr>
        <a:bodyPr/>
        <a:lstStyle/>
        <a:p>
          <a:pPr>
            <a:defRPr sz="920" b="1" i="0" u="none" strike="noStrike" baseline="0">
              <a:solidFill>
                <a:srgbClr val="000000"/>
              </a:solidFill>
              <a:latin typeface="Arial"/>
              <a:ea typeface="Arial"/>
              <a:cs typeface="Arial"/>
            </a:defRPr>
          </a:pPr>
          <a:endParaRPr lang="sl-SI"/>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sl-SI"/>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20"/>
      <c:hPercent val="100"/>
      <c:rotY val="0"/>
      <c:depthPercent val="100"/>
      <c:rAngAx val="0"/>
    </c:view3D>
    <c:floor>
      <c:thickness val="0"/>
    </c:floor>
    <c:sideWall>
      <c:thickness val="0"/>
    </c:sideWall>
    <c:backWall>
      <c:thickness val="0"/>
    </c:backWall>
    <c:plotArea>
      <c:layout>
        <c:manualLayout>
          <c:layoutTarget val="inner"/>
          <c:xMode val="edge"/>
          <c:yMode val="edge"/>
          <c:x val="0"/>
          <c:y val="0.16710571361646157"/>
          <c:w val="0.99826666504899375"/>
          <c:h val="0.59270557494344389"/>
        </c:manualLayout>
      </c:layout>
      <c:pie3DChart>
        <c:varyColors val="1"/>
        <c:ser>
          <c:idx val="0"/>
          <c:order val="0"/>
          <c:explosion val="30"/>
          <c:dPt>
            <c:idx val="0"/>
            <c:bubble3D val="0"/>
            <c:explosion val="15"/>
            <c:extLst>
              <c:ext xmlns:c16="http://schemas.microsoft.com/office/drawing/2014/chart" uri="{C3380CC4-5D6E-409C-BE32-E72D297353CC}">
                <c16:uniqueId val="{00000001-DF6F-40CA-9550-0420D944E3B7}"/>
              </c:ext>
            </c:extLst>
          </c:dPt>
          <c:dPt>
            <c:idx val="1"/>
            <c:bubble3D val="0"/>
            <c:explosion val="11"/>
            <c:extLst>
              <c:ext xmlns:c16="http://schemas.microsoft.com/office/drawing/2014/chart" uri="{C3380CC4-5D6E-409C-BE32-E72D297353CC}">
                <c16:uniqueId val="{00000003-DF6F-40CA-9550-0420D944E3B7}"/>
              </c:ext>
            </c:extLst>
          </c:dPt>
          <c:dPt>
            <c:idx val="2"/>
            <c:bubble3D val="0"/>
            <c:explosion val="1"/>
            <c:extLst>
              <c:ext xmlns:c16="http://schemas.microsoft.com/office/drawing/2014/chart" uri="{C3380CC4-5D6E-409C-BE32-E72D297353CC}">
                <c16:uniqueId val="{00000005-DF6F-40CA-9550-0420D944E3B7}"/>
              </c:ext>
            </c:extLst>
          </c:dPt>
          <c:dPt>
            <c:idx val="3"/>
            <c:bubble3D val="0"/>
            <c:explosion val="2"/>
            <c:extLst>
              <c:ext xmlns:c16="http://schemas.microsoft.com/office/drawing/2014/chart" uri="{C3380CC4-5D6E-409C-BE32-E72D297353CC}">
                <c16:uniqueId val="{00000007-DF6F-40CA-9550-0420D944E3B7}"/>
              </c:ext>
            </c:extLst>
          </c:dPt>
          <c:dPt>
            <c:idx val="4"/>
            <c:bubble3D val="0"/>
            <c:explosion val="1"/>
            <c:extLst>
              <c:ext xmlns:c16="http://schemas.microsoft.com/office/drawing/2014/chart" uri="{C3380CC4-5D6E-409C-BE32-E72D297353CC}">
                <c16:uniqueId val="{00000009-DF6F-40CA-9550-0420D944E3B7}"/>
              </c:ext>
            </c:extLst>
          </c:dPt>
          <c:dLbls>
            <c:dLbl>
              <c:idx val="0"/>
              <c:layout>
                <c:manualLayout>
                  <c:x val="-0.10491877058615041"/>
                  <c:y val="3.913713180061846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F6F-40CA-9550-0420D944E3B7}"/>
                </c:ext>
              </c:extLst>
            </c:dLbl>
            <c:dLbl>
              <c:idx val="1"/>
              <c:layout>
                <c:manualLayout>
                  <c:x val="-0.13001793057953323"/>
                  <c:y val="-0.2079379287052477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F6F-40CA-9550-0420D944E3B7}"/>
                </c:ext>
              </c:extLst>
            </c:dLbl>
            <c:dLbl>
              <c:idx val="2"/>
              <c:layout>
                <c:manualLayout>
                  <c:x val="2.2035154334738582E-2"/>
                  <c:y val="-0.24429266308978154"/>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F6F-40CA-9550-0420D944E3B7}"/>
                </c:ext>
              </c:extLst>
            </c:dLbl>
            <c:dLbl>
              <c:idx val="3"/>
              <c:layout>
                <c:manualLayout>
                  <c:x val="0.11323910783543299"/>
                  <c:y val="2.994560213524864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F6F-40CA-9550-0420D944E3B7}"/>
                </c:ext>
              </c:extLst>
            </c:dLbl>
            <c:dLbl>
              <c:idx val="4"/>
              <c:layout>
                <c:manualLayout>
                  <c:x val="8.5649828317948734E-2"/>
                  <c:y val="4.862988689425278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F6F-40CA-9550-0420D944E3B7}"/>
                </c:ext>
              </c:extLst>
            </c:dLbl>
            <c:spPr>
              <a:noFill/>
              <a:ln>
                <a:noFill/>
              </a:ln>
              <a:effectLst/>
            </c:spPr>
            <c:txPr>
              <a:bodyPr/>
              <a:lstStyle/>
              <a:p>
                <a:pPr>
                  <a:defRPr b="1"/>
                </a:pPr>
                <a:endParaRPr lang="sl-SI"/>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Sheet1!$B$26:$B$29</c:f>
              <c:strCache>
                <c:ptCount val="4"/>
                <c:pt idx="0">
                  <c:v>Podane kazenske ovadbe Policije brez UPPD</c:v>
                </c:pt>
                <c:pt idx="1">
                  <c:v>Postopek začelo tožilstvo brez UPPD</c:v>
                </c:pt>
                <c:pt idx="2">
                  <c:v>Obvestila Urada na pobudo državnih organov</c:v>
                </c:pt>
                <c:pt idx="3">
                  <c:v>Obvestila Urada na podlagi prijav organizacij in drugih prijaviteljev</c:v>
                </c:pt>
              </c:strCache>
            </c:strRef>
          </c:cat>
          <c:val>
            <c:numRef>
              <c:f>Sheet1!$C$26:$C$29</c:f>
              <c:numCache>
                <c:formatCode>General</c:formatCode>
                <c:ptCount val="4"/>
                <c:pt idx="0">
                  <c:v>171</c:v>
                </c:pt>
                <c:pt idx="1">
                  <c:v>67</c:v>
                </c:pt>
                <c:pt idx="2">
                  <c:v>99</c:v>
                </c:pt>
                <c:pt idx="3">
                  <c:v>209</c:v>
                </c:pt>
              </c:numCache>
            </c:numRef>
          </c:val>
          <c:extLst>
            <c:ext xmlns:c16="http://schemas.microsoft.com/office/drawing/2014/chart" uri="{C3380CC4-5D6E-409C-BE32-E72D297353CC}">
              <c16:uniqueId val="{0000000A-DF6F-40CA-9550-0420D944E3B7}"/>
            </c:ext>
          </c:extLst>
        </c:ser>
        <c:dLbls>
          <c:showLegendKey val="0"/>
          <c:showVal val="0"/>
          <c:showCatName val="0"/>
          <c:showSerName val="0"/>
          <c:showPercent val="0"/>
          <c:showBubbleSize val="0"/>
          <c:showLeaderLines val="0"/>
        </c:dLbls>
      </c:pie3DChart>
      <c:spPr>
        <a:scene3d>
          <a:camera prst="orthographicFront"/>
          <a:lightRig rig="threePt" dir="t"/>
        </a:scene3d>
        <a:sp3d>
          <a:bevelT w="19050"/>
        </a:sp3d>
      </c:spPr>
    </c:plotArea>
    <c:legend>
      <c:legendPos val="b"/>
      <c:layout>
        <c:manualLayout>
          <c:xMode val="edge"/>
          <c:yMode val="edge"/>
          <c:x val="9.4828555270370207E-2"/>
          <c:y val="0.73505351168934085"/>
          <c:w val="0.79518732589644792"/>
          <c:h val="0.25123294464146179"/>
        </c:manualLayout>
      </c:layout>
      <c:overlay val="0"/>
    </c:legend>
    <c:plotVisOnly val="1"/>
    <c:dispBlanksAs val="zero"/>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6B3C42-D0FD-4BAB-9439-F162A1687578}"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sl-SI"/>
        </a:p>
      </dgm:t>
    </dgm:pt>
    <dgm:pt modelId="{CDE4CA33-8EA5-4980-9ED1-453489B7D399}">
      <dgm:prSet phldrT="[Text]" custT="1"/>
      <dgm:spPr/>
      <dgm:t>
        <a:bodyPr/>
        <a:lstStyle/>
        <a:p>
          <a:r>
            <a:rPr lang="sl-SI" sz="1000" b="1"/>
            <a:t>DIREKTOR</a:t>
          </a:r>
        </a:p>
      </dgm:t>
    </dgm:pt>
    <dgm:pt modelId="{99793FAB-E232-473E-938F-BAC2CB13FF92}" type="parTrans" cxnId="{2874B1AB-8448-4832-A134-9AF4C5ACBD0B}">
      <dgm:prSet/>
      <dgm:spPr/>
      <dgm:t>
        <a:bodyPr/>
        <a:lstStyle/>
        <a:p>
          <a:endParaRPr lang="sl-SI"/>
        </a:p>
      </dgm:t>
    </dgm:pt>
    <dgm:pt modelId="{59E7A813-2DC4-4365-A6DB-9E681A43D01C}" type="sibTrans" cxnId="{2874B1AB-8448-4832-A134-9AF4C5ACBD0B}">
      <dgm:prSet/>
      <dgm:spPr/>
      <dgm:t>
        <a:bodyPr/>
        <a:lstStyle/>
        <a:p>
          <a:endParaRPr lang="sl-SI"/>
        </a:p>
      </dgm:t>
    </dgm:pt>
    <dgm:pt modelId="{311B6C3E-60C4-4934-A20C-ECD560C11F20}">
      <dgm:prSet phldrT="[Text]" custT="1"/>
      <dgm:spPr/>
      <dgm:t>
        <a:bodyPr/>
        <a:lstStyle/>
        <a:p>
          <a:r>
            <a:rPr lang="sl-SI" sz="800" b="1"/>
            <a:t>SEKTOR ZA SUMLJIVE TRANSAKCIJE</a:t>
          </a:r>
        </a:p>
      </dgm:t>
    </dgm:pt>
    <dgm:pt modelId="{F1959DAF-0DF0-4135-B182-8E9D47B75FCB}" type="parTrans" cxnId="{9F67A534-56F8-4415-8B3F-6A1278F4AB8C}">
      <dgm:prSet/>
      <dgm:spPr/>
      <dgm:t>
        <a:bodyPr/>
        <a:lstStyle/>
        <a:p>
          <a:endParaRPr lang="sl-SI" b="0"/>
        </a:p>
      </dgm:t>
    </dgm:pt>
    <dgm:pt modelId="{ECBBED83-175B-4EC9-A2F1-1C305DC26738}" type="sibTrans" cxnId="{9F67A534-56F8-4415-8B3F-6A1278F4AB8C}">
      <dgm:prSet/>
      <dgm:spPr/>
      <dgm:t>
        <a:bodyPr/>
        <a:lstStyle/>
        <a:p>
          <a:endParaRPr lang="sl-SI"/>
        </a:p>
      </dgm:t>
    </dgm:pt>
    <dgm:pt modelId="{0C20F1BF-3D17-4C8A-91CC-343CF49568C7}">
      <dgm:prSet phldrT="[Text]" custT="1"/>
      <dgm:spPr/>
      <dgm:t>
        <a:bodyPr/>
        <a:lstStyle/>
        <a:p>
          <a:r>
            <a:rPr lang="sl-SI" sz="800" b="1"/>
            <a:t>SEKTOR ZA PREVENTIVO IN NADZOR</a:t>
          </a:r>
        </a:p>
      </dgm:t>
    </dgm:pt>
    <dgm:pt modelId="{CB0F33CE-976F-4837-87C9-C4BBA799B157}" type="parTrans" cxnId="{3FF16DB8-CF95-45EF-871E-A5EE5AFCD873}">
      <dgm:prSet/>
      <dgm:spPr/>
      <dgm:t>
        <a:bodyPr/>
        <a:lstStyle/>
        <a:p>
          <a:endParaRPr lang="sl-SI" b="0"/>
        </a:p>
      </dgm:t>
    </dgm:pt>
    <dgm:pt modelId="{BB270D74-134B-40E1-935C-FA367FBC6CE8}" type="sibTrans" cxnId="{3FF16DB8-CF95-45EF-871E-A5EE5AFCD873}">
      <dgm:prSet/>
      <dgm:spPr/>
      <dgm:t>
        <a:bodyPr/>
        <a:lstStyle/>
        <a:p>
          <a:endParaRPr lang="sl-SI"/>
        </a:p>
      </dgm:t>
    </dgm:pt>
    <dgm:pt modelId="{249CA9CE-C9D9-45CE-A335-AD34F38DB868}">
      <dgm:prSet phldrT="[Text]" custT="1"/>
      <dgm:spPr/>
      <dgm:t>
        <a:bodyPr/>
        <a:lstStyle/>
        <a:p>
          <a:r>
            <a:rPr lang="sl-SI" sz="800" b="1"/>
            <a:t>SLUŽBA ZA MEDNARODNO SODELOVANJE</a:t>
          </a:r>
        </a:p>
      </dgm:t>
    </dgm:pt>
    <dgm:pt modelId="{4692CD74-0415-4F5E-A7E2-21CDFDD353F2}" type="parTrans" cxnId="{CAC25538-1E29-4E44-BDC7-796FAB24CFCA}">
      <dgm:prSet/>
      <dgm:spPr/>
      <dgm:t>
        <a:bodyPr/>
        <a:lstStyle/>
        <a:p>
          <a:endParaRPr lang="sl-SI" b="0"/>
        </a:p>
      </dgm:t>
    </dgm:pt>
    <dgm:pt modelId="{F5EBA827-153C-4485-B03E-9010AE16809D}" type="sibTrans" cxnId="{CAC25538-1E29-4E44-BDC7-796FAB24CFCA}">
      <dgm:prSet/>
      <dgm:spPr/>
      <dgm:t>
        <a:bodyPr/>
        <a:lstStyle/>
        <a:p>
          <a:endParaRPr lang="sl-SI"/>
        </a:p>
      </dgm:t>
    </dgm:pt>
    <dgm:pt modelId="{4BF0A014-8141-4975-AC17-2EF16B692119}">
      <dgm:prSet phldrT="[Text]" custT="1"/>
      <dgm:spPr/>
      <dgm:t>
        <a:bodyPr/>
        <a:lstStyle/>
        <a:p>
          <a:r>
            <a:rPr lang="sl-SI" sz="800" b="1"/>
            <a:t>SLUŽBA ZA INFORMATIKO</a:t>
          </a:r>
        </a:p>
      </dgm:t>
    </dgm:pt>
    <dgm:pt modelId="{443868E1-E8F8-442D-B53D-CDE76E088A2B}" type="parTrans" cxnId="{A465DD04-0038-43E3-909E-221A647AC077}">
      <dgm:prSet/>
      <dgm:spPr/>
      <dgm:t>
        <a:bodyPr/>
        <a:lstStyle/>
        <a:p>
          <a:endParaRPr lang="sl-SI" b="0"/>
        </a:p>
      </dgm:t>
    </dgm:pt>
    <dgm:pt modelId="{E24AFDE9-420A-410A-848E-B5BC45CE69D6}" type="sibTrans" cxnId="{A465DD04-0038-43E3-909E-221A647AC077}">
      <dgm:prSet/>
      <dgm:spPr/>
      <dgm:t>
        <a:bodyPr/>
        <a:lstStyle/>
        <a:p>
          <a:endParaRPr lang="sl-SI"/>
        </a:p>
      </dgm:t>
    </dgm:pt>
    <dgm:pt modelId="{9A6EFD06-5E70-4414-9E7A-13E097EB9FBD}" type="pres">
      <dgm:prSet presAssocID="{586B3C42-D0FD-4BAB-9439-F162A1687578}" presName="Name0" presStyleCnt="0">
        <dgm:presLayoutVars>
          <dgm:orgChart val="1"/>
          <dgm:chPref val="1"/>
          <dgm:dir/>
          <dgm:animOne val="branch"/>
          <dgm:animLvl val="lvl"/>
          <dgm:resizeHandles/>
        </dgm:presLayoutVars>
      </dgm:prSet>
      <dgm:spPr/>
    </dgm:pt>
    <dgm:pt modelId="{DECADFE4-25A8-49ED-91A3-030077173DCE}" type="pres">
      <dgm:prSet presAssocID="{CDE4CA33-8EA5-4980-9ED1-453489B7D399}" presName="hierRoot1" presStyleCnt="0">
        <dgm:presLayoutVars>
          <dgm:hierBranch val="init"/>
        </dgm:presLayoutVars>
      </dgm:prSet>
      <dgm:spPr/>
    </dgm:pt>
    <dgm:pt modelId="{52654B0D-ABA1-4AF8-9839-035B0D26C8BB}" type="pres">
      <dgm:prSet presAssocID="{CDE4CA33-8EA5-4980-9ED1-453489B7D399}" presName="rootComposite1" presStyleCnt="0"/>
      <dgm:spPr/>
    </dgm:pt>
    <dgm:pt modelId="{B4742C4B-A65C-4DCB-B16B-34A8DF18730E}" type="pres">
      <dgm:prSet presAssocID="{CDE4CA33-8EA5-4980-9ED1-453489B7D399}" presName="rootText1" presStyleLbl="alignAcc1" presStyleIdx="0" presStyleCnt="0">
        <dgm:presLayoutVars>
          <dgm:chPref val="3"/>
        </dgm:presLayoutVars>
      </dgm:prSet>
      <dgm:spPr/>
    </dgm:pt>
    <dgm:pt modelId="{89FF2299-6AC0-4292-8584-A89D7238261D}" type="pres">
      <dgm:prSet presAssocID="{CDE4CA33-8EA5-4980-9ED1-453489B7D399}" presName="topArc1" presStyleLbl="parChTrans1D1" presStyleIdx="0" presStyleCnt="10"/>
      <dgm:spPr/>
    </dgm:pt>
    <dgm:pt modelId="{AC0631C7-35F8-4A3D-B8D7-87B8B0D6DE36}" type="pres">
      <dgm:prSet presAssocID="{CDE4CA33-8EA5-4980-9ED1-453489B7D399}" presName="bottomArc1" presStyleLbl="parChTrans1D1" presStyleIdx="1" presStyleCnt="10"/>
      <dgm:spPr/>
    </dgm:pt>
    <dgm:pt modelId="{909D8165-4F39-414B-9539-3ADFE1EE4EAE}" type="pres">
      <dgm:prSet presAssocID="{CDE4CA33-8EA5-4980-9ED1-453489B7D399}" presName="topConnNode1" presStyleLbl="node1" presStyleIdx="0" presStyleCnt="0"/>
      <dgm:spPr/>
    </dgm:pt>
    <dgm:pt modelId="{CC44DECE-84C2-4B46-8066-BA46CD8F4600}" type="pres">
      <dgm:prSet presAssocID="{CDE4CA33-8EA5-4980-9ED1-453489B7D399}" presName="hierChild2" presStyleCnt="0"/>
      <dgm:spPr/>
    </dgm:pt>
    <dgm:pt modelId="{AB59D8AC-33B6-40C2-9301-0A86DA67EF89}" type="pres">
      <dgm:prSet presAssocID="{F1959DAF-0DF0-4135-B182-8E9D47B75FCB}" presName="Name28" presStyleLbl="parChTrans1D2" presStyleIdx="0" presStyleCnt="4"/>
      <dgm:spPr/>
    </dgm:pt>
    <dgm:pt modelId="{F421A3CC-DA5E-4CD4-8EBA-D6FCA300C9AE}" type="pres">
      <dgm:prSet presAssocID="{311B6C3E-60C4-4934-A20C-ECD560C11F20}" presName="hierRoot2" presStyleCnt="0">
        <dgm:presLayoutVars>
          <dgm:hierBranch val="init"/>
        </dgm:presLayoutVars>
      </dgm:prSet>
      <dgm:spPr/>
    </dgm:pt>
    <dgm:pt modelId="{225A1115-C295-4337-96D3-5DAC09139958}" type="pres">
      <dgm:prSet presAssocID="{311B6C3E-60C4-4934-A20C-ECD560C11F20}" presName="rootComposite2" presStyleCnt="0"/>
      <dgm:spPr/>
    </dgm:pt>
    <dgm:pt modelId="{A2CD6238-78BD-4C91-86A0-227CAC74E8B5}" type="pres">
      <dgm:prSet presAssocID="{311B6C3E-60C4-4934-A20C-ECD560C11F20}" presName="rootText2" presStyleLbl="alignAcc1" presStyleIdx="0" presStyleCnt="0">
        <dgm:presLayoutVars>
          <dgm:chPref val="3"/>
        </dgm:presLayoutVars>
      </dgm:prSet>
      <dgm:spPr/>
    </dgm:pt>
    <dgm:pt modelId="{B12B5010-E99B-44B9-A108-5CCDBBBEFCB8}" type="pres">
      <dgm:prSet presAssocID="{311B6C3E-60C4-4934-A20C-ECD560C11F20}" presName="topArc2" presStyleLbl="parChTrans1D1" presStyleIdx="2" presStyleCnt="10"/>
      <dgm:spPr/>
    </dgm:pt>
    <dgm:pt modelId="{1EE720A8-E4E5-4169-8B28-1296A4CF8F75}" type="pres">
      <dgm:prSet presAssocID="{311B6C3E-60C4-4934-A20C-ECD560C11F20}" presName="bottomArc2" presStyleLbl="parChTrans1D1" presStyleIdx="3" presStyleCnt="10"/>
      <dgm:spPr/>
    </dgm:pt>
    <dgm:pt modelId="{7002F0EE-CD2D-4146-9272-103C0FE26036}" type="pres">
      <dgm:prSet presAssocID="{311B6C3E-60C4-4934-A20C-ECD560C11F20}" presName="topConnNode2" presStyleLbl="node2" presStyleIdx="0" presStyleCnt="0"/>
      <dgm:spPr/>
    </dgm:pt>
    <dgm:pt modelId="{03931ADF-3689-4490-8167-F27ECE77B149}" type="pres">
      <dgm:prSet presAssocID="{311B6C3E-60C4-4934-A20C-ECD560C11F20}" presName="hierChild4" presStyleCnt="0"/>
      <dgm:spPr/>
    </dgm:pt>
    <dgm:pt modelId="{E2A0F4AE-CC20-4747-93AA-F6F1FEFC1EDD}" type="pres">
      <dgm:prSet presAssocID="{311B6C3E-60C4-4934-A20C-ECD560C11F20}" presName="hierChild5" presStyleCnt="0"/>
      <dgm:spPr/>
    </dgm:pt>
    <dgm:pt modelId="{8C0D33F4-096E-4B57-857E-B2915471ECDD}" type="pres">
      <dgm:prSet presAssocID="{443868E1-E8F8-442D-B53D-CDE76E088A2B}" presName="Name28" presStyleLbl="parChTrans1D2" presStyleIdx="1" presStyleCnt="4"/>
      <dgm:spPr/>
    </dgm:pt>
    <dgm:pt modelId="{CC385E24-2B51-4A0A-884B-93D7778248BD}" type="pres">
      <dgm:prSet presAssocID="{4BF0A014-8141-4975-AC17-2EF16B692119}" presName="hierRoot2" presStyleCnt="0">
        <dgm:presLayoutVars>
          <dgm:hierBranch val="init"/>
        </dgm:presLayoutVars>
      </dgm:prSet>
      <dgm:spPr/>
    </dgm:pt>
    <dgm:pt modelId="{676E05F2-1A31-4E76-B891-A0CC583C1BD8}" type="pres">
      <dgm:prSet presAssocID="{4BF0A014-8141-4975-AC17-2EF16B692119}" presName="rootComposite2" presStyleCnt="0"/>
      <dgm:spPr/>
    </dgm:pt>
    <dgm:pt modelId="{71C8070B-1933-4432-A85B-AE01B4CD7DE2}" type="pres">
      <dgm:prSet presAssocID="{4BF0A014-8141-4975-AC17-2EF16B692119}" presName="rootText2" presStyleLbl="alignAcc1" presStyleIdx="0" presStyleCnt="0">
        <dgm:presLayoutVars>
          <dgm:chPref val="3"/>
        </dgm:presLayoutVars>
      </dgm:prSet>
      <dgm:spPr/>
    </dgm:pt>
    <dgm:pt modelId="{FFDC9E2E-C025-4AD9-82CE-9A4496993C83}" type="pres">
      <dgm:prSet presAssocID="{4BF0A014-8141-4975-AC17-2EF16B692119}" presName="topArc2" presStyleLbl="parChTrans1D1" presStyleIdx="4" presStyleCnt="10"/>
      <dgm:spPr/>
    </dgm:pt>
    <dgm:pt modelId="{D3EE6E33-62E1-4DFD-845E-F193507C5B22}" type="pres">
      <dgm:prSet presAssocID="{4BF0A014-8141-4975-AC17-2EF16B692119}" presName="bottomArc2" presStyleLbl="parChTrans1D1" presStyleIdx="5" presStyleCnt="10"/>
      <dgm:spPr/>
    </dgm:pt>
    <dgm:pt modelId="{4FD6C512-DC8C-446D-9764-D964E5E4CD79}" type="pres">
      <dgm:prSet presAssocID="{4BF0A014-8141-4975-AC17-2EF16B692119}" presName="topConnNode2" presStyleLbl="node2" presStyleIdx="0" presStyleCnt="0"/>
      <dgm:spPr/>
    </dgm:pt>
    <dgm:pt modelId="{AF568089-8BF5-41D3-A5F4-680961FE5F96}" type="pres">
      <dgm:prSet presAssocID="{4BF0A014-8141-4975-AC17-2EF16B692119}" presName="hierChild4" presStyleCnt="0"/>
      <dgm:spPr/>
    </dgm:pt>
    <dgm:pt modelId="{1DA98468-3BE3-46FE-A4A9-A54D0C45ACF5}" type="pres">
      <dgm:prSet presAssocID="{4BF0A014-8141-4975-AC17-2EF16B692119}" presName="hierChild5" presStyleCnt="0"/>
      <dgm:spPr/>
    </dgm:pt>
    <dgm:pt modelId="{D6C8C6B8-456B-400F-A999-322440FEF290}" type="pres">
      <dgm:prSet presAssocID="{CB0F33CE-976F-4837-87C9-C4BBA799B157}" presName="Name28" presStyleLbl="parChTrans1D2" presStyleIdx="2" presStyleCnt="4"/>
      <dgm:spPr/>
    </dgm:pt>
    <dgm:pt modelId="{43964349-7666-4B68-B452-8873E49B7FD0}" type="pres">
      <dgm:prSet presAssocID="{0C20F1BF-3D17-4C8A-91CC-343CF49568C7}" presName="hierRoot2" presStyleCnt="0">
        <dgm:presLayoutVars>
          <dgm:hierBranch val="init"/>
        </dgm:presLayoutVars>
      </dgm:prSet>
      <dgm:spPr/>
    </dgm:pt>
    <dgm:pt modelId="{163C923F-AC00-4F1C-B3A4-C0BF8FEF63BC}" type="pres">
      <dgm:prSet presAssocID="{0C20F1BF-3D17-4C8A-91CC-343CF49568C7}" presName="rootComposite2" presStyleCnt="0"/>
      <dgm:spPr/>
    </dgm:pt>
    <dgm:pt modelId="{88E8CCEC-84EC-4BBE-8F63-D1DA122C5796}" type="pres">
      <dgm:prSet presAssocID="{0C20F1BF-3D17-4C8A-91CC-343CF49568C7}" presName="rootText2" presStyleLbl="alignAcc1" presStyleIdx="0" presStyleCnt="0">
        <dgm:presLayoutVars>
          <dgm:chPref val="3"/>
        </dgm:presLayoutVars>
      </dgm:prSet>
      <dgm:spPr/>
    </dgm:pt>
    <dgm:pt modelId="{977B03E0-9D03-4D5E-9077-07B68974972D}" type="pres">
      <dgm:prSet presAssocID="{0C20F1BF-3D17-4C8A-91CC-343CF49568C7}" presName="topArc2" presStyleLbl="parChTrans1D1" presStyleIdx="6" presStyleCnt="10"/>
      <dgm:spPr/>
    </dgm:pt>
    <dgm:pt modelId="{BA54CAA8-7A6C-48EF-BD3C-8DA5A2A14DAF}" type="pres">
      <dgm:prSet presAssocID="{0C20F1BF-3D17-4C8A-91CC-343CF49568C7}" presName="bottomArc2" presStyleLbl="parChTrans1D1" presStyleIdx="7" presStyleCnt="10"/>
      <dgm:spPr/>
    </dgm:pt>
    <dgm:pt modelId="{F00D0365-0A2C-4507-96AA-B9B28EDB2B97}" type="pres">
      <dgm:prSet presAssocID="{0C20F1BF-3D17-4C8A-91CC-343CF49568C7}" presName="topConnNode2" presStyleLbl="node2" presStyleIdx="0" presStyleCnt="0"/>
      <dgm:spPr/>
    </dgm:pt>
    <dgm:pt modelId="{E96BD19B-FAE6-4826-AE15-1F7BC67F5840}" type="pres">
      <dgm:prSet presAssocID="{0C20F1BF-3D17-4C8A-91CC-343CF49568C7}" presName="hierChild4" presStyleCnt="0"/>
      <dgm:spPr/>
    </dgm:pt>
    <dgm:pt modelId="{792F925A-644C-40E1-8D06-8123E271A0EA}" type="pres">
      <dgm:prSet presAssocID="{0C20F1BF-3D17-4C8A-91CC-343CF49568C7}" presName="hierChild5" presStyleCnt="0"/>
      <dgm:spPr/>
    </dgm:pt>
    <dgm:pt modelId="{4F795862-97FF-4477-B81B-B4932C61764E}" type="pres">
      <dgm:prSet presAssocID="{4692CD74-0415-4F5E-A7E2-21CDFDD353F2}" presName="Name28" presStyleLbl="parChTrans1D2" presStyleIdx="3" presStyleCnt="4"/>
      <dgm:spPr/>
    </dgm:pt>
    <dgm:pt modelId="{58DEF64C-CD76-4772-B952-1E288D03C727}" type="pres">
      <dgm:prSet presAssocID="{249CA9CE-C9D9-45CE-A335-AD34F38DB868}" presName="hierRoot2" presStyleCnt="0">
        <dgm:presLayoutVars>
          <dgm:hierBranch val="init"/>
        </dgm:presLayoutVars>
      </dgm:prSet>
      <dgm:spPr/>
    </dgm:pt>
    <dgm:pt modelId="{4274837B-D995-4817-9F11-7A33367B8898}" type="pres">
      <dgm:prSet presAssocID="{249CA9CE-C9D9-45CE-A335-AD34F38DB868}" presName="rootComposite2" presStyleCnt="0"/>
      <dgm:spPr/>
    </dgm:pt>
    <dgm:pt modelId="{C535637B-1D35-4FBA-A113-2AD0FE000BCC}" type="pres">
      <dgm:prSet presAssocID="{249CA9CE-C9D9-45CE-A335-AD34F38DB868}" presName="rootText2" presStyleLbl="alignAcc1" presStyleIdx="0" presStyleCnt="0">
        <dgm:presLayoutVars>
          <dgm:chPref val="3"/>
        </dgm:presLayoutVars>
      </dgm:prSet>
      <dgm:spPr/>
    </dgm:pt>
    <dgm:pt modelId="{F977E331-E17F-4656-811D-2C119392F4D5}" type="pres">
      <dgm:prSet presAssocID="{249CA9CE-C9D9-45CE-A335-AD34F38DB868}" presName="topArc2" presStyleLbl="parChTrans1D1" presStyleIdx="8" presStyleCnt="10"/>
      <dgm:spPr/>
    </dgm:pt>
    <dgm:pt modelId="{4E93D696-6190-4231-97C2-377FBB882BEF}" type="pres">
      <dgm:prSet presAssocID="{249CA9CE-C9D9-45CE-A335-AD34F38DB868}" presName="bottomArc2" presStyleLbl="parChTrans1D1" presStyleIdx="9" presStyleCnt="10"/>
      <dgm:spPr/>
    </dgm:pt>
    <dgm:pt modelId="{F5A56DDE-D6ED-4EB0-B305-E30D4698CD76}" type="pres">
      <dgm:prSet presAssocID="{249CA9CE-C9D9-45CE-A335-AD34F38DB868}" presName="topConnNode2" presStyleLbl="node2" presStyleIdx="0" presStyleCnt="0"/>
      <dgm:spPr/>
    </dgm:pt>
    <dgm:pt modelId="{ED7C3EBD-2507-470E-A77F-D46B116FA544}" type="pres">
      <dgm:prSet presAssocID="{249CA9CE-C9D9-45CE-A335-AD34F38DB868}" presName="hierChild4" presStyleCnt="0"/>
      <dgm:spPr/>
    </dgm:pt>
    <dgm:pt modelId="{5F3FA1FC-973D-46E9-9A42-B746EB624EEA}" type="pres">
      <dgm:prSet presAssocID="{249CA9CE-C9D9-45CE-A335-AD34F38DB868}" presName="hierChild5" presStyleCnt="0"/>
      <dgm:spPr/>
    </dgm:pt>
    <dgm:pt modelId="{8C481AD6-F256-40E6-A075-AFF9F65B0F80}" type="pres">
      <dgm:prSet presAssocID="{CDE4CA33-8EA5-4980-9ED1-453489B7D399}" presName="hierChild3" presStyleCnt="0"/>
      <dgm:spPr/>
    </dgm:pt>
  </dgm:ptLst>
  <dgm:cxnLst>
    <dgm:cxn modelId="{A465DD04-0038-43E3-909E-221A647AC077}" srcId="{CDE4CA33-8EA5-4980-9ED1-453489B7D399}" destId="{4BF0A014-8141-4975-AC17-2EF16B692119}" srcOrd="1" destOrd="0" parTransId="{443868E1-E8F8-442D-B53D-CDE76E088A2B}" sibTransId="{E24AFDE9-420A-410A-848E-B5BC45CE69D6}"/>
    <dgm:cxn modelId="{BCBF6706-ACCC-49DF-B732-06E9B3964409}" type="presOf" srcId="{249CA9CE-C9D9-45CE-A335-AD34F38DB868}" destId="{C535637B-1D35-4FBA-A113-2AD0FE000BCC}" srcOrd="0" destOrd="0" presId="urn:microsoft.com/office/officeart/2008/layout/HalfCircleOrganizationChart"/>
    <dgm:cxn modelId="{ED37C709-D3BB-43B8-BFF2-4AD1B51D9E2B}" type="presOf" srcId="{249CA9CE-C9D9-45CE-A335-AD34F38DB868}" destId="{F5A56DDE-D6ED-4EB0-B305-E30D4698CD76}" srcOrd="1" destOrd="0" presId="urn:microsoft.com/office/officeart/2008/layout/HalfCircleOrganizationChart"/>
    <dgm:cxn modelId="{6B0A7E0C-7AF4-4A7D-9FCF-DF8728BCA0FF}" type="presOf" srcId="{311B6C3E-60C4-4934-A20C-ECD560C11F20}" destId="{7002F0EE-CD2D-4146-9272-103C0FE26036}" srcOrd="1" destOrd="0" presId="urn:microsoft.com/office/officeart/2008/layout/HalfCircleOrganizationChart"/>
    <dgm:cxn modelId="{28440C0D-1A0F-424F-8D6B-815D49AAED96}" type="presOf" srcId="{4BF0A014-8141-4975-AC17-2EF16B692119}" destId="{71C8070B-1933-4432-A85B-AE01B4CD7DE2}" srcOrd="0" destOrd="0" presId="urn:microsoft.com/office/officeart/2008/layout/HalfCircleOrganizationChart"/>
    <dgm:cxn modelId="{78603C10-0BCA-45FE-B55A-3FC4E19FBA21}" type="presOf" srcId="{311B6C3E-60C4-4934-A20C-ECD560C11F20}" destId="{A2CD6238-78BD-4C91-86A0-227CAC74E8B5}" srcOrd="0" destOrd="0" presId="urn:microsoft.com/office/officeart/2008/layout/HalfCircleOrganizationChart"/>
    <dgm:cxn modelId="{9F69AD22-D8D4-4546-8789-750BCE8341D7}" type="presOf" srcId="{CDE4CA33-8EA5-4980-9ED1-453489B7D399}" destId="{B4742C4B-A65C-4DCB-B16B-34A8DF18730E}" srcOrd="0" destOrd="0" presId="urn:microsoft.com/office/officeart/2008/layout/HalfCircleOrganizationChart"/>
    <dgm:cxn modelId="{89BCFE22-AD34-41C7-B116-C36B29DC9F73}" type="presOf" srcId="{CB0F33CE-976F-4837-87C9-C4BBA799B157}" destId="{D6C8C6B8-456B-400F-A999-322440FEF290}" srcOrd="0" destOrd="0" presId="urn:microsoft.com/office/officeart/2008/layout/HalfCircleOrganizationChart"/>
    <dgm:cxn modelId="{9B6E2E30-C083-424A-90E8-70CD5137E14E}" type="presOf" srcId="{443868E1-E8F8-442D-B53D-CDE76E088A2B}" destId="{8C0D33F4-096E-4B57-857E-B2915471ECDD}" srcOrd="0" destOrd="0" presId="urn:microsoft.com/office/officeart/2008/layout/HalfCircleOrganizationChart"/>
    <dgm:cxn modelId="{9F67A534-56F8-4415-8B3F-6A1278F4AB8C}" srcId="{CDE4CA33-8EA5-4980-9ED1-453489B7D399}" destId="{311B6C3E-60C4-4934-A20C-ECD560C11F20}" srcOrd="0" destOrd="0" parTransId="{F1959DAF-0DF0-4135-B182-8E9D47B75FCB}" sibTransId="{ECBBED83-175B-4EC9-A2F1-1C305DC26738}"/>
    <dgm:cxn modelId="{CAC25538-1E29-4E44-BDC7-796FAB24CFCA}" srcId="{CDE4CA33-8EA5-4980-9ED1-453489B7D399}" destId="{249CA9CE-C9D9-45CE-A335-AD34F38DB868}" srcOrd="3" destOrd="0" parTransId="{4692CD74-0415-4F5E-A7E2-21CDFDD353F2}" sibTransId="{F5EBA827-153C-4485-B03E-9010AE16809D}"/>
    <dgm:cxn modelId="{2954C049-F8B5-4119-8194-52B3056B03CC}" type="presOf" srcId="{0C20F1BF-3D17-4C8A-91CC-343CF49568C7}" destId="{88E8CCEC-84EC-4BBE-8F63-D1DA122C5796}" srcOrd="0" destOrd="0" presId="urn:microsoft.com/office/officeart/2008/layout/HalfCircleOrganizationChart"/>
    <dgm:cxn modelId="{8680267F-39BE-4D22-BADB-CB18CCD38D6C}" type="presOf" srcId="{586B3C42-D0FD-4BAB-9439-F162A1687578}" destId="{9A6EFD06-5E70-4414-9E7A-13E097EB9FBD}" srcOrd="0" destOrd="0" presId="urn:microsoft.com/office/officeart/2008/layout/HalfCircleOrganizationChart"/>
    <dgm:cxn modelId="{57AC20A1-E298-4E47-9F81-5EC34667B18B}" type="presOf" srcId="{F1959DAF-0DF0-4135-B182-8E9D47B75FCB}" destId="{AB59D8AC-33B6-40C2-9301-0A86DA67EF89}" srcOrd="0" destOrd="0" presId="urn:microsoft.com/office/officeart/2008/layout/HalfCircleOrganizationChart"/>
    <dgm:cxn modelId="{2874B1AB-8448-4832-A134-9AF4C5ACBD0B}" srcId="{586B3C42-D0FD-4BAB-9439-F162A1687578}" destId="{CDE4CA33-8EA5-4980-9ED1-453489B7D399}" srcOrd="0" destOrd="0" parTransId="{99793FAB-E232-473E-938F-BAC2CB13FF92}" sibTransId="{59E7A813-2DC4-4365-A6DB-9E681A43D01C}"/>
    <dgm:cxn modelId="{3FF16DB8-CF95-45EF-871E-A5EE5AFCD873}" srcId="{CDE4CA33-8EA5-4980-9ED1-453489B7D399}" destId="{0C20F1BF-3D17-4C8A-91CC-343CF49568C7}" srcOrd="2" destOrd="0" parTransId="{CB0F33CE-976F-4837-87C9-C4BBA799B157}" sibTransId="{BB270D74-134B-40E1-935C-FA367FBC6CE8}"/>
    <dgm:cxn modelId="{3BB353D2-1F29-4325-90C3-CF81DCE523AE}" type="presOf" srcId="{CDE4CA33-8EA5-4980-9ED1-453489B7D399}" destId="{909D8165-4F39-414B-9539-3ADFE1EE4EAE}" srcOrd="1" destOrd="0" presId="urn:microsoft.com/office/officeart/2008/layout/HalfCircleOrganizationChart"/>
    <dgm:cxn modelId="{A25ECDE6-ED01-498E-8DD9-4C53B36F2261}" type="presOf" srcId="{0C20F1BF-3D17-4C8A-91CC-343CF49568C7}" destId="{F00D0365-0A2C-4507-96AA-B9B28EDB2B97}" srcOrd="1" destOrd="0" presId="urn:microsoft.com/office/officeart/2008/layout/HalfCircleOrganizationChart"/>
    <dgm:cxn modelId="{354376ED-9196-46AD-93CF-A825988E71FD}" type="presOf" srcId="{4BF0A014-8141-4975-AC17-2EF16B692119}" destId="{4FD6C512-DC8C-446D-9764-D964E5E4CD79}" srcOrd="1" destOrd="0" presId="urn:microsoft.com/office/officeart/2008/layout/HalfCircleOrganizationChart"/>
    <dgm:cxn modelId="{6C21E3ED-5386-4FB9-B379-24C8C85B751F}" type="presOf" srcId="{4692CD74-0415-4F5E-A7E2-21CDFDD353F2}" destId="{4F795862-97FF-4477-B81B-B4932C61764E}" srcOrd="0" destOrd="0" presId="urn:microsoft.com/office/officeart/2008/layout/HalfCircleOrganizationChart"/>
    <dgm:cxn modelId="{A296D59E-C20A-4E69-9B5A-4E490008E0AF}" type="presParOf" srcId="{9A6EFD06-5E70-4414-9E7A-13E097EB9FBD}" destId="{DECADFE4-25A8-49ED-91A3-030077173DCE}" srcOrd="0" destOrd="0" presId="urn:microsoft.com/office/officeart/2008/layout/HalfCircleOrganizationChart"/>
    <dgm:cxn modelId="{3D27B4D5-CCAA-4067-8207-8FF43673F561}" type="presParOf" srcId="{DECADFE4-25A8-49ED-91A3-030077173DCE}" destId="{52654B0D-ABA1-4AF8-9839-035B0D26C8BB}" srcOrd="0" destOrd="0" presId="urn:microsoft.com/office/officeart/2008/layout/HalfCircleOrganizationChart"/>
    <dgm:cxn modelId="{65998E34-548E-405D-851E-CBF5E15F0D44}" type="presParOf" srcId="{52654B0D-ABA1-4AF8-9839-035B0D26C8BB}" destId="{B4742C4B-A65C-4DCB-B16B-34A8DF18730E}" srcOrd="0" destOrd="0" presId="urn:microsoft.com/office/officeart/2008/layout/HalfCircleOrganizationChart"/>
    <dgm:cxn modelId="{FCE9A06E-9C90-43D0-B8CB-7B2299ECD530}" type="presParOf" srcId="{52654B0D-ABA1-4AF8-9839-035B0D26C8BB}" destId="{89FF2299-6AC0-4292-8584-A89D7238261D}" srcOrd="1" destOrd="0" presId="urn:microsoft.com/office/officeart/2008/layout/HalfCircleOrganizationChart"/>
    <dgm:cxn modelId="{00C63503-9FC5-4892-A598-0EEC907B827F}" type="presParOf" srcId="{52654B0D-ABA1-4AF8-9839-035B0D26C8BB}" destId="{AC0631C7-35F8-4A3D-B8D7-87B8B0D6DE36}" srcOrd="2" destOrd="0" presId="urn:microsoft.com/office/officeart/2008/layout/HalfCircleOrganizationChart"/>
    <dgm:cxn modelId="{83508FCB-BBA7-4252-A8A4-76772260E76B}" type="presParOf" srcId="{52654B0D-ABA1-4AF8-9839-035B0D26C8BB}" destId="{909D8165-4F39-414B-9539-3ADFE1EE4EAE}" srcOrd="3" destOrd="0" presId="urn:microsoft.com/office/officeart/2008/layout/HalfCircleOrganizationChart"/>
    <dgm:cxn modelId="{89196869-BA6E-4C5C-89EC-FC337C42C2A3}" type="presParOf" srcId="{DECADFE4-25A8-49ED-91A3-030077173DCE}" destId="{CC44DECE-84C2-4B46-8066-BA46CD8F4600}" srcOrd="1" destOrd="0" presId="urn:microsoft.com/office/officeart/2008/layout/HalfCircleOrganizationChart"/>
    <dgm:cxn modelId="{E1247CDA-236A-47B2-90FF-3151C4B474FA}" type="presParOf" srcId="{CC44DECE-84C2-4B46-8066-BA46CD8F4600}" destId="{AB59D8AC-33B6-40C2-9301-0A86DA67EF89}" srcOrd="0" destOrd="0" presId="urn:microsoft.com/office/officeart/2008/layout/HalfCircleOrganizationChart"/>
    <dgm:cxn modelId="{B36230DE-A692-49A9-98A7-55E7994ECE2B}" type="presParOf" srcId="{CC44DECE-84C2-4B46-8066-BA46CD8F4600}" destId="{F421A3CC-DA5E-4CD4-8EBA-D6FCA300C9AE}" srcOrd="1" destOrd="0" presId="urn:microsoft.com/office/officeart/2008/layout/HalfCircleOrganizationChart"/>
    <dgm:cxn modelId="{3BF86DA4-0F9B-4124-9812-3C77CA4E6DDD}" type="presParOf" srcId="{F421A3CC-DA5E-4CD4-8EBA-D6FCA300C9AE}" destId="{225A1115-C295-4337-96D3-5DAC09139958}" srcOrd="0" destOrd="0" presId="urn:microsoft.com/office/officeart/2008/layout/HalfCircleOrganizationChart"/>
    <dgm:cxn modelId="{9EF58EDB-840D-4633-AD62-FFCD35E5F6D1}" type="presParOf" srcId="{225A1115-C295-4337-96D3-5DAC09139958}" destId="{A2CD6238-78BD-4C91-86A0-227CAC74E8B5}" srcOrd="0" destOrd="0" presId="urn:microsoft.com/office/officeart/2008/layout/HalfCircleOrganizationChart"/>
    <dgm:cxn modelId="{C35D894C-C827-4167-8F39-B0ADA0986791}" type="presParOf" srcId="{225A1115-C295-4337-96D3-5DAC09139958}" destId="{B12B5010-E99B-44B9-A108-5CCDBBBEFCB8}" srcOrd="1" destOrd="0" presId="urn:microsoft.com/office/officeart/2008/layout/HalfCircleOrganizationChart"/>
    <dgm:cxn modelId="{55F9E9DD-21B7-4C83-AC10-73DADACC76C3}" type="presParOf" srcId="{225A1115-C295-4337-96D3-5DAC09139958}" destId="{1EE720A8-E4E5-4169-8B28-1296A4CF8F75}" srcOrd="2" destOrd="0" presId="urn:microsoft.com/office/officeart/2008/layout/HalfCircleOrganizationChart"/>
    <dgm:cxn modelId="{2DA19548-DB9E-4367-AC18-C0A555EF5BD7}" type="presParOf" srcId="{225A1115-C295-4337-96D3-5DAC09139958}" destId="{7002F0EE-CD2D-4146-9272-103C0FE26036}" srcOrd="3" destOrd="0" presId="urn:microsoft.com/office/officeart/2008/layout/HalfCircleOrganizationChart"/>
    <dgm:cxn modelId="{8DA7654B-2677-4D6A-9C6E-9A3EB75975F2}" type="presParOf" srcId="{F421A3CC-DA5E-4CD4-8EBA-D6FCA300C9AE}" destId="{03931ADF-3689-4490-8167-F27ECE77B149}" srcOrd="1" destOrd="0" presId="urn:microsoft.com/office/officeart/2008/layout/HalfCircleOrganizationChart"/>
    <dgm:cxn modelId="{870CC40E-03A0-48B8-ACB2-61139FD19B43}" type="presParOf" srcId="{F421A3CC-DA5E-4CD4-8EBA-D6FCA300C9AE}" destId="{E2A0F4AE-CC20-4747-93AA-F6F1FEFC1EDD}" srcOrd="2" destOrd="0" presId="urn:microsoft.com/office/officeart/2008/layout/HalfCircleOrganizationChart"/>
    <dgm:cxn modelId="{3A790001-1E04-46E3-964E-FCC4BFE178CD}" type="presParOf" srcId="{CC44DECE-84C2-4B46-8066-BA46CD8F4600}" destId="{8C0D33F4-096E-4B57-857E-B2915471ECDD}" srcOrd="2" destOrd="0" presId="urn:microsoft.com/office/officeart/2008/layout/HalfCircleOrganizationChart"/>
    <dgm:cxn modelId="{9C4B9D2E-B52D-469A-B022-A6DE6E7F75DA}" type="presParOf" srcId="{CC44DECE-84C2-4B46-8066-BA46CD8F4600}" destId="{CC385E24-2B51-4A0A-884B-93D7778248BD}" srcOrd="3" destOrd="0" presId="urn:microsoft.com/office/officeart/2008/layout/HalfCircleOrganizationChart"/>
    <dgm:cxn modelId="{60DA5C54-DF5A-4C6E-BC80-90AEB7A7DBBE}" type="presParOf" srcId="{CC385E24-2B51-4A0A-884B-93D7778248BD}" destId="{676E05F2-1A31-4E76-B891-A0CC583C1BD8}" srcOrd="0" destOrd="0" presId="urn:microsoft.com/office/officeart/2008/layout/HalfCircleOrganizationChart"/>
    <dgm:cxn modelId="{33FF8AE0-7D29-45C0-B545-16CC274D0C75}" type="presParOf" srcId="{676E05F2-1A31-4E76-B891-A0CC583C1BD8}" destId="{71C8070B-1933-4432-A85B-AE01B4CD7DE2}" srcOrd="0" destOrd="0" presId="urn:microsoft.com/office/officeart/2008/layout/HalfCircleOrganizationChart"/>
    <dgm:cxn modelId="{D01B4EBF-401C-4177-AB2A-80E22FA0C588}" type="presParOf" srcId="{676E05F2-1A31-4E76-B891-A0CC583C1BD8}" destId="{FFDC9E2E-C025-4AD9-82CE-9A4496993C83}" srcOrd="1" destOrd="0" presId="urn:microsoft.com/office/officeart/2008/layout/HalfCircleOrganizationChart"/>
    <dgm:cxn modelId="{DA850875-3031-4021-84D8-A9BCBE43D951}" type="presParOf" srcId="{676E05F2-1A31-4E76-B891-A0CC583C1BD8}" destId="{D3EE6E33-62E1-4DFD-845E-F193507C5B22}" srcOrd="2" destOrd="0" presId="urn:microsoft.com/office/officeart/2008/layout/HalfCircleOrganizationChart"/>
    <dgm:cxn modelId="{46C14549-F0A7-4FFD-9452-8D77963FFBC2}" type="presParOf" srcId="{676E05F2-1A31-4E76-B891-A0CC583C1BD8}" destId="{4FD6C512-DC8C-446D-9764-D964E5E4CD79}" srcOrd="3" destOrd="0" presId="urn:microsoft.com/office/officeart/2008/layout/HalfCircleOrganizationChart"/>
    <dgm:cxn modelId="{9D2E8C11-543D-4C02-BC8F-D3B2D39F6D53}" type="presParOf" srcId="{CC385E24-2B51-4A0A-884B-93D7778248BD}" destId="{AF568089-8BF5-41D3-A5F4-680961FE5F96}" srcOrd="1" destOrd="0" presId="urn:microsoft.com/office/officeart/2008/layout/HalfCircleOrganizationChart"/>
    <dgm:cxn modelId="{E6585356-DF48-4FB5-86AD-14ABE9B207CC}" type="presParOf" srcId="{CC385E24-2B51-4A0A-884B-93D7778248BD}" destId="{1DA98468-3BE3-46FE-A4A9-A54D0C45ACF5}" srcOrd="2" destOrd="0" presId="urn:microsoft.com/office/officeart/2008/layout/HalfCircleOrganizationChart"/>
    <dgm:cxn modelId="{6EA19ACA-E678-4129-A79E-B8544CA84D18}" type="presParOf" srcId="{CC44DECE-84C2-4B46-8066-BA46CD8F4600}" destId="{D6C8C6B8-456B-400F-A999-322440FEF290}" srcOrd="4" destOrd="0" presId="urn:microsoft.com/office/officeart/2008/layout/HalfCircleOrganizationChart"/>
    <dgm:cxn modelId="{3CE99567-708B-42D7-A66B-E11D147BB6AF}" type="presParOf" srcId="{CC44DECE-84C2-4B46-8066-BA46CD8F4600}" destId="{43964349-7666-4B68-B452-8873E49B7FD0}" srcOrd="5" destOrd="0" presId="urn:microsoft.com/office/officeart/2008/layout/HalfCircleOrganizationChart"/>
    <dgm:cxn modelId="{ECA805B2-3C92-4CFE-8DB3-D711BF076FD1}" type="presParOf" srcId="{43964349-7666-4B68-B452-8873E49B7FD0}" destId="{163C923F-AC00-4F1C-B3A4-C0BF8FEF63BC}" srcOrd="0" destOrd="0" presId="urn:microsoft.com/office/officeart/2008/layout/HalfCircleOrganizationChart"/>
    <dgm:cxn modelId="{12A4DD70-4126-4A31-A9FD-4FDF9204CF80}" type="presParOf" srcId="{163C923F-AC00-4F1C-B3A4-C0BF8FEF63BC}" destId="{88E8CCEC-84EC-4BBE-8F63-D1DA122C5796}" srcOrd="0" destOrd="0" presId="urn:microsoft.com/office/officeart/2008/layout/HalfCircleOrganizationChart"/>
    <dgm:cxn modelId="{A3D230F6-FF59-4105-91F1-E31CE4A8B464}" type="presParOf" srcId="{163C923F-AC00-4F1C-B3A4-C0BF8FEF63BC}" destId="{977B03E0-9D03-4D5E-9077-07B68974972D}" srcOrd="1" destOrd="0" presId="urn:microsoft.com/office/officeart/2008/layout/HalfCircleOrganizationChart"/>
    <dgm:cxn modelId="{35514123-42FE-42F7-8CDB-F95F0AF1B82A}" type="presParOf" srcId="{163C923F-AC00-4F1C-B3A4-C0BF8FEF63BC}" destId="{BA54CAA8-7A6C-48EF-BD3C-8DA5A2A14DAF}" srcOrd="2" destOrd="0" presId="urn:microsoft.com/office/officeart/2008/layout/HalfCircleOrganizationChart"/>
    <dgm:cxn modelId="{CA889356-C69B-46DF-A7F8-D5637B7CE060}" type="presParOf" srcId="{163C923F-AC00-4F1C-B3A4-C0BF8FEF63BC}" destId="{F00D0365-0A2C-4507-96AA-B9B28EDB2B97}" srcOrd="3" destOrd="0" presId="urn:microsoft.com/office/officeart/2008/layout/HalfCircleOrganizationChart"/>
    <dgm:cxn modelId="{E06DDF01-E8C3-416D-A0CF-B3DEBFD12CC9}" type="presParOf" srcId="{43964349-7666-4B68-B452-8873E49B7FD0}" destId="{E96BD19B-FAE6-4826-AE15-1F7BC67F5840}" srcOrd="1" destOrd="0" presId="urn:microsoft.com/office/officeart/2008/layout/HalfCircleOrganizationChart"/>
    <dgm:cxn modelId="{D90AD7E4-2241-4A17-A02A-715B8C28B5CF}" type="presParOf" srcId="{43964349-7666-4B68-B452-8873E49B7FD0}" destId="{792F925A-644C-40E1-8D06-8123E271A0EA}" srcOrd="2" destOrd="0" presId="urn:microsoft.com/office/officeart/2008/layout/HalfCircleOrganizationChart"/>
    <dgm:cxn modelId="{37980440-A26C-41E8-885F-95BEE1A52E0C}" type="presParOf" srcId="{CC44DECE-84C2-4B46-8066-BA46CD8F4600}" destId="{4F795862-97FF-4477-B81B-B4932C61764E}" srcOrd="6" destOrd="0" presId="urn:microsoft.com/office/officeart/2008/layout/HalfCircleOrganizationChart"/>
    <dgm:cxn modelId="{137EF5BF-44F6-4603-B354-149A151B66A2}" type="presParOf" srcId="{CC44DECE-84C2-4B46-8066-BA46CD8F4600}" destId="{58DEF64C-CD76-4772-B952-1E288D03C727}" srcOrd="7" destOrd="0" presId="urn:microsoft.com/office/officeart/2008/layout/HalfCircleOrganizationChart"/>
    <dgm:cxn modelId="{73C9B981-C950-4E41-B6D5-7D4CD8CEC488}" type="presParOf" srcId="{58DEF64C-CD76-4772-B952-1E288D03C727}" destId="{4274837B-D995-4817-9F11-7A33367B8898}" srcOrd="0" destOrd="0" presId="urn:microsoft.com/office/officeart/2008/layout/HalfCircleOrganizationChart"/>
    <dgm:cxn modelId="{02D1A55B-832D-4E41-BD6B-BEB458C97F53}" type="presParOf" srcId="{4274837B-D995-4817-9F11-7A33367B8898}" destId="{C535637B-1D35-4FBA-A113-2AD0FE000BCC}" srcOrd="0" destOrd="0" presId="urn:microsoft.com/office/officeart/2008/layout/HalfCircleOrganizationChart"/>
    <dgm:cxn modelId="{78657B62-28C3-49A1-82E7-52B01F472BD8}" type="presParOf" srcId="{4274837B-D995-4817-9F11-7A33367B8898}" destId="{F977E331-E17F-4656-811D-2C119392F4D5}" srcOrd="1" destOrd="0" presId="urn:microsoft.com/office/officeart/2008/layout/HalfCircleOrganizationChart"/>
    <dgm:cxn modelId="{B65140A0-83A5-470F-8590-4B67B8C08128}" type="presParOf" srcId="{4274837B-D995-4817-9F11-7A33367B8898}" destId="{4E93D696-6190-4231-97C2-377FBB882BEF}" srcOrd="2" destOrd="0" presId="urn:microsoft.com/office/officeart/2008/layout/HalfCircleOrganizationChart"/>
    <dgm:cxn modelId="{5B610A66-6B1A-471A-9A84-3C760F2A9D34}" type="presParOf" srcId="{4274837B-D995-4817-9F11-7A33367B8898}" destId="{F5A56DDE-D6ED-4EB0-B305-E30D4698CD76}" srcOrd="3" destOrd="0" presId="urn:microsoft.com/office/officeart/2008/layout/HalfCircleOrganizationChart"/>
    <dgm:cxn modelId="{9EE7A9B8-66F8-4FD7-A1DD-AFBD22E1986F}" type="presParOf" srcId="{58DEF64C-CD76-4772-B952-1E288D03C727}" destId="{ED7C3EBD-2507-470E-A77F-D46B116FA544}" srcOrd="1" destOrd="0" presId="urn:microsoft.com/office/officeart/2008/layout/HalfCircleOrganizationChart"/>
    <dgm:cxn modelId="{2A272D05-5B7D-4135-A955-CFD9C47C3D30}" type="presParOf" srcId="{58DEF64C-CD76-4772-B952-1E288D03C727}" destId="{5F3FA1FC-973D-46E9-9A42-B746EB624EEA}" srcOrd="2" destOrd="0" presId="urn:microsoft.com/office/officeart/2008/layout/HalfCircleOrganizationChart"/>
    <dgm:cxn modelId="{8B40F1B2-ACD5-4347-B914-3489112F7A17}" type="presParOf" srcId="{DECADFE4-25A8-49ED-91A3-030077173DCE}" destId="{8C481AD6-F256-40E6-A075-AFF9F65B0F80}" srcOrd="2" destOrd="0" presId="urn:microsoft.com/office/officeart/2008/layout/HalfCircleOrganizationChart"/>
  </dgm:cxnLst>
  <dgm:bg>
    <a:gradFill>
      <a:gsLst>
        <a:gs pos="0">
          <a:schemeClr val="tx2">
            <a:lumMod val="20000"/>
            <a:lumOff val="80000"/>
          </a:schemeClr>
        </a:gs>
        <a:gs pos="50000">
          <a:schemeClr val="accent1">
            <a:tint val="44500"/>
            <a:satMod val="160000"/>
          </a:schemeClr>
        </a:gs>
        <a:gs pos="100000">
          <a:schemeClr val="accent1">
            <a:tint val="23500"/>
            <a:satMod val="160000"/>
          </a:schemeClr>
        </a:gs>
      </a:gsLst>
      <a:lin ang="5400000" scaled="0"/>
    </a:gradFill>
  </dgm:bg>
  <dgm:whole>
    <a:ln>
      <a:solidFill>
        <a:schemeClr val="accent1"/>
      </a:solidFill>
    </a:ln>
  </dgm:whole>
  <dgm:extLst>
    <a:ext uri="http://schemas.microsoft.com/office/drawing/2008/diagram">
      <dsp:dataModelExt xmlns:dsp="http://schemas.microsoft.com/office/drawing/2008/diagram" relId="rId4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795862-97FF-4477-B81B-B4932C61764E}">
      <dsp:nvSpPr>
        <dsp:cNvPr id="0" name=""/>
        <dsp:cNvSpPr/>
      </dsp:nvSpPr>
      <dsp:spPr>
        <a:xfrm>
          <a:off x="2301949" y="810099"/>
          <a:ext cx="1802900" cy="208600"/>
        </a:xfrm>
        <a:custGeom>
          <a:avLst/>
          <a:gdLst/>
          <a:ahLst/>
          <a:cxnLst/>
          <a:rect l="0" t="0" r="0" b="0"/>
          <a:pathLst>
            <a:path>
              <a:moveTo>
                <a:pt x="0" y="0"/>
              </a:moveTo>
              <a:lnTo>
                <a:pt x="0" y="104300"/>
              </a:lnTo>
              <a:lnTo>
                <a:pt x="1802900" y="104300"/>
              </a:lnTo>
              <a:lnTo>
                <a:pt x="1802900" y="2086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C8C6B8-456B-400F-A999-322440FEF290}">
      <dsp:nvSpPr>
        <dsp:cNvPr id="0" name=""/>
        <dsp:cNvSpPr/>
      </dsp:nvSpPr>
      <dsp:spPr>
        <a:xfrm>
          <a:off x="2301949" y="810099"/>
          <a:ext cx="600966" cy="208600"/>
        </a:xfrm>
        <a:custGeom>
          <a:avLst/>
          <a:gdLst/>
          <a:ahLst/>
          <a:cxnLst/>
          <a:rect l="0" t="0" r="0" b="0"/>
          <a:pathLst>
            <a:path>
              <a:moveTo>
                <a:pt x="0" y="0"/>
              </a:moveTo>
              <a:lnTo>
                <a:pt x="0" y="104300"/>
              </a:lnTo>
              <a:lnTo>
                <a:pt x="600966" y="104300"/>
              </a:lnTo>
              <a:lnTo>
                <a:pt x="600966" y="2086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0D33F4-096E-4B57-857E-B2915471ECDD}">
      <dsp:nvSpPr>
        <dsp:cNvPr id="0" name=""/>
        <dsp:cNvSpPr/>
      </dsp:nvSpPr>
      <dsp:spPr>
        <a:xfrm>
          <a:off x="1700982" y="810099"/>
          <a:ext cx="600966" cy="208600"/>
        </a:xfrm>
        <a:custGeom>
          <a:avLst/>
          <a:gdLst/>
          <a:ahLst/>
          <a:cxnLst/>
          <a:rect l="0" t="0" r="0" b="0"/>
          <a:pathLst>
            <a:path>
              <a:moveTo>
                <a:pt x="600966" y="0"/>
              </a:moveTo>
              <a:lnTo>
                <a:pt x="600966" y="104300"/>
              </a:lnTo>
              <a:lnTo>
                <a:pt x="0" y="104300"/>
              </a:lnTo>
              <a:lnTo>
                <a:pt x="0" y="2086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59D8AC-33B6-40C2-9301-0A86DA67EF89}">
      <dsp:nvSpPr>
        <dsp:cNvPr id="0" name=""/>
        <dsp:cNvSpPr/>
      </dsp:nvSpPr>
      <dsp:spPr>
        <a:xfrm>
          <a:off x="499048" y="810099"/>
          <a:ext cx="1802900" cy="208600"/>
        </a:xfrm>
        <a:custGeom>
          <a:avLst/>
          <a:gdLst/>
          <a:ahLst/>
          <a:cxnLst/>
          <a:rect l="0" t="0" r="0" b="0"/>
          <a:pathLst>
            <a:path>
              <a:moveTo>
                <a:pt x="1802900" y="0"/>
              </a:moveTo>
              <a:lnTo>
                <a:pt x="1802900" y="104300"/>
              </a:lnTo>
              <a:lnTo>
                <a:pt x="0" y="104300"/>
              </a:lnTo>
              <a:lnTo>
                <a:pt x="0" y="2086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FF2299-6AC0-4292-8584-A89D7238261D}">
      <dsp:nvSpPr>
        <dsp:cNvPr id="0" name=""/>
        <dsp:cNvSpPr/>
      </dsp:nvSpPr>
      <dsp:spPr>
        <a:xfrm>
          <a:off x="2053615" y="313433"/>
          <a:ext cx="496666" cy="496666"/>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0631C7-35F8-4A3D-B8D7-87B8B0D6DE36}">
      <dsp:nvSpPr>
        <dsp:cNvPr id="0" name=""/>
        <dsp:cNvSpPr/>
      </dsp:nvSpPr>
      <dsp:spPr>
        <a:xfrm>
          <a:off x="2053615" y="313433"/>
          <a:ext cx="496666" cy="496666"/>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742C4B-A65C-4DCB-B16B-34A8DF18730E}">
      <dsp:nvSpPr>
        <dsp:cNvPr id="0" name=""/>
        <dsp:cNvSpPr/>
      </dsp:nvSpPr>
      <dsp:spPr>
        <a:xfrm>
          <a:off x="1805282" y="402833"/>
          <a:ext cx="993333" cy="31786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l-SI" sz="1000" b="1" kern="1200"/>
            <a:t>DIREKTOR</a:t>
          </a:r>
        </a:p>
      </dsp:txBody>
      <dsp:txXfrm>
        <a:off x="1805282" y="402833"/>
        <a:ext cx="993333" cy="317866"/>
      </dsp:txXfrm>
    </dsp:sp>
    <dsp:sp modelId="{B12B5010-E99B-44B9-A108-5CCDBBBEFCB8}">
      <dsp:nvSpPr>
        <dsp:cNvPr id="0" name=""/>
        <dsp:cNvSpPr/>
      </dsp:nvSpPr>
      <dsp:spPr>
        <a:xfrm>
          <a:off x="250714" y="1018700"/>
          <a:ext cx="496666" cy="496666"/>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E720A8-E4E5-4169-8B28-1296A4CF8F75}">
      <dsp:nvSpPr>
        <dsp:cNvPr id="0" name=""/>
        <dsp:cNvSpPr/>
      </dsp:nvSpPr>
      <dsp:spPr>
        <a:xfrm>
          <a:off x="250714" y="1018700"/>
          <a:ext cx="496666" cy="496666"/>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CD6238-78BD-4C91-86A0-227CAC74E8B5}">
      <dsp:nvSpPr>
        <dsp:cNvPr id="0" name=""/>
        <dsp:cNvSpPr/>
      </dsp:nvSpPr>
      <dsp:spPr>
        <a:xfrm>
          <a:off x="2381" y="1108100"/>
          <a:ext cx="993333" cy="31786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l-SI" sz="800" b="1" kern="1200"/>
            <a:t>SEKTOR ZA SUMLJIVE TRANSAKCIJE</a:t>
          </a:r>
        </a:p>
      </dsp:txBody>
      <dsp:txXfrm>
        <a:off x="2381" y="1108100"/>
        <a:ext cx="993333" cy="317866"/>
      </dsp:txXfrm>
    </dsp:sp>
    <dsp:sp modelId="{FFDC9E2E-C025-4AD9-82CE-9A4496993C83}">
      <dsp:nvSpPr>
        <dsp:cNvPr id="0" name=""/>
        <dsp:cNvSpPr/>
      </dsp:nvSpPr>
      <dsp:spPr>
        <a:xfrm>
          <a:off x="1452648" y="1018700"/>
          <a:ext cx="496666" cy="496666"/>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EE6E33-62E1-4DFD-845E-F193507C5B22}">
      <dsp:nvSpPr>
        <dsp:cNvPr id="0" name=""/>
        <dsp:cNvSpPr/>
      </dsp:nvSpPr>
      <dsp:spPr>
        <a:xfrm>
          <a:off x="1452648" y="1018700"/>
          <a:ext cx="496666" cy="496666"/>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C8070B-1933-4432-A85B-AE01B4CD7DE2}">
      <dsp:nvSpPr>
        <dsp:cNvPr id="0" name=""/>
        <dsp:cNvSpPr/>
      </dsp:nvSpPr>
      <dsp:spPr>
        <a:xfrm>
          <a:off x="1204315" y="1108100"/>
          <a:ext cx="993333" cy="31786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l-SI" sz="800" b="1" kern="1200"/>
            <a:t>SLUŽBA ZA INFORMATIKO</a:t>
          </a:r>
        </a:p>
      </dsp:txBody>
      <dsp:txXfrm>
        <a:off x="1204315" y="1108100"/>
        <a:ext cx="993333" cy="317866"/>
      </dsp:txXfrm>
    </dsp:sp>
    <dsp:sp modelId="{977B03E0-9D03-4D5E-9077-07B68974972D}">
      <dsp:nvSpPr>
        <dsp:cNvPr id="0" name=""/>
        <dsp:cNvSpPr/>
      </dsp:nvSpPr>
      <dsp:spPr>
        <a:xfrm>
          <a:off x="2654582" y="1018700"/>
          <a:ext cx="496666" cy="496666"/>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54CAA8-7A6C-48EF-BD3C-8DA5A2A14DAF}">
      <dsp:nvSpPr>
        <dsp:cNvPr id="0" name=""/>
        <dsp:cNvSpPr/>
      </dsp:nvSpPr>
      <dsp:spPr>
        <a:xfrm>
          <a:off x="2654582" y="1018700"/>
          <a:ext cx="496666" cy="496666"/>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E8CCEC-84EC-4BBE-8F63-D1DA122C5796}">
      <dsp:nvSpPr>
        <dsp:cNvPr id="0" name=""/>
        <dsp:cNvSpPr/>
      </dsp:nvSpPr>
      <dsp:spPr>
        <a:xfrm>
          <a:off x="2406249" y="1108100"/>
          <a:ext cx="993333" cy="31786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l-SI" sz="800" b="1" kern="1200"/>
            <a:t>SEKTOR ZA PREVENTIVO IN NADZOR</a:t>
          </a:r>
        </a:p>
      </dsp:txBody>
      <dsp:txXfrm>
        <a:off x="2406249" y="1108100"/>
        <a:ext cx="993333" cy="317866"/>
      </dsp:txXfrm>
    </dsp:sp>
    <dsp:sp modelId="{F977E331-E17F-4656-811D-2C119392F4D5}">
      <dsp:nvSpPr>
        <dsp:cNvPr id="0" name=""/>
        <dsp:cNvSpPr/>
      </dsp:nvSpPr>
      <dsp:spPr>
        <a:xfrm>
          <a:off x="3856516" y="1018700"/>
          <a:ext cx="496666" cy="496666"/>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93D696-6190-4231-97C2-377FBB882BEF}">
      <dsp:nvSpPr>
        <dsp:cNvPr id="0" name=""/>
        <dsp:cNvSpPr/>
      </dsp:nvSpPr>
      <dsp:spPr>
        <a:xfrm>
          <a:off x="3856516" y="1018700"/>
          <a:ext cx="496666" cy="496666"/>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35637B-1D35-4FBA-A113-2AD0FE000BCC}">
      <dsp:nvSpPr>
        <dsp:cNvPr id="0" name=""/>
        <dsp:cNvSpPr/>
      </dsp:nvSpPr>
      <dsp:spPr>
        <a:xfrm>
          <a:off x="3608182" y="1108100"/>
          <a:ext cx="993333" cy="31786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l-SI" sz="800" b="1" kern="1200"/>
            <a:t>SLUŽBA ZA MEDNARODNO SODELOVANJE</a:t>
          </a:r>
        </a:p>
      </dsp:txBody>
      <dsp:txXfrm>
        <a:off x="3608182" y="1108100"/>
        <a:ext cx="993333" cy="317866"/>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1BAAA-0EA6-4152-BB21-5511999B9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27540</Words>
  <Characters>170394</Characters>
  <Application>Microsoft Office Word</Application>
  <DocSecurity>0</DocSecurity>
  <Lines>1419</Lines>
  <Paragraphs>395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MFRS</Company>
  <LinksUpToDate>false</LinksUpToDate>
  <CharactersWithSpaces>197539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Maja Svetličič</cp:lastModifiedBy>
  <cp:revision>2</cp:revision>
  <cp:lastPrinted>2022-09-08T12:18:00Z</cp:lastPrinted>
  <dcterms:created xsi:type="dcterms:W3CDTF">2022-11-08T13:45:00Z</dcterms:created>
  <dcterms:modified xsi:type="dcterms:W3CDTF">2022-11-08T13:45:00Z</dcterms:modified>
</cp:coreProperties>
</file>